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C56131" w14:textId="0A78B182" w:rsidR="00236E6D" w:rsidRPr="00DB2C42" w:rsidRDefault="00DE4215" w:rsidP="00BB1056">
      <w:pPr>
        <w:pStyle w:val="Title"/>
        <w:rPr>
          <w:b w:val="0"/>
          <w:sz w:val="24"/>
          <w:lang w:val="en-US"/>
        </w:rPr>
      </w:pPr>
      <w:r w:rsidRPr="00DB2C42">
        <w:rPr>
          <w:b w:val="0"/>
          <w:sz w:val="24"/>
          <w:lang w:val="en-US"/>
        </w:rPr>
        <w:t>Exploring the Browning and Anti-Diabetic Effects of Resveratrol: Impact of Sex and Diabetic Status</w:t>
      </w:r>
    </w:p>
    <w:p w14:paraId="0CB886E0" w14:textId="77777777" w:rsidR="00BB1056" w:rsidRPr="00DB2C42" w:rsidRDefault="00BB1056" w:rsidP="00BB1056">
      <w:pPr>
        <w:pStyle w:val="Title"/>
        <w:rPr>
          <w:b w:val="0"/>
          <w:sz w:val="24"/>
          <w:lang w:val="en-US"/>
        </w:rPr>
      </w:pPr>
    </w:p>
    <w:p w14:paraId="0C16F908" w14:textId="77777777" w:rsidR="00BB1056" w:rsidRPr="00DB2C42" w:rsidRDefault="00BB1056" w:rsidP="00BB1056">
      <w:pPr>
        <w:pStyle w:val="Title"/>
        <w:rPr>
          <w:b w:val="0"/>
          <w:sz w:val="24"/>
          <w:lang w:val="en-US"/>
        </w:rPr>
      </w:pPr>
    </w:p>
    <w:p w14:paraId="3D01CF8E" w14:textId="77777777" w:rsidR="00BB1056" w:rsidRPr="00DB2C42" w:rsidRDefault="00BB1056" w:rsidP="00BB1056">
      <w:pPr>
        <w:pStyle w:val="Title"/>
        <w:rPr>
          <w:b w:val="0"/>
          <w:sz w:val="24"/>
          <w:lang w:val="en-US"/>
        </w:rPr>
      </w:pPr>
    </w:p>
    <w:p w14:paraId="3390D7D1" w14:textId="77777777" w:rsidR="00BB1056" w:rsidRDefault="00BB1056" w:rsidP="00BB1056">
      <w:pPr>
        <w:pStyle w:val="Title"/>
        <w:rPr>
          <w:b w:val="0"/>
          <w:sz w:val="24"/>
        </w:rPr>
      </w:pPr>
    </w:p>
    <w:p w14:paraId="3CE81A91" w14:textId="77777777" w:rsidR="00847BA5" w:rsidRDefault="00847BA5" w:rsidP="00BB1056">
      <w:pPr>
        <w:pStyle w:val="Title"/>
        <w:rPr>
          <w:b w:val="0"/>
          <w:sz w:val="24"/>
        </w:rPr>
      </w:pPr>
    </w:p>
    <w:p w14:paraId="2CF9DD69" w14:textId="77777777" w:rsidR="00847BA5" w:rsidRPr="00DB2C42" w:rsidRDefault="00847BA5" w:rsidP="00BB1056">
      <w:pPr>
        <w:pStyle w:val="Title"/>
        <w:rPr>
          <w:b w:val="0"/>
          <w:sz w:val="24"/>
        </w:rPr>
      </w:pPr>
    </w:p>
    <w:p w14:paraId="0EC56132" w14:textId="53FE3177" w:rsidR="00236E6D" w:rsidRPr="00DB2C42" w:rsidRDefault="009C755C" w:rsidP="00BB1056">
      <w:pPr>
        <w:pStyle w:val="Title"/>
        <w:rPr>
          <w:b w:val="0"/>
          <w:sz w:val="24"/>
        </w:rPr>
      </w:pPr>
      <w:r w:rsidRPr="00DB2C42">
        <w:rPr>
          <w:b w:val="0"/>
          <w:sz w:val="24"/>
        </w:rPr>
        <w:t xml:space="preserve">A </w:t>
      </w:r>
      <w:r w:rsidR="00DE4215" w:rsidRPr="00DB2C42">
        <w:rPr>
          <w:b w:val="0"/>
          <w:sz w:val="24"/>
        </w:rPr>
        <w:t>Dissertation</w:t>
      </w:r>
      <w:r w:rsidRPr="00DB2C42">
        <w:rPr>
          <w:b w:val="0"/>
          <w:sz w:val="24"/>
        </w:rPr>
        <w:t xml:space="preserve"> Presented for</w:t>
      </w:r>
      <w:r w:rsidR="008865B6" w:rsidRPr="00DB2C42">
        <w:rPr>
          <w:b w:val="0"/>
          <w:sz w:val="24"/>
        </w:rPr>
        <w:t xml:space="preserve"> the</w:t>
      </w:r>
    </w:p>
    <w:p w14:paraId="3565E116" w14:textId="72E56C69" w:rsidR="00DE4215" w:rsidRPr="00DB2C42" w:rsidRDefault="00DE4215" w:rsidP="00BB1056">
      <w:pPr>
        <w:pStyle w:val="Title"/>
        <w:rPr>
          <w:b w:val="0"/>
          <w:sz w:val="24"/>
        </w:rPr>
      </w:pPr>
      <w:r w:rsidRPr="00DB2C42">
        <w:rPr>
          <w:b w:val="0"/>
          <w:sz w:val="24"/>
          <w:lang w:val="en-US"/>
        </w:rPr>
        <w:t>Doctor of Philosophy</w:t>
      </w:r>
    </w:p>
    <w:p w14:paraId="0EC56134" w14:textId="77777777" w:rsidR="009C755C" w:rsidRPr="00DB2C42" w:rsidRDefault="009C755C" w:rsidP="00BB1056">
      <w:pPr>
        <w:pStyle w:val="Title"/>
        <w:rPr>
          <w:b w:val="0"/>
          <w:sz w:val="24"/>
        </w:rPr>
      </w:pPr>
      <w:r w:rsidRPr="00DB2C42">
        <w:rPr>
          <w:b w:val="0"/>
          <w:sz w:val="24"/>
        </w:rPr>
        <w:t>Degree</w:t>
      </w:r>
    </w:p>
    <w:p w14:paraId="0EC56142" w14:textId="2F532DD5" w:rsidR="00236E6D" w:rsidRPr="00DB2C42" w:rsidRDefault="009C755C" w:rsidP="00BB1056">
      <w:pPr>
        <w:pStyle w:val="Title"/>
        <w:rPr>
          <w:b w:val="0"/>
          <w:sz w:val="24"/>
        </w:rPr>
      </w:pPr>
      <w:r w:rsidRPr="00DB2C42">
        <w:rPr>
          <w:b w:val="0"/>
          <w:sz w:val="24"/>
        </w:rPr>
        <w:t>The University of Tennessee, Knoxville</w:t>
      </w:r>
    </w:p>
    <w:p w14:paraId="7B34CFFD" w14:textId="77777777" w:rsidR="00BB1056" w:rsidRPr="00DB2C42" w:rsidRDefault="00BB1056" w:rsidP="00BB1056">
      <w:pPr>
        <w:pStyle w:val="Title"/>
        <w:jc w:val="both"/>
        <w:rPr>
          <w:b w:val="0"/>
          <w:sz w:val="24"/>
        </w:rPr>
      </w:pPr>
    </w:p>
    <w:p w14:paraId="00AD0AAE" w14:textId="77777777" w:rsidR="00BB1056" w:rsidRPr="00DB2C42" w:rsidRDefault="00BB1056" w:rsidP="00BB1056">
      <w:pPr>
        <w:pStyle w:val="Title"/>
        <w:spacing w:after="1560"/>
        <w:jc w:val="both"/>
        <w:rPr>
          <w:b w:val="0"/>
          <w:sz w:val="24"/>
        </w:rPr>
      </w:pPr>
    </w:p>
    <w:p w14:paraId="52E5A2C1" w14:textId="77777777" w:rsidR="00BB1056" w:rsidRPr="00DB2C42" w:rsidRDefault="00BB1056" w:rsidP="00847BA5">
      <w:pPr>
        <w:pStyle w:val="Title"/>
        <w:jc w:val="both"/>
        <w:rPr>
          <w:b w:val="0"/>
          <w:sz w:val="24"/>
        </w:rPr>
      </w:pPr>
    </w:p>
    <w:p w14:paraId="7E6565C7" w14:textId="77777777" w:rsidR="00DE4215" w:rsidRPr="00DB2C42" w:rsidRDefault="00DE4215" w:rsidP="00847BA5">
      <w:pPr>
        <w:pStyle w:val="Title"/>
        <w:rPr>
          <w:b w:val="0"/>
          <w:sz w:val="24"/>
        </w:rPr>
      </w:pPr>
      <w:r w:rsidRPr="00DB2C42">
        <w:rPr>
          <w:b w:val="0"/>
          <w:sz w:val="24"/>
        </w:rPr>
        <w:t>Xinyun Xu</w:t>
      </w:r>
    </w:p>
    <w:p w14:paraId="763CFFA0" w14:textId="4F4CC92F" w:rsidR="003F0177" w:rsidRPr="00DB2C42" w:rsidRDefault="00BB1056" w:rsidP="00847BA5">
      <w:pPr>
        <w:pStyle w:val="Title"/>
        <w:rPr>
          <w:b w:val="0"/>
          <w:sz w:val="24"/>
        </w:rPr>
      </w:pPr>
      <w:r w:rsidRPr="00DB2C42">
        <w:rPr>
          <w:b w:val="0"/>
          <w:sz w:val="24"/>
        </w:rPr>
        <w:t>August</w:t>
      </w:r>
      <w:r w:rsidR="009C755C" w:rsidRPr="00DB2C42">
        <w:rPr>
          <w:b w:val="0"/>
          <w:sz w:val="24"/>
        </w:rPr>
        <w:t xml:space="preserve"> </w:t>
      </w:r>
      <w:r w:rsidR="003D07F7" w:rsidRPr="00DB2C42">
        <w:rPr>
          <w:b w:val="0"/>
          <w:sz w:val="24"/>
        </w:rPr>
        <w:t>2</w:t>
      </w:r>
      <w:r w:rsidR="00DF7C87" w:rsidRPr="00DB2C42">
        <w:rPr>
          <w:b w:val="0"/>
          <w:sz w:val="24"/>
        </w:rPr>
        <w:t>02</w:t>
      </w:r>
      <w:r w:rsidR="00DE4215" w:rsidRPr="00DB2C42">
        <w:rPr>
          <w:b w:val="0"/>
          <w:sz w:val="24"/>
        </w:rPr>
        <w:t>5</w:t>
      </w:r>
    </w:p>
    <w:p w14:paraId="57CCB20C" w14:textId="6DF84620" w:rsidR="00DE4215" w:rsidRPr="00DB2C42" w:rsidRDefault="003F0177" w:rsidP="003F0177">
      <w:pPr>
        <w:spacing w:line="240" w:lineRule="auto"/>
        <w:rPr>
          <w:lang w:val="en-CA"/>
        </w:rPr>
      </w:pPr>
      <w:r w:rsidRPr="00DB2C42">
        <w:rPr>
          <w:b/>
        </w:rPr>
        <w:br w:type="page"/>
      </w:r>
    </w:p>
    <w:p w14:paraId="0EC56149" w14:textId="4F0A9206" w:rsidR="00236E6D" w:rsidRPr="00DB2C42" w:rsidRDefault="00DF7C87" w:rsidP="00B50CF0">
      <w:pPr>
        <w:jc w:val="center"/>
      </w:pPr>
      <w:r w:rsidRPr="00DB2C42">
        <w:lastRenderedPageBreak/>
        <w:t>Copyright © 202</w:t>
      </w:r>
      <w:r w:rsidR="00BB1056" w:rsidRPr="00DB2C42">
        <w:t>5</w:t>
      </w:r>
      <w:r w:rsidR="00236E6D" w:rsidRPr="00DB2C42">
        <w:t xml:space="preserve"> by </w:t>
      </w:r>
      <w:r w:rsidR="00FD4FD8" w:rsidRPr="00DB2C42">
        <w:t>Xinyun Xu.</w:t>
      </w:r>
    </w:p>
    <w:p w14:paraId="0EC56158" w14:textId="5C8D962E" w:rsidR="00236E6D" w:rsidRPr="00DB2C42" w:rsidRDefault="00236E6D" w:rsidP="00B50CF0">
      <w:pPr>
        <w:jc w:val="center"/>
      </w:pPr>
      <w:r w:rsidRPr="00DB2C42">
        <w:t>All rights reserved.</w:t>
      </w:r>
    </w:p>
    <w:p w14:paraId="0EC56162" w14:textId="3A3D3C1F" w:rsidR="009D794C" w:rsidRPr="00DB2C42" w:rsidRDefault="00236E6D" w:rsidP="005F2287">
      <w:pPr>
        <w:pStyle w:val="Title"/>
        <w:rPr>
          <w:sz w:val="24"/>
        </w:rPr>
      </w:pPr>
      <w:r w:rsidRPr="00DB2C42">
        <w:rPr>
          <w:b w:val="0"/>
          <w:sz w:val="24"/>
        </w:rPr>
        <w:br w:type="page"/>
      </w:r>
      <w:r w:rsidR="00CD73A9" w:rsidRPr="00DB2C42">
        <w:rPr>
          <w:b w:val="0"/>
          <w:sz w:val="24"/>
        </w:rPr>
        <w:lastRenderedPageBreak/>
        <w:t>ACKNOWLEDGEMENTS</w:t>
      </w:r>
    </w:p>
    <w:p w14:paraId="4DAE7A2D" w14:textId="25469225" w:rsidR="00DA347F" w:rsidRDefault="00AB3EF3" w:rsidP="00B007DA">
      <w:pPr>
        <w:ind w:firstLine="720"/>
        <w:jc w:val="left"/>
        <w:rPr>
          <w:lang w:eastAsia="zh-CN"/>
        </w:rPr>
      </w:pPr>
      <w:r w:rsidRPr="00AB3EF3">
        <w:rPr>
          <w:lang w:eastAsia="zh-CN"/>
        </w:rPr>
        <w:t>I would like to express my deepest gratitude to my advisor, Dr. Ling Zhao. From the very beginning, she saw potential in me before I fully understood what research truly meant. She gave me the opportunity to grow, taught me experimental techniques with patience and care, and guided me to think independently as a scientist. I am especially thankful for her generosity in sharing her knowledge, experience, and insights, as well as the time she devoted to each meeting and discussion.</w:t>
      </w:r>
      <w:r>
        <w:rPr>
          <w:lang w:eastAsia="zh-CN"/>
        </w:rPr>
        <w:t xml:space="preserve"> </w:t>
      </w:r>
      <w:r w:rsidR="00C93D92" w:rsidRPr="00C93D92">
        <w:rPr>
          <w:lang w:eastAsia="zh-CN"/>
        </w:rPr>
        <w:t>Her mentorship has guided me through challenges, inspired new ideas, and shaped the way I approach science.</w:t>
      </w:r>
    </w:p>
    <w:p w14:paraId="4EC9B5C1" w14:textId="77777777" w:rsidR="00A54F33" w:rsidRDefault="00A54F33" w:rsidP="00594274">
      <w:pPr>
        <w:ind w:firstLine="720"/>
        <w:jc w:val="left"/>
        <w:rPr>
          <w:lang w:eastAsia="zh-CN"/>
        </w:rPr>
      </w:pPr>
      <w:r w:rsidRPr="00A54F33">
        <w:rPr>
          <w:lang w:eastAsia="zh-CN"/>
        </w:rPr>
        <w:t>I am also sincerely thankful to my committee members, Dr. Guoxun Chen, Dr. Jiangang Chen, and Dr. Jun Lin, for their valuable guidance, feedback, and encouragement throughout my Ph.D. training.</w:t>
      </w:r>
    </w:p>
    <w:p w14:paraId="081CA613" w14:textId="65858845" w:rsidR="00C93D92" w:rsidRDefault="001F2B9B" w:rsidP="00594274">
      <w:pPr>
        <w:ind w:firstLine="720"/>
        <w:jc w:val="left"/>
        <w:rPr>
          <w:lang w:eastAsia="zh-CN"/>
        </w:rPr>
      </w:pPr>
      <w:r w:rsidRPr="001F2B9B">
        <w:rPr>
          <w:lang w:eastAsia="zh-CN"/>
        </w:rPr>
        <w:t>I would also like to thank our collaborator at Arizona State University, Dr. Shu Wang. H</w:t>
      </w:r>
      <w:r>
        <w:rPr>
          <w:rFonts w:hint="eastAsia"/>
          <w:lang w:eastAsia="zh-CN"/>
        </w:rPr>
        <w:t>er</w:t>
      </w:r>
      <w:r w:rsidRPr="001F2B9B">
        <w:rPr>
          <w:lang w:eastAsia="zh-CN"/>
        </w:rPr>
        <w:t xml:space="preserve"> support and contributions were essential to the success of this </w:t>
      </w:r>
      <w:r>
        <w:rPr>
          <w:lang w:eastAsia="zh-CN"/>
        </w:rPr>
        <w:t>dissertation</w:t>
      </w:r>
      <w:r w:rsidRPr="001F2B9B">
        <w:rPr>
          <w:lang w:eastAsia="zh-CN"/>
        </w:rPr>
        <w:t xml:space="preserve">, and I truly appreciate </w:t>
      </w:r>
      <w:r w:rsidR="00257BF4">
        <w:rPr>
          <w:lang w:eastAsia="zh-CN"/>
        </w:rPr>
        <w:t>her</w:t>
      </w:r>
      <w:r w:rsidRPr="001F2B9B">
        <w:rPr>
          <w:lang w:eastAsia="zh-CN"/>
        </w:rPr>
        <w:t xml:space="preserve"> time, effort, and expertise.</w:t>
      </w:r>
    </w:p>
    <w:p w14:paraId="088BC7ED" w14:textId="17E5F0E5" w:rsidR="00197E29" w:rsidRPr="00454C9C" w:rsidRDefault="00197E29" w:rsidP="00594274">
      <w:pPr>
        <w:ind w:firstLine="720"/>
        <w:jc w:val="left"/>
        <w:rPr>
          <w:lang w:eastAsia="zh-CN"/>
        </w:rPr>
      </w:pPr>
      <w:r w:rsidRPr="00197E29">
        <w:rPr>
          <w:lang w:eastAsia="zh-CN"/>
        </w:rPr>
        <w:t xml:space="preserve">Many thanks to my labmate, Haoying Wu, for her technical help and support in the lab. I also want to thank my dear friends for their encouragement, humor, and unwavering friendship through the ups and downs of </w:t>
      </w:r>
      <w:r w:rsidR="000C3082" w:rsidRPr="00454C9C">
        <w:rPr>
          <w:lang w:eastAsia="zh-CN"/>
        </w:rPr>
        <w:t>my life</w:t>
      </w:r>
      <w:r w:rsidRPr="00197E29">
        <w:rPr>
          <w:lang w:eastAsia="zh-CN"/>
        </w:rPr>
        <w:t>.</w:t>
      </w:r>
    </w:p>
    <w:p w14:paraId="1FFB336A" w14:textId="64038555" w:rsidR="002B7E61" w:rsidRPr="00197E29" w:rsidRDefault="00454C9C" w:rsidP="00594274">
      <w:pPr>
        <w:ind w:firstLine="720"/>
        <w:jc w:val="left"/>
      </w:pPr>
      <w:r w:rsidRPr="00454C9C">
        <w:t>To my parents, grandmother, aunt, and the rest of my family, thank you for always being there for me, whether near or far.</w:t>
      </w:r>
    </w:p>
    <w:p w14:paraId="3E53B067" w14:textId="13328785" w:rsidR="00197E29" w:rsidRDefault="001A24FB" w:rsidP="00594274">
      <w:pPr>
        <w:ind w:firstLine="720"/>
        <w:jc w:val="left"/>
        <w:rPr>
          <w:lang w:eastAsia="zh-CN"/>
        </w:rPr>
      </w:pPr>
      <w:r w:rsidRPr="001A24FB">
        <w:rPr>
          <w:lang w:eastAsia="zh-CN"/>
        </w:rPr>
        <w:t xml:space="preserve">My final thanks go to those who see my flaws and love me </w:t>
      </w:r>
      <w:r>
        <w:rPr>
          <w:lang w:eastAsia="zh-CN"/>
        </w:rPr>
        <w:t>anyway</w:t>
      </w:r>
      <w:r w:rsidRPr="001A24FB">
        <w:rPr>
          <w:lang w:eastAsia="zh-CN"/>
        </w:rPr>
        <w:t>.</w:t>
      </w:r>
    </w:p>
    <w:p w14:paraId="389420D7" w14:textId="2DD2A64A" w:rsidR="0022692A" w:rsidRPr="00DB2C42" w:rsidRDefault="0085757D" w:rsidP="00847BA5">
      <w:pPr>
        <w:jc w:val="center"/>
      </w:pPr>
      <w:r w:rsidRPr="00DB2C42">
        <w:br w:type="page"/>
      </w:r>
      <w:r w:rsidR="00236E6D" w:rsidRPr="00DB2C42">
        <w:lastRenderedPageBreak/>
        <w:t>ABSTRACT</w:t>
      </w:r>
    </w:p>
    <w:p w14:paraId="3A7E86A5" w14:textId="02F1BE40" w:rsidR="00B206A7" w:rsidRPr="00DB2C42" w:rsidRDefault="00B206A7" w:rsidP="00B007DA">
      <w:pPr>
        <w:pStyle w:val="xmsonormal"/>
        <w:shd w:val="clear" w:color="auto" w:fill="FFFFFF"/>
        <w:spacing w:before="0" w:beforeAutospacing="0" w:after="0" w:afterAutospacing="0" w:line="480" w:lineRule="auto"/>
        <w:ind w:firstLine="720"/>
        <w:jc w:val="left"/>
        <w:rPr>
          <w:color w:val="242424"/>
        </w:rPr>
      </w:pPr>
      <w:r w:rsidRPr="00DB2C42">
        <w:rPr>
          <w:color w:val="242424"/>
        </w:rPr>
        <w:t xml:space="preserve">Impaired thermogenesis and decreased energy expenditure as a result are hallmarks of obesity and obesity-associated metabolic dysfunction, such as type 2 diabetes mellitus (T2DM). By increasing the number of thermogenic adipocytes, the browning of white adipocytes has emerged as a promising target for increasing energy expenditure and treating obesity and its associated metabolic dysfunctions. However, the thermogenic and browning capacity of insulin-resistant models in response to dietary browning agents, such as resveratrol (RES), and the underlying mechanisms linking browning to improved insulin sensitivity remain incompletely understood. In this dissertation, the thermogenic capacities of diabetic </w:t>
      </w:r>
      <w:r w:rsidRPr="00DB2C42">
        <w:rPr>
          <w:i/>
          <w:iCs/>
          <w:color w:val="242424"/>
        </w:rPr>
        <w:t>db/db</w:t>
      </w:r>
      <w:r w:rsidRPr="00DB2C42">
        <w:rPr>
          <w:color w:val="242424"/>
        </w:rPr>
        <w:t xml:space="preserve"> mice (characterized with a loss-of-function mutation in the leptin receptor) and the browning potential of their adipose tissue-derived stromal cells (ADSCs) in response to RES were investigated and compared to those of wild-type mice with a focus on sex differences. Also, as a proof-of-concept, the contribution of UCP1-mediated browning to insulin sensitization in response to rosiglitazone (ROSI), a well-studied anti-diabetic drug, was examined using 3T3-L1 adipocytes with U</w:t>
      </w:r>
      <w:r w:rsidR="001951AE">
        <w:rPr>
          <w:color w:val="242424"/>
        </w:rPr>
        <w:t>CP</w:t>
      </w:r>
      <w:r w:rsidRPr="00DB2C42">
        <w:rPr>
          <w:color w:val="242424"/>
        </w:rPr>
        <w:t>1 gene knockout (KO).</w:t>
      </w:r>
    </w:p>
    <w:p w14:paraId="230041A2" w14:textId="77777777" w:rsidR="00B206A7" w:rsidRPr="00DB2C42" w:rsidRDefault="00B206A7" w:rsidP="00594274">
      <w:pPr>
        <w:pStyle w:val="xmsonormal"/>
        <w:shd w:val="clear" w:color="auto" w:fill="FFFFFF"/>
        <w:spacing w:before="0" w:beforeAutospacing="0" w:after="0" w:afterAutospacing="0" w:line="480" w:lineRule="auto"/>
        <w:ind w:firstLine="720"/>
        <w:jc w:val="left"/>
        <w:rPr>
          <w:color w:val="242424"/>
        </w:rPr>
      </w:pPr>
      <w:r w:rsidRPr="00DB2C42">
        <w:rPr>
          <w:color w:val="242424"/>
        </w:rPr>
        <w:t xml:space="preserve">It was found that </w:t>
      </w:r>
      <w:r w:rsidRPr="00DB2C42">
        <w:rPr>
          <w:i/>
          <w:iCs/>
          <w:color w:val="242424"/>
        </w:rPr>
        <w:t>db/db</w:t>
      </w:r>
      <w:r w:rsidRPr="00DB2C42">
        <w:rPr>
          <w:color w:val="242424"/>
        </w:rPr>
        <w:t> mice exhibited markedly reduced energy expenditure and impaired cold tolerance, along with lower expression of thermogenic genes in brown and white adipose tissue, indicating diminished thermogenic capacities in these diabetic mice, regardless of sex. Despite systemic insulin resistance, the ADSCs from </w:t>
      </w:r>
      <w:r w:rsidRPr="00DB2C42">
        <w:rPr>
          <w:i/>
          <w:iCs/>
          <w:color w:val="242424"/>
        </w:rPr>
        <w:t>db/db</w:t>
      </w:r>
      <w:r w:rsidRPr="00DB2C42">
        <w:rPr>
          <w:color w:val="242424"/>
        </w:rPr>
        <w:t> mice retained the ability to undergo browning in response to RES and ROSI, as evidenced by increased</w:t>
      </w:r>
      <w:r w:rsidRPr="00DB2C42">
        <w:rPr>
          <w:i/>
          <w:iCs/>
          <w:color w:val="242424"/>
        </w:rPr>
        <w:t> Ucp1, Pgc1α</w:t>
      </w:r>
      <w:r w:rsidRPr="00DB2C42">
        <w:rPr>
          <w:color w:val="242424"/>
        </w:rPr>
        <w:t xml:space="preserve"> mRNA expression, and mitochondrial uncoupling. This browning </w:t>
      </w:r>
      <w:r w:rsidRPr="00DB2C42">
        <w:rPr>
          <w:color w:val="242424"/>
        </w:rPr>
        <w:lastRenderedPageBreak/>
        <w:t>effect is accompanied by insulin-sensitizing improvement. Sex differences were also observed in response to treatments. Finally, it was found that ROSI enhanced insulin signaling in scrambled control cells but not </w:t>
      </w:r>
      <w:r w:rsidRPr="00DB2C42">
        <w:rPr>
          <w:i/>
          <w:iCs/>
          <w:color w:val="242424"/>
        </w:rPr>
        <w:t>Ucp1</w:t>
      </w:r>
      <w:r w:rsidRPr="00DB2C42">
        <w:rPr>
          <w:color w:val="242424"/>
        </w:rPr>
        <w:t xml:space="preserve"> KO 3T3-L1 adipocytes, demonstrating a significant contribution of </w:t>
      </w:r>
      <w:r w:rsidRPr="00DB2C42">
        <w:rPr>
          <w:i/>
          <w:iCs/>
          <w:color w:val="242424"/>
        </w:rPr>
        <w:t>Ucp1</w:t>
      </w:r>
      <w:r w:rsidRPr="00DB2C42">
        <w:rPr>
          <w:color w:val="242424"/>
        </w:rPr>
        <w:t>-mediated thermogenesis to ROSI-induced insulin sensitization.</w:t>
      </w:r>
    </w:p>
    <w:p w14:paraId="5BE2A796" w14:textId="77777777" w:rsidR="00B206A7" w:rsidRPr="00DB2C42" w:rsidRDefault="00B206A7" w:rsidP="00594274">
      <w:pPr>
        <w:pStyle w:val="xmsonormal"/>
        <w:shd w:val="clear" w:color="auto" w:fill="FFFFFF"/>
        <w:spacing w:before="0" w:beforeAutospacing="0" w:after="0" w:afterAutospacing="0" w:line="480" w:lineRule="auto"/>
        <w:ind w:firstLine="720"/>
        <w:jc w:val="left"/>
        <w:rPr>
          <w:color w:val="242424"/>
        </w:rPr>
      </w:pPr>
      <w:r w:rsidRPr="00DB2C42">
        <w:rPr>
          <w:color w:val="242424"/>
        </w:rPr>
        <w:t>In summary, this dissertation provides new insights into the thermogenic defects in </w:t>
      </w:r>
      <w:r w:rsidRPr="00DB2C42">
        <w:rPr>
          <w:i/>
          <w:iCs/>
          <w:color w:val="242424"/>
        </w:rPr>
        <w:t>db/db</w:t>
      </w:r>
      <w:r w:rsidRPr="00DB2C42">
        <w:rPr>
          <w:color w:val="242424"/>
        </w:rPr>
        <w:t xml:space="preserve"> mice and demonstrates that </w:t>
      </w:r>
      <w:r w:rsidRPr="00DB2C42">
        <w:rPr>
          <w:i/>
          <w:iCs/>
          <w:color w:val="242424"/>
        </w:rPr>
        <w:t>db/db</w:t>
      </w:r>
      <w:r w:rsidRPr="00DB2C42">
        <w:rPr>
          <w:color w:val="242424"/>
        </w:rPr>
        <w:t xml:space="preserve"> mice’s ADSCs retain browning capacities and can be browned by RES. Moreover, UCP1 is shown to play a significant role in mediating the insulin-sensitizing effects of ROSI. Overall, these results highlight the therapeutic potential of targeting adipose browning and thermogenesis with dietary or pharmacological agents for the treatment of obesity and obesity-associated T2DM.</w:t>
      </w:r>
    </w:p>
    <w:p w14:paraId="0EC56173" w14:textId="67B6E752" w:rsidR="00236E6D" w:rsidRPr="00DB2C42" w:rsidRDefault="00236E6D" w:rsidP="00DE4215">
      <w:pPr>
        <w:pStyle w:val="Title"/>
        <w:rPr>
          <w:b w:val="0"/>
          <w:sz w:val="24"/>
        </w:rPr>
      </w:pPr>
      <w:r w:rsidRPr="00DB2C42">
        <w:rPr>
          <w:b w:val="0"/>
          <w:sz w:val="24"/>
        </w:rPr>
        <w:br w:type="page"/>
      </w:r>
    </w:p>
    <w:p w14:paraId="0EC56175" w14:textId="5929EB63" w:rsidR="00387656" w:rsidRPr="00BE3963" w:rsidRDefault="00387656" w:rsidP="00847BA5">
      <w:pPr>
        <w:pStyle w:val="Title"/>
        <w:rPr>
          <w:b w:val="0"/>
          <w:sz w:val="24"/>
        </w:rPr>
      </w:pPr>
      <w:r w:rsidRPr="00BE3963">
        <w:rPr>
          <w:b w:val="0"/>
          <w:sz w:val="24"/>
        </w:rPr>
        <w:lastRenderedPageBreak/>
        <w:t>TABLE OF CONTENTS</w:t>
      </w:r>
    </w:p>
    <w:p w14:paraId="64A7686E" w14:textId="3DE5A80D" w:rsidR="00937647" w:rsidRPr="00937647" w:rsidRDefault="00683A5D" w:rsidP="00937647">
      <w:pPr>
        <w:pStyle w:val="TOC1"/>
        <w:spacing w:before="0"/>
        <w:rPr>
          <w:rFonts w:eastAsiaTheme="minorEastAsia" w:cs="Times New Roman"/>
          <w:b w:val="0"/>
          <w:bCs w:val="0"/>
          <w:i w:val="0"/>
          <w:iCs w:val="0"/>
          <w:noProof/>
          <w:kern w:val="2"/>
          <w:lang w:eastAsia="zh-CN"/>
          <w14:ligatures w14:val="standardContextual"/>
        </w:rPr>
      </w:pPr>
      <w:r w:rsidRPr="00937647">
        <w:rPr>
          <w:rFonts w:cs="Times New Roman"/>
          <w:b w:val="0"/>
          <w:bCs w:val="0"/>
          <w:i w:val="0"/>
          <w:iCs w:val="0"/>
        </w:rPr>
        <w:fldChar w:fldCharType="begin"/>
      </w:r>
      <w:r w:rsidRPr="00937647">
        <w:rPr>
          <w:rFonts w:cs="Times New Roman"/>
          <w:b w:val="0"/>
          <w:bCs w:val="0"/>
          <w:i w:val="0"/>
          <w:iCs w:val="0"/>
        </w:rPr>
        <w:instrText xml:space="preserve"> TOC \o "1-3" \h \z \u </w:instrText>
      </w:r>
      <w:r w:rsidRPr="00937647">
        <w:rPr>
          <w:rFonts w:cs="Times New Roman"/>
          <w:b w:val="0"/>
          <w:bCs w:val="0"/>
          <w:i w:val="0"/>
          <w:iCs w:val="0"/>
        </w:rPr>
        <w:fldChar w:fldCharType="separate"/>
      </w:r>
      <w:hyperlink w:anchor="_Toc204848620" w:history="1">
        <w:r w:rsidR="00937647" w:rsidRPr="00937647">
          <w:rPr>
            <w:rStyle w:val="Hyperlink"/>
            <w:rFonts w:cs="Times New Roman"/>
            <w:b w:val="0"/>
            <w:bCs w:val="0"/>
            <w:i w:val="0"/>
            <w:iCs w:val="0"/>
            <w:noProof/>
          </w:rPr>
          <w:t xml:space="preserve"> CHAPTER I INTRODUCTION</w:t>
        </w:r>
        <w:r w:rsidR="00937647" w:rsidRPr="00937647">
          <w:rPr>
            <w:rFonts w:cs="Times New Roman"/>
            <w:b w:val="0"/>
            <w:bCs w:val="0"/>
            <w:i w:val="0"/>
            <w:iCs w:val="0"/>
            <w:noProof/>
            <w:webHidden/>
          </w:rPr>
          <w:tab/>
        </w:r>
        <w:r w:rsidR="00937647" w:rsidRPr="00937647">
          <w:rPr>
            <w:rFonts w:cs="Times New Roman"/>
            <w:b w:val="0"/>
            <w:bCs w:val="0"/>
            <w:i w:val="0"/>
            <w:iCs w:val="0"/>
            <w:noProof/>
            <w:webHidden/>
          </w:rPr>
          <w:fldChar w:fldCharType="begin"/>
        </w:r>
        <w:r w:rsidR="00937647" w:rsidRPr="00937647">
          <w:rPr>
            <w:rFonts w:cs="Times New Roman"/>
            <w:b w:val="0"/>
            <w:bCs w:val="0"/>
            <w:i w:val="0"/>
            <w:iCs w:val="0"/>
            <w:noProof/>
            <w:webHidden/>
          </w:rPr>
          <w:instrText xml:space="preserve"> PAGEREF _Toc204848620 \h </w:instrText>
        </w:r>
        <w:r w:rsidR="00937647" w:rsidRPr="00937647">
          <w:rPr>
            <w:rFonts w:cs="Times New Roman"/>
            <w:b w:val="0"/>
            <w:bCs w:val="0"/>
            <w:i w:val="0"/>
            <w:iCs w:val="0"/>
            <w:noProof/>
            <w:webHidden/>
          </w:rPr>
        </w:r>
        <w:r w:rsidR="00937647" w:rsidRPr="00937647">
          <w:rPr>
            <w:rFonts w:cs="Times New Roman"/>
            <w:b w:val="0"/>
            <w:bCs w:val="0"/>
            <w:i w:val="0"/>
            <w:iCs w:val="0"/>
            <w:noProof/>
            <w:webHidden/>
          </w:rPr>
          <w:fldChar w:fldCharType="separate"/>
        </w:r>
        <w:r w:rsidR="00937647" w:rsidRPr="00937647">
          <w:rPr>
            <w:rFonts w:cs="Times New Roman"/>
            <w:b w:val="0"/>
            <w:bCs w:val="0"/>
            <w:i w:val="0"/>
            <w:iCs w:val="0"/>
            <w:noProof/>
            <w:webHidden/>
          </w:rPr>
          <w:t>1</w:t>
        </w:r>
        <w:r w:rsidR="00937647" w:rsidRPr="00937647">
          <w:rPr>
            <w:rFonts w:cs="Times New Roman"/>
            <w:b w:val="0"/>
            <w:bCs w:val="0"/>
            <w:i w:val="0"/>
            <w:iCs w:val="0"/>
            <w:noProof/>
            <w:webHidden/>
          </w:rPr>
          <w:fldChar w:fldCharType="end"/>
        </w:r>
      </w:hyperlink>
    </w:p>
    <w:p w14:paraId="055E2AB1" w14:textId="71BB0B35" w:rsidR="00937647" w:rsidRPr="00937647" w:rsidRDefault="00937647" w:rsidP="00937647">
      <w:pPr>
        <w:pStyle w:val="TOC1"/>
        <w:spacing w:before="0"/>
        <w:rPr>
          <w:rFonts w:eastAsiaTheme="minorEastAsia" w:cs="Times New Roman"/>
          <w:b w:val="0"/>
          <w:bCs w:val="0"/>
          <w:i w:val="0"/>
          <w:iCs w:val="0"/>
          <w:noProof/>
          <w:kern w:val="2"/>
          <w:lang w:eastAsia="zh-CN"/>
          <w14:ligatures w14:val="standardContextual"/>
        </w:rPr>
      </w:pPr>
      <w:hyperlink w:anchor="_Toc204848621" w:history="1">
        <w:r w:rsidRPr="00937647">
          <w:rPr>
            <w:rStyle w:val="Hyperlink"/>
            <w:rFonts w:cs="Times New Roman"/>
            <w:b w:val="0"/>
            <w:bCs w:val="0"/>
            <w:i w:val="0"/>
            <w:iCs w:val="0"/>
            <w:noProof/>
          </w:rPr>
          <w:t xml:space="preserve"> CHAPTER II lITERATURE REVIEW</w:t>
        </w:r>
        <w:r w:rsidRPr="00937647">
          <w:rPr>
            <w:rFonts w:cs="Times New Roman"/>
            <w:b w:val="0"/>
            <w:bCs w:val="0"/>
            <w:i w:val="0"/>
            <w:iCs w:val="0"/>
            <w:noProof/>
            <w:webHidden/>
          </w:rPr>
          <w:tab/>
        </w:r>
        <w:r w:rsidRPr="00937647">
          <w:rPr>
            <w:rFonts w:cs="Times New Roman"/>
            <w:b w:val="0"/>
            <w:bCs w:val="0"/>
            <w:i w:val="0"/>
            <w:iCs w:val="0"/>
            <w:noProof/>
            <w:webHidden/>
          </w:rPr>
          <w:fldChar w:fldCharType="begin"/>
        </w:r>
        <w:r w:rsidRPr="00937647">
          <w:rPr>
            <w:rFonts w:cs="Times New Roman"/>
            <w:b w:val="0"/>
            <w:bCs w:val="0"/>
            <w:i w:val="0"/>
            <w:iCs w:val="0"/>
            <w:noProof/>
            <w:webHidden/>
          </w:rPr>
          <w:instrText xml:space="preserve"> PAGEREF _Toc204848621 \h </w:instrText>
        </w:r>
        <w:r w:rsidRPr="00937647">
          <w:rPr>
            <w:rFonts w:cs="Times New Roman"/>
            <w:b w:val="0"/>
            <w:bCs w:val="0"/>
            <w:i w:val="0"/>
            <w:iCs w:val="0"/>
            <w:noProof/>
            <w:webHidden/>
          </w:rPr>
        </w:r>
        <w:r w:rsidRPr="00937647">
          <w:rPr>
            <w:rFonts w:cs="Times New Roman"/>
            <w:b w:val="0"/>
            <w:bCs w:val="0"/>
            <w:i w:val="0"/>
            <w:iCs w:val="0"/>
            <w:noProof/>
            <w:webHidden/>
          </w:rPr>
          <w:fldChar w:fldCharType="separate"/>
        </w:r>
        <w:r w:rsidRPr="00937647">
          <w:rPr>
            <w:rFonts w:cs="Times New Roman"/>
            <w:b w:val="0"/>
            <w:bCs w:val="0"/>
            <w:i w:val="0"/>
            <w:iCs w:val="0"/>
            <w:noProof/>
            <w:webHidden/>
          </w:rPr>
          <w:t>5</w:t>
        </w:r>
        <w:r w:rsidRPr="00937647">
          <w:rPr>
            <w:rFonts w:cs="Times New Roman"/>
            <w:b w:val="0"/>
            <w:bCs w:val="0"/>
            <w:i w:val="0"/>
            <w:iCs w:val="0"/>
            <w:noProof/>
            <w:webHidden/>
          </w:rPr>
          <w:fldChar w:fldCharType="end"/>
        </w:r>
      </w:hyperlink>
    </w:p>
    <w:p w14:paraId="08987CE7" w14:textId="13375AE0"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22" w:history="1">
        <w:r w:rsidRPr="00937647">
          <w:rPr>
            <w:rStyle w:val="Hyperlink"/>
            <w:rFonts w:cs="Times New Roman"/>
            <w:b w:val="0"/>
            <w:bCs w:val="0"/>
            <w:noProof/>
            <w:sz w:val="24"/>
            <w:szCs w:val="24"/>
          </w:rPr>
          <w:t>2.1</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Obesity</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_Toc204848622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6</w:t>
        </w:r>
        <w:r w:rsidRPr="00937647">
          <w:rPr>
            <w:rFonts w:cs="Times New Roman"/>
            <w:b w:val="0"/>
            <w:bCs w:val="0"/>
            <w:noProof/>
            <w:webHidden/>
            <w:sz w:val="24"/>
            <w:szCs w:val="24"/>
          </w:rPr>
          <w:fldChar w:fldCharType="end"/>
        </w:r>
      </w:hyperlink>
    </w:p>
    <w:p w14:paraId="5CFC7106" w14:textId="600C216C"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23" w:history="1">
        <w:r w:rsidRPr="00937647">
          <w:rPr>
            <w:rStyle w:val="Hyperlink"/>
            <w:rFonts w:cs="Times New Roman"/>
            <w:noProof/>
            <w:sz w:val="24"/>
            <w:szCs w:val="24"/>
          </w:rPr>
          <w:t>2.1.1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Global Prevalence of Obesity</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_Toc204848623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w:t>
        </w:r>
        <w:r w:rsidRPr="00937647">
          <w:rPr>
            <w:rFonts w:cs="Times New Roman"/>
            <w:noProof/>
            <w:webHidden/>
            <w:sz w:val="24"/>
            <w:szCs w:val="24"/>
          </w:rPr>
          <w:fldChar w:fldCharType="end"/>
        </w:r>
      </w:hyperlink>
    </w:p>
    <w:p w14:paraId="5B88DB7A" w14:textId="61952C84"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24" w:history="1">
        <w:r w:rsidRPr="00937647">
          <w:rPr>
            <w:rStyle w:val="Hyperlink"/>
            <w:rFonts w:cs="Times New Roman"/>
            <w:noProof/>
            <w:sz w:val="24"/>
            <w:szCs w:val="24"/>
          </w:rPr>
          <w:t>2.1.2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Causes of Obesity</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_Toc204848624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7</w:t>
        </w:r>
        <w:r w:rsidRPr="00937647">
          <w:rPr>
            <w:rFonts w:cs="Times New Roman"/>
            <w:noProof/>
            <w:webHidden/>
            <w:sz w:val="24"/>
            <w:szCs w:val="24"/>
          </w:rPr>
          <w:fldChar w:fldCharType="end"/>
        </w:r>
      </w:hyperlink>
    </w:p>
    <w:p w14:paraId="2C58D188" w14:textId="717E8DD2"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25" w:history="1">
        <w:r w:rsidRPr="00937647">
          <w:rPr>
            <w:rStyle w:val="Hyperlink"/>
            <w:rFonts w:cs="Times New Roman"/>
            <w:noProof/>
            <w:sz w:val="24"/>
            <w:szCs w:val="24"/>
          </w:rPr>
          <w:t>2.1.3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Metabolic Dysfunction Associated with Obesity</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_Toc204848625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10</w:t>
        </w:r>
        <w:r w:rsidRPr="00937647">
          <w:rPr>
            <w:rFonts w:cs="Times New Roman"/>
            <w:noProof/>
            <w:webHidden/>
            <w:sz w:val="24"/>
            <w:szCs w:val="24"/>
          </w:rPr>
          <w:fldChar w:fldCharType="end"/>
        </w:r>
      </w:hyperlink>
    </w:p>
    <w:p w14:paraId="666B0BB2" w14:textId="54A6C55C"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26" w:history="1">
        <w:r w:rsidRPr="00937647">
          <w:rPr>
            <w:rStyle w:val="Hyperlink"/>
            <w:rFonts w:cs="Times New Roman"/>
            <w:noProof/>
            <w:sz w:val="24"/>
            <w:szCs w:val="24"/>
          </w:rPr>
          <w:t>2.1.4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Sex Differences in Obesity</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_Toc204848626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12</w:t>
        </w:r>
        <w:r w:rsidRPr="00937647">
          <w:rPr>
            <w:rFonts w:cs="Times New Roman"/>
            <w:noProof/>
            <w:webHidden/>
            <w:sz w:val="24"/>
            <w:szCs w:val="24"/>
          </w:rPr>
          <w:fldChar w:fldCharType="end"/>
        </w:r>
      </w:hyperlink>
    </w:p>
    <w:p w14:paraId="33AC9BD5" w14:textId="25FFC8E7"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27" w:history="1">
        <w:r w:rsidRPr="00937647">
          <w:rPr>
            <w:rStyle w:val="Hyperlink"/>
            <w:rFonts w:cs="Times New Roman"/>
            <w:b w:val="0"/>
            <w:bCs w:val="0"/>
            <w:noProof/>
            <w:sz w:val="24"/>
            <w:szCs w:val="24"/>
          </w:rPr>
          <w:t>2.2</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Adipose Tissue Biology</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_Toc204848627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14</w:t>
        </w:r>
        <w:r w:rsidRPr="00937647">
          <w:rPr>
            <w:rFonts w:cs="Times New Roman"/>
            <w:b w:val="0"/>
            <w:bCs w:val="0"/>
            <w:noProof/>
            <w:webHidden/>
            <w:sz w:val="24"/>
            <w:szCs w:val="24"/>
          </w:rPr>
          <w:fldChar w:fldCharType="end"/>
        </w:r>
      </w:hyperlink>
    </w:p>
    <w:p w14:paraId="7FE310FE" w14:textId="6BAE910D"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28" w:history="1">
        <w:r w:rsidRPr="00937647">
          <w:rPr>
            <w:rStyle w:val="Hyperlink"/>
            <w:rFonts w:cs="Times New Roman"/>
            <w:noProof/>
            <w:sz w:val="24"/>
            <w:szCs w:val="24"/>
          </w:rPr>
          <w:t>2.2.1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White Adipose Tissue</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_Toc204848628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14</w:t>
        </w:r>
        <w:r w:rsidRPr="00937647">
          <w:rPr>
            <w:rFonts w:cs="Times New Roman"/>
            <w:noProof/>
            <w:webHidden/>
            <w:sz w:val="24"/>
            <w:szCs w:val="24"/>
          </w:rPr>
          <w:fldChar w:fldCharType="end"/>
        </w:r>
      </w:hyperlink>
    </w:p>
    <w:p w14:paraId="450FDF94" w14:textId="20006049"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29" w:history="1">
        <w:r w:rsidRPr="00937647">
          <w:rPr>
            <w:rStyle w:val="Hyperlink"/>
            <w:rFonts w:cs="Times New Roman"/>
            <w:noProof/>
            <w:sz w:val="24"/>
            <w:szCs w:val="24"/>
          </w:rPr>
          <w:t>2.2.2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Brown Adipose Tissue</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_Toc204848629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15</w:t>
        </w:r>
        <w:r w:rsidRPr="00937647">
          <w:rPr>
            <w:rFonts w:cs="Times New Roman"/>
            <w:noProof/>
            <w:webHidden/>
            <w:sz w:val="24"/>
            <w:szCs w:val="24"/>
          </w:rPr>
          <w:fldChar w:fldCharType="end"/>
        </w:r>
      </w:hyperlink>
    </w:p>
    <w:p w14:paraId="0D00FB9F" w14:textId="6AC78CAE"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0" w:history="1">
        <w:r w:rsidRPr="00937647">
          <w:rPr>
            <w:rStyle w:val="Hyperlink"/>
            <w:rFonts w:cs="Times New Roman"/>
            <w:noProof/>
            <w:sz w:val="24"/>
            <w:szCs w:val="24"/>
          </w:rPr>
          <w:t>2.2.3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Beige Adipose Tissue</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_Toc204848630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16</w:t>
        </w:r>
        <w:r w:rsidRPr="00937647">
          <w:rPr>
            <w:rFonts w:cs="Times New Roman"/>
            <w:noProof/>
            <w:webHidden/>
            <w:sz w:val="24"/>
            <w:szCs w:val="24"/>
          </w:rPr>
          <w:fldChar w:fldCharType="end"/>
        </w:r>
      </w:hyperlink>
    </w:p>
    <w:p w14:paraId="79C1C7D8" w14:textId="7A1C75C7"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1" w:history="1">
        <w:r w:rsidRPr="00937647">
          <w:rPr>
            <w:rStyle w:val="Hyperlink"/>
            <w:rFonts w:cs="Times New Roman"/>
            <w:noProof/>
            <w:sz w:val="24"/>
            <w:szCs w:val="24"/>
          </w:rPr>
          <w:t>2.2.4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Metabolic Benefits of Thermogenic Fat Activation in Obesity and Diabetes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_Toc204848631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17</w:t>
        </w:r>
        <w:r w:rsidRPr="00937647">
          <w:rPr>
            <w:rFonts w:cs="Times New Roman"/>
            <w:noProof/>
            <w:webHidden/>
            <w:sz w:val="24"/>
            <w:szCs w:val="24"/>
          </w:rPr>
          <w:fldChar w:fldCharType="end"/>
        </w:r>
      </w:hyperlink>
    </w:p>
    <w:p w14:paraId="1A1C9571" w14:textId="2F23A97F"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32" w:history="1">
        <w:r w:rsidRPr="00937647">
          <w:rPr>
            <w:rStyle w:val="Hyperlink"/>
            <w:rFonts w:cs="Times New Roman"/>
            <w:b w:val="0"/>
            <w:bCs w:val="0"/>
            <w:noProof/>
            <w:sz w:val="24"/>
            <w:szCs w:val="24"/>
          </w:rPr>
          <w:t>2.3</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Browning of White Adipose Tissue</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_Toc204848632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18</w:t>
        </w:r>
        <w:r w:rsidRPr="00937647">
          <w:rPr>
            <w:rFonts w:cs="Times New Roman"/>
            <w:b w:val="0"/>
            <w:bCs w:val="0"/>
            <w:noProof/>
            <w:webHidden/>
            <w:sz w:val="24"/>
            <w:szCs w:val="24"/>
          </w:rPr>
          <w:fldChar w:fldCharType="end"/>
        </w:r>
      </w:hyperlink>
    </w:p>
    <w:p w14:paraId="559DE026" w14:textId="5421CB46"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3" w:history="1">
        <w:r w:rsidRPr="00937647">
          <w:rPr>
            <w:rStyle w:val="Hyperlink"/>
            <w:rFonts w:cs="Times New Roman"/>
            <w:noProof/>
            <w:sz w:val="24"/>
            <w:szCs w:val="24"/>
          </w:rPr>
          <w:t>2.3.1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Mechanism of Browning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_Toc204848633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18</w:t>
        </w:r>
        <w:r w:rsidRPr="00937647">
          <w:rPr>
            <w:rFonts w:cs="Times New Roman"/>
            <w:noProof/>
            <w:webHidden/>
            <w:sz w:val="24"/>
            <w:szCs w:val="24"/>
          </w:rPr>
          <w:fldChar w:fldCharType="end"/>
        </w:r>
      </w:hyperlink>
    </w:p>
    <w:p w14:paraId="24ACF250" w14:textId="19E9B7A5"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4" w:history="1">
        <w:r w:rsidRPr="00937647">
          <w:rPr>
            <w:rStyle w:val="Hyperlink"/>
            <w:rFonts w:cs="Times New Roman"/>
            <w:noProof/>
            <w:sz w:val="24"/>
            <w:szCs w:val="24"/>
          </w:rPr>
          <w:t>2.3.2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 xml:space="preserve">The </w:t>
        </w:r>
        <w:r w:rsidRPr="00937647">
          <w:rPr>
            <w:rStyle w:val="Hyperlink"/>
            <w:rFonts w:cs="Times New Roman"/>
            <w:noProof/>
            <w:sz w:val="24"/>
            <w:szCs w:val="24"/>
            <w:lang w:eastAsia="zh-CN"/>
          </w:rPr>
          <w:t>R</w:t>
        </w:r>
        <w:r w:rsidRPr="00937647">
          <w:rPr>
            <w:rStyle w:val="Hyperlink"/>
            <w:rFonts w:cs="Times New Roman"/>
            <w:noProof/>
            <w:sz w:val="24"/>
            <w:szCs w:val="24"/>
          </w:rPr>
          <w:t>ole of UCP1 in Browning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_Toc204848634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19</w:t>
        </w:r>
        <w:r w:rsidRPr="00937647">
          <w:rPr>
            <w:rFonts w:cs="Times New Roman"/>
            <w:noProof/>
            <w:webHidden/>
            <w:sz w:val="24"/>
            <w:szCs w:val="24"/>
          </w:rPr>
          <w:fldChar w:fldCharType="end"/>
        </w:r>
      </w:hyperlink>
    </w:p>
    <w:p w14:paraId="19D8BF1B" w14:textId="3C3646BB"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5" w:history="1">
        <w:r w:rsidRPr="00937647">
          <w:rPr>
            <w:rStyle w:val="Hyperlink"/>
            <w:rFonts w:cs="Times New Roman"/>
            <w:noProof/>
            <w:sz w:val="24"/>
            <w:szCs w:val="24"/>
          </w:rPr>
          <w:t>2.3.3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sym w:font="Symbol" w:char="F062"/>
        </w:r>
        <w:r w:rsidRPr="00937647">
          <w:rPr>
            <w:rStyle w:val="Hyperlink"/>
            <w:rFonts w:cs="Times New Roman"/>
            <w:noProof/>
            <w:sz w:val="24"/>
            <w:szCs w:val="24"/>
          </w:rPr>
          <w:t>-Adrenergic Receptor-Mediated Pathway in Browning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20</w:t>
        </w:r>
        <w:r w:rsidRPr="00937647">
          <w:rPr>
            <w:rFonts w:cs="Times New Roman"/>
            <w:noProof/>
            <w:webHidden/>
            <w:sz w:val="24"/>
            <w:szCs w:val="24"/>
          </w:rPr>
          <w:fldChar w:fldCharType="end"/>
        </w:r>
      </w:hyperlink>
    </w:p>
    <w:p w14:paraId="2B2832B2" w14:textId="187D5264"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6" w:history="1">
        <w:r w:rsidRPr="00937647">
          <w:rPr>
            <w:rStyle w:val="Hyperlink"/>
            <w:rFonts w:cs="Times New Roman"/>
            <w:noProof/>
            <w:sz w:val="24"/>
            <w:szCs w:val="24"/>
          </w:rPr>
          <w:t>2.3.4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Thermal Stimulation in Browning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21</w:t>
        </w:r>
        <w:r w:rsidRPr="00937647">
          <w:rPr>
            <w:rFonts w:cs="Times New Roman"/>
            <w:noProof/>
            <w:webHidden/>
            <w:sz w:val="24"/>
            <w:szCs w:val="24"/>
          </w:rPr>
          <w:fldChar w:fldCharType="end"/>
        </w:r>
      </w:hyperlink>
    </w:p>
    <w:p w14:paraId="402D9FDF" w14:textId="6BD723E1"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7" w:history="1">
        <w:r w:rsidRPr="00937647">
          <w:rPr>
            <w:rStyle w:val="Hyperlink"/>
            <w:rFonts w:cs="Times New Roman"/>
            <w:noProof/>
            <w:sz w:val="24"/>
            <w:szCs w:val="24"/>
          </w:rPr>
          <w:t>2.3.5</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Nutrient-Mediated Browning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_Toc204848637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22</w:t>
        </w:r>
        <w:r w:rsidRPr="00937647">
          <w:rPr>
            <w:rFonts w:cs="Times New Roman"/>
            <w:noProof/>
            <w:webHidden/>
            <w:sz w:val="24"/>
            <w:szCs w:val="24"/>
          </w:rPr>
          <w:fldChar w:fldCharType="end"/>
        </w:r>
      </w:hyperlink>
    </w:p>
    <w:p w14:paraId="315AF33F" w14:textId="3CF58304"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38" w:history="1">
        <w:r w:rsidRPr="00937647">
          <w:rPr>
            <w:rStyle w:val="Hyperlink"/>
            <w:rFonts w:cs="Times New Roman"/>
            <w:noProof/>
            <w:sz w:val="24"/>
            <w:szCs w:val="24"/>
          </w:rPr>
          <w:t>2.3.6</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Sex Differences in Browning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_Toc204848638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25</w:t>
        </w:r>
        <w:r w:rsidRPr="00937647">
          <w:rPr>
            <w:rFonts w:cs="Times New Roman"/>
            <w:noProof/>
            <w:webHidden/>
            <w:sz w:val="24"/>
            <w:szCs w:val="24"/>
          </w:rPr>
          <w:fldChar w:fldCharType="end"/>
        </w:r>
      </w:hyperlink>
    </w:p>
    <w:p w14:paraId="09328B6F" w14:textId="2C8F8A0C"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39" w:history="1">
        <w:r w:rsidRPr="00937647">
          <w:rPr>
            <w:rStyle w:val="Hyperlink"/>
            <w:rFonts w:cs="Times New Roman"/>
            <w:b w:val="0"/>
            <w:bCs w:val="0"/>
            <w:noProof/>
            <w:sz w:val="24"/>
            <w:szCs w:val="24"/>
          </w:rPr>
          <w:t>2.4</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Resveratrol as a Browning Agent</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_Toc204848639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27</w:t>
        </w:r>
        <w:r w:rsidRPr="00937647">
          <w:rPr>
            <w:rFonts w:cs="Times New Roman"/>
            <w:b w:val="0"/>
            <w:bCs w:val="0"/>
            <w:noProof/>
            <w:webHidden/>
            <w:sz w:val="24"/>
            <w:szCs w:val="24"/>
          </w:rPr>
          <w:fldChar w:fldCharType="end"/>
        </w:r>
      </w:hyperlink>
    </w:p>
    <w:p w14:paraId="731BE91A" w14:textId="66042D44"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40" w:history="1">
        <w:r w:rsidRPr="00937647">
          <w:rPr>
            <w:rStyle w:val="Hyperlink"/>
            <w:rFonts w:cs="Times New Roman"/>
            <w:noProof/>
            <w:sz w:val="24"/>
            <w:szCs w:val="24"/>
          </w:rPr>
          <w:t>2.4.1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Structure and Sources of Resveratrol</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_Toc204848640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27</w:t>
        </w:r>
        <w:r w:rsidRPr="00937647">
          <w:rPr>
            <w:rFonts w:cs="Times New Roman"/>
            <w:noProof/>
            <w:webHidden/>
            <w:sz w:val="24"/>
            <w:szCs w:val="24"/>
          </w:rPr>
          <w:fldChar w:fldCharType="end"/>
        </w:r>
      </w:hyperlink>
    </w:p>
    <w:p w14:paraId="10CA8B1A" w14:textId="33137DC8"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41" w:history="1">
        <w:r w:rsidRPr="00937647">
          <w:rPr>
            <w:rStyle w:val="Hyperlink"/>
            <w:rFonts w:cs="Times New Roman"/>
            <w:noProof/>
            <w:sz w:val="24"/>
            <w:szCs w:val="24"/>
          </w:rPr>
          <w:t>2.4.2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Biological Effects of Resveratrol</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_Toc204848641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29</w:t>
        </w:r>
        <w:r w:rsidRPr="00937647">
          <w:rPr>
            <w:rFonts w:cs="Times New Roman"/>
            <w:noProof/>
            <w:webHidden/>
            <w:sz w:val="24"/>
            <w:szCs w:val="24"/>
          </w:rPr>
          <w:fldChar w:fldCharType="end"/>
        </w:r>
      </w:hyperlink>
    </w:p>
    <w:p w14:paraId="45471347" w14:textId="5502D248" w:rsidR="00937647" w:rsidRPr="00937647" w:rsidRDefault="00937647" w:rsidP="00937647">
      <w:pPr>
        <w:pStyle w:val="TOC1"/>
        <w:spacing w:before="0"/>
        <w:rPr>
          <w:rFonts w:eastAsiaTheme="minorEastAsia" w:cs="Times New Roman"/>
          <w:b w:val="0"/>
          <w:bCs w:val="0"/>
          <w:i w:val="0"/>
          <w:iCs w:val="0"/>
          <w:noProof/>
          <w:kern w:val="2"/>
          <w:lang w:eastAsia="zh-CN"/>
          <w14:ligatures w14:val="standardContextual"/>
        </w:rPr>
      </w:pPr>
      <w:hyperlink w:anchor="_Toc204848642" w:history="1">
        <w:r w:rsidRPr="00937647">
          <w:rPr>
            <w:rStyle w:val="Hyperlink"/>
            <w:rFonts w:cs="Times New Roman"/>
            <w:b w:val="0"/>
            <w:bCs w:val="0"/>
            <w:i w:val="0"/>
            <w:iCs w:val="0"/>
            <w:noProof/>
          </w:rPr>
          <w:t xml:space="preserve"> CHAPTER III DETERMINE IF DIABETIC DB/DB MICE HAVE THERMOGENIC DEFECTS AND COMPARE SEX DIFFERENCES</w:t>
        </w:r>
        <w:r w:rsidRPr="00937647">
          <w:rPr>
            <w:rFonts w:cs="Times New Roman"/>
            <w:b w:val="0"/>
            <w:bCs w:val="0"/>
            <w:i w:val="0"/>
            <w:iCs w:val="0"/>
            <w:noProof/>
            <w:webHidden/>
          </w:rPr>
          <w:tab/>
        </w:r>
        <w:r w:rsidRPr="00937647">
          <w:rPr>
            <w:rFonts w:cs="Times New Roman"/>
            <w:b w:val="0"/>
            <w:bCs w:val="0"/>
            <w:i w:val="0"/>
            <w:iCs w:val="0"/>
            <w:noProof/>
            <w:webHidden/>
          </w:rPr>
          <w:fldChar w:fldCharType="begin"/>
        </w:r>
        <w:r w:rsidRPr="00937647">
          <w:rPr>
            <w:rFonts w:cs="Times New Roman"/>
            <w:b w:val="0"/>
            <w:bCs w:val="0"/>
            <w:i w:val="0"/>
            <w:iCs w:val="0"/>
            <w:noProof/>
            <w:webHidden/>
          </w:rPr>
          <w:instrText xml:space="preserve"> PAGEREF _Toc204848642 \h </w:instrText>
        </w:r>
        <w:r w:rsidRPr="00937647">
          <w:rPr>
            <w:rFonts w:cs="Times New Roman"/>
            <w:b w:val="0"/>
            <w:bCs w:val="0"/>
            <w:i w:val="0"/>
            <w:iCs w:val="0"/>
            <w:noProof/>
            <w:webHidden/>
          </w:rPr>
        </w:r>
        <w:r w:rsidRPr="00937647">
          <w:rPr>
            <w:rFonts w:cs="Times New Roman"/>
            <w:b w:val="0"/>
            <w:bCs w:val="0"/>
            <w:i w:val="0"/>
            <w:iCs w:val="0"/>
            <w:noProof/>
            <w:webHidden/>
          </w:rPr>
          <w:fldChar w:fldCharType="separate"/>
        </w:r>
        <w:r w:rsidRPr="00937647">
          <w:rPr>
            <w:rFonts w:cs="Times New Roman"/>
            <w:b w:val="0"/>
            <w:bCs w:val="0"/>
            <w:i w:val="0"/>
            <w:iCs w:val="0"/>
            <w:noProof/>
            <w:webHidden/>
          </w:rPr>
          <w:t>38</w:t>
        </w:r>
        <w:r w:rsidRPr="00937647">
          <w:rPr>
            <w:rFonts w:cs="Times New Roman"/>
            <w:b w:val="0"/>
            <w:bCs w:val="0"/>
            <w:i w:val="0"/>
            <w:iCs w:val="0"/>
            <w:noProof/>
            <w:webHidden/>
          </w:rPr>
          <w:fldChar w:fldCharType="end"/>
        </w:r>
      </w:hyperlink>
    </w:p>
    <w:p w14:paraId="52BB526C" w14:textId="157FE291"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43" w:history="1">
        <w:r w:rsidRPr="00937647">
          <w:rPr>
            <w:rStyle w:val="Hyperlink"/>
            <w:rFonts w:cs="Times New Roman"/>
            <w:b w:val="0"/>
            <w:bCs w:val="0"/>
            <w:noProof/>
            <w:sz w:val="24"/>
            <w:szCs w:val="24"/>
          </w:rPr>
          <w:t>3.1</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Abstract</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_Toc204848643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39</w:t>
        </w:r>
        <w:r w:rsidRPr="00937647">
          <w:rPr>
            <w:rFonts w:cs="Times New Roman"/>
            <w:b w:val="0"/>
            <w:bCs w:val="0"/>
            <w:noProof/>
            <w:webHidden/>
            <w:sz w:val="24"/>
            <w:szCs w:val="24"/>
          </w:rPr>
          <w:fldChar w:fldCharType="end"/>
        </w:r>
      </w:hyperlink>
    </w:p>
    <w:p w14:paraId="7755EBF2" w14:textId="6776CEB2"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44" w:history="1">
        <w:r w:rsidRPr="00937647">
          <w:rPr>
            <w:rStyle w:val="Hyperlink"/>
            <w:rFonts w:cs="Times New Roman"/>
            <w:b w:val="0"/>
            <w:bCs w:val="0"/>
            <w:noProof/>
            <w:sz w:val="24"/>
            <w:szCs w:val="24"/>
          </w:rPr>
          <w:t>3.2</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Introduction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_Toc204848644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40</w:t>
        </w:r>
        <w:r w:rsidRPr="00937647">
          <w:rPr>
            <w:rFonts w:cs="Times New Roman"/>
            <w:b w:val="0"/>
            <w:bCs w:val="0"/>
            <w:noProof/>
            <w:webHidden/>
            <w:sz w:val="24"/>
            <w:szCs w:val="24"/>
          </w:rPr>
          <w:fldChar w:fldCharType="end"/>
        </w:r>
      </w:hyperlink>
    </w:p>
    <w:p w14:paraId="3649A6A4" w14:textId="694EAE39"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45" w:history="1">
        <w:r w:rsidRPr="00937647">
          <w:rPr>
            <w:rStyle w:val="Hyperlink"/>
            <w:rFonts w:cs="Times New Roman"/>
            <w:b w:val="0"/>
            <w:bCs w:val="0"/>
            <w:noProof/>
            <w:sz w:val="24"/>
            <w:szCs w:val="24"/>
          </w:rPr>
          <w:t>3.3</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Materials and Methods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_Toc204848645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41</w:t>
        </w:r>
        <w:r w:rsidRPr="00937647">
          <w:rPr>
            <w:rFonts w:cs="Times New Roman"/>
            <w:b w:val="0"/>
            <w:bCs w:val="0"/>
            <w:noProof/>
            <w:webHidden/>
            <w:sz w:val="24"/>
            <w:szCs w:val="24"/>
          </w:rPr>
          <w:fldChar w:fldCharType="end"/>
        </w:r>
      </w:hyperlink>
    </w:p>
    <w:p w14:paraId="428AA1A4" w14:textId="2D1865FE"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46" w:history="1">
        <w:r w:rsidRPr="00937647">
          <w:rPr>
            <w:rStyle w:val="Hyperlink"/>
            <w:rFonts w:cs="Times New Roman"/>
            <w:noProof/>
            <w:sz w:val="24"/>
            <w:szCs w:val="24"/>
          </w:rPr>
          <w:t>3.3.1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Animal Models and Housing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_Toc204848646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41</w:t>
        </w:r>
        <w:r w:rsidRPr="00937647">
          <w:rPr>
            <w:rFonts w:cs="Times New Roman"/>
            <w:noProof/>
            <w:webHidden/>
            <w:sz w:val="24"/>
            <w:szCs w:val="24"/>
          </w:rPr>
          <w:fldChar w:fldCharType="end"/>
        </w:r>
      </w:hyperlink>
    </w:p>
    <w:p w14:paraId="5B67F608" w14:textId="49ECCC86"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47" w:history="1">
        <w:r w:rsidRPr="00937647">
          <w:rPr>
            <w:rStyle w:val="Hyperlink"/>
            <w:rFonts w:cs="Times New Roman"/>
            <w:noProof/>
            <w:sz w:val="24"/>
            <w:szCs w:val="24"/>
          </w:rPr>
          <w:t>3.3.2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Indirect Calorimetry</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_Toc204848647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41</w:t>
        </w:r>
        <w:r w:rsidRPr="00937647">
          <w:rPr>
            <w:rFonts w:cs="Times New Roman"/>
            <w:noProof/>
            <w:webHidden/>
            <w:sz w:val="24"/>
            <w:szCs w:val="24"/>
          </w:rPr>
          <w:fldChar w:fldCharType="end"/>
        </w:r>
      </w:hyperlink>
    </w:p>
    <w:p w14:paraId="3E56687F" w14:textId="67267BB2"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48" w:history="1">
        <w:r w:rsidRPr="00937647">
          <w:rPr>
            <w:rStyle w:val="Hyperlink"/>
            <w:rFonts w:cs="Times New Roman"/>
            <w:noProof/>
            <w:sz w:val="24"/>
            <w:szCs w:val="24"/>
          </w:rPr>
          <w:t>3.3.3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Cold Tolerance Test</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_Toc204848648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42</w:t>
        </w:r>
        <w:r w:rsidRPr="00937647">
          <w:rPr>
            <w:rFonts w:cs="Times New Roman"/>
            <w:noProof/>
            <w:webHidden/>
            <w:sz w:val="24"/>
            <w:szCs w:val="24"/>
          </w:rPr>
          <w:fldChar w:fldCharType="end"/>
        </w:r>
      </w:hyperlink>
    </w:p>
    <w:p w14:paraId="13F3B6F1" w14:textId="21CC7028"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49" w:history="1">
        <w:r w:rsidRPr="00937647">
          <w:rPr>
            <w:rStyle w:val="Hyperlink"/>
            <w:rFonts w:cs="Times New Roman"/>
            <w:noProof/>
            <w:sz w:val="24"/>
            <w:szCs w:val="24"/>
          </w:rPr>
          <w:t>3.3.4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Body Weight and Tissue Collection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_Toc204848649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42</w:t>
        </w:r>
        <w:r w:rsidRPr="00937647">
          <w:rPr>
            <w:rFonts w:cs="Times New Roman"/>
            <w:noProof/>
            <w:webHidden/>
            <w:sz w:val="24"/>
            <w:szCs w:val="24"/>
          </w:rPr>
          <w:fldChar w:fldCharType="end"/>
        </w:r>
      </w:hyperlink>
    </w:p>
    <w:p w14:paraId="07BDF71F" w14:textId="66558155"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50" w:history="1">
        <w:r w:rsidRPr="00937647">
          <w:rPr>
            <w:rStyle w:val="Hyperlink"/>
            <w:rFonts w:cs="Times New Roman"/>
            <w:noProof/>
            <w:sz w:val="24"/>
            <w:szCs w:val="24"/>
          </w:rPr>
          <w:t>3.3.5</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Western Analysis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_Toc204848650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42</w:t>
        </w:r>
        <w:r w:rsidRPr="00937647">
          <w:rPr>
            <w:rFonts w:cs="Times New Roman"/>
            <w:noProof/>
            <w:webHidden/>
            <w:sz w:val="24"/>
            <w:szCs w:val="24"/>
          </w:rPr>
          <w:fldChar w:fldCharType="end"/>
        </w:r>
      </w:hyperlink>
    </w:p>
    <w:p w14:paraId="1DBE2340" w14:textId="15E96DC1"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51" w:history="1">
        <w:r w:rsidRPr="00937647">
          <w:rPr>
            <w:rStyle w:val="Hyperlink"/>
            <w:rFonts w:cs="Times New Roman"/>
            <w:noProof/>
            <w:sz w:val="24"/>
            <w:szCs w:val="24"/>
          </w:rPr>
          <w:t>3.3.6</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Statistical Analysis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_Toc204848651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43</w:t>
        </w:r>
        <w:r w:rsidRPr="00937647">
          <w:rPr>
            <w:rFonts w:cs="Times New Roman"/>
            <w:noProof/>
            <w:webHidden/>
            <w:sz w:val="24"/>
            <w:szCs w:val="24"/>
          </w:rPr>
          <w:fldChar w:fldCharType="end"/>
        </w:r>
      </w:hyperlink>
    </w:p>
    <w:p w14:paraId="225B1090" w14:textId="490755C2"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52" w:history="1">
        <w:r w:rsidRPr="00937647">
          <w:rPr>
            <w:rStyle w:val="Hyperlink"/>
            <w:rFonts w:cs="Times New Roman"/>
            <w:b w:val="0"/>
            <w:bCs w:val="0"/>
            <w:noProof/>
            <w:sz w:val="24"/>
            <w:szCs w:val="24"/>
          </w:rPr>
          <w:t>3.4</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Results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_Toc204848652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43</w:t>
        </w:r>
        <w:r w:rsidRPr="00937647">
          <w:rPr>
            <w:rFonts w:cs="Times New Roman"/>
            <w:b w:val="0"/>
            <w:bCs w:val="0"/>
            <w:noProof/>
            <w:webHidden/>
            <w:sz w:val="24"/>
            <w:szCs w:val="24"/>
          </w:rPr>
          <w:fldChar w:fldCharType="end"/>
        </w:r>
      </w:hyperlink>
    </w:p>
    <w:p w14:paraId="1A9734A3" w14:textId="05AE75FF"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53" w:history="1">
        <w:r w:rsidRPr="00937647">
          <w:rPr>
            <w:rStyle w:val="Hyperlink"/>
            <w:rFonts w:cs="Times New Roman"/>
            <w:noProof/>
            <w:sz w:val="24"/>
            <w:szCs w:val="24"/>
          </w:rPr>
          <w:t>3.4.1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Body Weight and Adipose Tissue Mass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_Toc204848653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43</w:t>
        </w:r>
        <w:r w:rsidRPr="00937647">
          <w:rPr>
            <w:rFonts w:cs="Times New Roman"/>
            <w:noProof/>
            <w:webHidden/>
            <w:sz w:val="24"/>
            <w:szCs w:val="24"/>
          </w:rPr>
          <w:fldChar w:fldCharType="end"/>
        </w:r>
      </w:hyperlink>
    </w:p>
    <w:p w14:paraId="35CB2044" w14:textId="080EB02F"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54" w:history="1">
        <w:r w:rsidRPr="00937647">
          <w:rPr>
            <w:rStyle w:val="Hyperlink"/>
            <w:rFonts w:cs="Times New Roman"/>
            <w:noProof/>
            <w:sz w:val="24"/>
            <w:szCs w:val="24"/>
          </w:rPr>
          <w:t>3.4.2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Core Body Temperature and Cold Tolerance</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_Toc204848654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44</w:t>
        </w:r>
        <w:r w:rsidRPr="00937647">
          <w:rPr>
            <w:rFonts w:cs="Times New Roman"/>
            <w:noProof/>
            <w:webHidden/>
            <w:sz w:val="24"/>
            <w:szCs w:val="24"/>
          </w:rPr>
          <w:fldChar w:fldCharType="end"/>
        </w:r>
      </w:hyperlink>
    </w:p>
    <w:p w14:paraId="4CA19C61" w14:textId="5955F033"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55" w:history="1">
        <w:r w:rsidRPr="00937647">
          <w:rPr>
            <w:rStyle w:val="Hyperlink"/>
            <w:rFonts w:cs="Times New Roman"/>
            <w:noProof/>
            <w:sz w:val="24"/>
            <w:szCs w:val="24"/>
          </w:rPr>
          <w:t>3.4.3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Heat Production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_Toc204848655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45</w:t>
        </w:r>
        <w:r w:rsidRPr="00937647">
          <w:rPr>
            <w:rFonts w:cs="Times New Roman"/>
            <w:noProof/>
            <w:webHidden/>
            <w:sz w:val="24"/>
            <w:szCs w:val="24"/>
          </w:rPr>
          <w:fldChar w:fldCharType="end"/>
        </w:r>
      </w:hyperlink>
    </w:p>
    <w:p w14:paraId="6EF9209C" w14:textId="78EC61AC"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56" w:history="1">
        <w:r w:rsidRPr="00937647">
          <w:rPr>
            <w:rStyle w:val="Hyperlink"/>
            <w:rFonts w:cs="Times New Roman"/>
            <w:noProof/>
            <w:sz w:val="24"/>
            <w:szCs w:val="24"/>
          </w:rPr>
          <w:t>3.4.4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Thermogenic Marker Expression in BAT and sWAT</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_Toc204848656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46</w:t>
        </w:r>
        <w:r w:rsidRPr="00937647">
          <w:rPr>
            <w:rFonts w:cs="Times New Roman"/>
            <w:noProof/>
            <w:webHidden/>
            <w:sz w:val="24"/>
            <w:szCs w:val="24"/>
          </w:rPr>
          <w:fldChar w:fldCharType="end"/>
        </w:r>
      </w:hyperlink>
    </w:p>
    <w:p w14:paraId="6664E5AC" w14:textId="60D9B004"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57" w:history="1">
        <w:r w:rsidRPr="00937647">
          <w:rPr>
            <w:rStyle w:val="Hyperlink"/>
            <w:rFonts w:cs="Times New Roman"/>
            <w:b w:val="0"/>
            <w:bCs w:val="0"/>
            <w:noProof/>
            <w:sz w:val="24"/>
            <w:szCs w:val="24"/>
          </w:rPr>
          <w:t>3.5</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Discussion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_Toc204848657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46</w:t>
        </w:r>
        <w:r w:rsidRPr="00937647">
          <w:rPr>
            <w:rFonts w:cs="Times New Roman"/>
            <w:b w:val="0"/>
            <w:bCs w:val="0"/>
            <w:noProof/>
            <w:webHidden/>
            <w:sz w:val="24"/>
            <w:szCs w:val="24"/>
          </w:rPr>
          <w:fldChar w:fldCharType="end"/>
        </w:r>
      </w:hyperlink>
    </w:p>
    <w:p w14:paraId="47CBF1FE" w14:textId="6F784A7A"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58" w:history="1">
        <w:r w:rsidRPr="00937647">
          <w:rPr>
            <w:rStyle w:val="Hyperlink"/>
            <w:rFonts w:cs="Times New Roman"/>
            <w:b w:val="0"/>
            <w:bCs w:val="0"/>
            <w:noProof/>
            <w:sz w:val="24"/>
            <w:szCs w:val="24"/>
          </w:rPr>
          <w:t>3.6</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Conclusion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_Toc204848658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50</w:t>
        </w:r>
        <w:r w:rsidRPr="00937647">
          <w:rPr>
            <w:rFonts w:cs="Times New Roman"/>
            <w:b w:val="0"/>
            <w:bCs w:val="0"/>
            <w:noProof/>
            <w:webHidden/>
            <w:sz w:val="24"/>
            <w:szCs w:val="24"/>
          </w:rPr>
          <w:fldChar w:fldCharType="end"/>
        </w:r>
      </w:hyperlink>
    </w:p>
    <w:p w14:paraId="760F766F" w14:textId="73DAB3DF" w:rsidR="00937647" w:rsidRPr="00937647" w:rsidRDefault="00937647" w:rsidP="00937647">
      <w:pPr>
        <w:pStyle w:val="TOC2"/>
        <w:tabs>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59" w:history="1">
        <w:r w:rsidRPr="00937647">
          <w:rPr>
            <w:rStyle w:val="Hyperlink"/>
            <w:rFonts w:cs="Times New Roman"/>
            <w:b w:val="0"/>
            <w:bCs w:val="0"/>
            <w:noProof/>
            <w:sz w:val="24"/>
            <w:szCs w:val="24"/>
          </w:rPr>
          <w:t>Appendix</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_Toc204848659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51</w:t>
        </w:r>
        <w:r w:rsidRPr="00937647">
          <w:rPr>
            <w:rFonts w:cs="Times New Roman"/>
            <w:b w:val="0"/>
            <w:bCs w:val="0"/>
            <w:noProof/>
            <w:webHidden/>
            <w:sz w:val="24"/>
            <w:szCs w:val="24"/>
          </w:rPr>
          <w:fldChar w:fldCharType="end"/>
        </w:r>
      </w:hyperlink>
    </w:p>
    <w:p w14:paraId="4A3F865F" w14:textId="66764393" w:rsidR="00937647" w:rsidRPr="00937647" w:rsidRDefault="00937647" w:rsidP="00937647">
      <w:pPr>
        <w:pStyle w:val="TOC1"/>
        <w:spacing w:before="0"/>
        <w:rPr>
          <w:rFonts w:eastAsiaTheme="minorEastAsia" w:cs="Times New Roman"/>
          <w:b w:val="0"/>
          <w:bCs w:val="0"/>
          <w:i w:val="0"/>
          <w:iCs w:val="0"/>
          <w:noProof/>
          <w:kern w:val="2"/>
          <w:lang w:eastAsia="zh-CN"/>
          <w14:ligatures w14:val="standardContextual"/>
        </w:rPr>
      </w:pPr>
      <w:hyperlink w:anchor="_Toc204848660" w:history="1">
        <w:r w:rsidRPr="00937647">
          <w:rPr>
            <w:rStyle w:val="Hyperlink"/>
            <w:rFonts w:cs="Times New Roman"/>
            <w:b w:val="0"/>
            <w:bCs w:val="0"/>
            <w:i w:val="0"/>
            <w:iCs w:val="0"/>
            <w:noProof/>
          </w:rPr>
          <w:t xml:space="preserve"> CHAPTER IV INVESTIGATE RESVERATROL’S EFFECTS ON BROWNING AND INSULIN SENSITIVITY IN THE ADSCS FROM DIABETIC MICE</w:t>
        </w:r>
        <w:r w:rsidRPr="00937647">
          <w:rPr>
            <w:rFonts w:cs="Times New Roman"/>
            <w:b w:val="0"/>
            <w:bCs w:val="0"/>
            <w:i w:val="0"/>
            <w:iCs w:val="0"/>
            <w:noProof/>
            <w:webHidden/>
          </w:rPr>
          <w:tab/>
        </w:r>
        <w:r w:rsidRPr="00937647">
          <w:rPr>
            <w:rFonts w:cs="Times New Roman"/>
            <w:b w:val="0"/>
            <w:bCs w:val="0"/>
            <w:i w:val="0"/>
            <w:iCs w:val="0"/>
            <w:noProof/>
            <w:webHidden/>
          </w:rPr>
          <w:fldChar w:fldCharType="begin"/>
        </w:r>
        <w:r w:rsidRPr="00937647">
          <w:rPr>
            <w:rFonts w:cs="Times New Roman"/>
            <w:b w:val="0"/>
            <w:bCs w:val="0"/>
            <w:i w:val="0"/>
            <w:iCs w:val="0"/>
            <w:noProof/>
            <w:webHidden/>
          </w:rPr>
          <w:instrText xml:space="preserve"> PAGEREF _Toc204848660 \h </w:instrText>
        </w:r>
        <w:r w:rsidRPr="00937647">
          <w:rPr>
            <w:rFonts w:cs="Times New Roman"/>
            <w:b w:val="0"/>
            <w:bCs w:val="0"/>
            <w:i w:val="0"/>
            <w:iCs w:val="0"/>
            <w:noProof/>
            <w:webHidden/>
          </w:rPr>
        </w:r>
        <w:r w:rsidRPr="00937647">
          <w:rPr>
            <w:rFonts w:cs="Times New Roman"/>
            <w:b w:val="0"/>
            <w:bCs w:val="0"/>
            <w:i w:val="0"/>
            <w:iCs w:val="0"/>
            <w:noProof/>
            <w:webHidden/>
          </w:rPr>
          <w:fldChar w:fldCharType="separate"/>
        </w:r>
        <w:r w:rsidRPr="00937647">
          <w:rPr>
            <w:rFonts w:cs="Times New Roman"/>
            <w:b w:val="0"/>
            <w:bCs w:val="0"/>
            <w:i w:val="0"/>
            <w:iCs w:val="0"/>
            <w:noProof/>
            <w:webHidden/>
          </w:rPr>
          <w:t>57</w:t>
        </w:r>
        <w:r w:rsidRPr="00937647">
          <w:rPr>
            <w:rFonts w:cs="Times New Roman"/>
            <w:b w:val="0"/>
            <w:bCs w:val="0"/>
            <w:i w:val="0"/>
            <w:iCs w:val="0"/>
            <w:noProof/>
            <w:webHidden/>
          </w:rPr>
          <w:fldChar w:fldCharType="end"/>
        </w:r>
      </w:hyperlink>
    </w:p>
    <w:p w14:paraId="0212C2B5" w14:textId="2730871A"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61" w:history="1">
        <w:r w:rsidRPr="00937647">
          <w:rPr>
            <w:rStyle w:val="Hyperlink"/>
            <w:rFonts w:cs="Times New Roman"/>
            <w:b w:val="0"/>
            <w:bCs w:val="0"/>
            <w:noProof/>
            <w:sz w:val="24"/>
            <w:szCs w:val="24"/>
          </w:rPr>
          <w:t>4.1</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Abstract</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_Toc204848661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58</w:t>
        </w:r>
        <w:r w:rsidRPr="00937647">
          <w:rPr>
            <w:rFonts w:cs="Times New Roman"/>
            <w:b w:val="0"/>
            <w:bCs w:val="0"/>
            <w:noProof/>
            <w:webHidden/>
            <w:sz w:val="24"/>
            <w:szCs w:val="24"/>
          </w:rPr>
          <w:fldChar w:fldCharType="end"/>
        </w:r>
      </w:hyperlink>
    </w:p>
    <w:p w14:paraId="24C44537" w14:textId="7AFD41C8"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62" w:history="1">
        <w:r w:rsidRPr="00937647">
          <w:rPr>
            <w:rStyle w:val="Hyperlink"/>
            <w:rFonts w:cs="Times New Roman"/>
            <w:b w:val="0"/>
            <w:bCs w:val="0"/>
            <w:noProof/>
            <w:sz w:val="24"/>
            <w:szCs w:val="24"/>
          </w:rPr>
          <w:t>4.2</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Introduction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_Toc204848662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59</w:t>
        </w:r>
        <w:r w:rsidRPr="00937647">
          <w:rPr>
            <w:rFonts w:cs="Times New Roman"/>
            <w:b w:val="0"/>
            <w:bCs w:val="0"/>
            <w:noProof/>
            <w:webHidden/>
            <w:sz w:val="24"/>
            <w:szCs w:val="24"/>
          </w:rPr>
          <w:fldChar w:fldCharType="end"/>
        </w:r>
      </w:hyperlink>
    </w:p>
    <w:p w14:paraId="18A00FF3" w14:textId="5462747C"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63" w:history="1">
        <w:r w:rsidRPr="00937647">
          <w:rPr>
            <w:rStyle w:val="Hyperlink"/>
            <w:rFonts w:cs="Times New Roman"/>
            <w:b w:val="0"/>
            <w:bCs w:val="0"/>
            <w:noProof/>
            <w:sz w:val="24"/>
            <w:szCs w:val="24"/>
          </w:rPr>
          <w:t>4.3</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Materials and Methods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_Toc204848663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60</w:t>
        </w:r>
        <w:r w:rsidRPr="00937647">
          <w:rPr>
            <w:rFonts w:cs="Times New Roman"/>
            <w:b w:val="0"/>
            <w:bCs w:val="0"/>
            <w:noProof/>
            <w:webHidden/>
            <w:sz w:val="24"/>
            <w:szCs w:val="24"/>
          </w:rPr>
          <w:fldChar w:fldCharType="end"/>
        </w:r>
      </w:hyperlink>
    </w:p>
    <w:p w14:paraId="4F9093E6" w14:textId="5ABB8D12"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64" w:history="1">
        <w:r w:rsidRPr="00937647">
          <w:rPr>
            <w:rStyle w:val="Hyperlink"/>
            <w:rFonts w:cs="Times New Roman"/>
            <w:noProof/>
            <w:sz w:val="24"/>
            <w:szCs w:val="24"/>
          </w:rPr>
          <w:t>4.3.1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Animal Models and Housing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_Toc204848664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60</w:t>
        </w:r>
        <w:r w:rsidRPr="00937647">
          <w:rPr>
            <w:rFonts w:cs="Times New Roman"/>
            <w:noProof/>
            <w:webHidden/>
            <w:sz w:val="24"/>
            <w:szCs w:val="24"/>
          </w:rPr>
          <w:fldChar w:fldCharType="end"/>
        </w:r>
      </w:hyperlink>
    </w:p>
    <w:p w14:paraId="7886C85A" w14:textId="5F4A36D4"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65" w:history="1">
        <w:r w:rsidRPr="00937647">
          <w:rPr>
            <w:rStyle w:val="Hyperlink"/>
            <w:rFonts w:cs="Times New Roman"/>
            <w:noProof/>
            <w:sz w:val="24"/>
            <w:szCs w:val="24"/>
          </w:rPr>
          <w:t>4.3.2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Isolation and Differentiation of Adipose-Derived Stromal Cells (ADSCs)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_Toc204848665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61</w:t>
        </w:r>
        <w:r w:rsidRPr="00937647">
          <w:rPr>
            <w:rFonts w:cs="Times New Roman"/>
            <w:noProof/>
            <w:webHidden/>
            <w:sz w:val="24"/>
            <w:szCs w:val="24"/>
          </w:rPr>
          <w:fldChar w:fldCharType="end"/>
        </w:r>
      </w:hyperlink>
    </w:p>
    <w:p w14:paraId="65C110D1" w14:textId="637B11C3"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66" w:history="1">
        <w:r w:rsidRPr="00937647">
          <w:rPr>
            <w:rStyle w:val="Hyperlink"/>
            <w:rFonts w:cs="Times New Roman"/>
            <w:noProof/>
            <w:sz w:val="24"/>
            <w:szCs w:val="24"/>
          </w:rPr>
          <w:t>4.3.3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Semi-Quantitative Real-time PCR (qRT-PCR)</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_Toc204848666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62</w:t>
        </w:r>
        <w:r w:rsidRPr="00937647">
          <w:rPr>
            <w:rFonts w:cs="Times New Roman"/>
            <w:noProof/>
            <w:webHidden/>
            <w:sz w:val="24"/>
            <w:szCs w:val="24"/>
          </w:rPr>
          <w:fldChar w:fldCharType="end"/>
        </w:r>
      </w:hyperlink>
    </w:p>
    <w:p w14:paraId="3AAEFFF6" w14:textId="0D20F339"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67" w:history="1">
        <w:r w:rsidRPr="00937647">
          <w:rPr>
            <w:rStyle w:val="Hyperlink"/>
            <w:rFonts w:cs="Times New Roman"/>
            <w:noProof/>
            <w:sz w:val="24"/>
            <w:szCs w:val="24"/>
          </w:rPr>
          <w:t>4.3.4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Mitochondrial Stress Test</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_Toc204848667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62</w:t>
        </w:r>
        <w:r w:rsidRPr="00937647">
          <w:rPr>
            <w:rFonts w:cs="Times New Roman"/>
            <w:noProof/>
            <w:webHidden/>
            <w:sz w:val="24"/>
            <w:szCs w:val="24"/>
          </w:rPr>
          <w:fldChar w:fldCharType="end"/>
        </w:r>
      </w:hyperlink>
    </w:p>
    <w:p w14:paraId="669E58A1" w14:textId="5F310AD1"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68" w:history="1">
        <w:r w:rsidRPr="00937647">
          <w:rPr>
            <w:rStyle w:val="Hyperlink"/>
            <w:rFonts w:cs="Times New Roman"/>
            <w:noProof/>
            <w:sz w:val="24"/>
            <w:szCs w:val="24"/>
          </w:rPr>
          <w:t>4.3.5</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Western Blot Analysis of Insulin Signaling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_Toc204848668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63</w:t>
        </w:r>
        <w:r w:rsidRPr="00937647">
          <w:rPr>
            <w:rFonts w:cs="Times New Roman"/>
            <w:noProof/>
            <w:webHidden/>
            <w:sz w:val="24"/>
            <w:szCs w:val="24"/>
          </w:rPr>
          <w:fldChar w:fldCharType="end"/>
        </w:r>
      </w:hyperlink>
    </w:p>
    <w:p w14:paraId="63BB17A4" w14:textId="78F2601D"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69" w:history="1">
        <w:r w:rsidRPr="00937647">
          <w:rPr>
            <w:rStyle w:val="Hyperlink"/>
            <w:rFonts w:cs="Times New Roman"/>
            <w:noProof/>
            <w:sz w:val="24"/>
            <w:szCs w:val="24"/>
          </w:rPr>
          <w:t>4.3.6</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Statistical Analysis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_Toc204848669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64</w:t>
        </w:r>
        <w:r w:rsidRPr="00937647">
          <w:rPr>
            <w:rFonts w:cs="Times New Roman"/>
            <w:noProof/>
            <w:webHidden/>
            <w:sz w:val="24"/>
            <w:szCs w:val="24"/>
          </w:rPr>
          <w:fldChar w:fldCharType="end"/>
        </w:r>
      </w:hyperlink>
    </w:p>
    <w:p w14:paraId="1B86D1C9" w14:textId="34CF6F92"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70" w:history="1">
        <w:r w:rsidRPr="00937647">
          <w:rPr>
            <w:rStyle w:val="Hyperlink"/>
            <w:rFonts w:cs="Times New Roman"/>
            <w:b w:val="0"/>
            <w:bCs w:val="0"/>
            <w:noProof/>
            <w:sz w:val="24"/>
            <w:szCs w:val="24"/>
          </w:rPr>
          <w:t>4.4</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Results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_Toc204848670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64</w:t>
        </w:r>
        <w:r w:rsidRPr="00937647">
          <w:rPr>
            <w:rFonts w:cs="Times New Roman"/>
            <w:b w:val="0"/>
            <w:bCs w:val="0"/>
            <w:noProof/>
            <w:webHidden/>
            <w:sz w:val="24"/>
            <w:szCs w:val="24"/>
          </w:rPr>
          <w:fldChar w:fldCharType="end"/>
        </w:r>
      </w:hyperlink>
    </w:p>
    <w:p w14:paraId="1E2AD261" w14:textId="2D0CE5AF"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71" w:history="1">
        <w:r w:rsidRPr="00937647">
          <w:rPr>
            <w:rStyle w:val="Hyperlink"/>
            <w:rFonts w:cs="Times New Roman"/>
            <w:noProof/>
            <w:sz w:val="24"/>
            <w:szCs w:val="24"/>
          </w:rPr>
          <w:t>4.4.1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RES Induces Browning by Increasing Pgc1α and Ucp1 mRNA Expression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_Toc204848671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64</w:t>
        </w:r>
        <w:r w:rsidRPr="00937647">
          <w:rPr>
            <w:rFonts w:cs="Times New Roman"/>
            <w:noProof/>
            <w:webHidden/>
            <w:sz w:val="24"/>
            <w:szCs w:val="24"/>
          </w:rPr>
          <w:fldChar w:fldCharType="end"/>
        </w:r>
      </w:hyperlink>
    </w:p>
    <w:p w14:paraId="6BD59C37" w14:textId="0ED0A7D7"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72" w:history="1">
        <w:r w:rsidRPr="00937647">
          <w:rPr>
            <w:rStyle w:val="Hyperlink"/>
            <w:rFonts w:cs="Times New Roman"/>
            <w:noProof/>
            <w:sz w:val="24"/>
            <w:szCs w:val="24"/>
          </w:rPr>
          <w:t>4.4.2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Sex and Genotype Differences in the Pgc1α and Ucp1 mRNA Expression in Response to ISO and RES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_Toc204848672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65</w:t>
        </w:r>
        <w:r w:rsidRPr="00937647">
          <w:rPr>
            <w:rFonts w:cs="Times New Roman"/>
            <w:noProof/>
            <w:webHidden/>
            <w:sz w:val="24"/>
            <w:szCs w:val="24"/>
          </w:rPr>
          <w:fldChar w:fldCharType="end"/>
        </w:r>
      </w:hyperlink>
    </w:p>
    <w:p w14:paraId="7CD6E708" w14:textId="2FBD54A4"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73" w:history="1">
        <w:r w:rsidRPr="00937647">
          <w:rPr>
            <w:rStyle w:val="Hyperlink"/>
            <w:rFonts w:cs="Times New Roman"/>
            <w:noProof/>
            <w:sz w:val="24"/>
            <w:szCs w:val="24"/>
          </w:rPr>
          <w:t>4.4.3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RES Increased Mitochondrial Uncoupling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_Toc204848673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66</w:t>
        </w:r>
        <w:r w:rsidRPr="00937647">
          <w:rPr>
            <w:rFonts w:cs="Times New Roman"/>
            <w:noProof/>
            <w:webHidden/>
            <w:sz w:val="24"/>
            <w:szCs w:val="24"/>
          </w:rPr>
          <w:fldChar w:fldCharType="end"/>
        </w:r>
      </w:hyperlink>
    </w:p>
    <w:p w14:paraId="5B6A2440" w14:textId="7923477F"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74" w:history="1">
        <w:r w:rsidRPr="00937647">
          <w:rPr>
            <w:rStyle w:val="Hyperlink"/>
            <w:rFonts w:cs="Times New Roman"/>
            <w:noProof/>
            <w:sz w:val="24"/>
            <w:szCs w:val="24"/>
          </w:rPr>
          <w:t>4.4.4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Sex and Genotype Differences in the Mitochondrial Uncoupling in Response to RES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_Toc204848674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68</w:t>
        </w:r>
        <w:r w:rsidRPr="00937647">
          <w:rPr>
            <w:rFonts w:cs="Times New Roman"/>
            <w:noProof/>
            <w:webHidden/>
            <w:sz w:val="24"/>
            <w:szCs w:val="24"/>
          </w:rPr>
          <w:fldChar w:fldCharType="end"/>
        </w:r>
      </w:hyperlink>
    </w:p>
    <w:p w14:paraId="11FD9F51" w14:textId="65442505"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75" w:history="1">
        <w:r w:rsidRPr="00937647">
          <w:rPr>
            <w:rStyle w:val="Hyperlink"/>
            <w:rFonts w:cs="Times New Roman"/>
            <w:noProof/>
            <w:sz w:val="24"/>
            <w:szCs w:val="24"/>
          </w:rPr>
          <w:t>4.4.5</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RES Improved Insulin Signaling by Enhancing Insulin-stimulated AKT Phosphorylation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_Toc204848675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68</w:t>
        </w:r>
        <w:r w:rsidRPr="00937647">
          <w:rPr>
            <w:rFonts w:cs="Times New Roman"/>
            <w:noProof/>
            <w:webHidden/>
            <w:sz w:val="24"/>
            <w:szCs w:val="24"/>
          </w:rPr>
          <w:fldChar w:fldCharType="end"/>
        </w:r>
      </w:hyperlink>
    </w:p>
    <w:p w14:paraId="49D5A7C3" w14:textId="12D7A39B"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76" w:history="1">
        <w:r w:rsidRPr="00937647">
          <w:rPr>
            <w:rStyle w:val="Hyperlink"/>
            <w:rFonts w:cs="Times New Roman"/>
            <w:noProof/>
            <w:sz w:val="24"/>
            <w:szCs w:val="24"/>
          </w:rPr>
          <w:t>4.4.6</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Sex and Genotype Differences in Insulin Sensitivity Markers in Response to Insulin and RES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_Toc204848676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69</w:t>
        </w:r>
        <w:r w:rsidRPr="00937647">
          <w:rPr>
            <w:rFonts w:cs="Times New Roman"/>
            <w:noProof/>
            <w:webHidden/>
            <w:sz w:val="24"/>
            <w:szCs w:val="24"/>
          </w:rPr>
          <w:fldChar w:fldCharType="end"/>
        </w:r>
      </w:hyperlink>
    </w:p>
    <w:p w14:paraId="2491CCAB" w14:textId="2BD29749"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77" w:history="1">
        <w:r w:rsidRPr="00937647">
          <w:rPr>
            <w:rStyle w:val="Hyperlink"/>
            <w:rFonts w:cs="Times New Roman"/>
            <w:b w:val="0"/>
            <w:bCs w:val="0"/>
            <w:noProof/>
            <w:sz w:val="24"/>
            <w:szCs w:val="24"/>
          </w:rPr>
          <w:t>4.5</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Discussion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_Toc204848677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70</w:t>
        </w:r>
        <w:r w:rsidRPr="00937647">
          <w:rPr>
            <w:rFonts w:cs="Times New Roman"/>
            <w:b w:val="0"/>
            <w:bCs w:val="0"/>
            <w:noProof/>
            <w:webHidden/>
            <w:sz w:val="24"/>
            <w:szCs w:val="24"/>
          </w:rPr>
          <w:fldChar w:fldCharType="end"/>
        </w:r>
      </w:hyperlink>
    </w:p>
    <w:p w14:paraId="08657405" w14:textId="740D61E6"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78" w:history="1">
        <w:r w:rsidRPr="00937647">
          <w:rPr>
            <w:rStyle w:val="Hyperlink"/>
            <w:rFonts w:cs="Times New Roman"/>
            <w:b w:val="0"/>
            <w:bCs w:val="0"/>
            <w:noProof/>
            <w:sz w:val="24"/>
            <w:szCs w:val="24"/>
          </w:rPr>
          <w:t>4.6</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Conclusion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_Toc204848678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74</w:t>
        </w:r>
        <w:r w:rsidRPr="00937647">
          <w:rPr>
            <w:rFonts w:cs="Times New Roman"/>
            <w:b w:val="0"/>
            <w:bCs w:val="0"/>
            <w:noProof/>
            <w:webHidden/>
            <w:sz w:val="24"/>
            <w:szCs w:val="24"/>
          </w:rPr>
          <w:fldChar w:fldCharType="end"/>
        </w:r>
      </w:hyperlink>
    </w:p>
    <w:p w14:paraId="3720AAA0" w14:textId="299DA102" w:rsidR="00937647" w:rsidRPr="00937647" w:rsidRDefault="00937647" w:rsidP="00937647">
      <w:pPr>
        <w:pStyle w:val="TOC2"/>
        <w:tabs>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79" w:history="1">
        <w:r w:rsidRPr="00937647">
          <w:rPr>
            <w:rStyle w:val="Hyperlink"/>
            <w:rFonts w:cs="Times New Roman"/>
            <w:b w:val="0"/>
            <w:bCs w:val="0"/>
            <w:noProof/>
            <w:sz w:val="24"/>
            <w:szCs w:val="24"/>
          </w:rPr>
          <w:t>Appendix</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_Toc204848679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76</w:t>
        </w:r>
        <w:r w:rsidRPr="00937647">
          <w:rPr>
            <w:rFonts w:cs="Times New Roman"/>
            <w:b w:val="0"/>
            <w:bCs w:val="0"/>
            <w:noProof/>
            <w:webHidden/>
            <w:sz w:val="24"/>
            <w:szCs w:val="24"/>
          </w:rPr>
          <w:fldChar w:fldCharType="end"/>
        </w:r>
      </w:hyperlink>
    </w:p>
    <w:p w14:paraId="7B3E888C" w14:textId="309BA75E" w:rsidR="00937647" w:rsidRPr="00937647" w:rsidRDefault="00937647" w:rsidP="00937647">
      <w:pPr>
        <w:pStyle w:val="TOC1"/>
        <w:spacing w:before="0"/>
        <w:rPr>
          <w:rFonts w:eastAsiaTheme="minorEastAsia" w:cs="Times New Roman"/>
          <w:b w:val="0"/>
          <w:bCs w:val="0"/>
          <w:i w:val="0"/>
          <w:iCs w:val="0"/>
          <w:noProof/>
          <w:kern w:val="2"/>
          <w:lang w:eastAsia="zh-CN"/>
          <w14:ligatures w14:val="standardContextual"/>
        </w:rPr>
      </w:pPr>
      <w:hyperlink w:anchor="_Toc204848680" w:history="1">
        <w:r w:rsidRPr="00937647">
          <w:rPr>
            <w:rStyle w:val="Hyperlink"/>
            <w:rFonts w:cs="Times New Roman"/>
            <w:b w:val="0"/>
            <w:bCs w:val="0"/>
            <w:i w:val="0"/>
            <w:iCs w:val="0"/>
            <w:noProof/>
          </w:rPr>
          <w:t xml:space="preserve"> CHAPTER V BROWNING AND INSULIN SIGNALING IN 3T3-L1 ADIPOCYTES: EVALUATING THE CONTRIBUTION OF UCP1</w:t>
        </w:r>
        <w:r w:rsidRPr="00937647">
          <w:rPr>
            <w:rFonts w:cs="Times New Roman"/>
            <w:b w:val="0"/>
            <w:bCs w:val="0"/>
            <w:i w:val="0"/>
            <w:iCs w:val="0"/>
            <w:noProof/>
            <w:webHidden/>
          </w:rPr>
          <w:tab/>
        </w:r>
        <w:r w:rsidRPr="00937647">
          <w:rPr>
            <w:rFonts w:cs="Times New Roman"/>
            <w:b w:val="0"/>
            <w:bCs w:val="0"/>
            <w:i w:val="0"/>
            <w:iCs w:val="0"/>
            <w:noProof/>
            <w:webHidden/>
          </w:rPr>
          <w:fldChar w:fldCharType="begin"/>
        </w:r>
        <w:r w:rsidRPr="00937647">
          <w:rPr>
            <w:rFonts w:cs="Times New Roman"/>
            <w:b w:val="0"/>
            <w:bCs w:val="0"/>
            <w:i w:val="0"/>
            <w:iCs w:val="0"/>
            <w:noProof/>
            <w:webHidden/>
          </w:rPr>
          <w:instrText xml:space="preserve"> PAGEREF _Toc204848680 \h </w:instrText>
        </w:r>
        <w:r w:rsidRPr="00937647">
          <w:rPr>
            <w:rFonts w:cs="Times New Roman"/>
            <w:b w:val="0"/>
            <w:bCs w:val="0"/>
            <w:i w:val="0"/>
            <w:iCs w:val="0"/>
            <w:noProof/>
            <w:webHidden/>
          </w:rPr>
        </w:r>
        <w:r w:rsidRPr="00937647">
          <w:rPr>
            <w:rFonts w:cs="Times New Roman"/>
            <w:b w:val="0"/>
            <w:bCs w:val="0"/>
            <w:i w:val="0"/>
            <w:iCs w:val="0"/>
            <w:noProof/>
            <w:webHidden/>
          </w:rPr>
          <w:fldChar w:fldCharType="separate"/>
        </w:r>
        <w:r w:rsidRPr="00937647">
          <w:rPr>
            <w:rFonts w:cs="Times New Roman"/>
            <w:b w:val="0"/>
            <w:bCs w:val="0"/>
            <w:i w:val="0"/>
            <w:iCs w:val="0"/>
            <w:noProof/>
            <w:webHidden/>
          </w:rPr>
          <w:t>88</w:t>
        </w:r>
        <w:r w:rsidRPr="00937647">
          <w:rPr>
            <w:rFonts w:cs="Times New Roman"/>
            <w:b w:val="0"/>
            <w:bCs w:val="0"/>
            <w:i w:val="0"/>
            <w:iCs w:val="0"/>
            <w:noProof/>
            <w:webHidden/>
          </w:rPr>
          <w:fldChar w:fldCharType="end"/>
        </w:r>
      </w:hyperlink>
    </w:p>
    <w:p w14:paraId="29096D8E" w14:textId="47F564C1"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81" w:history="1">
        <w:r w:rsidRPr="00937647">
          <w:rPr>
            <w:rStyle w:val="Hyperlink"/>
            <w:rFonts w:cs="Times New Roman"/>
            <w:b w:val="0"/>
            <w:bCs w:val="0"/>
            <w:noProof/>
            <w:sz w:val="24"/>
            <w:szCs w:val="24"/>
          </w:rPr>
          <w:t>5.1</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Abstract</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_Toc204848681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89</w:t>
        </w:r>
        <w:r w:rsidRPr="00937647">
          <w:rPr>
            <w:rFonts w:cs="Times New Roman"/>
            <w:b w:val="0"/>
            <w:bCs w:val="0"/>
            <w:noProof/>
            <w:webHidden/>
            <w:sz w:val="24"/>
            <w:szCs w:val="24"/>
          </w:rPr>
          <w:fldChar w:fldCharType="end"/>
        </w:r>
      </w:hyperlink>
    </w:p>
    <w:p w14:paraId="69BC9C74" w14:textId="26BFCB96"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82" w:history="1">
        <w:r w:rsidRPr="00937647">
          <w:rPr>
            <w:rStyle w:val="Hyperlink"/>
            <w:rFonts w:cs="Times New Roman"/>
            <w:b w:val="0"/>
            <w:bCs w:val="0"/>
            <w:noProof/>
            <w:sz w:val="24"/>
            <w:szCs w:val="24"/>
          </w:rPr>
          <w:t>5.2</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Introduction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_Toc204848682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90</w:t>
        </w:r>
        <w:r w:rsidRPr="00937647">
          <w:rPr>
            <w:rFonts w:cs="Times New Roman"/>
            <w:b w:val="0"/>
            <w:bCs w:val="0"/>
            <w:noProof/>
            <w:webHidden/>
            <w:sz w:val="24"/>
            <w:szCs w:val="24"/>
          </w:rPr>
          <w:fldChar w:fldCharType="end"/>
        </w:r>
      </w:hyperlink>
    </w:p>
    <w:p w14:paraId="03CAED01" w14:textId="0AA0DB14"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83" w:history="1">
        <w:r w:rsidRPr="00937647">
          <w:rPr>
            <w:rStyle w:val="Hyperlink"/>
            <w:rFonts w:cs="Times New Roman"/>
            <w:b w:val="0"/>
            <w:bCs w:val="0"/>
            <w:noProof/>
            <w:sz w:val="24"/>
            <w:szCs w:val="24"/>
          </w:rPr>
          <w:t>5.3</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Materials and Methods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_Toc204848683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91</w:t>
        </w:r>
        <w:r w:rsidRPr="00937647">
          <w:rPr>
            <w:rFonts w:cs="Times New Roman"/>
            <w:b w:val="0"/>
            <w:bCs w:val="0"/>
            <w:noProof/>
            <w:webHidden/>
            <w:sz w:val="24"/>
            <w:szCs w:val="24"/>
          </w:rPr>
          <w:fldChar w:fldCharType="end"/>
        </w:r>
      </w:hyperlink>
    </w:p>
    <w:p w14:paraId="1AF2F131" w14:textId="1355C15A"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84" w:history="1">
        <w:r w:rsidRPr="00937647">
          <w:rPr>
            <w:rStyle w:val="Hyperlink"/>
            <w:rFonts w:cs="Times New Roman"/>
            <w:noProof/>
            <w:sz w:val="24"/>
            <w:szCs w:val="24"/>
          </w:rPr>
          <w:t>5.3.1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Generation of Ucp1 Knockout 3T3-L1 Preadipocytes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_Toc204848684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91</w:t>
        </w:r>
        <w:r w:rsidRPr="00937647">
          <w:rPr>
            <w:rFonts w:cs="Times New Roman"/>
            <w:noProof/>
            <w:webHidden/>
            <w:sz w:val="24"/>
            <w:szCs w:val="24"/>
          </w:rPr>
          <w:fldChar w:fldCharType="end"/>
        </w:r>
      </w:hyperlink>
    </w:p>
    <w:p w14:paraId="751BB69F" w14:textId="3F8DDCDE"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85" w:history="1">
        <w:r w:rsidRPr="00937647">
          <w:rPr>
            <w:rStyle w:val="Hyperlink"/>
            <w:rFonts w:cs="Times New Roman"/>
            <w:noProof/>
            <w:sz w:val="24"/>
            <w:szCs w:val="24"/>
            <w:lang w:eastAsia="zh-CN"/>
          </w:rPr>
          <w:t>5.3.2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sgRNA Design and Lentiviral Transfection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_Toc204848685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92</w:t>
        </w:r>
        <w:r w:rsidRPr="00937647">
          <w:rPr>
            <w:rFonts w:cs="Times New Roman"/>
            <w:noProof/>
            <w:webHidden/>
            <w:sz w:val="24"/>
            <w:szCs w:val="24"/>
          </w:rPr>
          <w:fldChar w:fldCharType="end"/>
        </w:r>
      </w:hyperlink>
    </w:p>
    <w:p w14:paraId="4339D917" w14:textId="33BC932A"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86" w:history="1">
        <w:r w:rsidRPr="00937647">
          <w:rPr>
            <w:rStyle w:val="Hyperlink"/>
            <w:rFonts w:cs="Times New Roman"/>
            <w:noProof/>
            <w:sz w:val="24"/>
            <w:szCs w:val="24"/>
          </w:rPr>
          <w:t>5.3.3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Generation of Scrambled Control Cells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_Toc204848686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92</w:t>
        </w:r>
        <w:r w:rsidRPr="00937647">
          <w:rPr>
            <w:rFonts w:cs="Times New Roman"/>
            <w:noProof/>
            <w:webHidden/>
            <w:sz w:val="24"/>
            <w:szCs w:val="24"/>
          </w:rPr>
          <w:fldChar w:fldCharType="end"/>
        </w:r>
      </w:hyperlink>
    </w:p>
    <w:p w14:paraId="1D4A0D6A" w14:textId="075DA227"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87" w:history="1">
        <w:r w:rsidRPr="00937647">
          <w:rPr>
            <w:rStyle w:val="Hyperlink"/>
            <w:rFonts w:cs="Times New Roman"/>
            <w:noProof/>
            <w:sz w:val="24"/>
            <w:szCs w:val="24"/>
          </w:rPr>
          <w:t>5.3.4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 xml:space="preserve">Single </w:t>
        </w:r>
        <w:r w:rsidRPr="00937647">
          <w:rPr>
            <w:rStyle w:val="Hyperlink"/>
            <w:rFonts w:cs="Times New Roman"/>
            <w:noProof/>
            <w:sz w:val="24"/>
            <w:szCs w:val="24"/>
            <w:lang w:eastAsia="zh-CN"/>
          </w:rPr>
          <w:t>C</w:t>
        </w:r>
        <w:r w:rsidRPr="00937647">
          <w:rPr>
            <w:rStyle w:val="Hyperlink"/>
            <w:rFonts w:cs="Times New Roman"/>
            <w:noProof/>
            <w:sz w:val="24"/>
            <w:szCs w:val="24"/>
          </w:rPr>
          <w:t>ell Cloning and Validation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_Toc204848687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93</w:t>
        </w:r>
        <w:r w:rsidRPr="00937647">
          <w:rPr>
            <w:rFonts w:cs="Times New Roman"/>
            <w:noProof/>
            <w:webHidden/>
            <w:sz w:val="24"/>
            <w:szCs w:val="24"/>
          </w:rPr>
          <w:fldChar w:fldCharType="end"/>
        </w:r>
      </w:hyperlink>
    </w:p>
    <w:p w14:paraId="3CF16EFA" w14:textId="18838AAA" w:rsidR="00937647" w:rsidRPr="00937647" w:rsidRDefault="00937647" w:rsidP="00937647">
      <w:pPr>
        <w:pStyle w:val="TOC3"/>
        <w:tabs>
          <w:tab w:val="right" w:leader="dot" w:pos="8630"/>
        </w:tabs>
        <w:rPr>
          <w:rFonts w:eastAsiaTheme="minorEastAsia" w:cs="Times New Roman"/>
          <w:noProof/>
          <w:kern w:val="2"/>
          <w:sz w:val="24"/>
          <w:szCs w:val="24"/>
          <w:lang w:eastAsia="zh-CN"/>
          <w14:ligatures w14:val="standardContextual"/>
        </w:rPr>
      </w:pPr>
      <w:hyperlink w:anchor="_Toc204848688" w:history="1">
        <w:r w:rsidRPr="00937647">
          <w:rPr>
            <w:rStyle w:val="Hyperlink"/>
            <w:rFonts w:cs="Times New Roman"/>
            <w:noProof/>
            <w:sz w:val="24"/>
            <w:szCs w:val="24"/>
          </w:rPr>
          <w:t xml:space="preserve">2.5. Sanger </w:t>
        </w:r>
        <w:r w:rsidRPr="00937647">
          <w:rPr>
            <w:rStyle w:val="Hyperlink"/>
            <w:rFonts w:cs="Times New Roman"/>
            <w:noProof/>
            <w:sz w:val="24"/>
            <w:szCs w:val="24"/>
            <w:lang w:eastAsia="zh-CN"/>
          </w:rPr>
          <w:t>S</w:t>
        </w:r>
        <w:r w:rsidRPr="00937647">
          <w:rPr>
            <w:rStyle w:val="Hyperlink"/>
            <w:rFonts w:cs="Times New Roman"/>
            <w:noProof/>
            <w:sz w:val="24"/>
            <w:szCs w:val="24"/>
          </w:rPr>
          <w:t>equencing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_Toc204848688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94</w:t>
        </w:r>
        <w:r w:rsidRPr="00937647">
          <w:rPr>
            <w:rFonts w:cs="Times New Roman"/>
            <w:noProof/>
            <w:webHidden/>
            <w:sz w:val="24"/>
            <w:szCs w:val="24"/>
          </w:rPr>
          <w:fldChar w:fldCharType="end"/>
        </w:r>
      </w:hyperlink>
    </w:p>
    <w:p w14:paraId="153B5400" w14:textId="655BC91D"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89" w:history="1">
        <w:r w:rsidRPr="00937647">
          <w:rPr>
            <w:rStyle w:val="Hyperlink"/>
            <w:rFonts w:cs="Times New Roman"/>
            <w:noProof/>
            <w:sz w:val="24"/>
            <w:szCs w:val="24"/>
          </w:rPr>
          <w:t>5.3.5</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Adipogenic Differentiation</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_Toc204848689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94</w:t>
        </w:r>
        <w:r w:rsidRPr="00937647">
          <w:rPr>
            <w:rFonts w:cs="Times New Roman"/>
            <w:noProof/>
            <w:webHidden/>
            <w:sz w:val="24"/>
            <w:szCs w:val="24"/>
          </w:rPr>
          <w:fldChar w:fldCharType="end"/>
        </w:r>
      </w:hyperlink>
    </w:p>
    <w:p w14:paraId="20123C0C" w14:textId="78D70EBA"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0" w:history="1">
        <w:r w:rsidRPr="00937647">
          <w:rPr>
            <w:rStyle w:val="Hyperlink"/>
            <w:rFonts w:cs="Times New Roman"/>
            <w:noProof/>
            <w:sz w:val="24"/>
            <w:szCs w:val="24"/>
          </w:rPr>
          <w:t>5.3.6</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Semi-Quantitative Real-time PCR (qRT-PCR)</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_Toc204848690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95</w:t>
        </w:r>
        <w:r w:rsidRPr="00937647">
          <w:rPr>
            <w:rFonts w:cs="Times New Roman"/>
            <w:noProof/>
            <w:webHidden/>
            <w:sz w:val="24"/>
            <w:szCs w:val="24"/>
          </w:rPr>
          <w:fldChar w:fldCharType="end"/>
        </w:r>
      </w:hyperlink>
    </w:p>
    <w:p w14:paraId="76966D1A" w14:textId="063DC373"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1" w:history="1">
        <w:r w:rsidRPr="00937647">
          <w:rPr>
            <w:rStyle w:val="Hyperlink"/>
            <w:rFonts w:cs="Times New Roman"/>
            <w:noProof/>
            <w:sz w:val="24"/>
            <w:szCs w:val="24"/>
          </w:rPr>
          <w:t>5.3.7</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Mitochondrial Stress Test by Seahorse XF Analyzer</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_Toc204848691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95</w:t>
        </w:r>
        <w:r w:rsidRPr="00937647">
          <w:rPr>
            <w:rFonts w:cs="Times New Roman"/>
            <w:noProof/>
            <w:webHidden/>
            <w:sz w:val="24"/>
            <w:szCs w:val="24"/>
          </w:rPr>
          <w:fldChar w:fldCharType="end"/>
        </w:r>
      </w:hyperlink>
    </w:p>
    <w:p w14:paraId="03E468FF" w14:textId="53A76737"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2" w:history="1">
        <w:r w:rsidRPr="00937647">
          <w:rPr>
            <w:rStyle w:val="Hyperlink"/>
            <w:rFonts w:cs="Times New Roman"/>
            <w:noProof/>
            <w:sz w:val="24"/>
            <w:szCs w:val="24"/>
          </w:rPr>
          <w:t>5.3.8</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Insulin Signaling Study and Western Blot Analysis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_Toc204848692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96</w:t>
        </w:r>
        <w:r w:rsidRPr="00937647">
          <w:rPr>
            <w:rFonts w:cs="Times New Roman"/>
            <w:noProof/>
            <w:webHidden/>
            <w:sz w:val="24"/>
            <w:szCs w:val="24"/>
          </w:rPr>
          <w:fldChar w:fldCharType="end"/>
        </w:r>
      </w:hyperlink>
    </w:p>
    <w:p w14:paraId="6C9CBD80" w14:textId="224BA632"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3" w:history="1">
        <w:r w:rsidRPr="00937647">
          <w:rPr>
            <w:rStyle w:val="Hyperlink"/>
            <w:rFonts w:cs="Times New Roman"/>
            <w:noProof/>
            <w:sz w:val="24"/>
            <w:szCs w:val="24"/>
          </w:rPr>
          <w:t>5.3.9</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Statistical Analysis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_Toc204848693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97</w:t>
        </w:r>
        <w:r w:rsidRPr="00937647">
          <w:rPr>
            <w:rFonts w:cs="Times New Roman"/>
            <w:noProof/>
            <w:webHidden/>
            <w:sz w:val="24"/>
            <w:szCs w:val="24"/>
          </w:rPr>
          <w:fldChar w:fldCharType="end"/>
        </w:r>
      </w:hyperlink>
    </w:p>
    <w:p w14:paraId="541EC08C" w14:textId="008D3DCC"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94" w:history="1">
        <w:r w:rsidRPr="00937647">
          <w:rPr>
            <w:rStyle w:val="Hyperlink"/>
            <w:rFonts w:cs="Times New Roman"/>
            <w:b w:val="0"/>
            <w:bCs w:val="0"/>
            <w:noProof/>
            <w:sz w:val="24"/>
            <w:szCs w:val="24"/>
          </w:rPr>
          <w:t>5.4</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Results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_Toc204848694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97</w:t>
        </w:r>
        <w:r w:rsidRPr="00937647">
          <w:rPr>
            <w:rFonts w:cs="Times New Roman"/>
            <w:b w:val="0"/>
            <w:bCs w:val="0"/>
            <w:noProof/>
            <w:webHidden/>
            <w:sz w:val="24"/>
            <w:szCs w:val="24"/>
          </w:rPr>
          <w:fldChar w:fldCharType="end"/>
        </w:r>
      </w:hyperlink>
    </w:p>
    <w:p w14:paraId="3ACDAE2D" w14:textId="01DBAEC5"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5" w:history="1">
        <w:r w:rsidRPr="00937647">
          <w:rPr>
            <w:rStyle w:val="Hyperlink"/>
            <w:rFonts w:cs="Times New Roman"/>
            <w:noProof/>
            <w:sz w:val="24"/>
            <w:szCs w:val="24"/>
          </w:rPr>
          <w:t>5.4.1</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Validation of Ucp1 Knockout in 3T3-L1 Cells</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_Toc204848695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97</w:t>
        </w:r>
        <w:r w:rsidRPr="00937647">
          <w:rPr>
            <w:rFonts w:cs="Times New Roman"/>
            <w:noProof/>
            <w:webHidden/>
            <w:sz w:val="24"/>
            <w:szCs w:val="24"/>
          </w:rPr>
          <w:fldChar w:fldCharType="end"/>
        </w:r>
      </w:hyperlink>
    </w:p>
    <w:p w14:paraId="7F9FBCBA" w14:textId="740AF275"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6" w:history="1">
        <w:r w:rsidRPr="00937647">
          <w:rPr>
            <w:rStyle w:val="Hyperlink"/>
            <w:rFonts w:cs="Times New Roman"/>
            <w:noProof/>
            <w:sz w:val="24"/>
            <w:szCs w:val="24"/>
          </w:rPr>
          <w:t>5.4.2</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Ucp1 Knockout Affected Adipogenic Differentiation and Proton Leak</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_Toc204848696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98</w:t>
        </w:r>
        <w:r w:rsidRPr="00937647">
          <w:rPr>
            <w:rFonts w:cs="Times New Roman"/>
            <w:noProof/>
            <w:webHidden/>
            <w:sz w:val="24"/>
            <w:szCs w:val="24"/>
          </w:rPr>
          <w:fldChar w:fldCharType="end"/>
        </w:r>
      </w:hyperlink>
    </w:p>
    <w:p w14:paraId="2E18173E" w14:textId="540D63B9"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7" w:history="1">
        <w:r w:rsidRPr="00937647">
          <w:rPr>
            <w:rStyle w:val="Hyperlink"/>
            <w:rFonts w:cs="Times New Roman"/>
            <w:noProof/>
            <w:sz w:val="24"/>
            <w:szCs w:val="24"/>
          </w:rPr>
          <w:t>5.4.3</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Ucp1 Knockout Attenuated the Browning Effect by Rosiglitazone</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_Toc204848697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98</w:t>
        </w:r>
        <w:r w:rsidRPr="00937647">
          <w:rPr>
            <w:rFonts w:cs="Times New Roman"/>
            <w:noProof/>
            <w:webHidden/>
            <w:sz w:val="24"/>
            <w:szCs w:val="24"/>
          </w:rPr>
          <w:fldChar w:fldCharType="end"/>
        </w:r>
      </w:hyperlink>
    </w:p>
    <w:p w14:paraId="6D40801C" w14:textId="2F79A4A7" w:rsidR="00937647" w:rsidRPr="00937647" w:rsidRDefault="00937647" w:rsidP="00937647">
      <w:pPr>
        <w:pStyle w:val="TOC3"/>
        <w:tabs>
          <w:tab w:val="left" w:pos="1200"/>
          <w:tab w:val="right" w:leader="dot" w:pos="8630"/>
        </w:tabs>
        <w:rPr>
          <w:rFonts w:eastAsiaTheme="minorEastAsia" w:cs="Times New Roman"/>
          <w:noProof/>
          <w:kern w:val="2"/>
          <w:sz w:val="24"/>
          <w:szCs w:val="24"/>
          <w:lang w:eastAsia="zh-CN"/>
          <w14:ligatures w14:val="standardContextual"/>
        </w:rPr>
      </w:pPr>
      <w:hyperlink w:anchor="_Toc204848698" w:history="1">
        <w:r w:rsidRPr="00937647">
          <w:rPr>
            <w:rStyle w:val="Hyperlink"/>
            <w:rFonts w:cs="Times New Roman"/>
            <w:noProof/>
            <w:sz w:val="24"/>
            <w:szCs w:val="24"/>
          </w:rPr>
          <w:t>5.4.4</w:t>
        </w:r>
        <w:r w:rsidRPr="00937647">
          <w:rPr>
            <w:rFonts w:eastAsiaTheme="minorEastAsia" w:cs="Times New Roman"/>
            <w:noProof/>
            <w:kern w:val="2"/>
            <w:sz w:val="24"/>
            <w:szCs w:val="24"/>
            <w:lang w:eastAsia="zh-CN"/>
            <w14:ligatures w14:val="standardContextual"/>
          </w:rPr>
          <w:tab/>
        </w:r>
        <w:r w:rsidRPr="00937647">
          <w:rPr>
            <w:rStyle w:val="Hyperlink"/>
            <w:rFonts w:cs="Times New Roman"/>
            <w:noProof/>
            <w:sz w:val="24"/>
            <w:szCs w:val="24"/>
          </w:rPr>
          <w:t>Ucp1 Knockout Attenuated Rosiglitazone-Enhanced Insulin Signaling</w:t>
        </w:r>
        <w:r w:rsidRPr="00937647">
          <w:rPr>
            <w:rFonts w:cs="Times New Roman"/>
            <w:noProof/>
            <w:webHidden/>
            <w:sz w:val="24"/>
            <w:szCs w:val="24"/>
          </w:rPr>
          <w:tab/>
        </w:r>
        <w:r w:rsidRPr="00937647">
          <w:rPr>
            <w:rFonts w:cs="Times New Roman"/>
            <w:noProof/>
            <w:webHidden/>
            <w:sz w:val="24"/>
            <w:szCs w:val="24"/>
          </w:rPr>
          <w:fldChar w:fldCharType="begin"/>
        </w:r>
        <w:r w:rsidRPr="00937647">
          <w:rPr>
            <w:rFonts w:cs="Times New Roman"/>
            <w:noProof/>
            <w:webHidden/>
            <w:sz w:val="24"/>
            <w:szCs w:val="24"/>
          </w:rPr>
          <w:instrText xml:space="preserve"> PAGEREF _Toc204848698 \h </w:instrText>
        </w:r>
        <w:r w:rsidRPr="00937647">
          <w:rPr>
            <w:rFonts w:cs="Times New Roman"/>
            <w:noProof/>
            <w:webHidden/>
            <w:sz w:val="24"/>
            <w:szCs w:val="24"/>
          </w:rPr>
        </w:r>
        <w:r w:rsidRPr="00937647">
          <w:rPr>
            <w:rFonts w:cs="Times New Roman"/>
            <w:noProof/>
            <w:webHidden/>
            <w:sz w:val="24"/>
            <w:szCs w:val="24"/>
          </w:rPr>
          <w:fldChar w:fldCharType="separate"/>
        </w:r>
        <w:r w:rsidRPr="00937647">
          <w:rPr>
            <w:rFonts w:cs="Times New Roman"/>
            <w:noProof/>
            <w:webHidden/>
            <w:sz w:val="24"/>
            <w:szCs w:val="24"/>
          </w:rPr>
          <w:t>99</w:t>
        </w:r>
        <w:r w:rsidRPr="00937647">
          <w:rPr>
            <w:rFonts w:cs="Times New Roman"/>
            <w:noProof/>
            <w:webHidden/>
            <w:sz w:val="24"/>
            <w:szCs w:val="24"/>
          </w:rPr>
          <w:fldChar w:fldCharType="end"/>
        </w:r>
      </w:hyperlink>
    </w:p>
    <w:p w14:paraId="5E7FA32A" w14:textId="0308C59E"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699" w:history="1">
        <w:r w:rsidRPr="00937647">
          <w:rPr>
            <w:rStyle w:val="Hyperlink"/>
            <w:rFonts w:cs="Times New Roman"/>
            <w:b w:val="0"/>
            <w:bCs w:val="0"/>
            <w:noProof/>
            <w:sz w:val="24"/>
            <w:szCs w:val="24"/>
          </w:rPr>
          <w:t>5.5</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Discussion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_Toc204848699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99</w:t>
        </w:r>
        <w:r w:rsidRPr="00937647">
          <w:rPr>
            <w:rFonts w:cs="Times New Roman"/>
            <w:b w:val="0"/>
            <w:bCs w:val="0"/>
            <w:noProof/>
            <w:webHidden/>
            <w:sz w:val="24"/>
            <w:szCs w:val="24"/>
          </w:rPr>
          <w:fldChar w:fldCharType="end"/>
        </w:r>
      </w:hyperlink>
    </w:p>
    <w:p w14:paraId="61A358CC" w14:textId="566B6F10"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700" w:history="1">
        <w:r w:rsidRPr="00937647">
          <w:rPr>
            <w:rStyle w:val="Hyperlink"/>
            <w:rFonts w:cs="Times New Roman"/>
            <w:b w:val="0"/>
            <w:bCs w:val="0"/>
            <w:noProof/>
            <w:sz w:val="24"/>
            <w:szCs w:val="24"/>
          </w:rPr>
          <w:t>5.6</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Conclusion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_Toc204848700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104</w:t>
        </w:r>
        <w:r w:rsidRPr="00937647">
          <w:rPr>
            <w:rFonts w:cs="Times New Roman"/>
            <w:b w:val="0"/>
            <w:bCs w:val="0"/>
            <w:noProof/>
            <w:webHidden/>
            <w:sz w:val="24"/>
            <w:szCs w:val="24"/>
          </w:rPr>
          <w:fldChar w:fldCharType="end"/>
        </w:r>
      </w:hyperlink>
    </w:p>
    <w:p w14:paraId="52928272" w14:textId="5EC12DE5" w:rsidR="00937647" w:rsidRPr="00937647" w:rsidRDefault="00937647" w:rsidP="00937647">
      <w:pPr>
        <w:pStyle w:val="TOC2"/>
        <w:tabs>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701" w:history="1">
        <w:r w:rsidRPr="00937647">
          <w:rPr>
            <w:rStyle w:val="Hyperlink"/>
            <w:rFonts w:cs="Times New Roman"/>
            <w:b w:val="0"/>
            <w:bCs w:val="0"/>
            <w:noProof/>
            <w:sz w:val="24"/>
            <w:szCs w:val="24"/>
          </w:rPr>
          <w:t>Appendix</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_Toc204848701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105</w:t>
        </w:r>
        <w:r w:rsidRPr="00937647">
          <w:rPr>
            <w:rFonts w:cs="Times New Roman"/>
            <w:b w:val="0"/>
            <w:bCs w:val="0"/>
            <w:noProof/>
            <w:webHidden/>
            <w:sz w:val="24"/>
            <w:szCs w:val="24"/>
          </w:rPr>
          <w:fldChar w:fldCharType="end"/>
        </w:r>
      </w:hyperlink>
    </w:p>
    <w:p w14:paraId="59A31E50" w14:textId="4E4586A6" w:rsidR="00937647" w:rsidRPr="00937647" w:rsidRDefault="00937647" w:rsidP="00937647">
      <w:pPr>
        <w:pStyle w:val="TOC1"/>
        <w:spacing w:before="0"/>
        <w:rPr>
          <w:rFonts w:eastAsiaTheme="minorEastAsia" w:cs="Times New Roman"/>
          <w:b w:val="0"/>
          <w:bCs w:val="0"/>
          <w:i w:val="0"/>
          <w:iCs w:val="0"/>
          <w:noProof/>
          <w:kern w:val="2"/>
          <w:lang w:eastAsia="zh-CN"/>
          <w14:ligatures w14:val="standardContextual"/>
        </w:rPr>
      </w:pPr>
      <w:hyperlink w:anchor="_Toc204848702" w:history="1">
        <w:r w:rsidRPr="00937647">
          <w:rPr>
            <w:rStyle w:val="Hyperlink"/>
            <w:rFonts w:cs="Times New Roman"/>
            <w:b w:val="0"/>
            <w:bCs w:val="0"/>
            <w:i w:val="0"/>
            <w:iCs w:val="0"/>
            <w:noProof/>
          </w:rPr>
          <w:t xml:space="preserve"> CHAPTER VI CONCLUSION AND FUTURE DIRECTIONS</w:t>
        </w:r>
        <w:r w:rsidRPr="00937647">
          <w:rPr>
            <w:rFonts w:cs="Times New Roman"/>
            <w:b w:val="0"/>
            <w:bCs w:val="0"/>
            <w:i w:val="0"/>
            <w:iCs w:val="0"/>
            <w:noProof/>
            <w:webHidden/>
          </w:rPr>
          <w:tab/>
        </w:r>
        <w:r w:rsidRPr="00937647">
          <w:rPr>
            <w:rFonts w:cs="Times New Roman"/>
            <w:b w:val="0"/>
            <w:bCs w:val="0"/>
            <w:i w:val="0"/>
            <w:iCs w:val="0"/>
            <w:noProof/>
            <w:webHidden/>
          </w:rPr>
          <w:fldChar w:fldCharType="begin"/>
        </w:r>
        <w:r w:rsidRPr="00937647">
          <w:rPr>
            <w:rFonts w:cs="Times New Roman"/>
            <w:b w:val="0"/>
            <w:bCs w:val="0"/>
            <w:i w:val="0"/>
            <w:iCs w:val="0"/>
            <w:noProof/>
            <w:webHidden/>
          </w:rPr>
          <w:instrText xml:space="preserve"> PAGEREF _Toc204848702 \h </w:instrText>
        </w:r>
        <w:r w:rsidRPr="00937647">
          <w:rPr>
            <w:rFonts w:cs="Times New Roman"/>
            <w:b w:val="0"/>
            <w:bCs w:val="0"/>
            <w:i w:val="0"/>
            <w:iCs w:val="0"/>
            <w:noProof/>
            <w:webHidden/>
          </w:rPr>
        </w:r>
        <w:r w:rsidRPr="00937647">
          <w:rPr>
            <w:rFonts w:cs="Times New Roman"/>
            <w:b w:val="0"/>
            <w:bCs w:val="0"/>
            <w:i w:val="0"/>
            <w:iCs w:val="0"/>
            <w:noProof/>
            <w:webHidden/>
          </w:rPr>
          <w:fldChar w:fldCharType="separate"/>
        </w:r>
        <w:r w:rsidRPr="00937647">
          <w:rPr>
            <w:rFonts w:cs="Times New Roman"/>
            <w:b w:val="0"/>
            <w:bCs w:val="0"/>
            <w:i w:val="0"/>
            <w:iCs w:val="0"/>
            <w:noProof/>
            <w:webHidden/>
          </w:rPr>
          <w:t>114</w:t>
        </w:r>
        <w:r w:rsidRPr="00937647">
          <w:rPr>
            <w:rFonts w:cs="Times New Roman"/>
            <w:b w:val="0"/>
            <w:bCs w:val="0"/>
            <w:i w:val="0"/>
            <w:iCs w:val="0"/>
            <w:noProof/>
            <w:webHidden/>
          </w:rPr>
          <w:fldChar w:fldCharType="end"/>
        </w:r>
      </w:hyperlink>
    </w:p>
    <w:p w14:paraId="61CEC72A" w14:textId="70F0FB4E"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703" w:history="1">
        <w:r w:rsidRPr="00937647">
          <w:rPr>
            <w:rStyle w:val="Hyperlink"/>
            <w:rFonts w:cs="Times New Roman"/>
            <w:b w:val="0"/>
            <w:bCs w:val="0"/>
            <w:noProof/>
            <w:sz w:val="24"/>
            <w:szCs w:val="24"/>
          </w:rPr>
          <w:t>7.1</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Conclusion</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_Toc204848703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115</w:t>
        </w:r>
        <w:r w:rsidRPr="00937647">
          <w:rPr>
            <w:rFonts w:cs="Times New Roman"/>
            <w:b w:val="0"/>
            <w:bCs w:val="0"/>
            <w:noProof/>
            <w:webHidden/>
            <w:sz w:val="24"/>
            <w:szCs w:val="24"/>
          </w:rPr>
          <w:fldChar w:fldCharType="end"/>
        </w:r>
      </w:hyperlink>
    </w:p>
    <w:p w14:paraId="54BB89DF" w14:textId="7414FF0C"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704" w:history="1">
        <w:r w:rsidRPr="00937647">
          <w:rPr>
            <w:rStyle w:val="Hyperlink"/>
            <w:rFonts w:cs="Times New Roman"/>
            <w:b w:val="0"/>
            <w:bCs w:val="0"/>
            <w:noProof/>
            <w:sz w:val="24"/>
            <w:szCs w:val="24"/>
          </w:rPr>
          <w:t>7.2</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Significance of Study</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_Toc204848704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116</w:t>
        </w:r>
        <w:r w:rsidRPr="00937647">
          <w:rPr>
            <w:rFonts w:cs="Times New Roman"/>
            <w:b w:val="0"/>
            <w:bCs w:val="0"/>
            <w:noProof/>
            <w:webHidden/>
            <w:sz w:val="24"/>
            <w:szCs w:val="24"/>
          </w:rPr>
          <w:fldChar w:fldCharType="end"/>
        </w:r>
      </w:hyperlink>
    </w:p>
    <w:p w14:paraId="39A51444" w14:textId="342513AE" w:rsidR="00937647" w:rsidRPr="00937647" w:rsidRDefault="00937647" w:rsidP="00937647">
      <w:pPr>
        <w:pStyle w:val="TOC2"/>
        <w:tabs>
          <w:tab w:val="left" w:pos="960"/>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705" w:history="1">
        <w:r w:rsidRPr="00937647">
          <w:rPr>
            <w:rStyle w:val="Hyperlink"/>
            <w:rFonts w:cs="Times New Roman"/>
            <w:b w:val="0"/>
            <w:bCs w:val="0"/>
            <w:noProof/>
            <w:sz w:val="24"/>
            <w:szCs w:val="24"/>
          </w:rPr>
          <w:t>7.3</w:t>
        </w:r>
        <w:r w:rsidRPr="00937647">
          <w:rPr>
            <w:rFonts w:eastAsiaTheme="minorEastAsia" w:cs="Times New Roman"/>
            <w:b w:val="0"/>
            <w:bCs w:val="0"/>
            <w:noProof/>
            <w:kern w:val="2"/>
            <w:sz w:val="24"/>
            <w:szCs w:val="24"/>
            <w:lang w:eastAsia="zh-CN"/>
            <w14:ligatures w14:val="standardContextual"/>
          </w:rPr>
          <w:tab/>
        </w:r>
        <w:r w:rsidRPr="00937647">
          <w:rPr>
            <w:rStyle w:val="Hyperlink"/>
            <w:rFonts w:cs="Times New Roman"/>
            <w:b w:val="0"/>
            <w:bCs w:val="0"/>
            <w:noProof/>
            <w:sz w:val="24"/>
            <w:szCs w:val="24"/>
          </w:rPr>
          <w:t>Limitations and Future Directions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_Toc204848705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117</w:t>
        </w:r>
        <w:r w:rsidRPr="00937647">
          <w:rPr>
            <w:rFonts w:cs="Times New Roman"/>
            <w:b w:val="0"/>
            <w:bCs w:val="0"/>
            <w:noProof/>
            <w:webHidden/>
            <w:sz w:val="24"/>
            <w:szCs w:val="24"/>
          </w:rPr>
          <w:fldChar w:fldCharType="end"/>
        </w:r>
      </w:hyperlink>
    </w:p>
    <w:p w14:paraId="0D074FE5" w14:textId="52B34969" w:rsidR="00937647" w:rsidRPr="00937647" w:rsidRDefault="00937647" w:rsidP="00937647">
      <w:pPr>
        <w:pStyle w:val="TOC2"/>
        <w:tabs>
          <w:tab w:val="right" w:leader="dot" w:pos="8630"/>
        </w:tabs>
        <w:spacing w:before="0"/>
        <w:rPr>
          <w:rFonts w:eastAsiaTheme="minorEastAsia" w:cs="Times New Roman"/>
          <w:b w:val="0"/>
          <w:bCs w:val="0"/>
          <w:noProof/>
          <w:kern w:val="2"/>
          <w:sz w:val="24"/>
          <w:szCs w:val="24"/>
          <w:lang w:eastAsia="zh-CN"/>
          <w14:ligatures w14:val="standardContextual"/>
        </w:rPr>
      </w:pPr>
      <w:hyperlink w:anchor="_Toc204848706" w:history="1">
        <w:r w:rsidRPr="00937647">
          <w:rPr>
            <w:rStyle w:val="Hyperlink"/>
            <w:rFonts w:cs="Times New Roman"/>
            <w:b w:val="0"/>
            <w:bCs w:val="0"/>
            <w:noProof/>
            <w:sz w:val="24"/>
            <w:szCs w:val="24"/>
          </w:rPr>
          <w:t>References</w:t>
        </w:r>
        <w:r w:rsidRPr="00937647">
          <w:rPr>
            <w:rFonts w:cs="Times New Roman"/>
            <w:b w:val="0"/>
            <w:bCs w:val="0"/>
            <w:noProof/>
            <w:webHidden/>
            <w:sz w:val="24"/>
            <w:szCs w:val="24"/>
          </w:rPr>
          <w:tab/>
        </w:r>
        <w:r w:rsidRPr="00937647">
          <w:rPr>
            <w:rFonts w:cs="Times New Roman"/>
            <w:b w:val="0"/>
            <w:bCs w:val="0"/>
            <w:noProof/>
            <w:webHidden/>
            <w:sz w:val="24"/>
            <w:szCs w:val="24"/>
          </w:rPr>
          <w:fldChar w:fldCharType="begin"/>
        </w:r>
        <w:r w:rsidRPr="00937647">
          <w:rPr>
            <w:rFonts w:cs="Times New Roman"/>
            <w:b w:val="0"/>
            <w:bCs w:val="0"/>
            <w:noProof/>
            <w:webHidden/>
            <w:sz w:val="24"/>
            <w:szCs w:val="24"/>
          </w:rPr>
          <w:instrText xml:space="preserve"> PAGEREF _Toc204848706 \h </w:instrText>
        </w:r>
        <w:r w:rsidRPr="00937647">
          <w:rPr>
            <w:rFonts w:cs="Times New Roman"/>
            <w:b w:val="0"/>
            <w:bCs w:val="0"/>
            <w:noProof/>
            <w:webHidden/>
            <w:sz w:val="24"/>
            <w:szCs w:val="24"/>
          </w:rPr>
        </w:r>
        <w:r w:rsidRPr="00937647">
          <w:rPr>
            <w:rFonts w:cs="Times New Roman"/>
            <w:b w:val="0"/>
            <w:bCs w:val="0"/>
            <w:noProof/>
            <w:webHidden/>
            <w:sz w:val="24"/>
            <w:szCs w:val="24"/>
          </w:rPr>
          <w:fldChar w:fldCharType="separate"/>
        </w:r>
        <w:r w:rsidRPr="00937647">
          <w:rPr>
            <w:rFonts w:cs="Times New Roman"/>
            <w:b w:val="0"/>
            <w:bCs w:val="0"/>
            <w:noProof/>
            <w:webHidden/>
            <w:sz w:val="24"/>
            <w:szCs w:val="24"/>
          </w:rPr>
          <w:t>119</w:t>
        </w:r>
        <w:r w:rsidRPr="00937647">
          <w:rPr>
            <w:rFonts w:cs="Times New Roman"/>
            <w:b w:val="0"/>
            <w:bCs w:val="0"/>
            <w:noProof/>
            <w:webHidden/>
            <w:sz w:val="24"/>
            <w:szCs w:val="24"/>
          </w:rPr>
          <w:fldChar w:fldCharType="end"/>
        </w:r>
      </w:hyperlink>
    </w:p>
    <w:p w14:paraId="6C90B9D6" w14:textId="31610668" w:rsidR="00937647" w:rsidRPr="00937647" w:rsidRDefault="00937647" w:rsidP="00937647">
      <w:pPr>
        <w:pStyle w:val="TOC1"/>
        <w:spacing w:before="0"/>
        <w:rPr>
          <w:rFonts w:eastAsiaTheme="minorEastAsia" w:cs="Times New Roman"/>
          <w:b w:val="0"/>
          <w:bCs w:val="0"/>
          <w:i w:val="0"/>
          <w:iCs w:val="0"/>
          <w:noProof/>
          <w:kern w:val="2"/>
          <w:lang w:eastAsia="zh-CN"/>
          <w14:ligatures w14:val="standardContextual"/>
        </w:rPr>
      </w:pPr>
      <w:hyperlink w:anchor="_Toc204848707" w:history="1">
        <w:r w:rsidRPr="00937647">
          <w:rPr>
            <w:rStyle w:val="Hyperlink"/>
            <w:rFonts w:cs="Times New Roman"/>
            <w:b w:val="0"/>
            <w:bCs w:val="0"/>
            <w:i w:val="0"/>
            <w:iCs w:val="0"/>
            <w:noProof/>
          </w:rPr>
          <w:t xml:space="preserve"> VITA</w:t>
        </w:r>
        <w:r w:rsidRPr="00937647">
          <w:rPr>
            <w:rFonts w:cs="Times New Roman"/>
            <w:b w:val="0"/>
            <w:bCs w:val="0"/>
            <w:i w:val="0"/>
            <w:iCs w:val="0"/>
            <w:noProof/>
            <w:webHidden/>
          </w:rPr>
          <w:tab/>
        </w:r>
        <w:r w:rsidRPr="00937647">
          <w:rPr>
            <w:rFonts w:cs="Times New Roman"/>
            <w:b w:val="0"/>
            <w:bCs w:val="0"/>
            <w:i w:val="0"/>
            <w:iCs w:val="0"/>
            <w:noProof/>
            <w:webHidden/>
          </w:rPr>
          <w:fldChar w:fldCharType="begin"/>
        </w:r>
        <w:r w:rsidRPr="00937647">
          <w:rPr>
            <w:rFonts w:cs="Times New Roman"/>
            <w:b w:val="0"/>
            <w:bCs w:val="0"/>
            <w:i w:val="0"/>
            <w:iCs w:val="0"/>
            <w:noProof/>
            <w:webHidden/>
          </w:rPr>
          <w:instrText xml:space="preserve"> PAGEREF _Toc204848707 \h </w:instrText>
        </w:r>
        <w:r w:rsidRPr="00937647">
          <w:rPr>
            <w:rFonts w:cs="Times New Roman"/>
            <w:b w:val="0"/>
            <w:bCs w:val="0"/>
            <w:i w:val="0"/>
            <w:iCs w:val="0"/>
            <w:noProof/>
            <w:webHidden/>
          </w:rPr>
        </w:r>
        <w:r w:rsidRPr="00937647">
          <w:rPr>
            <w:rFonts w:cs="Times New Roman"/>
            <w:b w:val="0"/>
            <w:bCs w:val="0"/>
            <w:i w:val="0"/>
            <w:iCs w:val="0"/>
            <w:noProof/>
            <w:webHidden/>
          </w:rPr>
          <w:fldChar w:fldCharType="separate"/>
        </w:r>
        <w:r w:rsidRPr="00937647">
          <w:rPr>
            <w:rFonts w:cs="Times New Roman"/>
            <w:b w:val="0"/>
            <w:bCs w:val="0"/>
            <w:i w:val="0"/>
            <w:iCs w:val="0"/>
            <w:noProof/>
            <w:webHidden/>
          </w:rPr>
          <w:t>184</w:t>
        </w:r>
        <w:r w:rsidRPr="00937647">
          <w:rPr>
            <w:rFonts w:cs="Times New Roman"/>
            <w:b w:val="0"/>
            <w:bCs w:val="0"/>
            <w:i w:val="0"/>
            <w:iCs w:val="0"/>
            <w:noProof/>
            <w:webHidden/>
          </w:rPr>
          <w:fldChar w:fldCharType="end"/>
        </w:r>
      </w:hyperlink>
    </w:p>
    <w:p w14:paraId="0EC56192" w14:textId="0736490C" w:rsidR="00387656" w:rsidRPr="00B83530" w:rsidRDefault="00683A5D" w:rsidP="00937647">
      <w:pPr>
        <w:rPr>
          <w:lang w:eastAsia="zh-CN"/>
        </w:rPr>
      </w:pPr>
      <w:r w:rsidRPr="00937647">
        <w:fldChar w:fldCharType="end"/>
      </w:r>
    </w:p>
    <w:p w14:paraId="0EC56193" w14:textId="77777777" w:rsidR="00387656" w:rsidRPr="00DB2C42" w:rsidRDefault="009C755C" w:rsidP="00387656">
      <w:pPr>
        <w:pStyle w:val="Title"/>
        <w:rPr>
          <w:bCs/>
          <w:sz w:val="24"/>
        </w:rPr>
      </w:pPr>
      <w:r w:rsidRPr="00DB2C42">
        <w:rPr>
          <w:bCs/>
          <w:sz w:val="24"/>
        </w:rPr>
        <w:br w:type="page"/>
      </w:r>
    </w:p>
    <w:p w14:paraId="59D57A17" w14:textId="27456DDB" w:rsidR="00011C58" w:rsidRPr="00DB2C42" w:rsidRDefault="00387656" w:rsidP="00715813">
      <w:pPr>
        <w:pStyle w:val="Title"/>
        <w:rPr>
          <w:b w:val="0"/>
          <w:sz w:val="24"/>
        </w:rPr>
      </w:pPr>
      <w:r w:rsidRPr="00DB2C42">
        <w:rPr>
          <w:b w:val="0"/>
          <w:sz w:val="24"/>
        </w:rPr>
        <w:lastRenderedPageBreak/>
        <w:t>LIST OF TABLES</w:t>
      </w:r>
    </w:p>
    <w:p w14:paraId="07970044" w14:textId="0113DF23" w:rsidR="00297073" w:rsidRDefault="00387656">
      <w:pPr>
        <w:pStyle w:val="TableofFigures"/>
        <w:tabs>
          <w:tab w:val="right" w:leader="dot" w:pos="8630"/>
        </w:tabs>
        <w:rPr>
          <w:rFonts w:asciiTheme="minorHAnsi" w:eastAsiaTheme="minorEastAsia" w:hAnsiTheme="minorHAnsi" w:cstheme="minorBidi"/>
          <w:noProof/>
          <w:kern w:val="2"/>
          <w:lang w:eastAsia="zh-CN"/>
          <w14:ligatures w14:val="standardContextual"/>
        </w:rPr>
      </w:pPr>
      <w:r w:rsidRPr="00DB2C42">
        <w:fldChar w:fldCharType="begin"/>
      </w:r>
      <w:r w:rsidRPr="00DB2C42">
        <w:instrText xml:space="preserve"> TOC \h \z \c "Table" </w:instrText>
      </w:r>
      <w:r w:rsidRPr="00DB2C42">
        <w:fldChar w:fldCharType="separate"/>
      </w:r>
      <w:hyperlink w:anchor="_Toc204698499" w:history="1">
        <w:r w:rsidR="00297073" w:rsidRPr="002B5368">
          <w:rPr>
            <w:rStyle w:val="Hyperlink"/>
            <w:noProof/>
          </w:rPr>
          <w:t>Table 1. Primer sequences for qRT-PCR using SYBR green.</w:t>
        </w:r>
        <w:r w:rsidR="00297073">
          <w:rPr>
            <w:noProof/>
            <w:webHidden/>
          </w:rPr>
          <w:tab/>
        </w:r>
        <w:r w:rsidR="00297073">
          <w:rPr>
            <w:noProof/>
            <w:webHidden/>
          </w:rPr>
          <w:fldChar w:fldCharType="begin"/>
        </w:r>
        <w:r w:rsidR="00297073">
          <w:rPr>
            <w:noProof/>
            <w:webHidden/>
          </w:rPr>
          <w:instrText xml:space="preserve"> PAGEREF _Toc204698499 \h </w:instrText>
        </w:r>
        <w:r w:rsidR="00297073">
          <w:rPr>
            <w:noProof/>
            <w:webHidden/>
          </w:rPr>
        </w:r>
        <w:r w:rsidR="00297073">
          <w:rPr>
            <w:noProof/>
            <w:webHidden/>
          </w:rPr>
          <w:fldChar w:fldCharType="separate"/>
        </w:r>
        <w:r w:rsidR="00937719">
          <w:rPr>
            <w:noProof/>
            <w:webHidden/>
          </w:rPr>
          <w:t>112</w:t>
        </w:r>
        <w:r w:rsidR="00297073">
          <w:rPr>
            <w:noProof/>
            <w:webHidden/>
          </w:rPr>
          <w:fldChar w:fldCharType="end"/>
        </w:r>
      </w:hyperlink>
    </w:p>
    <w:p w14:paraId="46F1E3CE" w14:textId="1A9291FA" w:rsidR="00297073" w:rsidRDefault="00297073">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698500" w:history="1">
        <w:r w:rsidRPr="002B5368">
          <w:rPr>
            <w:rStyle w:val="Hyperlink"/>
            <w:noProof/>
          </w:rPr>
          <w:t>Table 2. Primer sequences for Sanger sequencing, Ucp1 deletion verification, and genomic DNA quality.</w:t>
        </w:r>
        <w:r>
          <w:rPr>
            <w:noProof/>
            <w:webHidden/>
          </w:rPr>
          <w:tab/>
        </w:r>
        <w:r>
          <w:rPr>
            <w:noProof/>
            <w:webHidden/>
          </w:rPr>
          <w:fldChar w:fldCharType="begin"/>
        </w:r>
        <w:r>
          <w:rPr>
            <w:noProof/>
            <w:webHidden/>
          </w:rPr>
          <w:instrText xml:space="preserve"> PAGEREF _Toc204698500 \h </w:instrText>
        </w:r>
        <w:r>
          <w:rPr>
            <w:noProof/>
            <w:webHidden/>
          </w:rPr>
        </w:r>
        <w:r>
          <w:rPr>
            <w:noProof/>
            <w:webHidden/>
          </w:rPr>
          <w:fldChar w:fldCharType="separate"/>
        </w:r>
        <w:r w:rsidR="00937719">
          <w:rPr>
            <w:noProof/>
            <w:webHidden/>
          </w:rPr>
          <w:t>113</w:t>
        </w:r>
        <w:r>
          <w:rPr>
            <w:noProof/>
            <w:webHidden/>
          </w:rPr>
          <w:fldChar w:fldCharType="end"/>
        </w:r>
      </w:hyperlink>
    </w:p>
    <w:p w14:paraId="77888ED7" w14:textId="48BD2B07" w:rsidR="00AC25A3" w:rsidRPr="00DB2C42" w:rsidRDefault="00387656" w:rsidP="00C019FF">
      <w:r w:rsidRPr="00DB2C42">
        <w:fldChar w:fldCharType="end"/>
      </w:r>
      <w:r w:rsidR="00236E6D" w:rsidRPr="00DB2C42">
        <w:br w:type="page"/>
      </w:r>
    </w:p>
    <w:p w14:paraId="093C3338" w14:textId="77777777" w:rsidR="00937719" w:rsidRDefault="00387656" w:rsidP="00652A7A">
      <w:pPr>
        <w:pStyle w:val="Title"/>
        <w:rPr>
          <w:noProof/>
        </w:rPr>
      </w:pPr>
      <w:r w:rsidRPr="00DB2C42">
        <w:rPr>
          <w:b w:val="0"/>
          <w:sz w:val="24"/>
        </w:rPr>
        <w:lastRenderedPageBreak/>
        <w:t xml:space="preserve"> </w:t>
      </w:r>
      <w:r w:rsidR="00AC25A3" w:rsidRPr="00DB2C42">
        <w:rPr>
          <w:b w:val="0"/>
          <w:sz w:val="24"/>
        </w:rPr>
        <w:t>LIST OF FIGURES</w:t>
      </w:r>
      <w:r w:rsidR="00AC25A3" w:rsidRPr="00DB2C42">
        <w:rPr>
          <w:b w:val="0"/>
          <w:sz w:val="24"/>
        </w:rPr>
        <w:fldChar w:fldCharType="begin"/>
      </w:r>
      <w:r w:rsidR="00AC25A3" w:rsidRPr="00DB2C42">
        <w:rPr>
          <w:b w:val="0"/>
          <w:sz w:val="24"/>
        </w:rPr>
        <w:instrText xml:space="preserve"> TOC \h \z \c "Figure" </w:instrText>
      </w:r>
      <w:r w:rsidR="00AC25A3" w:rsidRPr="00DB2C42">
        <w:rPr>
          <w:b w:val="0"/>
          <w:sz w:val="24"/>
        </w:rPr>
        <w:fldChar w:fldCharType="separate"/>
      </w:r>
    </w:p>
    <w:p w14:paraId="6585AEB4" w14:textId="7B8538DB"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3" w:history="1">
        <w:r w:rsidRPr="006B524A">
          <w:rPr>
            <w:rStyle w:val="Hyperlink"/>
            <w:noProof/>
          </w:rPr>
          <w:t xml:space="preserve">Figure 3.1 Body weight and fat pad weights in </w:t>
        </w:r>
        <w:r w:rsidRPr="006B524A">
          <w:rPr>
            <w:rStyle w:val="Hyperlink"/>
            <w:i/>
            <w:iCs/>
            <w:noProof/>
          </w:rPr>
          <w:t>db/db</w:t>
        </w:r>
        <w:r w:rsidRPr="006B524A">
          <w:rPr>
            <w:rStyle w:val="Hyperlink"/>
            <w:noProof/>
          </w:rPr>
          <w:t xml:space="preserve"> vs. WT mice.</w:t>
        </w:r>
        <w:r>
          <w:rPr>
            <w:noProof/>
            <w:webHidden/>
          </w:rPr>
          <w:tab/>
        </w:r>
        <w:r>
          <w:rPr>
            <w:noProof/>
            <w:webHidden/>
          </w:rPr>
          <w:fldChar w:fldCharType="begin"/>
        </w:r>
        <w:r>
          <w:rPr>
            <w:noProof/>
            <w:webHidden/>
          </w:rPr>
          <w:instrText xml:space="preserve"> PAGEREF _Toc204847353 \h </w:instrText>
        </w:r>
        <w:r>
          <w:rPr>
            <w:noProof/>
            <w:webHidden/>
          </w:rPr>
        </w:r>
        <w:r>
          <w:rPr>
            <w:noProof/>
            <w:webHidden/>
          </w:rPr>
          <w:fldChar w:fldCharType="separate"/>
        </w:r>
        <w:r>
          <w:rPr>
            <w:noProof/>
            <w:webHidden/>
          </w:rPr>
          <w:t>51</w:t>
        </w:r>
        <w:r>
          <w:rPr>
            <w:noProof/>
            <w:webHidden/>
          </w:rPr>
          <w:fldChar w:fldCharType="end"/>
        </w:r>
      </w:hyperlink>
    </w:p>
    <w:p w14:paraId="548C148B" w14:textId="4E27FC44"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4" w:history="1">
        <w:r w:rsidRPr="006B524A">
          <w:rPr>
            <w:rStyle w:val="Hyperlink"/>
            <w:noProof/>
          </w:rPr>
          <w:t xml:space="preserve">Figure 3.2 The </w:t>
        </w:r>
        <w:r w:rsidRPr="006B524A">
          <w:rPr>
            <w:rStyle w:val="Hyperlink"/>
            <w:i/>
            <w:iCs/>
            <w:noProof/>
          </w:rPr>
          <w:t>db/db</w:t>
        </w:r>
        <w:r w:rsidRPr="006B524A">
          <w:rPr>
            <w:rStyle w:val="Hyperlink"/>
            <w:noProof/>
          </w:rPr>
          <w:t xml:space="preserve"> mice exhibited elevated random serum glucose and insulin levels compared to the WT mice.</w:t>
        </w:r>
        <w:r>
          <w:rPr>
            <w:noProof/>
            <w:webHidden/>
          </w:rPr>
          <w:tab/>
        </w:r>
        <w:r>
          <w:rPr>
            <w:noProof/>
            <w:webHidden/>
          </w:rPr>
          <w:fldChar w:fldCharType="begin"/>
        </w:r>
        <w:r>
          <w:rPr>
            <w:noProof/>
            <w:webHidden/>
          </w:rPr>
          <w:instrText xml:space="preserve"> PAGEREF _Toc204847354 \h </w:instrText>
        </w:r>
        <w:r>
          <w:rPr>
            <w:noProof/>
            <w:webHidden/>
          </w:rPr>
        </w:r>
        <w:r>
          <w:rPr>
            <w:noProof/>
            <w:webHidden/>
          </w:rPr>
          <w:fldChar w:fldCharType="separate"/>
        </w:r>
        <w:r>
          <w:rPr>
            <w:noProof/>
            <w:webHidden/>
          </w:rPr>
          <w:t>52</w:t>
        </w:r>
        <w:r>
          <w:rPr>
            <w:noProof/>
            <w:webHidden/>
          </w:rPr>
          <w:fldChar w:fldCharType="end"/>
        </w:r>
      </w:hyperlink>
    </w:p>
    <w:p w14:paraId="1CFCFA94" w14:textId="4B2132BD"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5" w:history="1">
        <w:r w:rsidRPr="006B524A">
          <w:rPr>
            <w:rStyle w:val="Hyperlink"/>
            <w:noProof/>
          </w:rPr>
          <w:t xml:space="preserve">Figure 3.3 Impaired cold tolerance and reduced heat production in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_Toc204847355 \h </w:instrText>
        </w:r>
        <w:r>
          <w:rPr>
            <w:noProof/>
            <w:webHidden/>
          </w:rPr>
        </w:r>
        <w:r>
          <w:rPr>
            <w:noProof/>
            <w:webHidden/>
          </w:rPr>
          <w:fldChar w:fldCharType="separate"/>
        </w:r>
        <w:r>
          <w:rPr>
            <w:noProof/>
            <w:webHidden/>
          </w:rPr>
          <w:t>53</w:t>
        </w:r>
        <w:r>
          <w:rPr>
            <w:noProof/>
            <w:webHidden/>
          </w:rPr>
          <w:fldChar w:fldCharType="end"/>
        </w:r>
      </w:hyperlink>
    </w:p>
    <w:p w14:paraId="3025D0B1" w14:textId="263E6CEC"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6" w:history="1">
        <w:r w:rsidRPr="006B524A">
          <w:rPr>
            <w:rStyle w:val="Hyperlink"/>
            <w:noProof/>
          </w:rPr>
          <w:t xml:space="preserve">Figure 3.4 Energy expenditure and respiratory exchange ratios in the </w:t>
        </w:r>
        <w:r w:rsidRPr="006B524A">
          <w:rPr>
            <w:rStyle w:val="Hyperlink"/>
            <w:i/>
            <w:iCs/>
            <w:noProof/>
          </w:rPr>
          <w:t>db/db</w:t>
        </w:r>
        <w:r w:rsidRPr="006B524A">
          <w:rPr>
            <w:rStyle w:val="Hyperlink"/>
            <w:noProof/>
          </w:rPr>
          <w:t xml:space="preserve"> compared to the WT mice.</w:t>
        </w:r>
        <w:r>
          <w:rPr>
            <w:noProof/>
            <w:webHidden/>
          </w:rPr>
          <w:tab/>
        </w:r>
        <w:r>
          <w:rPr>
            <w:noProof/>
            <w:webHidden/>
          </w:rPr>
          <w:fldChar w:fldCharType="begin"/>
        </w:r>
        <w:r>
          <w:rPr>
            <w:noProof/>
            <w:webHidden/>
          </w:rPr>
          <w:instrText xml:space="preserve"> PAGEREF _Toc204847356 \h </w:instrText>
        </w:r>
        <w:r>
          <w:rPr>
            <w:noProof/>
            <w:webHidden/>
          </w:rPr>
        </w:r>
        <w:r>
          <w:rPr>
            <w:noProof/>
            <w:webHidden/>
          </w:rPr>
          <w:fldChar w:fldCharType="separate"/>
        </w:r>
        <w:r>
          <w:rPr>
            <w:noProof/>
            <w:webHidden/>
          </w:rPr>
          <w:t>54</w:t>
        </w:r>
        <w:r>
          <w:rPr>
            <w:noProof/>
            <w:webHidden/>
          </w:rPr>
          <w:fldChar w:fldCharType="end"/>
        </w:r>
      </w:hyperlink>
    </w:p>
    <w:p w14:paraId="35C3D05F" w14:textId="437600F6"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7" w:history="1">
        <w:r w:rsidRPr="006B524A">
          <w:rPr>
            <w:rStyle w:val="Hyperlink"/>
            <w:noProof/>
          </w:rPr>
          <w:t>Figure 3.5 Diminished thermogenic protein expression of PGC1</w:t>
        </w:r>
        <w:r w:rsidRPr="006B524A">
          <w:rPr>
            <w:rStyle w:val="Hyperlink"/>
            <w:rFonts w:ascii="Cambria Math" w:hAnsi="Cambria Math" w:cs="Cambria Math"/>
            <w:noProof/>
          </w:rPr>
          <w:t>⍺</w:t>
        </w:r>
        <w:r w:rsidRPr="006B524A">
          <w:rPr>
            <w:rStyle w:val="Hyperlink"/>
            <w:noProof/>
          </w:rPr>
          <w:t xml:space="preserve"> and UCP1 in BAT from db/db and WT mice of both sexes.</w:t>
        </w:r>
        <w:r>
          <w:rPr>
            <w:noProof/>
            <w:webHidden/>
          </w:rPr>
          <w:tab/>
        </w:r>
        <w:r>
          <w:rPr>
            <w:noProof/>
            <w:webHidden/>
          </w:rPr>
          <w:fldChar w:fldCharType="begin"/>
        </w:r>
        <w:r>
          <w:rPr>
            <w:noProof/>
            <w:webHidden/>
          </w:rPr>
          <w:instrText xml:space="preserve"> PAGEREF _Toc204847357 \h </w:instrText>
        </w:r>
        <w:r>
          <w:rPr>
            <w:noProof/>
            <w:webHidden/>
          </w:rPr>
        </w:r>
        <w:r>
          <w:rPr>
            <w:noProof/>
            <w:webHidden/>
          </w:rPr>
          <w:fldChar w:fldCharType="separate"/>
        </w:r>
        <w:r>
          <w:rPr>
            <w:noProof/>
            <w:webHidden/>
          </w:rPr>
          <w:t>55</w:t>
        </w:r>
        <w:r>
          <w:rPr>
            <w:noProof/>
            <w:webHidden/>
          </w:rPr>
          <w:fldChar w:fldCharType="end"/>
        </w:r>
      </w:hyperlink>
    </w:p>
    <w:p w14:paraId="341D9D96" w14:textId="32D73AE0"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8" w:history="1">
        <w:r w:rsidRPr="006B524A">
          <w:rPr>
            <w:rStyle w:val="Hyperlink"/>
            <w:noProof/>
          </w:rPr>
          <w:t>Figure 3.6 Diminished thermogenic protein expression of PGC1</w:t>
        </w:r>
        <w:r w:rsidRPr="006B524A">
          <w:rPr>
            <w:rStyle w:val="Hyperlink"/>
            <w:rFonts w:ascii="Cambria Math" w:hAnsi="Cambria Math" w:cs="Cambria Math"/>
            <w:noProof/>
          </w:rPr>
          <w:t>⍺</w:t>
        </w:r>
        <w:r w:rsidRPr="006B524A">
          <w:rPr>
            <w:rStyle w:val="Hyperlink"/>
            <w:noProof/>
          </w:rPr>
          <w:t xml:space="preserve"> and UCP1 in WAT from </w:t>
        </w:r>
        <w:r w:rsidRPr="006B524A">
          <w:rPr>
            <w:rStyle w:val="Hyperlink"/>
            <w:i/>
            <w:iCs/>
            <w:noProof/>
          </w:rPr>
          <w:t>db/db</w:t>
        </w:r>
        <w:r w:rsidRPr="006B524A">
          <w:rPr>
            <w:rStyle w:val="Hyperlink"/>
            <w:noProof/>
          </w:rPr>
          <w:t xml:space="preserve"> and WT mice of both sexes.</w:t>
        </w:r>
        <w:r>
          <w:rPr>
            <w:noProof/>
            <w:webHidden/>
          </w:rPr>
          <w:tab/>
        </w:r>
        <w:r>
          <w:rPr>
            <w:noProof/>
            <w:webHidden/>
          </w:rPr>
          <w:fldChar w:fldCharType="begin"/>
        </w:r>
        <w:r>
          <w:rPr>
            <w:noProof/>
            <w:webHidden/>
          </w:rPr>
          <w:instrText xml:space="preserve"> PAGEREF _Toc204847358 \h </w:instrText>
        </w:r>
        <w:r>
          <w:rPr>
            <w:noProof/>
            <w:webHidden/>
          </w:rPr>
        </w:r>
        <w:r>
          <w:rPr>
            <w:noProof/>
            <w:webHidden/>
          </w:rPr>
          <w:fldChar w:fldCharType="separate"/>
        </w:r>
        <w:r>
          <w:rPr>
            <w:noProof/>
            <w:webHidden/>
          </w:rPr>
          <w:t>56</w:t>
        </w:r>
        <w:r>
          <w:rPr>
            <w:noProof/>
            <w:webHidden/>
          </w:rPr>
          <w:fldChar w:fldCharType="end"/>
        </w:r>
      </w:hyperlink>
    </w:p>
    <w:p w14:paraId="6F334B7F" w14:textId="7D137CBD"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59" w:history="1">
        <w:r w:rsidRPr="006B524A">
          <w:rPr>
            <w:rStyle w:val="Hyperlink"/>
            <w:noProof/>
          </w:rPr>
          <w:t xml:space="preserve">Figure 4.1 RES induced browning by increasing </w:t>
        </w:r>
        <w:r w:rsidRPr="006B524A">
          <w:rPr>
            <w:rStyle w:val="Hyperlink"/>
            <w:i/>
            <w:iCs/>
            <w:noProof/>
          </w:rPr>
          <w:t>Pgc1α</w:t>
        </w:r>
        <w:r w:rsidRPr="006B524A">
          <w:rPr>
            <w:rStyle w:val="Hyperlink"/>
            <w:noProof/>
          </w:rPr>
          <w:t xml:space="preserve"> and </w:t>
        </w:r>
        <w:r w:rsidRPr="006B524A">
          <w:rPr>
            <w:rStyle w:val="Hyperlink"/>
            <w:i/>
            <w:iCs/>
            <w:noProof/>
          </w:rPr>
          <w:t>Ucp1</w:t>
        </w:r>
        <w:r w:rsidRPr="006B524A">
          <w:rPr>
            <w:rStyle w:val="Hyperlink"/>
            <w:noProof/>
          </w:rPr>
          <w:t xml:space="preserve"> mRNA expression in the differentiated ADSCs derived from (A) male WT, (B) female WT, (C) male </w:t>
        </w:r>
        <w:r w:rsidRPr="006B524A">
          <w:rPr>
            <w:rStyle w:val="Hyperlink"/>
            <w:i/>
            <w:iCs/>
            <w:noProof/>
          </w:rPr>
          <w:t>db/db</w:t>
        </w:r>
        <w:r w:rsidRPr="006B524A">
          <w:rPr>
            <w:rStyle w:val="Hyperlink"/>
            <w:noProof/>
          </w:rPr>
          <w:t xml:space="preserve">, and (D) female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_Toc204847359 \h </w:instrText>
        </w:r>
        <w:r>
          <w:rPr>
            <w:noProof/>
            <w:webHidden/>
          </w:rPr>
        </w:r>
        <w:r>
          <w:rPr>
            <w:noProof/>
            <w:webHidden/>
          </w:rPr>
          <w:fldChar w:fldCharType="separate"/>
        </w:r>
        <w:r>
          <w:rPr>
            <w:noProof/>
            <w:webHidden/>
          </w:rPr>
          <w:t>76</w:t>
        </w:r>
        <w:r>
          <w:rPr>
            <w:noProof/>
            <w:webHidden/>
          </w:rPr>
          <w:fldChar w:fldCharType="end"/>
        </w:r>
      </w:hyperlink>
    </w:p>
    <w:p w14:paraId="1DE43655" w14:textId="0C8B3D9D"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0" w:history="1">
        <w:r w:rsidRPr="006B524A">
          <w:rPr>
            <w:rStyle w:val="Hyperlink"/>
            <w:noProof/>
          </w:rPr>
          <w:t xml:space="preserve">Figure 4.2 Fold changes in thermogenic gene expression following isoproterenol and resveratrol treatment in the adipocytes derived from ADSCs of male and female WT and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_Toc204847360 \h </w:instrText>
        </w:r>
        <w:r>
          <w:rPr>
            <w:noProof/>
            <w:webHidden/>
          </w:rPr>
        </w:r>
        <w:r>
          <w:rPr>
            <w:noProof/>
            <w:webHidden/>
          </w:rPr>
          <w:fldChar w:fldCharType="separate"/>
        </w:r>
        <w:r>
          <w:rPr>
            <w:noProof/>
            <w:webHidden/>
          </w:rPr>
          <w:t>77</w:t>
        </w:r>
        <w:r>
          <w:rPr>
            <w:noProof/>
            <w:webHidden/>
          </w:rPr>
          <w:fldChar w:fldCharType="end"/>
        </w:r>
      </w:hyperlink>
    </w:p>
    <w:p w14:paraId="570523A2" w14:textId="039435F3"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1" w:history="1">
        <w:r w:rsidRPr="006B524A">
          <w:rPr>
            <w:rStyle w:val="Hyperlink"/>
            <w:noProof/>
          </w:rPr>
          <w:t>Figure 4.3 Resveratrol enhanced mitochondrial uncoupling in the differentiated ADSCs from male WT mice.</w:t>
        </w:r>
        <w:r>
          <w:rPr>
            <w:noProof/>
            <w:webHidden/>
          </w:rPr>
          <w:tab/>
        </w:r>
        <w:r>
          <w:rPr>
            <w:noProof/>
            <w:webHidden/>
          </w:rPr>
          <w:fldChar w:fldCharType="begin"/>
        </w:r>
        <w:r>
          <w:rPr>
            <w:noProof/>
            <w:webHidden/>
          </w:rPr>
          <w:instrText xml:space="preserve"> PAGEREF _Toc204847361 \h </w:instrText>
        </w:r>
        <w:r>
          <w:rPr>
            <w:noProof/>
            <w:webHidden/>
          </w:rPr>
        </w:r>
        <w:r>
          <w:rPr>
            <w:noProof/>
            <w:webHidden/>
          </w:rPr>
          <w:fldChar w:fldCharType="separate"/>
        </w:r>
        <w:r>
          <w:rPr>
            <w:noProof/>
            <w:webHidden/>
          </w:rPr>
          <w:t>78</w:t>
        </w:r>
        <w:r>
          <w:rPr>
            <w:noProof/>
            <w:webHidden/>
          </w:rPr>
          <w:fldChar w:fldCharType="end"/>
        </w:r>
      </w:hyperlink>
    </w:p>
    <w:p w14:paraId="7B34E600" w14:textId="10800B60"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2" w:history="1">
        <w:r w:rsidRPr="006B524A">
          <w:rPr>
            <w:rStyle w:val="Hyperlink"/>
            <w:noProof/>
          </w:rPr>
          <w:t>Figure 4.4 Resveratrol enhanced mitochondrial uncoupling in the differentiated ADSCs from female WT mice.</w:t>
        </w:r>
        <w:r>
          <w:rPr>
            <w:noProof/>
            <w:webHidden/>
          </w:rPr>
          <w:tab/>
        </w:r>
        <w:r>
          <w:rPr>
            <w:noProof/>
            <w:webHidden/>
          </w:rPr>
          <w:fldChar w:fldCharType="begin"/>
        </w:r>
        <w:r>
          <w:rPr>
            <w:noProof/>
            <w:webHidden/>
          </w:rPr>
          <w:instrText xml:space="preserve"> PAGEREF _Toc204847362 \h </w:instrText>
        </w:r>
        <w:r>
          <w:rPr>
            <w:noProof/>
            <w:webHidden/>
          </w:rPr>
        </w:r>
        <w:r>
          <w:rPr>
            <w:noProof/>
            <w:webHidden/>
          </w:rPr>
          <w:fldChar w:fldCharType="separate"/>
        </w:r>
        <w:r>
          <w:rPr>
            <w:noProof/>
            <w:webHidden/>
          </w:rPr>
          <w:t>79</w:t>
        </w:r>
        <w:r>
          <w:rPr>
            <w:noProof/>
            <w:webHidden/>
          </w:rPr>
          <w:fldChar w:fldCharType="end"/>
        </w:r>
      </w:hyperlink>
    </w:p>
    <w:p w14:paraId="37687A46" w14:textId="59134157"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3" w:history="1">
        <w:r w:rsidRPr="006B524A">
          <w:rPr>
            <w:rStyle w:val="Hyperlink"/>
            <w:noProof/>
          </w:rPr>
          <w:t xml:space="preserve">Figure 4.5 Resveratrol enhanced mitochondrial uncoupling in the differentiated ADSCs from male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_Toc204847363 \h </w:instrText>
        </w:r>
        <w:r>
          <w:rPr>
            <w:noProof/>
            <w:webHidden/>
          </w:rPr>
        </w:r>
        <w:r>
          <w:rPr>
            <w:noProof/>
            <w:webHidden/>
          </w:rPr>
          <w:fldChar w:fldCharType="separate"/>
        </w:r>
        <w:r>
          <w:rPr>
            <w:noProof/>
            <w:webHidden/>
          </w:rPr>
          <w:t>80</w:t>
        </w:r>
        <w:r>
          <w:rPr>
            <w:noProof/>
            <w:webHidden/>
          </w:rPr>
          <w:fldChar w:fldCharType="end"/>
        </w:r>
      </w:hyperlink>
    </w:p>
    <w:p w14:paraId="3E27950A" w14:textId="10FD2553"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4" w:history="1">
        <w:r w:rsidRPr="006B524A">
          <w:rPr>
            <w:rStyle w:val="Hyperlink"/>
            <w:noProof/>
          </w:rPr>
          <w:t xml:space="preserve">Figure 4.6 Resveratrol enhanced mitochondrial uncoupling in the differentiated ADSCs from female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_Toc204847364 \h </w:instrText>
        </w:r>
        <w:r>
          <w:rPr>
            <w:noProof/>
            <w:webHidden/>
          </w:rPr>
        </w:r>
        <w:r>
          <w:rPr>
            <w:noProof/>
            <w:webHidden/>
          </w:rPr>
          <w:fldChar w:fldCharType="separate"/>
        </w:r>
        <w:r>
          <w:rPr>
            <w:noProof/>
            <w:webHidden/>
          </w:rPr>
          <w:t>81</w:t>
        </w:r>
        <w:r>
          <w:rPr>
            <w:noProof/>
            <w:webHidden/>
          </w:rPr>
          <w:fldChar w:fldCharType="end"/>
        </w:r>
      </w:hyperlink>
    </w:p>
    <w:p w14:paraId="0F8D70A9" w14:textId="76FE51D0"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5" w:history="1">
        <w:r w:rsidRPr="006B524A">
          <w:rPr>
            <w:rStyle w:val="Hyperlink"/>
            <w:noProof/>
          </w:rPr>
          <w:t xml:space="preserve">Figure 4.7 Fold changes in proton leak and coupling efficiency following resveratrol treatment in the differentiated ADSCs from male and female WT and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_Toc204847365 \h </w:instrText>
        </w:r>
        <w:r>
          <w:rPr>
            <w:noProof/>
            <w:webHidden/>
          </w:rPr>
        </w:r>
        <w:r>
          <w:rPr>
            <w:noProof/>
            <w:webHidden/>
          </w:rPr>
          <w:fldChar w:fldCharType="separate"/>
        </w:r>
        <w:r>
          <w:rPr>
            <w:noProof/>
            <w:webHidden/>
          </w:rPr>
          <w:t>82</w:t>
        </w:r>
        <w:r>
          <w:rPr>
            <w:noProof/>
            <w:webHidden/>
          </w:rPr>
          <w:fldChar w:fldCharType="end"/>
        </w:r>
      </w:hyperlink>
    </w:p>
    <w:p w14:paraId="4027B692" w14:textId="1C70E11C"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6" w:history="1">
        <w:r w:rsidRPr="006B524A">
          <w:rPr>
            <w:rStyle w:val="Hyperlink"/>
            <w:noProof/>
          </w:rPr>
          <w:t>Figure 4.8 Resveratrol improved insulin sensitivity in the differentiated ADSCs from male WT mice.</w:t>
        </w:r>
        <w:r>
          <w:rPr>
            <w:noProof/>
            <w:webHidden/>
          </w:rPr>
          <w:tab/>
        </w:r>
        <w:r>
          <w:rPr>
            <w:noProof/>
            <w:webHidden/>
          </w:rPr>
          <w:fldChar w:fldCharType="begin"/>
        </w:r>
        <w:r>
          <w:rPr>
            <w:noProof/>
            <w:webHidden/>
          </w:rPr>
          <w:instrText xml:space="preserve"> PAGEREF _Toc204847366 \h </w:instrText>
        </w:r>
        <w:r>
          <w:rPr>
            <w:noProof/>
            <w:webHidden/>
          </w:rPr>
        </w:r>
        <w:r>
          <w:rPr>
            <w:noProof/>
            <w:webHidden/>
          </w:rPr>
          <w:fldChar w:fldCharType="separate"/>
        </w:r>
        <w:r>
          <w:rPr>
            <w:noProof/>
            <w:webHidden/>
          </w:rPr>
          <w:t>83</w:t>
        </w:r>
        <w:r>
          <w:rPr>
            <w:noProof/>
            <w:webHidden/>
          </w:rPr>
          <w:fldChar w:fldCharType="end"/>
        </w:r>
      </w:hyperlink>
    </w:p>
    <w:p w14:paraId="4E93DB33" w14:textId="39A3333F"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7" w:history="1">
        <w:r w:rsidRPr="006B524A">
          <w:rPr>
            <w:rStyle w:val="Hyperlink"/>
            <w:noProof/>
          </w:rPr>
          <w:t>Figure 4.9 Resveratrol improved insulin sensitivity in the differentiated ADSCs from female WT mice.</w:t>
        </w:r>
        <w:r>
          <w:rPr>
            <w:noProof/>
            <w:webHidden/>
          </w:rPr>
          <w:tab/>
        </w:r>
        <w:r>
          <w:rPr>
            <w:noProof/>
            <w:webHidden/>
          </w:rPr>
          <w:fldChar w:fldCharType="begin"/>
        </w:r>
        <w:r>
          <w:rPr>
            <w:noProof/>
            <w:webHidden/>
          </w:rPr>
          <w:instrText xml:space="preserve"> PAGEREF _Toc204847367 \h </w:instrText>
        </w:r>
        <w:r>
          <w:rPr>
            <w:noProof/>
            <w:webHidden/>
          </w:rPr>
        </w:r>
        <w:r>
          <w:rPr>
            <w:noProof/>
            <w:webHidden/>
          </w:rPr>
          <w:fldChar w:fldCharType="separate"/>
        </w:r>
        <w:r>
          <w:rPr>
            <w:noProof/>
            <w:webHidden/>
          </w:rPr>
          <w:t>84</w:t>
        </w:r>
        <w:r>
          <w:rPr>
            <w:noProof/>
            <w:webHidden/>
          </w:rPr>
          <w:fldChar w:fldCharType="end"/>
        </w:r>
      </w:hyperlink>
    </w:p>
    <w:p w14:paraId="194D1D67" w14:textId="2CE902EB"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8" w:history="1">
        <w:r w:rsidRPr="006B524A">
          <w:rPr>
            <w:rStyle w:val="Hyperlink"/>
            <w:noProof/>
          </w:rPr>
          <w:t xml:space="preserve">Figure 4.10 Resveratrol improved insulin sensitivity in the differentiated ADSCs from male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_Toc204847368 \h </w:instrText>
        </w:r>
        <w:r>
          <w:rPr>
            <w:noProof/>
            <w:webHidden/>
          </w:rPr>
        </w:r>
        <w:r>
          <w:rPr>
            <w:noProof/>
            <w:webHidden/>
          </w:rPr>
          <w:fldChar w:fldCharType="separate"/>
        </w:r>
        <w:r>
          <w:rPr>
            <w:noProof/>
            <w:webHidden/>
          </w:rPr>
          <w:t>85</w:t>
        </w:r>
        <w:r>
          <w:rPr>
            <w:noProof/>
            <w:webHidden/>
          </w:rPr>
          <w:fldChar w:fldCharType="end"/>
        </w:r>
      </w:hyperlink>
    </w:p>
    <w:p w14:paraId="3E6DC525" w14:textId="273C7037"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69" w:history="1">
        <w:r w:rsidRPr="006B524A">
          <w:rPr>
            <w:rStyle w:val="Hyperlink"/>
            <w:noProof/>
          </w:rPr>
          <w:t xml:space="preserve">Figure 4.11 Resveratrol improved insulin sensitivity in the differentiated ADSCs from female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_Toc204847369 \h </w:instrText>
        </w:r>
        <w:r>
          <w:rPr>
            <w:noProof/>
            <w:webHidden/>
          </w:rPr>
        </w:r>
        <w:r>
          <w:rPr>
            <w:noProof/>
            <w:webHidden/>
          </w:rPr>
          <w:fldChar w:fldCharType="separate"/>
        </w:r>
        <w:r>
          <w:rPr>
            <w:noProof/>
            <w:webHidden/>
          </w:rPr>
          <w:t>86</w:t>
        </w:r>
        <w:r>
          <w:rPr>
            <w:noProof/>
            <w:webHidden/>
          </w:rPr>
          <w:fldChar w:fldCharType="end"/>
        </w:r>
      </w:hyperlink>
    </w:p>
    <w:p w14:paraId="1430F649" w14:textId="186909E6"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0" w:history="1">
        <w:r w:rsidRPr="006B524A">
          <w:rPr>
            <w:rStyle w:val="Hyperlink"/>
            <w:noProof/>
          </w:rPr>
          <w:t xml:space="preserve">Figure 4.12 Fold changes in insulin sensitivity markers following insulin and resveratrol treatment in the differentiated ADSCs from male and female WT and </w:t>
        </w:r>
        <w:r w:rsidRPr="006B524A">
          <w:rPr>
            <w:rStyle w:val="Hyperlink"/>
            <w:i/>
            <w:iCs/>
            <w:noProof/>
          </w:rPr>
          <w:t>db/db</w:t>
        </w:r>
        <w:r w:rsidRPr="006B524A">
          <w:rPr>
            <w:rStyle w:val="Hyperlink"/>
            <w:noProof/>
          </w:rPr>
          <w:t xml:space="preserve"> mice.</w:t>
        </w:r>
        <w:r>
          <w:rPr>
            <w:noProof/>
            <w:webHidden/>
          </w:rPr>
          <w:tab/>
        </w:r>
        <w:r>
          <w:rPr>
            <w:noProof/>
            <w:webHidden/>
          </w:rPr>
          <w:fldChar w:fldCharType="begin"/>
        </w:r>
        <w:r>
          <w:rPr>
            <w:noProof/>
            <w:webHidden/>
          </w:rPr>
          <w:instrText xml:space="preserve"> PAGEREF _Toc204847370 \h </w:instrText>
        </w:r>
        <w:r>
          <w:rPr>
            <w:noProof/>
            <w:webHidden/>
          </w:rPr>
        </w:r>
        <w:r>
          <w:rPr>
            <w:noProof/>
            <w:webHidden/>
          </w:rPr>
          <w:fldChar w:fldCharType="separate"/>
        </w:r>
        <w:r>
          <w:rPr>
            <w:noProof/>
            <w:webHidden/>
          </w:rPr>
          <w:t>87</w:t>
        </w:r>
        <w:r>
          <w:rPr>
            <w:noProof/>
            <w:webHidden/>
          </w:rPr>
          <w:fldChar w:fldCharType="end"/>
        </w:r>
      </w:hyperlink>
    </w:p>
    <w:p w14:paraId="3564F9D4" w14:textId="453DE1D1"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1" w:history="1">
        <w:r w:rsidRPr="006B524A">
          <w:rPr>
            <w:rStyle w:val="Hyperlink"/>
            <w:noProof/>
          </w:rPr>
          <w:t>Figure 5.1 Vector map of Cas9-expressing plasmid.</w:t>
        </w:r>
        <w:r>
          <w:rPr>
            <w:noProof/>
            <w:webHidden/>
          </w:rPr>
          <w:tab/>
        </w:r>
        <w:r>
          <w:rPr>
            <w:noProof/>
            <w:webHidden/>
          </w:rPr>
          <w:fldChar w:fldCharType="begin"/>
        </w:r>
        <w:r>
          <w:rPr>
            <w:noProof/>
            <w:webHidden/>
          </w:rPr>
          <w:instrText xml:space="preserve"> PAGEREF _Toc204847371 \h </w:instrText>
        </w:r>
        <w:r>
          <w:rPr>
            <w:noProof/>
            <w:webHidden/>
          </w:rPr>
        </w:r>
        <w:r>
          <w:rPr>
            <w:noProof/>
            <w:webHidden/>
          </w:rPr>
          <w:fldChar w:fldCharType="separate"/>
        </w:r>
        <w:r>
          <w:rPr>
            <w:noProof/>
            <w:webHidden/>
          </w:rPr>
          <w:t>105</w:t>
        </w:r>
        <w:r>
          <w:rPr>
            <w:noProof/>
            <w:webHidden/>
          </w:rPr>
          <w:fldChar w:fldCharType="end"/>
        </w:r>
      </w:hyperlink>
    </w:p>
    <w:p w14:paraId="7DD11367" w14:textId="5A5E6F12"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2" w:history="1">
        <w:r w:rsidRPr="006B524A">
          <w:rPr>
            <w:rStyle w:val="Hyperlink"/>
            <w:noProof/>
          </w:rPr>
          <w:t xml:space="preserve">Figure 5.2 Vector map for mouse </w:t>
        </w:r>
        <w:r w:rsidRPr="006B524A">
          <w:rPr>
            <w:rStyle w:val="Hyperlink"/>
            <w:i/>
            <w:iCs/>
            <w:noProof/>
          </w:rPr>
          <w:t>Ucp1</w:t>
        </w:r>
        <w:r w:rsidRPr="006B524A">
          <w:rPr>
            <w:rStyle w:val="Hyperlink"/>
            <w:noProof/>
          </w:rPr>
          <w:t xml:space="preserve"> sgRNA-a and c.</w:t>
        </w:r>
        <w:r>
          <w:rPr>
            <w:noProof/>
            <w:webHidden/>
          </w:rPr>
          <w:tab/>
        </w:r>
        <w:r>
          <w:rPr>
            <w:noProof/>
            <w:webHidden/>
          </w:rPr>
          <w:fldChar w:fldCharType="begin"/>
        </w:r>
        <w:r>
          <w:rPr>
            <w:noProof/>
            <w:webHidden/>
          </w:rPr>
          <w:instrText xml:space="preserve"> PAGEREF _Toc204847372 \h </w:instrText>
        </w:r>
        <w:r>
          <w:rPr>
            <w:noProof/>
            <w:webHidden/>
          </w:rPr>
        </w:r>
        <w:r>
          <w:rPr>
            <w:noProof/>
            <w:webHidden/>
          </w:rPr>
          <w:fldChar w:fldCharType="separate"/>
        </w:r>
        <w:r>
          <w:rPr>
            <w:noProof/>
            <w:webHidden/>
          </w:rPr>
          <w:t>106</w:t>
        </w:r>
        <w:r>
          <w:rPr>
            <w:noProof/>
            <w:webHidden/>
          </w:rPr>
          <w:fldChar w:fldCharType="end"/>
        </w:r>
      </w:hyperlink>
    </w:p>
    <w:p w14:paraId="58E24B01" w14:textId="3A4536E2"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3" w:history="1">
        <w:r w:rsidRPr="006B524A">
          <w:rPr>
            <w:rStyle w:val="Hyperlink"/>
            <w:noProof/>
          </w:rPr>
          <w:t>Figure 5.3 Vector map for mouse scrambled shRNA plasmid.</w:t>
        </w:r>
        <w:r>
          <w:rPr>
            <w:noProof/>
            <w:webHidden/>
          </w:rPr>
          <w:tab/>
        </w:r>
        <w:r>
          <w:rPr>
            <w:noProof/>
            <w:webHidden/>
          </w:rPr>
          <w:fldChar w:fldCharType="begin"/>
        </w:r>
        <w:r>
          <w:rPr>
            <w:noProof/>
            <w:webHidden/>
          </w:rPr>
          <w:instrText xml:space="preserve"> PAGEREF _Toc204847373 \h </w:instrText>
        </w:r>
        <w:r>
          <w:rPr>
            <w:noProof/>
            <w:webHidden/>
          </w:rPr>
        </w:r>
        <w:r>
          <w:rPr>
            <w:noProof/>
            <w:webHidden/>
          </w:rPr>
          <w:fldChar w:fldCharType="separate"/>
        </w:r>
        <w:r>
          <w:rPr>
            <w:noProof/>
            <w:webHidden/>
          </w:rPr>
          <w:t>107</w:t>
        </w:r>
        <w:r>
          <w:rPr>
            <w:noProof/>
            <w:webHidden/>
          </w:rPr>
          <w:fldChar w:fldCharType="end"/>
        </w:r>
      </w:hyperlink>
    </w:p>
    <w:p w14:paraId="7C64577A" w14:textId="0B7E6047"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4" w:history="1">
        <w:r w:rsidRPr="006B524A">
          <w:rPr>
            <w:rStyle w:val="Hyperlink"/>
            <w:noProof/>
          </w:rPr>
          <w:t xml:space="preserve">Figure 5.4 Validation of </w:t>
        </w:r>
        <w:r w:rsidRPr="006B524A">
          <w:rPr>
            <w:rStyle w:val="Hyperlink"/>
            <w:i/>
            <w:iCs/>
            <w:noProof/>
          </w:rPr>
          <w:t>Ucp1</w:t>
        </w:r>
        <w:r w:rsidRPr="006B524A">
          <w:rPr>
            <w:rStyle w:val="Hyperlink"/>
            <w:noProof/>
          </w:rPr>
          <w:t xml:space="preserve"> knockout in 3T3-L1 cells by fluorescence microscopy, genomic PCR, and Sanger sequencing.</w:t>
        </w:r>
        <w:r>
          <w:rPr>
            <w:noProof/>
            <w:webHidden/>
          </w:rPr>
          <w:tab/>
        </w:r>
        <w:r>
          <w:rPr>
            <w:noProof/>
            <w:webHidden/>
          </w:rPr>
          <w:fldChar w:fldCharType="begin"/>
        </w:r>
        <w:r>
          <w:rPr>
            <w:noProof/>
            <w:webHidden/>
          </w:rPr>
          <w:instrText xml:space="preserve"> PAGEREF _Toc204847374 \h </w:instrText>
        </w:r>
        <w:r>
          <w:rPr>
            <w:noProof/>
            <w:webHidden/>
          </w:rPr>
        </w:r>
        <w:r>
          <w:rPr>
            <w:noProof/>
            <w:webHidden/>
          </w:rPr>
          <w:fldChar w:fldCharType="separate"/>
        </w:r>
        <w:r>
          <w:rPr>
            <w:noProof/>
            <w:webHidden/>
          </w:rPr>
          <w:t>108</w:t>
        </w:r>
        <w:r>
          <w:rPr>
            <w:noProof/>
            <w:webHidden/>
          </w:rPr>
          <w:fldChar w:fldCharType="end"/>
        </w:r>
      </w:hyperlink>
    </w:p>
    <w:p w14:paraId="307CD5AA" w14:textId="213E1ADF"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5" w:history="1">
        <w:r w:rsidRPr="006B524A">
          <w:rPr>
            <w:rStyle w:val="Hyperlink"/>
            <w:noProof/>
          </w:rPr>
          <w:t xml:space="preserve">Figure 5.5 </w:t>
        </w:r>
        <w:r w:rsidRPr="006B524A">
          <w:rPr>
            <w:rStyle w:val="Hyperlink"/>
            <w:i/>
            <w:iCs/>
            <w:noProof/>
          </w:rPr>
          <w:t xml:space="preserve">Ucp1 </w:t>
        </w:r>
        <w:r w:rsidRPr="006B524A">
          <w:rPr>
            <w:rStyle w:val="Hyperlink"/>
            <w:noProof/>
          </w:rPr>
          <w:t>KO affected adipogenic differentiation and reduced proton leak in 3T3L1 adipocytes.</w:t>
        </w:r>
        <w:r>
          <w:rPr>
            <w:noProof/>
            <w:webHidden/>
          </w:rPr>
          <w:tab/>
        </w:r>
        <w:r>
          <w:rPr>
            <w:noProof/>
            <w:webHidden/>
          </w:rPr>
          <w:fldChar w:fldCharType="begin"/>
        </w:r>
        <w:r>
          <w:rPr>
            <w:noProof/>
            <w:webHidden/>
          </w:rPr>
          <w:instrText xml:space="preserve"> PAGEREF _Toc204847375 \h </w:instrText>
        </w:r>
        <w:r>
          <w:rPr>
            <w:noProof/>
            <w:webHidden/>
          </w:rPr>
        </w:r>
        <w:r>
          <w:rPr>
            <w:noProof/>
            <w:webHidden/>
          </w:rPr>
          <w:fldChar w:fldCharType="separate"/>
        </w:r>
        <w:r>
          <w:rPr>
            <w:noProof/>
            <w:webHidden/>
          </w:rPr>
          <w:t>109</w:t>
        </w:r>
        <w:r>
          <w:rPr>
            <w:noProof/>
            <w:webHidden/>
          </w:rPr>
          <w:fldChar w:fldCharType="end"/>
        </w:r>
      </w:hyperlink>
    </w:p>
    <w:p w14:paraId="401D956D" w14:textId="746A7A09"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6" w:history="1">
        <w:r w:rsidRPr="006B524A">
          <w:rPr>
            <w:rStyle w:val="Hyperlink"/>
            <w:noProof/>
          </w:rPr>
          <w:t xml:space="preserve">Figure 5.6 </w:t>
        </w:r>
        <w:r w:rsidRPr="006B524A">
          <w:rPr>
            <w:rStyle w:val="Hyperlink"/>
            <w:i/>
            <w:iCs/>
            <w:noProof/>
          </w:rPr>
          <w:t>Ucp1</w:t>
        </w:r>
        <w:r w:rsidRPr="006B524A">
          <w:rPr>
            <w:rStyle w:val="Hyperlink"/>
            <w:noProof/>
          </w:rPr>
          <w:t xml:space="preserve"> KO attenuated the browning response to rosiglitazone in 3T3-L1 adipocytes.</w:t>
        </w:r>
        <w:r>
          <w:rPr>
            <w:noProof/>
            <w:webHidden/>
          </w:rPr>
          <w:tab/>
        </w:r>
        <w:r>
          <w:rPr>
            <w:noProof/>
            <w:webHidden/>
          </w:rPr>
          <w:fldChar w:fldCharType="begin"/>
        </w:r>
        <w:r>
          <w:rPr>
            <w:noProof/>
            <w:webHidden/>
          </w:rPr>
          <w:instrText xml:space="preserve"> PAGEREF _Toc204847376 \h </w:instrText>
        </w:r>
        <w:r>
          <w:rPr>
            <w:noProof/>
            <w:webHidden/>
          </w:rPr>
        </w:r>
        <w:r>
          <w:rPr>
            <w:noProof/>
            <w:webHidden/>
          </w:rPr>
          <w:fldChar w:fldCharType="separate"/>
        </w:r>
        <w:r>
          <w:rPr>
            <w:noProof/>
            <w:webHidden/>
          </w:rPr>
          <w:t>110</w:t>
        </w:r>
        <w:r>
          <w:rPr>
            <w:noProof/>
            <w:webHidden/>
          </w:rPr>
          <w:fldChar w:fldCharType="end"/>
        </w:r>
      </w:hyperlink>
    </w:p>
    <w:p w14:paraId="49FA590E" w14:textId="36C478C5" w:rsidR="00937719" w:rsidRDefault="00937719">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204847377" w:history="1">
        <w:r w:rsidRPr="006B524A">
          <w:rPr>
            <w:rStyle w:val="Hyperlink"/>
            <w:noProof/>
          </w:rPr>
          <w:t>Figure 5.7</w:t>
        </w:r>
        <w:r w:rsidRPr="006B524A">
          <w:rPr>
            <w:rStyle w:val="Hyperlink"/>
            <w:i/>
            <w:iCs/>
            <w:noProof/>
          </w:rPr>
          <w:t xml:space="preserve"> Ucp1</w:t>
        </w:r>
        <w:r w:rsidRPr="006B524A">
          <w:rPr>
            <w:rStyle w:val="Hyperlink"/>
            <w:noProof/>
          </w:rPr>
          <w:t xml:space="preserve"> KO attenuated the enhancement of insulin signaling by rosiglitazone in 3T3-L1 adipocytes.</w:t>
        </w:r>
        <w:r>
          <w:rPr>
            <w:noProof/>
            <w:webHidden/>
          </w:rPr>
          <w:tab/>
        </w:r>
        <w:r>
          <w:rPr>
            <w:noProof/>
            <w:webHidden/>
          </w:rPr>
          <w:fldChar w:fldCharType="begin"/>
        </w:r>
        <w:r>
          <w:rPr>
            <w:noProof/>
            <w:webHidden/>
          </w:rPr>
          <w:instrText xml:space="preserve"> PAGEREF _Toc204847377 \h </w:instrText>
        </w:r>
        <w:r>
          <w:rPr>
            <w:noProof/>
            <w:webHidden/>
          </w:rPr>
        </w:r>
        <w:r>
          <w:rPr>
            <w:noProof/>
            <w:webHidden/>
          </w:rPr>
          <w:fldChar w:fldCharType="separate"/>
        </w:r>
        <w:r>
          <w:rPr>
            <w:noProof/>
            <w:webHidden/>
          </w:rPr>
          <w:t>111</w:t>
        </w:r>
        <w:r>
          <w:rPr>
            <w:noProof/>
            <w:webHidden/>
          </w:rPr>
          <w:fldChar w:fldCharType="end"/>
        </w:r>
      </w:hyperlink>
    </w:p>
    <w:p w14:paraId="06437895" w14:textId="7C436E76" w:rsidR="00487384" w:rsidRPr="00DB2C42" w:rsidRDefault="00AC25A3" w:rsidP="003544C2">
      <w:pPr>
        <w:pStyle w:val="Title"/>
        <w:jc w:val="both"/>
        <w:rPr>
          <w:b w:val="0"/>
          <w:sz w:val="24"/>
        </w:rPr>
      </w:pPr>
      <w:r w:rsidRPr="00DB2C42">
        <w:rPr>
          <w:b w:val="0"/>
          <w:sz w:val="24"/>
        </w:rPr>
        <w:fldChar w:fldCharType="end"/>
      </w:r>
      <w:r w:rsidR="005E2BD4" w:rsidRPr="00DB2C42">
        <w:rPr>
          <w:b w:val="0"/>
          <w:sz w:val="24"/>
        </w:rPr>
        <w:br w:type="page"/>
      </w:r>
    </w:p>
    <w:p w14:paraId="1CE5884E" w14:textId="77777777" w:rsidR="00487384" w:rsidRPr="00DB2C42" w:rsidRDefault="00487384" w:rsidP="00DB2C42">
      <w:pPr>
        <w:pStyle w:val="Title"/>
        <w:rPr>
          <w:b w:val="0"/>
          <w:sz w:val="24"/>
        </w:rPr>
      </w:pPr>
      <w:r w:rsidRPr="00DB2C42">
        <w:rPr>
          <w:b w:val="0"/>
          <w:sz w:val="24"/>
        </w:rPr>
        <w:lastRenderedPageBreak/>
        <w:t>LIST OF ABBREVIATION</w:t>
      </w:r>
    </w:p>
    <w:tbl>
      <w:tblPr>
        <w:tblW w:w="0" w:type="auto"/>
        <w:tblLook w:val="04A0" w:firstRow="1" w:lastRow="0" w:firstColumn="1" w:lastColumn="0" w:noHBand="0" w:noVBand="1"/>
      </w:tblPr>
      <w:tblGrid>
        <w:gridCol w:w="8418"/>
        <w:gridCol w:w="222"/>
      </w:tblGrid>
      <w:tr w:rsidR="002C7DBE" w:rsidRPr="00DB2C42" w14:paraId="061C2C9E" w14:textId="77777777" w:rsidTr="00E52FE5">
        <w:tc>
          <w:tcPr>
            <w:tcW w:w="6843" w:type="dxa"/>
          </w:tcPr>
          <w:tbl>
            <w:tblPr>
              <w:tblW w:w="8214" w:type="dxa"/>
              <w:tblLook w:val="04A0" w:firstRow="1" w:lastRow="0" w:firstColumn="1" w:lastColumn="0" w:noHBand="0" w:noVBand="1"/>
            </w:tblPr>
            <w:tblGrid>
              <w:gridCol w:w="1296"/>
              <w:gridCol w:w="6684"/>
              <w:gridCol w:w="222"/>
            </w:tblGrid>
            <w:tr w:rsidR="00AE2DF2" w14:paraId="623713D9" w14:textId="77777777" w:rsidTr="00AE2DF2">
              <w:trPr>
                <w:trHeight w:val="320"/>
              </w:trPr>
              <w:tc>
                <w:tcPr>
                  <w:tcW w:w="1300" w:type="dxa"/>
                  <w:tcBorders>
                    <w:top w:val="nil"/>
                    <w:left w:val="nil"/>
                    <w:bottom w:val="nil"/>
                    <w:right w:val="nil"/>
                  </w:tcBorders>
                  <w:shd w:val="clear" w:color="auto" w:fill="auto"/>
                  <w:noWrap/>
                  <w:vAlign w:val="bottom"/>
                  <w:hideMark/>
                </w:tcPr>
                <w:p w14:paraId="6A187EA2" w14:textId="77777777" w:rsidR="00AE2DF2" w:rsidRPr="00175752" w:rsidRDefault="00AE2DF2" w:rsidP="00AE2DF2">
                  <w:pPr>
                    <w:jc w:val="left"/>
                    <w:rPr>
                      <w:color w:val="000000"/>
                    </w:rPr>
                  </w:pPr>
                  <w:r w:rsidRPr="00175752">
                    <w:rPr>
                      <w:color w:val="000000"/>
                    </w:rPr>
                    <w:t>18F-FDG</w:t>
                  </w:r>
                </w:p>
              </w:tc>
              <w:tc>
                <w:tcPr>
                  <w:tcW w:w="6914" w:type="dxa"/>
                  <w:gridSpan w:val="2"/>
                  <w:tcBorders>
                    <w:top w:val="nil"/>
                    <w:left w:val="nil"/>
                    <w:bottom w:val="nil"/>
                    <w:right w:val="nil"/>
                  </w:tcBorders>
                  <w:shd w:val="clear" w:color="auto" w:fill="auto"/>
                  <w:noWrap/>
                  <w:vAlign w:val="bottom"/>
                  <w:hideMark/>
                </w:tcPr>
                <w:p w14:paraId="48BEFE85" w14:textId="77777777" w:rsidR="00AE2DF2" w:rsidRPr="00175752" w:rsidRDefault="00AE2DF2" w:rsidP="00AE2DF2">
                  <w:pPr>
                    <w:rPr>
                      <w:color w:val="000000"/>
                    </w:rPr>
                  </w:pPr>
                  <w:r w:rsidRPr="00175752">
                    <w:rPr>
                      <w:color w:val="000000"/>
                    </w:rPr>
                    <w:t>18F-fluorodeoxyglucose</w:t>
                  </w:r>
                </w:p>
              </w:tc>
            </w:tr>
            <w:tr w:rsidR="00AE2DF2" w:rsidRPr="00175752" w14:paraId="49EF91DE" w14:textId="77777777" w:rsidTr="00AE2DF2">
              <w:trPr>
                <w:trHeight w:val="320"/>
              </w:trPr>
              <w:tc>
                <w:tcPr>
                  <w:tcW w:w="1300" w:type="dxa"/>
                  <w:tcBorders>
                    <w:top w:val="nil"/>
                    <w:left w:val="nil"/>
                    <w:bottom w:val="nil"/>
                    <w:right w:val="nil"/>
                  </w:tcBorders>
                  <w:shd w:val="clear" w:color="auto" w:fill="auto"/>
                  <w:noWrap/>
                  <w:vAlign w:val="bottom"/>
                  <w:hideMark/>
                </w:tcPr>
                <w:p w14:paraId="76015C5F" w14:textId="77777777" w:rsidR="00AE2DF2" w:rsidRPr="00175752" w:rsidRDefault="00AE2DF2" w:rsidP="00AE2DF2">
                  <w:pPr>
                    <w:rPr>
                      <w:color w:val="000000"/>
                    </w:rPr>
                  </w:pPr>
                  <w:r w:rsidRPr="00175752">
                    <w:rPr>
                      <w:color w:val="000000"/>
                    </w:rPr>
                    <w:t>ACACα</w:t>
                  </w:r>
                </w:p>
              </w:tc>
              <w:tc>
                <w:tcPr>
                  <w:tcW w:w="6914" w:type="dxa"/>
                  <w:gridSpan w:val="2"/>
                  <w:tcBorders>
                    <w:top w:val="nil"/>
                    <w:left w:val="nil"/>
                    <w:bottom w:val="nil"/>
                    <w:right w:val="nil"/>
                  </w:tcBorders>
                  <w:shd w:val="clear" w:color="auto" w:fill="auto"/>
                  <w:noWrap/>
                  <w:vAlign w:val="bottom"/>
                  <w:hideMark/>
                </w:tcPr>
                <w:p w14:paraId="2D41A1F9" w14:textId="77777777" w:rsidR="00AE2DF2" w:rsidRPr="00175752" w:rsidRDefault="00AE2DF2" w:rsidP="00AE2DF2">
                  <w:pPr>
                    <w:rPr>
                      <w:color w:val="000000"/>
                    </w:rPr>
                  </w:pPr>
                  <w:r w:rsidRPr="00175752">
                    <w:rPr>
                      <w:color w:val="000000"/>
                    </w:rPr>
                    <w:t>Acetyl-CoA Carboxylase Alpha</w:t>
                  </w:r>
                </w:p>
              </w:tc>
            </w:tr>
            <w:tr w:rsidR="00AE2DF2" w:rsidRPr="00175752" w14:paraId="46F14618" w14:textId="77777777" w:rsidTr="00AE2DF2">
              <w:trPr>
                <w:trHeight w:val="320"/>
              </w:trPr>
              <w:tc>
                <w:tcPr>
                  <w:tcW w:w="1300" w:type="dxa"/>
                  <w:tcBorders>
                    <w:top w:val="nil"/>
                    <w:left w:val="nil"/>
                    <w:bottom w:val="nil"/>
                    <w:right w:val="nil"/>
                  </w:tcBorders>
                  <w:shd w:val="clear" w:color="auto" w:fill="auto"/>
                  <w:noWrap/>
                  <w:vAlign w:val="bottom"/>
                  <w:hideMark/>
                </w:tcPr>
                <w:p w14:paraId="06BBC546" w14:textId="77777777" w:rsidR="00AE2DF2" w:rsidRPr="00175752" w:rsidRDefault="00AE2DF2" w:rsidP="00AE2DF2">
                  <w:pPr>
                    <w:rPr>
                      <w:color w:val="000000"/>
                    </w:rPr>
                  </w:pPr>
                  <w:r w:rsidRPr="00175752">
                    <w:rPr>
                      <w:color w:val="000000"/>
                    </w:rPr>
                    <w:t>ACC</w:t>
                  </w:r>
                </w:p>
              </w:tc>
              <w:tc>
                <w:tcPr>
                  <w:tcW w:w="6914" w:type="dxa"/>
                  <w:gridSpan w:val="2"/>
                  <w:tcBorders>
                    <w:top w:val="nil"/>
                    <w:left w:val="nil"/>
                    <w:bottom w:val="nil"/>
                    <w:right w:val="nil"/>
                  </w:tcBorders>
                  <w:shd w:val="clear" w:color="auto" w:fill="auto"/>
                  <w:noWrap/>
                  <w:vAlign w:val="bottom"/>
                  <w:hideMark/>
                </w:tcPr>
                <w:p w14:paraId="6C8BB6D0" w14:textId="77777777" w:rsidR="00AE2DF2" w:rsidRPr="00175752" w:rsidRDefault="00AE2DF2" w:rsidP="00AE2DF2">
                  <w:pPr>
                    <w:rPr>
                      <w:color w:val="000000"/>
                    </w:rPr>
                  </w:pPr>
                  <w:r w:rsidRPr="00175752">
                    <w:rPr>
                      <w:color w:val="000000"/>
                    </w:rPr>
                    <w:t>Acetyl-CoA Carboxylase</w:t>
                  </w:r>
                </w:p>
              </w:tc>
            </w:tr>
            <w:tr w:rsidR="00AE2DF2" w:rsidRPr="00175752" w14:paraId="72024645" w14:textId="77777777" w:rsidTr="00AE2DF2">
              <w:trPr>
                <w:trHeight w:val="320"/>
              </w:trPr>
              <w:tc>
                <w:tcPr>
                  <w:tcW w:w="1300" w:type="dxa"/>
                  <w:tcBorders>
                    <w:top w:val="nil"/>
                    <w:left w:val="nil"/>
                    <w:bottom w:val="nil"/>
                    <w:right w:val="nil"/>
                  </w:tcBorders>
                  <w:shd w:val="clear" w:color="auto" w:fill="auto"/>
                  <w:noWrap/>
                  <w:vAlign w:val="bottom"/>
                  <w:hideMark/>
                </w:tcPr>
                <w:p w14:paraId="311ADC5D" w14:textId="77777777" w:rsidR="00AE2DF2" w:rsidRPr="00175752" w:rsidRDefault="00AE2DF2" w:rsidP="00AE2DF2">
                  <w:pPr>
                    <w:rPr>
                      <w:color w:val="000000"/>
                    </w:rPr>
                  </w:pPr>
                  <w:r w:rsidRPr="00175752">
                    <w:rPr>
                      <w:color w:val="000000"/>
                    </w:rPr>
                    <w:t>ADRB3</w:t>
                  </w:r>
                </w:p>
              </w:tc>
              <w:tc>
                <w:tcPr>
                  <w:tcW w:w="6914" w:type="dxa"/>
                  <w:gridSpan w:val="2"/>
                  <w:tcBorders>
                    <w:top w:val="nil"/>
                    <w:left w:val="nil"/>
                    <w:bottom w:val="nil"/>
                    <w:right w:val="nil"/>
                  </w:tcBorders>
                  <w:shd w:val="clear" w:color="auto" w:fill="auto"/>
                  <w:noWrap/>
                  <w:vAlign w:val="bottom"/>
                  <w:hideMark/>
                </w:tcPr>
                <w:p w14:paraId="6E84A6DC" w14:textId="77777777" w:rsidR="00AE2DF2" w:rsidRPr="00175752" w:rsidRDefault="00AE2DF2" w:rsidP="00AE2DF2">
                  <w:pPr>
                    <w:rPr>
                      <w:color w:val="000000"/>
                    </w:rPr>
                  </w:pPr>
                  <w:r w:rsidRPr="00175752">
                    <w:rPr>
                      <w:color w:val="000000"/>
                    </w:rPr>
                    <w:t>Beta-3 Adrenergic Receptor</w:t>
                  </w:r>
                </w:p>
              </w:tc>
            </w:tr>
            <w:tr w:rsidR="00AE2DF2" w:rsidRPr="00175752" w14:paraId="18438465" w14:textId="77777777" w:rsidTr="00AE2DF2">
              <w:trPr>
                <w:trHeight w:val="320"/>
              </w:trPr>
              <w:tc>
                <w:tcPr>
                  <w:tcW w:w="1300" w:type="dxa"/>
                  <w:tcBorders>
                    <w:top w:val="nil"/>
                    <w:left w:val="nil"/>
                    <w:bottom w:val="nil"/>
                    <w:right w:val="nil"/>
                  </w:tcBorders>
                  <w:shd w:val="clear" w:color="auto" w:fill="auto"/>
                  <w:noWrap/>
                  <w:vAlign w:val="bottom"/>
                  <w:hideMark/>
                </w:tcPr>
                <w:p w14:paraId="5C4ECB1D" w14:textId="77777777" w:rsidR="00AE2DF2" w:rsidRPr="00175752" w:rsidRDefault="00AE2DF2" w:rsidP="00AE2DF2">
                  <w:pPr>
                    <w:rPr>
                      <w:color w:val="000000"/>
                    </w:rPr>
                  </w:pPr>
                  <w:r w:rsidRPr="00175752">
                    <w:rPr>
                      <w:color w:val="000000"/>
                    </w:rPr>
                    <w:t>ADSCs</w:t>
                  </w:r>
                </w:p>
              </w:tc>
              <w:tc>
                <w:tcPr>
                  <w:tcW w:w="6914" w:type="dxa"/>
                  <w:gridSpan w:val="2"/>
                  <w:tcBorders>
                    <w:top w:val="nil"/>
                    <w:left w:val="nil"/>
                    <w:bottom w:val="nil"/>
                    <w:right w:val="nil"/>
                  </w:tcBorders>
                  <w:shd w:val="clear" w:color="auto" w:fill="auto"/>
                  <w:noWrap/>
                  <w:vAlign w:val="bottom"/>
                  <w:hideMark/>
                </w:tcPr>
                <w:p w14:paraId="55D2EFBA" w14:textId="77777777" w:rsidR="00AE2DF2" w:rsidRPr="00175752" w:rsidRDefault="00AE2DF2" w:rsidP="00AE2DF2">
                  <w:pPr>
                    <w:rPr>
                      <w:color w:val="000000"/>
                    </w:rPr>
                  </w:pPr>
                  <w:r w:rsidRPr="00175752">
                    <w:rPr>
                      <w:color w:val="000000"/>
                    </w:rPr>
                    <w:t>Adipose-Derived Stromal Cells</w:t>
                  </w:r>
                </w:p>
              </w:tc>
            </w:tr>
            <w:tr w:rsidR="00AE2DF2" w:rsidRPr="00175752" w14:paraId="5AD67C1A" w14:textId="77777777" w:rsidTr="00AE2DF2">
              <w:trPr>
                <w:trHeight w:val="320"/>
              </w:trPr>
              <w:tc>
                <w:tcPr>
                  <w:tcW w:w="1300" w:type="dxa"/>
                  <w:tcBorders>
                    <w:top w:val="nil"/>
                    <w:left w:val="nil"/>
                    <w:bottom w:val="nil"/>
                    <w:right w:val="nil"/>
                  </w:tcBorders>
                  <w:shd w:val="clear" w:color="auto" w:fill="auto"/>
                  <w:noWrap/>
                  <w:vAlign w:val="bottom"/>
                  <w:hideMark/>
                </w:tcPr>
                <w:p w14:paraId="713AD7A7" w14:textId="77777777" w:rsidR="00AE2DF2" w:rsidRPr="00175752" w:rsidRDefault="00AE2DF2" w:rsidP="00AE2DF2">
                  <w:pPr>
                    <w:rPr>
                      <w:color w:val="000000"/>
                    </w:rPr>
                  </w:pPr>
                  <w:r w:rsidRPr="00175752">
                    <w:rPr>
                      <w:color w:val="000000"/>
                    </w:rPr>
                    <w:t>AKT</w:t>
                  </w:r>
                </w:p>
              </w:tc>
              <w:tc>
                <w:tcPr>
                  <w:tcW w:w="6914" w:type="dxa"/>
                  <w:gridSpan w:val="2"/>
                  <w:tcBorders>
                    <w:top w:val="nil"/>
                    <w:left w:val="nil"/>
                    <w:bottom w:val="nil"/>
                    <w:right w:val="nil"/>
                  </w:tcBorders>
                  <w:shd w:val="clear" w:color="auto" w:fill="auto"/>
                  <w:noWrap/>
                  <w:vAlign w:val="bottom"/>
                  <w:hideMark/>
                </w:tcPr>
                <w:p w14:paraId="79700E03" w14:textId="77777777" w:rsidR="00AE2DF2" w:rsidRPr="00175752" w:rsidRDefault="00AE2DF2" w:rsidP="00AE2DF2">
                  <w:pPr>
                    <w:rPr>
                      <w:color w:val="000000"/>
                    </w:rPr>
                  </w:pPr>
                  <w:r w:rsidRPr="00175752">
                    <w:rPr>
                      <w:color w:val="000000"/>
                    </w:rPr>
                    <w:t>Protein Kinase B</w:t>
                  </w:r>
                </w:p>
              </w:tc>
            </w:tr>
            <w:tr w:rsidR="00AE2DF2" w:rsidRPr="00175752" w14:paraId="0E40C86C" w14:textId="77777777" w:rsidTr="00AE2DF2">
              <w:trPr>
                <w:trHeight w:val="320"/>
              </w:trPr>
              <w:tc>
                <w:tcPr>
                  <w:tcW w:w="1300" w:type="dxa"/>
                  <w:tcBorders>
                    <w:top w:val="nil"/>
                    <w:left w:val="nil"/>
                    <w:bottom w:val="nil"/>
                    <w:right w:val="nil"/>
                  </w:tcBorders>
                  <w:shd w:val="clear" w:color="auto" w:fill="auto"/>
                  <w:noWrap/>
                  <w:vAlign w:val="bottom"/>
                  <w:hideMark/>
                </w:tcPr>
                <w:p w14:paraId="7163EAC0" w14:textId="77777777" w:rsidR="00AE2DF2" w:rsidRPr="00175752" w:rsidRDefault="00AE2DF2" w:rsidP="00AE2DF2">
                  <w:pPr>
                    <w:rPr>
                      <w:color w:val="000000"/>
                    </w:rPr>
                  </w:pPr>
                  <w:r w:rsidRPr="00175752">
                    <w:rPr>
                      <w:color w:val="000000"/>
                    </w:rPr>
                    <w:t>AKT1</w:t>
                  </w:r>
                </w:p>
              </w:tc>
              <w:tc>
                <w:tcPr>
                  <w:tcW w:w="6914" w:type="dxa"/>
                  <w:gridSpan w:val="2"/>
                  <w:tcBorders>
                    <w:top w:val="nil"/>
                    <w:left w:val="nil"/>
                    <w:bottom w:val="nil"/>
                    <w:right w:val="nil"/>
                  </w:tcBorders>
                  <w:shd w:val="clear" w:color="auto" w:fill="auto"/>
                  <w:noWrap/>
                  <w:vAlign w:val="bottom"/>
                  <w:hideMark/>
                </w:tcPr>
                <w:p w14:paraId="2131CAE0" w14:textId="77777777" w:rsidR="00AE2DF2" w:rsidRPr="00175752" w:rsidRDefault="00AE2DF2" w:rsidP="00AE2DF2">
                  <w:pPr>
                    <w:rPr>
                      <w:color w:val="000000"/>
                    </w:rPr>
                  </w:pPr>
                  <w:r w:rsidRPr="00175752">
                    <w:rPr>
                      <w:color w:val="000000"/>
                    </w:rPr>
                    <w:t>AKT Serine/threonine Kinase 1</w:t>
                  </w:r>
                </w:p>
              </w:tc>
            </w:tr>
            <w:tr w:rsidR="00AE2DF2" w:rsidRPr="00175752" w14:paraId="230528B3" w14:textId="77777777" w:rsidTr="00AE2DF2">
              <w:trPr>
                <w:trHeight w:val="320"/>
              </w:trPr>
              <w:tc>
                <w:tcPr>
                  <w:tcW w:w="1300" w:type="dxa"/>
                  <w:tcBorders>
                    <w:top w:val="nil"/>
                    <w:left w:val="nil"/>
                    <w:bottom w:val="nil"/>
                    <w:right w:val="nil"/>
                  </w:tcBorders>
                  <w:shd w:val="clear" w:color="auto" w:fill="auto"/>
                  <w:noWrap/>
                  <w:vAlign w:val="bottom"/>
                  <w:hideMark/>
                </w:tcPr>
                <w:p w14:paraId="665590ED" w14:textId="77777777" w:rsidR="00AE2DF2" w:rsidRPr="00175752" w:rsidRDefault="00AE2DF2" w:rsidP="00AE2DF2">
                  <w:pPr>
                    <w:rPr>
                      <w:color w:val="000000"/>
                    </w:rPr>
                  </w:pPr>
                  <w:r w:rsidRPr="00175752">
                    <w:rPr>
                      <w:color w:val="000000"/>
                    </w:rPr>
                    <w:t>ALT</w:t>
                  </w:r>
                </w:p>
              </w:tc>
              <w:tc>
                <w:tcPr>
                  <w:tcW w:w="6914" w:type="dxa"/>
                  <w:gridSpan w:val="2"/>
                  <w:tcBorders>
                    <w:top w:val="nil"/>
                    <w:left w:val="nil"/>
                    <w:bottom w:val="nil"/>
                    <w:right w:val="nil"/>
                  </w:tcBorders>
                  <w:shd w:val="clear" w:color="auto" w:fill="auto"/>
                  <w:noWrap/>
                  <w:vAlign w:val="bottom"/>
                  <w:hideMark/>
                </w:tcPr>
                <w:p w14:paraId="7BA5CF0D" w14:textId="77777777" w:rsidR="00AE2DF2" w:rsidRPr="00175752" w:rsidRDefault="00AE2DF2" w:rsidP="00AE2DF2">
                  <w:pPr>
                    <w:rPr>
                      <w:color w:val="000000"/>
                    </w:rPr>
                  </w:pPr>
                  <w:r w:rsidRPr="00175752">
                    <w:rPr>
                      <w:color w:val="000000"/>
                    </w:rPr>
                    <w:t>Alanine Aminotransferase</w:t>
                  </w:r>
                </w:p>
              </w:tc>
            </w:tr>
            <w:tr w:rsidR="00AE2DF2" w:rsidRPr="00175752" w14:paraId="6346B8BB" w14:textId="77777777" w:rsidTr="00AE2DF2">
              <w:trPr>
                <w:trHeight w:val="320"/>
              </w:trPr>
              <w:tc>
                <w:tcPr>
                  <w:tcW w:w="1300" w:type="dxa"/>
                  <w:tcBorders>
                    <w:top w:val="nil"/>
                    <w:left w:val="nil"/>
                    <w:bottom w:val="nil"/>
                    <w:right w:val="nil"/>
                  </w:tcBorders>
                  <w:shd w:val="clear" w:color="auto" w:fill="auto"/>
                  <w:noWrap/>
                  <w:vAlign w:val="bottom"/>
                  <w:hideMark/>
                </w:tcPr>
                <w:p w14:paraId="17F721FD" w14:textId="77777777" w:rsidR="00AE2DF2" w:rsidRPr="00175752" w:rsidRDefault="00AE2DF2" w:rsidP="00AE2DF2">
                  <w:pPr>
                    <w:rPr>
                      <w:color w:val="000000"/>
                    </w:rPr>
                  </w:pPr>
                  <w:r w:rsidRPr="00175752">
                    <w:rPr>
                      <w:color w:val="000000"/>
                    </w:rPr>
                    <w:t>AMPK</w:t>
                  </w:r>
                </w:p>
              </w:tc>
              <w:tc>
                <w:tcPr>
                  <w:tcW w:w="6914" w:type="dxa"/>
                  <w:gridSpan w:val="2"/>
                  <w:tcBorders>
                    <w:top w:val="nil"/>
                    <w:left w:val="nil"/>
                    <w:bottom w:val="nil"/>
                    <w:right w:val="nil"/>
                  </w:tcBorders>
                  <w:shd w:val="clear" w:color="auto" w:fill="auto"/>
                  <w:noWrap/>
                  <w:vAlign w:val="bottom"/>
                  <w:hideMark/>
                </w:tcPr>
                <w:p w14:paraId="7EDF9AE8" w14:textId="77777777" w:rsidR="00AE2DF2" w:rsidRPr="00175752" w:rsidRDefault="00AE2DF2" w:rsidP="00AE2DF2">
                  <w:pPr>
                    <w:rPr>
                      <w:color w:val="000000"/>
                    </w:rPr>
                  </w:pPr>
                  <w:r w:rsidRPr="00175752">
                    <w:rPr>
                      <w:color w:val="000000"/>
                    </w:rPr>
                    <w:t>AMP-Activated Protein Kinase</w:t>
                  </w:r>
                </w:p>
              </w:tc>
            </w:tr>
            <w:tr w:rsidR="00AE2DF2" w:rsidRPr="00175752" w14:paraId="0E8B7C00" w14:textId="77777777" w:rsidTr="00AE2DF2">
              <w:trPr>
                <w:trHeight w:val="320"/>
              </w:trPr>
              <w:tc>
                <w:tcPr>
                  <w:tcW w:w="1300" w:type="dxa"/>
                  <w:tcBorders>
                    <w:top w:val="nil"/>
                    <w:left w:val="nil"/>
                    <w:bottom w:val="nil"/>
                    <w:right w:val="nil"/>
                  </w:tcBorders>
                  <w:shd w:val="clear" w:color="auto" w:fill="auto"/>
                  <w:noWrap/>
                  <w:vAlign w:val="bottom"/>
                  <w:hideMark/>
                </w:tcPr>
                <w:p w14:paraId="2B29C0EA" w14:textId="77777777" w:rsidR="00AE2DF2" w:rsidRPr="00175752" w:rsidRDefault="00AE2DF2" w:rsidP="00AE2DF2">
                  <w:pPr>
                    <w:rPr>
                      <w:color w:val="000000"/>
                    </w:rPr>
                  </w:pPr>
                  <w:r w:rsidRPr="00175752">
                    <w:rPr>
                      <w:color w:val="000000"/>
                    </w:rPr>
                    <w:t>AR</w:t>
                  </w:r>
                </w:p>
              </w:tc>
              <w:tc>
                <w:tcPr>
                  <w:tcW w:w="6914" w:type="dxa"/>
                  <w:gridSpan w:val="2"/>
                  <w:tcBorders>
                    <w:top w:val="nil"/>
                    <w:left w:val="nil"/>
                    <w:bottom w:val="nil"/>
                    <w:right w:val="nil"/>
                  </w:tcBorders>
                  <w:shd w:val="clear" w:color="auto" w:fill="auto"/>
                  <w:noWrap/>
                  <w:vAlign w:val="bottom"/>
                  <w:hideMark/>
                </w:tcPr>
                <w:p w14:paraId="7BDAA8D2" w14:textId="77777777" w:rsidR="00AE2DF2" w:rsidRPr="00175752" w:rsidRDefault="00AE2DF2" w:rsidP="00AE2DF2">
                  <w:pPr>
                    <w:rPr>
                      <w:color w:val="000000"/>
                    </w:rPr>
                  </w:pPr>
                  <w:r w:rsidRPr="00175752">
                    <w:rPr>
                      <w:color w:val="000000"/>
                    </w:rPr>
                    <w:t>Androgen Receptor</w:t>
                  </w:r>
                </w:p>
              </w:tc>
            </w:tr>
            <w:tr w:rsidR="00AE2DF2" w:rsidRPr="00175752" w14:paraId="1386CBCA" w14:textId="77777777" w:rsidTr="00AE2DF2">
              <w:trPr>
                <w:trHeight w:val="320"/>
              </w:trPr>
              <w:tc>
                <w:tcPr>
                  <w:tcW w:w="1300" w:type="dxa"/>
                  <w:tcBorders>
                    <w:top w:val="nil"/>
                    <w:left w:val="nil"/>
                    <w:bottom w:val="nil"/>
                    <w:right w:val="nil"/>
                  </w:tcBorders>
                  <w:shd w:val="clear" w:color="auto" w:fill="auto"/>
                  <w:noWrap/>
                  <w:vAlign w:val="bottom"/>
                  <w:hideMark/>
                </w:tcPr>
                <w:p w14:paraId="1820BB48" w14:textId="77777777" w:rsidR="00AE2DF2" w:rsidRPr="00175752" w:rsidRDefault="00AE2DF2" w:rsidP="00AE2DF2">
                  <w:pPr>
                    <w:rPr>
                      <w:color w:val="000000"/>
                    </w:rPr>
                  </w:pPr>
                  <w:r w:rsidRPr="00175752">
                    <w:rPr>
                      <w:color w:val="000000"/>
                    </w:rPr>
                    <w:t>ASP</w:t>
                  </w:r>
                </w:p>
              </w:tc>
              <w:tc>
                <w:tcPr>
                  <w:tcW w:w="6914" w:type="dxa"/>
                  <w:gridSpan w:val="2"/>
                  <w:tcBorders>
                    <w:top w:val="nil"/>
                    <w:left w:val="nil"/>
                    <w:bottom w:val="nil"/>
                    <w:right w:val="nil"/>
                  </w:tcBorders>
                  <w:shd w:val="clear" w:color="auto" w:fill="auto"/>
                  <w:noWrap/>
                  <w:vAlign w:val="bottom"/>
                  <w:hideMark/>
                </w:tcPr>
                <w:p w14:paraId="3ABD843C" w14:textId="77777777" w:rsidR="00AE2DF2" w:rsidRPr="00175752" w:rsidRDefault="00AE2DF2" w:rsidP="00AE2DF2">
                  <w:pPr>
                    <w:rPr>
                      <w:color w:val="000000"/>
                    </w:rPr>
                  </w:pPr>
                  <w:r w:rsidRPr="00175752">
                    <w:rPr>
                      <w:color w:val="000000"/>
                    </w:rPr>
                    <w:t>Acylation-stimulating Protein</w:t>
                  </w:r>
                </w:p>
              </w:tc>
            </w:tr>
            <w:tr w:rsidR="00AE2DF2" w:rsidRPr="00175752" w14:paraId="08D82E31" w14:textId="77777777" w:rsidTr="00AE2DF2">
              <w:trPr>
                <w:trHeight w:val="320"/>
              </w:trPr>
              <w:tc>
                <w:tcPr>
                  <w:tcW w:w="1300" w:type="dxa"/>
                  <w:tcBorders>
                    <w:top w:val="nil"/>
                    <w:left w:val="nil"/>
                    <w:bottom w:val="nil"/>
                    <w:right w:val="nil"/>
                  </w:tcBorders>
                  <w:shd w:val="clear" w:color="auto" w:fill="auto"/>
                  <w:noWrap/>
                  <w:vAlign w:val="bottom"/>
                  <w:hideMark/>
                </w:tcPr>
                <w:p w14:paraId="3544BDA1" w14:textId="77777777" w:rsidR="00AE2DF2" w:rsidRPr="00175752" w:rsidRDefault="00AE2DF2" w:rsidP="00AE2DF2">
                  <w:pPr>
                    <w:rPr>
                      <w:color w:val="000000"/>
                    </w:rPr>
                  </w:pPr>
                  <w:r w:rsidRPr="00175752">
                    <w:rPr>
                      <w:color w:val="000000"/>
                    </w:rPr>
                    <w:t>AST</w:t>
                  </w:r>
                </w:p>
              </w:tc>
              <w:tc>
                <w:tcPr>
                  <w:tcW w:w="6914" w:type="dxa"/>
                  <w:gridSpan w:val="2"/>
                  <w:tcBorders>
                    <w:top w:val="nil"/>
                    <w:left w:val="nil"/>
                    <w:bottom w:val="nil"/>
                    <w:right w:val="nil"/>
                  </w:tcBorders>
                  <w:shd w:val="clear" w:color="auto" w:fill="auto"/>
                  <w:noWrap/>
                  <w:vAlign w:val="bottom"/>
                  <w:hideMark/>
                </w:tcPr>
                <w:p w14:paraId="292B9AA3" w14:textId="77777777" w:rsidR="00AE2DF2" w:rsidRPr="00175752" w:rsidRDefault="00AE2DF2" w:rsidP="00AE2DF2">
                  <w:pPr>
                    <w:rPr>
                      <w:color w:val="000000"/>
                    </w:rPr>
                  </w:pPr>
                  <w:r w:rsidRPr="00175752">
                    <w:rPr>
                      <w:color w:val="000000"/>
                    </w:rPr>
                    <w:t>Aspartate Aminotransferase</w:t>
                  </w:r>
                </w:p>
              </w:tc>
            </w:tr>
            <w:tr w:rsidR="00AE2DF2" w:rsidRPr="00175752" w14:paraId="3F49DB79" w14:textId="77777777" w:rsidTr="00AE2DF2">
              <w:trPr>
                <w:trHeight w:val="320"/>
              </w:trPr>
              <w:tc>
                <w:tcPr>
                  <w:tcW w:w="1300" w:type="dxa"/>
                  <w:tcBorders>
                    <w:top w:val="nil"/>
                    <w:left w:val="nil"/>
                    <w:bottom w:val="nil"/>
                    <w:right w:val="nil"/>
                  </w:tcBorders>
                  <w:shd w:val="clear" w:color="auto" w:fill="auto"/>
                  <w:noWrap/>
                  <w:vAlign w:val="bottom"/>
                  <w:hideMark/>
                </w:tcPr>
                <w:p w14:paraId="6870D282" w14:textId="77777777" w:rsidR="00AE2DF2" w:rsidRPr="00175752" w:rsidRDefault="00AE2DF2" w:rsidP="00AE2DF2">
                  <w:pPr>
                    <w:rPr>
                      <w:color w:val="000000"/>
                    </w:rPr>
                  </w:pPr>
                  <w:r w:rsidRPr="00175752">
                    <w:rPr>
                      <w:color w:val="000000"/>
                    </w:rPr>
                    <w:t>ATAD3</w:t>
                  </w:r>
                </w:p>
              </w:tc>
              <w:tc>
                <w:tcPr>
                  <w:tcW w:w="6914" w:type="dxa"/>
                  <w:gridSpan w:val="2"/>
                  <w:tcBorders>
                    <w:top w:val="nil"/>
                    <w:left w:val="nil"/>
                    <w:bottom w:val="nil"/>
                    <w:right w:val="nil"/>
                  </w:tcBorders>
                  <w:shd w:val="clear" w:color="auto" w:fill="auto"/>
                  <w:noWrap/>
                  <w:vAlign w:val="bottom"/>
                  <w:hideMark/>
                </w:tcPr>
                <w:p w14:paraId="4B48B4B8" w14:textId="77777777" w:rsidR="00AE2DF2" w:rsidRPr="00175752" w:rsidRDefault="00AE2DF2" w:rsidP="00AE2DF2">
                  <w:pPr>
                    <w:rPr>
                      <w:color w:val="000000"/>
                    </w:rPr>
                  </w:pPr>
                  <w:r w:rsidRPr="00175752">
                    <w:rPr>
                      <w:color w:val="000000"/>
                    </w:rPr>
                    <w:t>ATPase Family AAA Domain Containing Protein 3</w:t>
                  </w:r>
                </w:p>
              </w:tc>
            </w:tr>
            <w:tr w:rsidR="00AE2DF2" w:rsidRPr="00175752" w14:paraId="4CD12437" w14:textId="77777777" w:rsidTr="00AE2DF2">
              <w:trPr>
                <w:trHeight w:val="320"/>
              </w:trPr>
              <w:tc>
                <w:tcPr>
                  <w:tcW w:w="1300" w:type="dxa"/>
                  <w:tcBorders>
                    <w:top w:val="nil"/>
                    <w:left w:val="nil"/>
                    <w:bottom w:val="nil"/>
                    <w:right w:val="nil"/>
                  </w:tcBorders>
                  <w:shd w:val="clear" w:color="auto" w:fill="auto"/>
                  <w:noWrap/>
                  <w:vAlign w:val="bottom"/>
                  <w:hideMark/>
                </w:tcPr>
                <w:p w14:paraId="0F7588A0" w14:textId="77777777" w:rsidR="00AE2DF2" w:rsidRPr="00175752" w:rsidRDefault="00AE2DF2" w:rsidP="00AE2DF2">
                  <w:pPr>
                    <w:rPr>
                      <w:color w:val="000000"/>
                    </w:rPr>
                  </w:pPr>
                  <w:r w:rsidRPr="00175752">
                    <w:rPr>
                      <w:color w:val="000000"/>
                    </w:rPr>
                    <w:t>ATF2</w:t>
                  </w:r>
                </w:p>
              </w:tc>
              <w:tc>
                <w:tcPr>
                  <w:tcW w:w="6914" w:type="dxa"/>
                  <w:gridSpan w:val="2"/>
                  <w:tcBorders>
                    <w:top w:val="nil"/>
                    <w:left w:val="nil"/>
                    <w:bottom w:val="nil"/>
                    <w:right w:val="nil"/>
                  </w:tcBorders>
                  <w:shd w:val="clear" w:color="auto" w:fill="auto"/>
                  <w:noWrap/>
                  <w:vAlign w:val="bottom"/>
                  <w:hideMark/>
                </w:tcPr>
                <w:p w14:paraId="2B072989" w14:textId="77777777" w:rsidR="00AE2DF2" w:rsidRPr="00175752" w:rsidRDefault="00AE2DF2" w:rsidP="00AE2DF2">
                  <w:pPr>
                    <w:rPr>
                      <w:color w:val="000000"/>
                    </w:rPr>
                  </w:pPr>
                  <w:r w:rsidRPr="00175752">
                    <w:rPr>
                      <w:color w:val="000000"/>
                    </w:rPr>
                    <w:t>Activating Transcription Factor 2</w:t>
                  </w:r>
                </w:p>
              </w:tc>
            </w:tr>
            <w:tr w:rsidR="00AE2DF2" w:rsidRPr="00175752" w14:paraId="6E2DAF93" w14:textId="77777777" w:rsidTr="00AE2DF2">
              <w:trPr>
                <w:trHeight w:val="320"/>
              </w:trPr>
              <w:tc>
                <w:tcPr>
                  <w:tcW w:w="1300" w:type="dxa"/>
                  <w:tcBorders>
                    <w:top w:val="nil"/>
                    <w:left w:val="nil"/>
                    <w:bottom w:val="nil"/>
                    <w:right w:val="nil"/>
                  </w:tcBorders>
                  <w:shd w:val="clear" w:color="auto" w:fill="auto"/>
                  <w:noWrap/>
                  <w:vAlign w:val="bottom"/>
                  <w:hideMark/>
                </w:tcPr>
                <w:p w14:paraId="0E673BB5" w14:textId="77777777" w:rsidR="00AE2DF2" w:rsidRPr="00175752" w:rsidRDefault="00AE2DF2" w:rsidP="00AE2DF2">
                  <w:pPr>
                    <w:rPr>
                      <w:color w:val="000000"/>
                    </w:rPr>
                  </w:pPr>
                  <w:r w:rsidRPr="00175752">
                    <w:rPr>
                      <w:color w:val="000000"/>
                    </w:rPr>
                    <w:t>ATGL</w:t>
                  </w:r>
                </w:p>
              </w:tc>
              <w:tc>
                <w:tcPr>
                  <w:tcW w:w="6914" w:type="dxa"/>
                  <w:gridSpan w:val="2"/>
                  <w:tcBorders>
                    <w:top w:val="nil"/>
                    <w:left w:val="nil"/>
                    <w:bottom w:val="nil"/>
                    <w:right w:val="nil"/>
                  </w:tcBorders>
                  <w:shd w:val="clear" w:color="auto" w:fill="auto"/>
                  <w:noWrap/>
                  <w:vAlign w:val="bottom"/>
                  <w:hideMark/>
                </w:tcPr>
                <w:p w14:paraId="296A4D8C" w14:textId="77777777" w:rsidR="00AE2DF2" w:rsidRPr="00175752" w:rsidRDefault="00AE2DF2" w:rsidP="00AE2DF2">
                  <w:pPr>
                    <w:rPr>
                      <w:color w:val="000000"/>
                    </w:rPr>
                  </w:pPr>
                  <w:r w:rsidRPr="00175752">
                    <w:rPr>
                      <w:color w:val="000000"/>
                    </w:rPr>
                    <w:t>Adipose Triglyceride Lipase</w:t>
                  </w:r>
                </w:p>
              </w:tc>
            </w:tr>
            <w:tr w:rsidR="00AE2DF2" w:rsidRPr="00175752" w14:paraId="06792697" w14:textId="77777777" w:rsidTr="00AE2DF2">
              <w:trPr>
                <w:trHeight w:val="320"/>
              </w:trPr>
              <w:tc>
                <w:tcPr>
                  <w:tcW w:w="1300" w:type="dxa"/>
                  <w:tcBorders>
                    <w:top w:val="nil"/>
                    <w:left w:val="nil"/>
                    <w:bottom w:val="nil"/>
                    <w:right w:val="nil"/>
                  </w:tcBorders>
                  <w:shd w:val="clear" w:color="auto" w:fill="auto"/>
                  <w:noWrap/>
                  <w:vAlign w:val="bottom"/>
                  <w:hideMark/>
                </w:tcPr>
                <w:p w14:paraId="69B591B0" w14:textId="77777777" w:rsidR="00AE2DF2" w:rsidRPr="00175752" w:rsidRDefault="00AE2DF2" w:rsidP="00AE2DF2">
                  <w:pPr>
                    <w:rPr>
                      <w:color w:val="000000"/>
                    </w:rPr>
                  </w:pPr>
                  <w:r w:rsidRPr="00175752">
                    <w:rPr>
                      <w:color w:val="000000"/>
                    </w:rPr>
                    <w:t>AUC</w:t>
                  </w:r>
                </w:p>
              </w:tc>
              <w:tc>
                <w:tcPr>
                  <w:tcW w:w="6914" w:type="dxa"/>
                  <w:gridSpan w:val="2"/>
                  <w:tcBorders>
                    <w:top w:val="nil"/>
                    <w:left w:val="nil"/>
                    <w:bottom w:val="nil"/>
                    <w:right w:val="nil"/>
                  </w:tcBorders>
                  <w:shd w:val="clear" w:color="auto" w:fill="auto"/>
                  <w:noWrap/>
                  <w:vAlign w:val="bottom"/>
                  <w:hideMark/>
                </w:tcPr>
                <w:p w14:paraId="75A2ED5E" w14:textId="77777777" w:rsidR="00AE2DF2" w:rsidRPr="00175752" w:rsidRDefault="00AE2DF2" w:rsidP="00AE2DF2">
                  <w:pPr>
                    <w:rPr>
                      <w:color w:val="000000"/>
                    </w:rPr>
                  </w:pPr>
                  <w:r w:rsidRPr="00175752">
                    <w:rPr>
                      <w:color w:val="000000"/>
                    </w:rPr>
                    <w:t>Under the Curve</w:t>
                  </w:r>
                </w:p>
              </w:tc>
            </w:tr>
            <w:tr w:rsidR="00AE2DF2" w:rsidRPr="00175752" w14:paraId="32AD1F26" w14:textId="77777777" w:rsidTr="00AE2DF2">
              <w:trPr>
                <w:trHeight w:val="320"/>
              </w:trPr>
              <w:tc>
                <w:tcPr>
                  <w:tcW w:w="1300" w:type="dxa"/>
                  <w:tcBorders>
                    <w:top w:val="nil"/>
                    <w:left w:val="nil"/>
                    <w:bottom w:val="nil"/>
                    <w:right w:val="nil"/>
                  </w:tcBorders>
                  <w:shd w:val="clear" w:color="auto" w:fill="auto"/>
                  <w:noWrap/>
                  <w:vAlign w:val="bottom"/>
                  <w:hideMark/>
                </w:tcPr>
                <w:p w14:paraId="70CA10A5" w14:textId="77777777" w:rsidR="00AE2DF2" w:rsidRPr="00175752" w:rsidRDefault="00AE2DF2" w:rsidP="00AE2DF2">
                  <w:pPr>
                    <w:rPr>
                      <w:color w:val="000000"/>
                    </w:rPr>
                  </w:pPr>
                  <w:r w:rsidRPr="00175752">
                    <w:rPr>
                      <w:color w:val="000000"/>
                    </w:rPr>
                    <w:t>AdipoQ</w:t>
                  </w:r>
                </w:p>
              </w:tc>
              <w:tc>
                <w:tcPr>
                  <w:tcW w:w="6711" w:type="dxa"/>
                  <w:tcBorders>
                    <w:top w:val="nil"/>
                    <w:left w:val="nil"/>
                    <w:bottom w:val="nil"/>
                    <w:right w:val="nil"/>
                  </w:tcBorders>
                  <w:shd w:val="clear" w:color="auto" w:fill="auto"/>
                  <w:noWrap/>
                  <w:vAlign w:val="bottom"/>
                  <w:hideMark/>
                </w:tcPr>
                <w:p w14:paraId="12ED8713" w14:textId="77777777" w:rsidR="00AE2DF2" w:rsidRPr="00175752" w:rsidRDefault="00AE2DF2" w:rsidP="00AE2DF2">
                  <w:pPr>
                    <w:rPr>
                      <w:color w:val="000000"/>
                    </w:rPr>
                  </w:pPr>
                  <w:r w:rsidRPr="00175752">
                    <w:rPr>
                      <w:color w:val="000000"/>
                    </w:rPr>
                    <w:t>Adiponectin</w:t>
                  </w:r>
                </w:p>
              </w:tc>
              <w:tc>
                <w:tcPr>
                  <w:tcW w:w="203" w:type="dxa"/>
                  <w:tcBorders>
                    <w:top w:val="nil"/>
                    <w:left w:val="nil"/>
                    <w:bottom w:val="nil"/>
                    <w:right w:val="nil"/>
                  </w:tcBorders>
                  <w:shd w:val="clear" w:color="auto" w:fill="auto"/>
                  <w:noWrap/>
                  <w:vAlign w:val="bottom"/>
                  <w:hideMark/>
                </w:tcPr>
                <w:p w14:paraId="3D63A491" w14:textId="77777777" w:rsidR="00AE2DF2" w:rsidRPr="00175752" w:rsidRDefault="00AE2DF2" w:rsidP="00AE2DF2">
                  <w:pPr>
                    <w:rPr>
                      <w:color w:val="000000"/>
                    </w:rPr>
                  </w:pPr>
                </w:p>
              </w:tc>
            </w:tr>
            <w:tr w:rsidR="00AE2DF2" w:rsidRPr="00175752" w14:paraId="13BEFCD6" w14:textId="77777777" w:rsidTr="00AE2DF2">
              <w:trPr>
                <w:trHeight w:val="320"/>
              </w:trPr>
              <w:tc>
                <w:tcPr>
                  <w:tcW w:w="1300" w:type="dxa"/>
                  <w:tcBorders>
                    <w:top w:val="nil"/>
                    <w:left w:val="nil"/>
                    <w:bottom w:val="nil"/>
                    <w:right w:val="nil"/>
                  </w:tcBorders>
                  <w:shd w:val="clear" w:color="auto" w:fill="auto"/>
                  <w:noWrap/>
                  <w:vAlign w:val="bottom"/>
                  <w:hideMark/>
                </w:tcPr>
                <w:p w14:paraId="3690D1CB" w14:textId="77777777" w:rsidR="00AE2DF2" w:rsidRPr="00175752" w:rsidRDefault="00AE2DF2" w:rsidP="00AE2DF2">
                  <w:pPr>
                    <w:rPr>
                      <w:color w:val="000000"/>
                    </w:rPr>
                  </w:pPr>
                  <w:r w:rsidRPr="00175752">
                    <w:rPr>
                      <w:color w:val="000000"/>
                    </w:rPr>
                    <w:t>BAT</w:t>
                  </w:r>
                </w:p>
              </w:tc>
              <w:tc>
                <w:tcPr>
                  <w:tcW w:w="6914" w:type="dxa"/>
                  <w:gridSpan w:val="2"/>
                  <w:tcBorders>
                    <w:top w:val="nil"/>
                    <w:left w:val="nil"/>
                    <w:bottom w:val="nil"/>
                    <w:right w:val="nil"/>
                  </w:tcBorders>
                  <w:shd w:val="clear" w:color="auto" w:fill="auto"/>
                  <w:noWrap/>
                  <w:vAlign w:val="bottom"/>
                  <w:hideMark/>
                </w:tcPr>
                <w:p w14:paraId="6CCD1C2E" w14:textId="77777777" w:rsidR="00AE2DF2" w:rsidRPr="00175752" w:rsidRDefault="00AE2DF2" w:rsidP="00AE2DF2">
                  <w:pPr>
                    <w:rPr>
                      <w:color w:val="000000"/>
                    </w:rPr>
                  </w:pPr>
                  <w:r w:rsidRPr="00175752">
                    <w:rPr>
                      <w:color w:val="000000"/>
                    </w:rPr>
                    <w:t>Brown Adipose Tissue</w:t>
                  </w:r>
                </w:p>
              </w:tc>
            </w:tr>
            <w:tr w:rsidR="00AE2DF2" w:rsidRPr="00175752" w14:paraId="615FD3B8" w14:textId="77777777" w:rsidTr="00AE2DF2">
              <w:trPr>
                <w:trHeight w:val="320"/>
              </w:trPr>
              <w:tc>
                <w:tcPr>
                  <w:tcW w:w="1300" w:type="dxa"/>
                  <w:tcBorders>
                    <w:top w:val="nil"/>
                    <w:left w:val="nil"/>
                    <w:bottom w:val="nil"/>
                    <w:right w:val="nil"/>
                  </w:tcBorders>
                  <w:shd w:val="clear" w:color="auto" w:fill="auto"/>
                  <w:noWrap/>
                  <w:vAlign w:val="bottom"/>
                  <w:hideMark/>
                </w:tcPr>
                <w:p w14:paraId="20F6556B" w14:textId="77777777" w:rsidR="00AE2DF2" w:rsidRPr="00175752" w:rsidRDefault="00AE2DF2" w:rsidP="00AE2DF2">
                  <w:pPr>
                    <w:rPr>
                      <w:color w:val="000000"/>
                    </w:rPr>
                  </w:pPr>
                  <w:r w:rsidRPr="00175752">
                    <w:rPr>
                      <w:color w:val="000000"/>
                    </w:rPr>
                    <w:t>BCL</w:t>
                  </w:r>
                </w:p>
              </w:tc>
              <w:tc>
                <w:tcPr>
                  <w:tcW w:w="6914" w:type="dxa"/>
                  <w:gridSpan w:val="2"/>
                  <w:tcBorders>
                    <w:top w:val="nil"/>
                    <w:left w:val="nil"/>
                    <w:bottom w:val="nil"/>
                    <w:right w:val="nil"/>
                  </w:tcBorders>
                  <w:shd w:val="clear" w:color="auto" w:fill="auto"/>
                  <w:noWrap/>
                  <w:vAlign w:val="bottom"/>
                  <w:hideMark/>
                </w:tcPr>
                <w:p w14:paraId="25379BC6" w14:textId="77777777" w:rsidR="00AE2DF2" w:rsidRPr="00175752" w:rsidRDefault="00AE2DF2" w:rsidP="00AE2DF2">
                  <w:pPr>
                    <w:rPr>
                      <w:color w:val="000000"/>
                    </w:rPr>
                  </w:pPr>
                  <w:r w:rsidRPr="00175752">
                    <w:rPr>
                      <w:color w:val="000000"/>
                    </w:rPr>
                    <w:t>B-cell Lymphoma</w:t>
                  </w:r>
                </w:p>
              </w:tc>
            </w:tr>
            <w:tr w:rsidR="00AE2DF2" w:rsidRPr="00175752" w14:paraId="0778E89D" w14:textId="77777777" w:rsidTr="00AE2DF2">
              <w:trPr>
                <w:trHeight w:val="320"/>
              </w:trPr>
              <w:tc>
                <w:tcPr>
                  <w:tcW w:w="1300" w:type="dxa"/>
                  <w:tcBorders>
                    <w:top w:val="nil"/>
                    <w:left w:val="nil"/>
                    <w:bottom w:val="nil"/>
                    <w:right w:val="nil"/>
                  </w:tcBorders>
                  <w:shd w:val="clear" w:color="auto" w:fill="auto"/>
                  <w:noWrap/>
                  <w:vAlign w:val="bottom"/>
                  <w:hideMark/>
                </w:tcPr>
                <w:p w14:paraId="344A1D0D" w14:textId="77777777" w:rsidR="00AE2DF2" w:rsidRPr="00175752" w:rsidRDefault="00AE2DF2" w:rsidP="00AE2DF2">
                  <w:pPr>
                    <w:rPr>
                      <w:color w:val="000000"/>
                    </w:rPr>
                  </w:pPr>
                  <w:r w:rsidRPr="00175752">
                    <w:rPr>
                      <w:color w:val="000000"/>
                    </w:rPr>
                    <w:t>BDNF</w:t>
                  </w:r>
                </w:p>
              </w:tc>
              <w:tc>
                <w:tcPr>
                  <w:tcW w:w="6914" w:type="dxa"/>
                  <w:gridSpan w:val="2"/>
                  <w:tcBorders>
                    <w:top w:val="nil"/>
                    <w:left w:val="nil"/>
                    <w:bottom w:val="nil"/>
                    <w:right w:val="nil"/>
                  </w:tcBorders>
                  <w:shd w:val="clear" w:color="auto" w:fill="auto"/>
                  <w:noWrap/>
                  <w:vAlign w:val="bottom"/>
                  <w:hideMark/>
                </w:tcPr>
                <w:p w14:paraId="1A494215" w14:textId="77777777" w:rsidR="00AE2DF2" w:rsidRPr="00175752" w:rsidRDefault="00AE2DF2" w:rsidP="00AE2DF2">
                  <w:pPr>
                    <w:rPr>
                      <w:color w:val="000000"/>
                    </w:rPr>
                  </w:pPr>
                  <w:r w:rsidRPr="00175752">
                    <w:rPr>
                      <w:color w:val="000000"/>
                    </w:rPr>
                    <w:t>Brain-derived Neurotrophic Factor</w:t>
                  </w:r>
                </w:p>
              </w:tc>
            </w:tr>
            <w:tr w:rsidR="00AE2DF2" w:rsidRPr="00175752" w14:paraId="56455D52" w14:textId="77777777" w:rsidTr="00AE2DF2">
              <w:trPr>
                <w:trHeight w:val="320"/>
              </w:trPr>
              <w:tc>
                <w:tcPr>
                  <w:tcW w:w="1300" w:type="dxa"/>
                  <w:tcBorders>
                    <w:top w:val="nil"/>
                    <w:left w:val="nil"/>
                    <w:bottom w:val="nil"/>
                    <w:right w:val="nil"/>
                  </w:tcBorders>
                  <w:shd w:val="clear" w:color="auto" w:fill="auto"/>
                  <w:noWrap/>
                  <w:vAlign w:val="bottom"/>
                  <w:hideMark/>
                </w:tcPr>
                <w:p w14:paraId="44807F5D" w14:textId="77777777" w:rsidR="00AE2DF2" w:rsidRPr="00175752" w:rsidRDefault="00AE2DF2" w:rsidP="00AE2DF2">
                  <w:pPr>
                    <w:rPr>
                      <w:color w:val="000000"/>
                    </w:rPr>
                  </w:pPr>
                  <w:r w:rsidRPr="00175752">
                    <w:rPr>
                      <w:color w:val="000000"/>
                    </w:rPr>
                    <w:t>BMI</w:t>
                  </w:r>
                </w:p>
              </w:tc>
              <w:tc>
                <w:tcPr>
                  <w:tcW w:w="6914" w:type="dxa"/>
                  <w:gridSpan w:val="2"/>
                  <w:tcBorders>
                    <w:top w:val="nil"/>
                    <w:left w:val="nil"/>
                    <w:bottom w:val="nil"/>
                    <w:right w:val="nil"/>
                  </w:tcBorders>
                  <w:shd w:val="clear" w:color="auto" w:fill="auto"/>
                  <w:noWrap/>
                  <w:vAlign w:val="bottom"/>
                  <w:hideMark/>
                </w:tcPr>
                <w:p w14:paraId="10A2F2B2" w14:textId="77777777" w:rsidR="00AE2DF2" w:rsidRPr="00175752" w:rsidRDefault="00AE2DF2" w:rsidP="00AE2DF2">
                  <w:pPr>
                    <w:rPr>
                      <w:color w:val="000000"/>
                    </w:rPr>
                  </w:pPr>
                  <w:r w:rsidRPr="00175752">
                    <w:rPr>
                      <w:color w:val="000000"/>
                    </w:rPr>
                    <w:t>Body Mass Index</w:t>
                  </w:r>
                </w:p>
              </w:tc>
            </w:tr>
            <w:tr w:rsidR="00AE2DF2" w:rsidRPr="00175752" w14:paraId="3F700236" w14:textId="77777777" w:rsidTr="00AE2DF2">
              <w:trPr>
                <w:trHeight w:val="320"/>
              </w:trPr>
              <w:tc>
                <w:tcPr>
                  <w:tcW w:w="1300" w:type="dxa"/>
                  <w:tcBorders>
                    <w:top w:val="nil"/>
                    <w:left w:val="nil"/>
                    <w:bottom w:val="nil"/>
                    <w:right w:val="nil"/>
                  </w:tcBorders>
                  <w:shd w:val="clear" w:color="auto" w:fill="auto"/>
                  <w:noWrap/>
                  <w:vAlign w:val="bottom"/>
                  <w:hideMark/>
                </w:tcPr>
                <w:p w14:paraId="3E19F7A5" w14:textId="77777777" w:rsidR="00AE2DF2" w:rsidRPr="00175752" w:rsidRDefault="00AE2DF2" w:rsidP="00AE2DF2">
                  <w:pPr>
                    <w:rPr>
                      <w:color w:val="000000"/>
                    </w:rPr>
                  </w:pPr>
                  <w:r w:rsidRPr="00175752">
                    <w:rPr>
                      <w:color w:val="000000"/>
                    </w:rPr>
                    <w:lastRenderedPageBreak/>
                    <w:t>BNP</w:t>
                  </w:r>
                </w:p>
              </w:tc>
              <w:tc>
                <w:tcPr>
                  <w:tcW w:w="6914" w:type="dxa"/>
                  <w:gridSpan w:val="2"/>
                  <w:tcBorders>
                    <w:top w:val="nil"/>
                    <w:left w:val="nil"/>
                    <w:bottom w:val="nil"/>
                    <w:right w:val="nil"/>
                  </w:tcBorders>
                  <w:shd w:val="clear" w:color="auto" w:fill="auto"/>
                  <w:noWrap/>
                  <w:vAlign w:val="bottom"/>
                  <w:hideMark/>
                </w:tcPr>
                <w:p w14:paraId="053E3B27" w14:textId="77777777" w:rsidR="00AE2DF2" w:rsidRPr="00175752" w:rsidRDefault="00AE2DF2" w:rsidP="00AE2DF2">
                  <w:pPr>
                    <w:rPr>
                      <w:color w:val="000000"/>
                    </w:rPr>
                  </w:pPr>
                  <w:r w:rsidRPr="00175752">
                    <w:rPr>
                      <w:color w:val="000000"/>
                    </w:rPr>
                    <w:t>Brain Natriuretic Peptide</w:t>
                  </w:r>
                </w:p>
              </w:tc>
            </w:tr>
            <w:tr w:rsidR="00AE2DF2" w:rsidRPr="00175752" w14:paraId="352D4AAD" w14:textId="77777777" w:rsidTr="00AE2DF2">
              <w:trPr>
                <w:trHeight w:val="320"/>
              </w:trPr>
              <w:tc>
                <w:tcPr>
                  <w:tcW w:w="1300" w:type="dxa"/>
                  <w:tcBorders>
                    <w:top w:val="nil"/>
                    <w:left w:val="nil"/>
                    <w:bottom w:val="nil"/>
                    <w:right w:val="nil"/>
                  </w:tcBorders>
                  <w:shd w:val="clear" w:color="auto" w:fill="auto"/>
                  <w:noWrap/>
                  <w:vAlign w:val="bottom"/>
                  <w:hideMark/>
                </w:tcPr>
                <w:p w14:paraId="4711B08D" w14:textId="77777777" w:rsidR="00AE2DF2" w:rsidRPr="00175752" w:rsidRDefault="00AE2DF2" w:rsidP="00AE2DF2">
                  <w:pPr>
                    <w:rPr>
                      <w:color w:val="000000"/>
                    </w:rPr>
                  </w:pPr>
                  <w:r w:rsidRPr="00175752">
                    <w:rPr>
                      <w:color w:val="000000"/>
                    </w:rPr>
                    <w:t>BPA</w:t>
                  </w:r>
                </w:p>
              </w:tc>
              <w:tc>
                <w:tcPr>
                  <w:tcW w:w="6711" w:type="dxa"/>
                  <w:tcBorders>
                    <w:top w:val="nil"/>
                    <w:left w:val="nil"/>
                    <w:bottom w:val="nil"/>
                    <w:right w:val="nil"/>
                  </w:tcBorders>
                  <w:shd w:val="clear" w:color="auto" w:fill="auto"/>
                  <w:noWrap/>
                  <w:vAlign w:val="bottom"/>
                  <w:hideMark/>
                </w:tcPr>
                <w:p w14:paraId="0CAEF063" w14:textId="77777777" w:rsidR="00AE2DF2" w:rsidRPr="00175752" w:rsidRDefault="00AE2DF2" w:rsidP="00AE2DF2">
                  <w:pPr>
                    <w:rPr>
                      <w:color w:val="000000"/>
                    </w:rPr>
                  </w:pPr>
                  <w:r w:rsidRPr="00175752">
                    <w:rPr>
                      <w:color w:val="000000"/>
                    </w:rPr>
                    <w:t>Bisphenol A</w:t>
                  </w:r>
                </w:p>
              </w:tc>
              <w:tc>
                <w:tcPr>
                  <w:tcW w:w="203" w:type="dxa"/>
                  <w:tcBorders>
                    <w:top w:val="nil"/>
                    <w:left w:val="nil"/>
                    <w:bottom w:val="nil"/>
                    <w:right w:val="nil"/>
                  </w:tcBorders>
                  <w:shd w:val="clear" w:color="auto" w:fill="auto"/>
                  <w:noWrap/>
                  <w:vAlign w:val="bottom"/>
                  <w:hideMark/>
                </w:tcPr>
                <w:p w14:paraId="2E48AD4E" w14:textId="77777777" w:rsidR="00AE2DF2" w:rsidRPr="00175752" w:rsidRDefault="00AE2DF2" w:rsidP="00AE2DF2">
                  <w:pPr>
                    <w:rPr>
                      <w:color w:val="000000"/>
                    </w:rPr>
                  </w:pPr>
                </w:p>
              </w:tc>
            </w:tr>
            <w:tr w:rsidR="00AE2DF2" w:rsidRPr="00175752" w14:paraId="7927E12C" w14:textId="77777777" w:rsidTr="00AE2DF2">
              <w:trPr>
                <w:trHeight w:val="320"/>
              </w:trPr>
              <w:tc>
                <w:tcPr>
                  <w:tcW w:w="1300" w:type="dxa"/>
                  <w:tcBorders>
                    <w:top w:val="nil"/>
                    <w:left w:val="nil"/>
                    <w:bottom w:val="nil"/>
                    <w:right w:val="nil"/>
                  </w:tcBorders>
                  <w:shd w:val="clear" w:color="auto" w:fill="auto"/>
                  <w:noWrap/>
                  <w:vAlign w:val="bottom"/>
                  <w:hideMark/>
                </w:tcPr>
                <w:p w14:paraId="25969150" w14:textId="77777777" w:rsidR="00AE2DF2" w:rsidRPr="00175752" w:rsidRDefault="00AE2DF2" w:rsidP="00AE2DF2">
                  <w:pPr>
                    <w:rPr>
                      <w:color w:val="000000"/>
                    </w:rPr>
                  </w:pPr>
                  <w:r w:rsidRPr="00175752">
                    <w:rPr>
                      <w:color w:val="000000"/>
                    </w:rPr>
                    <w:t>C/EBP</w:t>
                  </w:r>
                </w:p>
              </w:tc>
              <w:tc>
                <w:tcPr>
                  <w:tcW w:w="6914" w:type="dxa"/>
                  <w:gridSpan w:val="2"/>
                  <w:tcBorders>
                    <w:top w:val="nil"/>
                    <w:left w:val="nil"/>
                    <w:bottom w:val="nil"/>
                    <w:right w:val="nil"/>
                  </w:tcBorders>
                  <w:shd w:val="clear" w:color="auto" w:fill="auto"/>
                  <w:noWrap/>
                  <w:vAlign w:val="bottom"/>
                  <w:hideMark/>
                </w:tcPr>
                <w:p w14:paraId="1C5161F6" w14:textId="77777777" w:rsidR="00AE2DF2" w:rsidRPr="00175752" w:rsidRDefault="00AE2DF2" w:rsidP="00AE2DF2">
                  <w:pPr>
                    <w:rPr>
                      <w:color w:val="000000"/>
                    </w:rPr>
                  </w:pPr>
                  <w:r w:rsidRPr="00175752">
                    <w:rPr>
                      <w:color w:val="000000"/>
                    </w:rPr>
                    <w:t>CCAAT/Enhancer Binding Protein</w:t>
                  </w:r>
                </w:p>
              </w:tc>
            </w:tr>
            <w:tr w:rsidR="00AE2DF2" w:rsidRPr="00175752" w14:paraId="68B5D521" w14:textId="77777777" w:rsidTr="00AE2DF2">
              <w:trPr>
                <w:trHeight w:val="320"/>
              </w:trPr>
              <w:tc>
                <w:tcPr>
                  <w:tcW w:w="1300" w:type="dxa"/>
                  <w:tcBorders>
                    <w:top w:val="nil"/>
                    <w:left w:val="nil"/>
                    <w:bottom w:val="nil"/>
                    <w:right w:val="nil"/>
                  </w:tcBorders>
                  <w:shd w:val="clear" w:color="auto" w:fill="auto"/>
                  <w:noWrap/>
                  <w:vAlign w:val="bottom"/>
                  <w:hideMark/>
                </w:tcPr>
                <w:p w14:paraId="09F647C7" w14:textId="77777777" w:rsidR="00AE2DF2" w:rsidRPr="00175752" w:rsidRDefault="00AE2DF2" w:rsidP="00AE2DF2">
                  <w:pPr>
                    <w:rPr>
                      <w:color w:val="000000"/>
                    </w:rPr>
                  </w:pPr>
                  <w:r w:rsidRPr="00175752">
                    <w:rPr>
                      <w:color w:val="000000"/>
                    </w:rPr>
                    <w:t>CD81</w:t>
                  </w:r>
                </w:p>
              </w:tc>
              <w:tc>
                <w:tcPr>
                  <w:tcW w:w="6914" w:type="dxa"/>
                  <w:gridSpan w:val="2"/>
                  <w:tcBorders>
                    <w:top w:val="nil"/>
                    <w:left w:val="nil"/>
                    <w:bottom w:val="nil"/>
                    <w:right w:val="nil"/>
                  </w:tcBorders>
                  <w:shd w:val="clear" w:color="auto" w:fill="auto"/>
                  <w:noWrap/>
                  <w:vAlign w:val="bottom"/>
                  <w:hideMark/>
                </w:tcPr>
                <w:p w14:paraId="482C5B42" w14:textId="77777777" w:rsidR="00AE2DF2" w:rsidRPr="00175752" w:rsidRDefault="00AE2DF2" w:rsidP="00AE2DF2">
                  <w:pPr>
                    <w:rPr>
                      <w:color w:val="000000"/>
                    </w:rPr>
                  </w:pPr>
                  <w:r w:rsidRPr="00175752">
                    <w:rPr>
                      <w:color w:val="000000"/>
                    </w:rPr>
                    <w:t>Cluster of Differentiation 81</w:t>
                  </w:r>
                </w:p>
              </w:tc>
            </w:tr>
            <w:tr w:rsidR="00AE2DF2" w:rsidRPr="00175752" w14:paraId="74174A30" w14:textId="77777777" w:rsidTr="00AE2DF2">
              <w:trPr>
                <w:trHeight w:val="320"/>
              </w:trPr>
              <w:tc>
                <w:tcPr>
                  <w:tcW w:w="1300" w:type="dxa"/>
                  <w:tcBorders>
                    <w:top w:val="nil"/>
                    <w:left w:val="nil"/>
                    <w:bottom w:val="nil"/>
                    <w:right w:val="nil"/>
                  </w:tcBorders>
                  <w:shd w:val="clear" w:color="auto" w:fill="auto"/>
                  <w:noWrap/>
                  <w:vAlign w:val="bottom"/>
                  <w:hideMark/>
                </w:tcPr>
                <w:p w14:paraId="22BE513F" w14:textId="77777777" w:rsidR="00AE2DF2" w:rsidRPr="00175752" w:rsidRDefault="00AE2DF2" w:rsidP="00AE2DF2">
                  <w:pPr>
                    <w:rPr>
                      <w:color w:val="000000"/>
                    </w:rPr>
                  </w:pPr>
                  <w:r w:rsidRPr="00175752">
                    <w:rPr>
                      <w:color w:val="000000"/>
                    </w:rPr>
                    <w:t>CHOP</w:t>
                  </w:r>
                </w:p>
              </w:tc>
              <w:tc>
                <w:tcPr>
                  <w:tcW w:w="6914" w:type="dxa"/>
                  <w:gridSpan w:val="2"/>
                  <w:tcBorders>
                    <w:top w:val="nil"/>
                    <w:left w:val="nil"/>
                    <w:bottom w:val="nil"/>
                    <w:right w:val="nil"/>
                  </w:tcBorders>
                  <w:shd w:val="clear" w:color="auto" w:fill="auto"/>
                  <w:noWrap/>
                  <w:vAlign w:val="bottom"/>
                  <w:hideMark/>
                </w:tcPr>
                <w:p w14:paraId="7A3F93D5" w14:textId="77777777" w:rsidR="00AE2DF2" w:rsidRPr="00175752" w:rsidRDefault="00AE2DF2" w:rsidP="00AE2DF2">
                  <w:pPr>
                    <w:rPr>
                      <w:color w:val="000000"/>
                    </w:rPr>
                  </w:pPr>
                  <w:r w:rsidRPr="00175752">
                    <w:rPr>
                      <w:color w:val="000000"/>
                    </w:rPr>
                    <w:t>C/EBP Homologous Protein</w:t>
                  </w:r>
                </w:p>
              </w:tc>
            </w:tr>
            <w:tr w:rsidR="00AE2DF2" w:rsidRPr="00175752" w14:paraId="5CDB738F" w14:textId="77777777" w:rsidTr="00AE2DF2">
              <w:trPr>
                <w:trHeight w:val="320"/>
              </w:trPr>
              <w:tc>
                <w:tcPr>
                  <w:tcW w:w="1300" w:type="dxa"/>
                  <w:tcBorders>
                    <w:top w:val="nil"/>
                    <w:left w:val="nil"/>
                    <w:bottom w:val="nil"/>
                    <w:right w:val="nil"/>
                  </w:tcBorders>
                  <w:shd w:val="clear" w:color="auto" w:fill="auto"/>
                  <w:noWrap/>
                  <w:vAlign w:val="bottom"/>
                  <w:hideMark/>
                </w:tcPr>
                <w:p w14:paraId="3C85FE5C" w14:textId="77777777" w:rsidR="00AE2DF2" w:rsidRPr="00175752" w:rsidRDefault="00AE2DF2" w:rsidP="00AE2DF2">
                  <w:pPr>
                    <w:rPr>
                      <w:color w:val="000000"/>
                    </w:rPr>
                  </w:pPr>
                  <w:r w:rsidRPr="00175752">
                    <w:rPr>
                      <w:color w:val="000000"/>
                    </w:rPr>
                    <w:t>CIDEA</w:t>
                  </w:r>
                </w:p>
              </w:tc>
              <w:tc>
                <w:tcPr>
                  <w:tcW w:w="6914" w:type="dxa"/>
                  <w:gridSpan w:val="2"/>
                  <w:tcBorders>
                    <w:top w:val="nil"/>
                    <w:left w:val="nil"/>
                    <w:bottom w:val="nil"/>
                    <w:right w:val="nil"/>
                  </w:tcBorders>
                  <w:shd w:val="clear" w:color="auto" w:fill="auto"/>
                  <w:noWrap/>
                  <w:vAlign w:val="bottom"/>
                  <w:hideMark/>
                </w:tcPr>
                <w:p w14:paraId="7B7BF10D" w14:textId="77777777" w:rsidR="00AE2DF2" w:rsidRPr="00175752" w:rsidRDefault="00AE2DF2" w:rsidP="00AE2DF2">
                  <w:pPr>
                    <w:rPr>
                      <w:color w:val="000000"/>
                    </w:rPr>
                  </w:pPr>
                  <w:r w:rsidRPr="00175752">
                    <w:rPr>
                      <w:color w:val="000000"/>
                    </w:rPr>
                    <w:t>Cell Death Inducing DFFA Like Effector A</w:t>
                  </w:r>
                </w:p>
              </w:tc>
            </w:tr>
            <w:tr w:rsidR="00AE2DF2" w:rsidRPr="00175752" w14:paraId="6B1C058D" w14:textId="77777777" w:rsidTr="00AE2DF2">
              <w:trPr>
                <w:trHeight w:val="320"/>
              </w:trPr>
              <w:tc>
                <w:tcPr>
                  <w:tcW w:w="1300" w:type="dxa"/>
                  <w:tcBorders>
                    <w:top w:val="nil"/>
                    <w:left w:val="nil"/>
                    <w:bottom w:val="nil"/>
                    <w:right w:val="nil"/>
                  </w:tcBorders>
                  <w:shd w:val="clear" w:color="auto" w:fill="auto"/>
                  <w:noWrap/>
                  <w:vAlign w:val="bottom"/>
                  <w:hideMark/>
                </w:tcPr>
                <w:p w14:paraId="69ED2E42" w14:textId="77777777" w:rsidR="00AE2DF2" w:rsidRPr="00175752" w:rsidRDefault="00AE2DF2" w:rsidP="00AE2DF2">
                  <w:pPr>
                    <w:rPr>
                      <w:color w:val="000000"/>
                    </w:rPr>
                  </w:pPr>
                  <w:r w:rsidRPr="00175752">
                    <w:rPr>
                      <w:color w:val="000000"/>
                    </w:rPr>
                    <w:t>CKD</w:t>
                  </w:r>
                </w:p>
              </w:tc>
              <w:tc>
                <w:tcPr>
                  <w:tcW w:w="6914" w:type="dxa"/>
                  <w:gridSpan w:val="2"/>
                  <w:tcBorders>
                    <w:top w:val="nil"/>
                    <w:left w:val="nil"/>
                    <w:bottom w:val="nil"/>
                    <w:right w:val="nil"/>
                  </w:tcBorders>
                  <w:shd w:val="clear" w:color="auto" w:fill="auto"/>
                  <w:noWrap/>
                  <w:vAlign w:val="bottom"/>
                  <w:hideMark/>
                </w:tcPr>
                <w:p w14:paraId="4B1476BD" w14:textId="77777777" w:rsidR="00AE2DF2" w:rsidRPr="00175752" w:rsidRDefault="00AE2DF2" w:rsidP="00AE2DF2">
                  <w:pPr>
                    <w:rPr>
                      <w:color w:val="000000"/>
                    </w:rPr>
                  </w:pPr>
                  <w:r w:rsidRPr="00175752">
                    <w:rPr>
                      <w:color w:val="000000"/>
                    </w:rPr>
                    <w:t>Chronic Kidney Disease</w:t>
                  </w:r>
                </w:p>
              </w:tc>
            </w:tr>
            <w:tr w:rsidR="00AE2DF2" w:rsidRPr="00175752" w14:paraId="23C0C2B8" w14:textId="77777777" w:rsidTr="00AE2DF2">
              <w:trPr>
                <w:trHeight w:val="320"/>
              </w:trPr>
              <w:tc>
                <w:tcPr>
                  <w:tcW w:w="1300" w:type="dxa"/>
                  <w:tcBorders>
                    <w:top w:val="nil"/>
                    <w:left w:val="nil"/>
                    <w:bottom w:val="nil"/>
                    <w:right w:val="nil"/>
                  </w:tcBorders>
                  <w:shd w:val="clear" w:color="auto" w:fill="auto"/>
                  <w:noWrap/>
                  <w:vAlign w:val="bottom"/>
                  <w:hideMark/>
                </w:tcPr>
                <w:p w14:paraId="2D0DEAB5" w14:textId="77777777" w:rsidR="00AE2DF2" w:rsidRPr="00175752" w:rsidRDefault="00AE2DF2" w:rsidP="00AE2DF2">
                  <w:pPr>
                    <w:rPr>
                      <w:color w:val="000000"/>
                    </w:rPr>
                  </w:pPr>
                  <w:r w:rsidRPr="00175752">
                    <w:rPr>
                      <w:color w:val="000000"/>
                    </w:rPr>
                    <w:t>CLAMS</w:t>
                  </w:r>
                </w:p>
              </w:tc>
              <w:tc>
                <w:tcPr>
                  <w:tcW w:w="6914" w:type="dxa"/>
                  <w:gridSpan w:val="2"/>
                  <w:tcBorders>
                    <w:top w:val="nil"/>
                    <w:left w:val="nil"/>
                    <w:bottom w:val="nil"/>
                    <w:right w:val="nil"/>
                  </w:tcBorders>
                  <w:shd w:val="clear" w:color="auto" w:fill="auto"/>
                  <w:noWrap/>
                  <w:vAlign w:val="bottom"/>
                  <w:hideMark/>
                </w:tcPr>
                <w:p w14:paraId="09F1FE98" w14:textId="77777777" w:rsidR="00AE2DF2" w:rsidRPr="00175752" w:rsidRDefault="00AE2DF2" w:rsidP="00AE2DF2">
                  <w:pPr>
                    <w:rPr>
                      <w:color w:val="000000"/>
                    </w:rPr>
                  </w:pPr>
                  <w:r w:rsidRPr="00175752">
                    <w:rPr>
                      <w:color w:val="000000"/>
                    </w:rPr>
                    <w:t>Comprehensive Lab Animal Monitoring System</w:t>
                  </w:r>
                </w:p>
              </w:tc>
            </w:tr>
            <w:tr w:rsidR="00AE2DF2" w:rsidRPr="00175752" w14:paraId="233E848E" w14:textId="77777777" w:rsidTr="00AE2DF2">
              <w:trPr>
                <w:trHeight w:val="320"/>
              </w:trPr>
              <w:tc>
                <w:tcPr>
                  <w:tcW w:w="1300" w:type="dxa"/>
                  <w:tcBorders>
                    <w:top w:val="nil"/>
                    <w:left w:val="nil"/>
                    <w:bottom w:val="nil"/>
                    <w:right w:val="nil"/>
                  </w:tcBorders>
                  <w:shd w:val="clear" w:color="auto" w:fill="auto"/>
                  <w:noWrap/>
                  <w:vAlign w:val="bottom"/>
                  <w:hideMark/>
                </w:tcPr>
                <w:p w14:paraId="34FADAD8" w14:textId="77777777" w:rsidR="00AE2DF2" w:rsidRPr="00175752" w:rsidRDefault="00AE2DF2" w:rsidP="00AE2DF2">
                  <w:pPr>
                    <w:rPr>
                      <w:color w:val="000000"/>
                    </w:rPr>
                  </w:pPr>
                  <w:r w:rsidRPr="00175752">
                    <w:rPr>
                      <w:color w:val="000000"/>
                    </w:rPr>
                    <w:t>CNS</w:t>
                  </w:r>
                </w:p>
              </w:tc>
              <w:tc>
                <w:tcPr>
                  <w:tcW w:w="6914" w:type="dxa"/>
                  <w:gridSpan w:val="2"/>
                  <w:tcBorders>
                    <w:top w:val="nil"/>
                    <w:left w:val="nil"/>
                    <w:bottom w:val="nil"/>
                    <w:right w:val="nil"/>
                  </w:tcBorders>
                  <w:shd w:val="clear" w:color="auto" w:fill="auto"/>
                  <w:noWrap/>
                  <w:vAlign w:val="bottom"/>
                  <w:hideMark/>
                </w:tcPr>
                <w:p w14:paraId="16AA6DAF" w14:textId="77777777" w:rsidR="00AE2DF2" w:rsidRPr="00175752" w:rsidRDefault="00AE2DF2" w:rsidP="00AE2DF2">
                  <w:pPr>
                    <w:rPr>
                      <w:color w:val="000000"/>
                    </w:rPr>
                  </w:pPr>
                  <w:r w:rsidRPr="00175752">
                    <w:rPr>
                      <w:color w:val="000000"/>
                    </w:rPr>
                    <w:t>Central Nervous System</w:t>
                  </w:r>
                </w:p>
              </w:tc>
            </w:tr>
            <w:tr w:rsidR="00AE2DF2" w:rsidRPr="00175752" w14:paraId="35E0BDCD" w14:textId="77777777" w:rsidTr="00AE2DF2">
              <w:trPr>
                <w:trHeight w:val="320"/>
              </w:trPr>
              <w:tc>
                <w:tcPr>
                  <w:tcW w:w="1300" w:type="dxa"/>
                  <w:tcBorders>
                    <w:top w:val="nil"/>
                    <w:left w:val="nil"/>
                    <w:bottom w:val="nil"/>
                    <w:right w:val="nil"/>
                  </w:tcBorders>
                  <w:shd w:val="clear" w:color="auto" w:fill="auto"/>
                  <w:noWrap/>
                  <w:vAlign w:val="bottom"/>
                  <w:hideMark/>
                </w:tcPr>
                <w:p w14:paraId="306FF4FB" w14:textId="77777777" w:rsidR="00AE2DF2" w:rsidRPr="00175752" w:rsidRDefault="00AE2DF2" w:rsidP="00AE2DF2">
                  <w:pPr>
                    <w:rPr>
                      <w:color w:val="000000"/>
                    </w:rPr>
                  </w:pPr>
                  <w:r w:rsidRPr="00175752">
                    <w:rPr>
                      <w:color w:val="000000"/>
                    </w:rPr>
                    <w:t>COX-2</w:t>
                  </w:r>
                </w:p>
              </w:tc>
              <w:tc>
                <w:tcPr>
                  <w:tcW w:w="6914" w:type="dxa"/>
                  <w:gridSpan w:val="2"/>
                  <w:tcBorders>
                    <w:top w:val="nil"/>
                    <w:left w:val="nil"/>
                    <w:bottom w:val="nil"/>
                    <w:right w:val="nil"/>
                  </w:tcBorders>
                  <w:shd w:val="clear" w:color="auto" w:fill="auto"/>
                  <w:noWrap/>
                  <w:vAlign w:val="bottom"/>
                  <w:hideMark/>
                </w:tcPr>
                <w:p w14:paraId="52162044" w14:textId="77777777" w:rsidR="00AE2DF2" w:rsidRPr="00175752" w:rsidRDefault="00AE2DF2" w:rsidP="00AE2DF2">
                  <w:pPr>
                    <w:rPr>
                      <w:color w:val="000000"/>
                    </w:rPr>
                  </w:pPr>
                  <w:r w:rsidRPr="00175752">
                    <w:rPr>
                      <w:color w:val="000000"/>
                    </w:rPr>
                    <w:t>Cyclooxygenase 2</w:t>
                  </w:r>
                </w:p>
              </w:tc>
            </w:tr>
            <w:tr w:rsidR="00AE2DF2" w:rsidRPr="00175752" w14:paraId="4CFAAC6D" w14:textId="77777777" w:rsidTr="00AE2DF2">
              <w:trPr>
                <w:trHeight w:val="320"/>
              </w:trPr>
              <w:tc>
                <w:tcPr>
                  <w:tcW w:w="1300" w:type="dxa"/>
                  <w:tcBorders>
                    <w:top w:val="nil"/>
                    <w:left w:val="nil"/>
                    <w:bottom w:val="nil"/>
                    <w:right w:val="nil"/>
                  </w:tcBorders>
                  <w:shd w:val="clear" w:color="auto" w:fill="auto"/>
                  <w:noWrap/>
                  <w:vAlign w:val="bottom"/>
                  <w:hideMark/>
                </w:tcPr>
                <w:p w14:paraId="09DE26EF" w14:textId="77777777" w:rsidR="00AE2DF2" w:rsidRPr="00175752" w:rsidRDefault="00AE2DF2" w:rsidP="00AE2DF2">
                  <w:pPr>
                    <w:rPr>
                      <w:color w:val="000000"/>
                    </w:rPr>
                  </w:pPr>
                  <w:r w:rsidRPr="00175752">
                    <w:rPr>
                      <w:color w:val="000000"/>
                    </w:rPr>
                    <w:t>COX7A1</w:t>
                  </w:r>
                </w:p>
              </w:tc>
              <w:tc>
                <w:tcPr>
                  <w:tcW w:w="6914" w:type="dxa"/>
                  <w:gridSpan w:val="2"/>
                  <w:tcBorders>
                    <w:top w:val="nil"/>
                    <w:left w:val="nil"/>
                    <w:bottom w:val="nil"/>
                    <w:right w:val="nil"/>
                  </w:tcBorders>
                  <w:shd w:val="clear" w:color="auto" w:fill="auto"/>
                  <w:noWrap/>
                  <w:vAlign w:val="bottom"/>
                  <w:hideMark/>
                </w:tcPr>
                <w:p w14:paraId="2A8860EA" w14:textId="77777777" w:rsidR="00AE2DF2" w:rsidRPr="00175752" w:rsidRDefault="00AE2DF2" w:rsidP="00AE2DF2">
                  <w:pPr>
                    <w:rPr>
                      <w:color w:val="000000"/>
                    </w:rPr>
                  </w:pPr>
                  <w:r w:rsidRPr="00175752">
                    <w:rPr>
                      <w:color w:val="000000"/>
                    </w:rPr>
                    <w:t>Cytochrome C Oxidase 7A1</w:t>
                  </w:r>
                </w:p>
              </w:tc>
            </w:tr>
            <w:tr w:rsidR="00AE2DF2" w:rsidRPr="00175752" w14:paraId="67608783" w14:textId="77777777" w:rsidTr="00AE2DF2">
              <w:trPr>
                <w:trHeight w:val="320"/>
              </w:trPr>
              <w:tc>
                <w:tcPr>
                  <w:tcW w:w="1300" w:type="dxa"/>
                  <w:tcBorders>
                    <w:top w:val="nil"/>
                    <w:left w:val="nil"/>
                    <w:bottom w:val="nil"/>
                    <w:right w:val="nil"/>
                  </w:tcBorders>
                  <w:shd w:val="clear" w:color="auto" w:fill="auto"/>
                  <w:noWrap/>
                  <w:vAlign w:val="bottom"/>
                  <w:hideMark/>
                </w:tcPr>
                <w:p w14:paraId="47B5AD03" w14:textId="77777777" w:rsidR="00AE2DF2" w:rsidRPr="00175752" w:rsidRDefault="00AE2DF2" w:rsidP="00AE2DF2">
                  <w:pPr>
                    <w:rPr>
                      <w:color w:val="000000"/>
                    </w:rPr>
                  </w:pPr>
                  <w:r w:rsidRPr="00175752">
                    <w:rPr>
                      <w:color w:val="000000"/>
                    </w:rPr>
                    <w:t>COX8b</w:t>
                  </w:r>
                </w:p>
              </w:tc>
              <w:tc>
                <w:tcPr>
                  <w:tcW w:w="6914" w:type="dxa"/>
                  <w:gridSpan w:val="2"/>
                  <w:tcBorders>
                    <w:top w:val="nil"/>
                    <w:left w:val="nil"/>
                    <w:bottom w:val="nil"/>
                    <w:right w:val="nil"/>
                  </w:tcBorders>
                  <w:shd w:val="clear" w:color="auto" w:fill="auto"/>
                  <w:noWrap/>
                  <w:vAlign w:val="bottom"/>
                  <w:hideMark/>
                </w:tcPr>
                <w:p w14:paraId="1FBB16A5" w14:textId="77777777" w:rsidR="00AE2DF2" w:rsidRPr="00175752" w:rsidRDefault="00AE2DF2" w:rsidP="00AE2DF2">
                  <w:pPr>
                    <w:rPr>
                      <w:color w:val="000000"/>
                    </w:rPr>
                  </w:pPr>
                  <w:r w:rsidRPr="00175752">
                    <w:rPr>
                      <w:color w:val="000000"/>
                    </w:rPr>
                    <w:t>Cytochrome C Oxidase 8b</w:t>
                  </w:r>
                </w:p>
              </w:tc>
            </w:tr>
            <w:tr w:rsidR="00AE2DF2" w:rsidRPr="00175752" w14:paraId="10F568BB" w14:textId="77777777" w:rsidTr="00AE2DF2">
              <w:trPr>
                <w:trHeight w:val="320"/>
              </w:trPr>
              <w:tc>
                <w:tcPr>
                  <w:tcW w:w="1300" w:type="dxa"/>
                  <w:tcBorders>
                    <w:top w:val="nil"/>
                    <w:left w:val="nil"/>
                    <w:bottom w:val="nil"/>
                    <w:right w:val="nil"/>
                  </w:tcBorders>
                  <w:shd w:val="clear" w:color="auto" w:fill="auto"/>
                  <w:noWrap/>
                  <w:vAlign w:val="bottom"/>
                  <w:hideMark/>
                </w:tcPr>
                <w:p w14:paraId="7D3BA90B" w14:textId="77777777" w:rsidR="00AE2DF2" w:rsidRPr="00175752" w:rsidRDefault="00AE2DF2" w:rsidP="00AE2DF2">
                  <w:pPr>
                    <w:rPr>
                      <w:color w:val="000000"/>
                    </w:rPr>
                  </w:pPr>
                  <w:r w:rsidRPr="00175752">
                    <w:rPr>
                      <w:color w:val="000000"/>
                    </w:rPr>
                    <w:t>CPT1</w:t>
                  </w:r>
                </w:p>
              </w:tc>
              <w:tc>
                <w:tcPr>
                  <w:tcW w:w="6914" w:type="dxa"/>
                  <w:gridSpan w:val="2"/>
                  <w:tcBorders>
                    <w:top w:val="nil"/>
                    <w:left w:val="nil"/>
                    <w:bottom w:val="nil"/>
                    <w:right w:val="nil"/>
                  </w:tcBorders>
                  <w:shd w:val="clear" w:color="auto" w:fill="auto"/>
                  <w:noWrap/>
                  <w:vAlign w:val="bottom"/>
                  <w:hideMark/>
                </w:tcPr>
                <w:p w14:paraId="74D0FFE2" w14:textId="77777777" w:rsidR="00AE2DF2" w:rsidRPr="00175752" w:rsidRDefault="00AE2DF2" w:rsidP="00AE2DF2">
                  <w:pPr>
                    <w:rPr>
                      <w:color w:val="000000"/>
                    </w:rPr>
                  </w:pPr>
                  <w:r w:rsidRPr="00175752">
                    <w:rPr>
                      <w:color w:val="000000"/>
                    </w:rPr>
                    <w:t>Carnitine Palmitoyltransferase 1</w:t>
                  </w:r>
                </w:p>
              </w:tc>
            </w:tr>
            <w:tr w:rsidR="00AE2DF2" w:rsidRPr="00175752" w14:paraId="67C75981" w14:textId="77777777" w:rsidTr="00AE2DF2">
              <w:trPr>
                <w:trHeight w:val="320"/>
              </w:trPr>
              <w:tc>
                <w:tcPr>
                  <w:tcW w:w="1300" w:type="dxa"/>
                  <w:tcBorders>
                    <w:top w:val="nil"/>
                    <w:left w:val="nil"/>
                    <w:bottom w:val="nil"/>
                    <w:right w:val="nil"/>
                  </w:tcBorders>
                  <w:shd w:val="clear" w:color="auto" w:fill="auto"/>
                  <w:noWrap/>
                  <w:vAlign w:val="bottom"/>
                  <w:hideMark/>
                </w:tcPr>
                <w:p w14:paraId="31BF8981" w14:textId="77777777" w:rsidR="00AE2DF2" w:rsidRPr="00175752" w:rsidRDefault="00AE2DF2" w:rsidP="00AE2DF2">
                  <w:pPr>
                    <w:rPr>
                      <w:color w:val="000000"/>
                    </w:rPr>
                  </w:pPr>
                  <w:r w:rsidRPr="00175752">
                    <w:rPr>
                      <w:color w:val="000000"/>
                    </w:rPr>
                    <w:t>CREB</w:t>
                  </w:r>
                </w:p>
              </w:tc>
              <w:tc>
                <w:tcPr>
                  <w:tcW w:w="6914" w:type="dxa"/>
                  <w:gridSpan w:val="2"/>
                  <w:tcBorders>
                    <w:top w:val="nil"/>
                    <w:left w:val="nil"/>
                    <w:bottom w:val="nil"/>
                    <w:right w:val="nil"/>
                  </w:tcBorders>
                  <w:shd w:val="clear" w:color="auto" w:fill="auto"/>
                  <w:noWrap/>
                  <w:vAlign w:val="bottom"/>
                  <w:hideMark/>
                </w:tcPr>
                <w:p w14:paraId="1C0ADCDA" w14:textId="77777777" w:rsidR="00AE2DF2" w:rsidRPr="00175752" w:rsidRDefault="00AE2DF2" w:rsidP="00AE2DF2">
                  <w:pPr>
                    <w:rPr>
                      <w:color w:val="000000"/>
                    </w:rPr>
                  </w:pPr>
                  <w:r w:rsidRPr="00175752">
                    <w:rPr>
                      <w:color w:val="000000"/>
                    </w:rPr>
                    <w:t>cAMP Response Element-Binding Protein</w:t>
                  </w:r>
                </w:p>
              </w:tc>
            </w:tr>
            <w:tr w:rsidR="00AE2DF2" w:rsidRPr="00175752" w14:paraId="3832191C" w14:textId="77777777" w:rsidTr="00AE2DF2">
              <w:trPr>
                <w:trHeight w:val="320"/>
              </w:trPr>
              <w:tc>
                <w:tcPr>
                  <w:tcW w:w="1300" w:type="dxa"/>
                  <w:tcBorders>
                    <w:top w:val="nil"/>
                    <w:left w:val="nil"/>
                    <w:bottom w:val="nil"/>
                    <w:right w:val="nil"/>
                  </w:tcBorders>
                  <w:shd w:val="clear" w:color="auto" w:fill="auto"/>
                  <w:noWrap/>
                  <w:vAlign w:val="bottom"/>
                  <w:hideMark/>
                </w:tcPr>
                <w:p w14:paraId="65C1A08C" w14:textId="77777777" w:rsidR="00AE2DF2" w:rsidRPr="00175752" w:rsidRDefault="00AE2DF2" w:rsidP="00AE2DF2">
                  <w:pPr>
                    <w:rPr>
                      <w:color w:val="000000"/>
                    </w:rPr>
                  </w:pPr>
                  <w:r w:rsidRPr="00175752">
                    <w:rPr>
                      <w:color w:val="000000"/>
                    </w:rPr>
                    <w:t>CRISPR</w:t>
                  </w:r>
                </w:p>
              </w:tc>
              <w:tc>
                <w:tcPr>
                  <w:tcW w:w="6914" w:type="dxa"/>
                  <w:gridSpan w:val="2"/>
                  <w:tcBorders>
                    <w:top w:val="nil"/>
                    <w:left w:val="nil"/>
                    <w:bottom w:val="nil"/>
                    <w:right w:val="nil"/>
                  </w:tcBorders>
                  <w:shd w:val="clear" w:color="auto" w:fill="auto"/>
                  <w:noWrap/>
                  <w:vAlign w:val="bottom"/>
                  <w:hideMark/>
                </w:tcPr>
                <w:p w14:paraId="50391045" w14:textId="77777777" w:rsidR="00AE2DF2" w:rsidRPr="00175752" w:rsidRDefault="00AE2DF2" w:rsidP="00AE2DF2">
                  <w:pPr>
                    <w:rPr>
                      <w:color w:val="000000"/>
                    </w:rPr>
                  </w:pPr>
                  <w:r w:rsidRPr="00175752">
                    <w:rPr>
                      <w:color w:val="000000"/>
                    </w:rPr>
                    <w:t>Clustered Regularly Interspaced Short Palindromic Repeats</w:t>
                  </w:r>
                </w:p>
              </w:tc>
            </w:tr>
            <w:tr w:rsidR="00AE2DF2" w:rsidRPr="00175752" w14:paraId="485DB1A0" w14:textId="77777777" w:rsidTr="00AE2DF2">
              <w:trPr>
                <w:trHeight w:val="320"/>
              </w:trPr>
              <w:tc>
                <w:tcPr>
                  <w:tcW w:w="1300" w:type="dxa"/>
                  <w:tcBorders>
                    <w:top w:val="nil"/>
                    <w:left w:val="nil"/>
                    <w:bottom w:val="nil"/>
                    <w:right w:val="nil"/>
                  </w:tcBorders>
                  <w:shd w:val="clear" w:color="auto" w:fill="auto"/>
                  <w:noWrap/>
                  <w:vAlign w:val="bottom"/>
                  <w:hideMark/>
                </w:tcPr>
                <w:p w14:paraId="74FA0C2E" w14:textId="77777777" w:rsidR="00AE2DF2" w:rsidRPr="00175752" w:rsidRDefault="00AE2DF2" w:rsidP="00AE2DF2">
                  <w:pPr>
                    <w:rPr>
                      <w:color w:val="000000"/>
                    </w:rPr>
                  </w:pPr>
                  <w:r w:rsidRPr="00175752">
                    <w:rPr>
                      <w:color w:val="000000"/>
                    </w:rPr>
                    <w:t>CRP</w:t>
                  </w:r>
                </w:p>
              </w:tc>
              <w:tc>
                <w:tcPr>
                  <w:tcW w:w="6914" w:type="dxa"/>
                  <w:gridSpan w:val="2"/>
                  <w:tcBorders>
                    <w:top w:val="nil"/>
                    <w:left w:val="nil"/>
                    <w:bottom w:val="nil"/>
                    <w:right w:val="nil"/>
                  </w:tcBorders>
                  <w:shd w:val="clear" w:color="auto" w:fill="auto"/>
                  <w:noWrap/>
                  <w:vAlign w:val="bottom"/>
                  <w:hideMark/>
                </w:tcPr>
                <w:p w14:paraId="37B225B7" w14:textId="77777777" w:rsidR="00AE2DF2" w:rsidRPr="00175752" w:rsidRDefault="00AE2DF2" w:rsidP="00AE2DF2">
                  <w:pPr>
                    <w:rPr>
                      <w:color w:val="000000"/>
                    </w:rPr>
                  </w:pPr>
                  <w:r w:rsidRPr="00175752">
                    <w:rPr>
                      <w:color w:val="000000"/>
                    </w:rPr>
                    <w:t>C-Reactive Protein</w:t>
                  </w:r>
                </w:p>
              </w:tc>
            </w:tr>
            <w:tr w:rsidR="00AE2DF2" w:rsidRPr="00175752" w14:paraId="6D2810CA" w14:textId="77777777" w:rsidTr="00AE2DF2">
              <w:trPr>
                <w:trHeight w:val="320"/>
              </w:trPr>
              <w:tc>
                <w:tcPr>
                  <w:tcW w:w="1300" w:type="dxa"/>
                  <w:tcBorders>
                    <w:top w:val="nil"/>
                    <w:left w:val="nil"/>
                    <w:bottom w:val="nil"/>
                    <w:right w:val="nil"/>
                  </w:tcBorders>
                  <w:shd w:val="clear" w:color="auto" w:fill="auto"/>
                  <w:noWrap/>
                  <w:vAlign w:val="bottom"/>
                  <w:hideMark/>
                </w:tcPr>
                <w:p w14:paraId="4D74204A" w14:textId="77777777" w:rsidR="00AE2DF2" w:rsidRPr="00175752" w:rsidRDefault="00AE2DF2" w:rsidP="00AE2DF2">
                  <w:pPr>
                    <w:rPr>
                      <w:color w:val="000000"/>
                    </w:rPr>
                  </w:pPr>
                  <w:r w:rsidRPr="00175752">
                    <w:rPr>
                      <w:color w:val="000000"/>
                    </w:rPr>
                    <w:t>CVD</w:t>
                  </w:r>
                </w:p>
              </w:tc>
              <w:tc>
                <w:tcPr>
                  <w:tcW w:w="6914" w:type="dxa"/>
                  <w:gridSpan w:val="2"/>
                  <w:tcBorders>
                    <w:top w:val="nil"/>
                    <w:left w:val="nil"/>
                    <w:bottom w:val="nil"/>
                    <w:right w:val="nil"/>
                  </w:tcBorders>
                  <w:shd w:val="clear" w:color="auto" w:fill="auto"/>
                  <w:noWrap/>
                  <w:vAlign w:val="bottom"/>
                  <w:hideMark/>
                </w:tcPr>
                <w:p w14:paraId="7B079690" w14:textId="77777777" w:rsidR="00AE2DF2" w:rsidRPr="00175752" w:rsidRDefault="00AE2DF2" w:rsidP="00AE2DF2">
                  <w:pPr>
                    <w:rPr>
                      <w:color w:val="000000"/>
                    </w:rPr>
                  </w:pPr>
                  <w:r w:rsidRPr="00175752">
                    <w:rPr>
                      <w:color w:val="000000"/>
                    </w:rPr>
                    <w:t>Cardiovascular Disease</w:t>
                  </w:r>
                </w:p>
              </w:tc>
            </w:tr>
            <w:tr w:rsidR="00AE2DF2" w:rsidRPr="00175752" w14:paraId="6D606362" w14:textId="77777777" w:rsidTr="00AE2DF2">
              <w:trPr>
                <w:trHeight w:val="320"/>
              </w:trPr>
              <w:tc>
                <w:tcPr>
                  <w:tcW w:w="1300" w:type="dxa"/>
                  <w:tcBorders>
                    <w:top w:val="nil"/>
                    <w:left w:val="nil"/>
                    <w:bottom w:val="nil"/>
                    <w:right w:val="nil"/>
                  </w:tcBorders>
                  <w:shd w:val="clear" w:color="auto" w:fill="auto"/>
                  <w:noWrap/>
                  <w:vAlign w:val="bottom"/>
                  <w:hideMark/>
                </w:tcPr>
                <w:p w14:paraId="3519069A" w14:textId="77777777" w:rsidR="00AE2DF2" w:rsidRPr="00175752" w:rsidRDefault="00AE2DF2" w:rsidP="00AE2DF2">
                  <w:pPr>
                    <w:rPr>
                      <w:color w:val="000000"/>
                    </w:rPr>
                  </w:pPr>
                  <w:r w:rsidRPr="00175752">
                    <w:rPr>
                      <w:color w:val="000000"/>
                    </w:rPr>
                    <w:t>CXCL16</w:t>
                  </w:r>
                </w:p>
              </w:tc>
              <w:tc>
                <w:tcPr>
                  <w:tcW w:w="6914" w:type="dxa"/>
                  <w:gridSpan w:val="2"/>
                  <w:tcBorders>
                    <w:top w:val="nil"/>
                    <w:left w:val="nil"/>
                    <w:bottom w:val="nil"/>
                    <w:right w:val="nil"/>
                  </w:tcBorders>
                  <w:shd w:val="clear" w:color="auto" w:fill="auto"/>
                  <w:noWrap/>
                  <w:vAlign w:val="bottom"/>
                  <w:hideMark/>
                </w:tcPr>
                <w:p w14:paraId="1C1F071B" w14:textId="77777777" w:rsidR="00AE2DF2" w:rsidRPr="00175752" w:rsidRDefault="00AE2DF2" w:rsidP="00AE2DF2">
                  <w:pPr>
                    <w:rPr>
                      <w:color w:val="000000"/>
                    </w:rPr>
                  </w:pPr>
                  <w:r w:rsidRPr="00175752">
                    <w:rPr>
                      <w:color w:val="000000"/>
                    </w:rPr>
                    <w:t>C-X-C Motif Chemokine Ligand 16</w:t>
                  </w:r>
                </w:p>
              </w:tc>
            </w:tr>
            <w:tr w:rsidR="00AE2DF2" w:rsidRPr="00175752" w14:paraId="2A228AD3" w14:textId="77777777" w:rsidTr="00AE2DF2">
              <w:trPr>
                <w:trHeight w:val="320"/>
              </w:trPr>
              <w:tc>
                <w:tcPr>
                  <w:tcW w:w="1300" w:type="dxa"/>
                  <w:tcBorders>
                    <w:top w:val="nil"/>
                    <w:left w:val="nil"/>
                    <w:bottom w:val="nil"/>
                    <w:right w:val="nil"/>
                  </w:tcBorders>
                  <w:shd w:val="clear" w:color="auto" w:fill="auto"/>
                  <w:noWrap/>
                  <w:vAlign w:val="bottom"/>
                  <w:hideMark/>
                </w:tcPr>
                <w:p w14:paraId="25D198DE" w14:textId="77777777" w:rsidR="00AE2DF2" w:rsidRPr="00175752" w:rsidRDefault="00AE2DF2" w:rsidP="00AE2DF2">
                  <w:pPr>
                    <w:rPr>
                      <w:color w:val="000000"/>
                    </w:rPr>
                  </w:pPr>
                  <w:r w:rsidRPr="00175752">
                    <w:rPr>
                      <w:color w:val="000000"/>
                    </w:rPr>
                    <w:t>Cas</w:t>
                  </w:r>
                </w:p>
              </w:tc>
              <w:tc>
                <w:tcPr>
                  <w:tcW w:w="6914" w:type="dxa"/>
                  <w:gridSpan w:val="2"/>
                  <w:tcBorders>
                    <w:top w:val="nil"/>
                    <w:left w:val="nil"/>
                    <w:bottom w:val="nil"/>
                    <w:right w:val="nil"/>
                  </w:tcBorders>
                  <w:shd w:val="clear" w:color="auto" w:fill="auto"/>
                  <w:noWrap/>
                  <w:vAlign w:val="bottom"/>
                  <w:hideMark/>
                </w:tcPr>
                <w:p w14:paraId="74E256A2" w14:textId="77777777" w:rsidR="00AE2DF2" w:rsidRPr="00175752" w:rsidRDefault="00AE2DF2" w:rsidP="00AE2DF2">
                  <w:pPr>
                    <w:rPr>
                      <w:color w:val="000000"/>
                    </w:rPr>
                  </w:pPr>
                  <w:r w:rsidRPr="00175752">
                    <w:rPr>
                      <w:color w:val="000000"/>
                    </w:rPr>
                    <w:t>CRISPR-associated Protein</w:t>
                  </w:r>
                </w:p>
              </w:tc>
            </w:tr>
            <w:tr w:rsidR="00AE2DF2" w:rsidRPr="00175752" w14:paraId="714AE47C" w14:textId="77777777" w:rsidTr="00AE2DF2">
              <w:trPr>
                <w:trHeight w:val="320"/>
              </w:trPr>
              <w:tc>
                <w:tcPr>
                  <w:tcW w:w="1300" w:type="dxa"/>
                  <w:tcBorders>
                    <w:top w:val="nil"/>
                    <w:left w:val="nil"/>
                    <w:bottom w:val="nil"/>
                    <w:right w:val="nil"/>
                  </w:tcBorders>
                  <w:shd w:val="clear" w:color="auto" w:fill="auto"/>
                  <w:noWrap/>
                  <w:vAlign w:val="bottom"/>
                  <w:hideMark/>
                </w:tcPr>
                <w:p w14:paraId="0A3491CE" w14:textId="77777777" w:rsidR="00AE2DF2" w:rsidRPr="00175752" w:rsidRDefault="00AE2DF2" w:rsidP="00AE2DF2">
                  <w:pPr>
                    <w:rPr>
                      <w:color w:val="000000"/>
                    </w:rPr>
                  </w:pPr>
                  <w:r w:rsidRPr="00175752">
                    <w:rPr>
                      <w:color w:val="000000"/>
                    </w:rPr>
                    <w:t>DIO</w:t>
                  </w:r>
                </w:p>
              </w:tc>
              <w:tc>
                <w:tcPr>
                  <w:tcW w:w="6914" w:type="dxa"/>
                  <w:gridSpan w:val="2"/>
                  <w:tcBorders>
                    <w:top w:val="nil"/>
                    <w:left w:val="nil"/>
                    <w:bottom w:val="nil"/>
                    <w:right w:val="nil"/>
                  </w:tcBorders>
                  <w:shd w:val="clear" w:color="auto" w:fill="auto"/>
                  <w:noWrap/>
                  <w:vAlign w:val="bottom"/>
                  <w:hideMark/>
                </w:tcPr>
                <w:p w14:paraId="1DCA3473" w14:textId="77777777" w:rsidR="00AE2DF2" w:rsidRPr="00175752" w:rsidRDefault="00AE2DF2" w:rsidP="00AE2DF2">
                  <w:pPr>
                    <w:rPr>
                      <w:color w:val="000000"/>
                    </w:rPr>
                  </w:pPr>
                  <w:r w:rsidRPr="00175752">
                    <w:rPr>
                      <w:color w:val="000000"/>
                    </w:rPr>
                    <w:t>Diet-induced Obese</w:t>
                  </w:r>
                </w:p>
              </w:tc>
            </w:tr>
            <w:tr w:rsidR="00AE2DF2" w:rsidRPr="00175752" w14:paraId="22D13282" w14:textId="77777777" w:rsidTr="00AE2DF2">
              <w:trPr>
                <w:trHeight w:val="320"/>
              </w:trPr>
              <w:tc>
                <w:tcPr>
                  <w:tcW w:w="1300" w:type="dxa"/>
                  <w:tcBorders>
                    <w:top w:val="nil"/>
                    <w:left w:val="nil"/>
                    <w:bottom w:val="nil"/>
                    <w:right w:val="nil"/>
                  </w:tcBorders>
                  <w:shd w:val="clear" w:color="auto" w:fill="auto"/>
                  <w:noWrap/>
                  <w:vAlign w:val="bottom"/>
                  <w:hideMark/>
                </w:tcPr>
                <w:p w14:paraId="612C588A" w14:textId="77777777" w:rsidR="00AE2DF2" w:rsidRPr="00175752" w:rsidRDefault="00AE2DF2" w:rsidP="00AE2DF2">
                  <w:pPr>
                    <w:rPr>
                      <w:color w:val="000000"/>
                    </w:rPr>
                  </w:pPr>
                  <w:r w:rsidRPr="00175752">
                    <w:rPr>
                      <w:color w:val="000000"/>
                    </w:rPr>
                    <w:t>DIO2</w:t>
                  </w:r>
                </w:p>
              </w:tc>
              <w:tc>
                <w:tcPr>
                  <w:tcW w:w="6914" w:type="dxa"/>
                  <w:gridSpan w:val="2"/>
                  <w:tcBorders>
                    <w:top w:val="nil"/>
                    <w:left w:val="nil"/>
                    <w:bottom w:val="nil"/>
                    <w:right w:val="nil"/>
                  </w:tcBorders>
                  <w:shd w:val="clear" w:color="auto" w:fill="auto"/>
                  <w:noWrap/>
                  <w:vAlign w:val="bottom"/>
                  <w:hideMark/>
                </w:tcPr>
                <w:p w14:paraId="7D4D8AC2" w14:textId="77777777" w:rsidR="00AE2DF2" w:rsidRPr="00175752" w:rsidRDefault="00AE2DF2" w:rsidP="00AE2DF2">
                  <w:pPr>
                    <w:rPr>
                      <w:color w:val="000000"/>
                    </w:rPr>
                  </w:pPr>
                  <w:r w:rsidRPr="00175752">
                    <w:rPr>
                      <w:color w:val="000000"/>
                    </w:rPr>
                    <w:t>Iodothyronine Deiodinase Type II</w:t>
                  </w:r>
                </w:p>
              </w:tc>
            </w:tr>
            <w:tr w:rsidR="00AE2DF2" w:rsidRPr="00175752" w14:paraId="05BCF0E7" w14:textId="77777777" w:rsidTr="00AE2DF2">
              <w:trPr>
                <w:trHeight w:val="320"/>
              </w:trPr>
              <w:tc>
                <w:tcPr>
                  <w:tcW w:w="1300" w:type="dxa"/>
                  <w:tcBorders>
                    <w:top w:val="nil"/>
                    <w:left w:val="nil"/>
                    <w:bottom w:val="nil"/>
                    <w:right w:val="nil"/>
                  </w:tcBorders>
                  <w:shd w:val="clear" w:color="auto" w:fill="auto"/>
                  <w:noWrap/>
                  <w:vAlign w:val="bottom"/>
                  <w:hideMark/>
                </w:tcPr>
                <w:p w14:paraId="4E8B6CC8" w14:textId="77777777" w:rsidR="00AE2DF2" w:rsidRPr="00175752" w:rsidRDefault="00AE2DF2" w:rsidP="00AE2DF2">
                  <w:pPr>
                    <w:rPr>
                      <w:color w:val="000000"/>
                    </w:rPr>
                  </w:pPr>
                  <w:r w:rsidRPr="00175752">
                    <w:rPr>
                      <w:color w:val="000000"/>
                    </w:rPr>
                    <w:t>DJ-1</w:t>
                  </w:r>
                </w:p>
              </w:tc>
              <w:tc>
                <w:tcPr>
                  <w:tcW w:w="6914" w:type="dxa"/>
                  <w:gridSpan w:val="2"/>
                  <w:tcBorders>
                    <w:top w:val="nil"/>
                    <w:left w:val="nil"/>
                    <w:bottom w:val="nil"/>
                    <w:right w:val="nil"/>
                  </w:tcBorders>
                  <w:shd w:val="clear" w:color="auto" w:fill="auto"/>
                  <w:noWrap/>
                  <w:vAlign w:val="bottom"/>
                  <w:hideMark/>
                </w:tcPr>
                <w:p w14:paraId="55D92067" w14:textId="77777777" w:rsidR="00AE2DF2" w:rsidRPr="00175752" w:rsidRDefault="00AE2DF2" w:rsidP="00AE2DF2">
                  <w:pPr>
                    <w:rPr>
                      <w:color w:val="000000"/>
                    </w:rPr>
                  </w:pPr>
                  <w:r w:rsidRPr="00175752">
                    <w:rPr>
                      <w:color w:val="000000"/>
                    </w:rPr>
                    <w:t>Parkinson Disease Protein 7</w:t>
                  </w:r>
                </w:p>
              </w:tc>
            </w:tr>
            <w:tr w:rsidR="00AE2DF2" w:rsidRPr="00175752" w14:paraId="32E74E93" w14:textId="77777777" w:rsidTr="00AE2DF2">
              <w:trPr>
                <w:trHeight w:val="320"/>
              </w:trPr>
              <w:tc>
                <w:tcPr>
                  <w:tcW w:w="1300" w:type="dxa"/>
                  <w:tcBorders>
                    <w:top w:val="nil"/>
                    <w:left w:val="nil"/>
                    <w:bottom w:val="nil"/>
                    <w:right w:val="nil"/>
                  </w:tcBorders>
                  <w:shd w:val="clear" w:color="auto" w:fill="auto"/>
                  <w:noWrap/>
                  <w:vAlign w:val="bottom"/>
                  <w:hideMark/>
                </w:tcPr>
                <w:p w14:paraId="3C728D75" w14:textId="77777777" w:rsidR="00AE2DF2" w:rsidRPr="00175752" w:rsidRDefault="00AE2DF2" w:rsidP="00AE2DF2">
                  <w:pPr>
                    <w:rPr>
                      <w:color w:val="000000"/>
                    </w:rPr>
                  </w:pPr>
                  <w:r w:rsidRPr="00175752">
                    <w:rPr>
                      <w:color w:val="000000"/>
                    </w:rPr>
                    <w:lastRenderedPageBreak/>
                    <w:t>DMEM</w:t>
                  </w:r>
                </w:p>
              </w:tc>
              <w:tc>
                <w:tcPr>
                  <w:tcW w:w="6914" w:type="dxa"/>
                  <w:gridSpan w:val="2"/>
                  <w:tcBorders>
                    <w:top w:val="nil"/>
                    <w:left w:val="nil"/>
                    <w:bottom w:val="nil"/>
                    <w:right w:val="nil"/>
                  </w:tcBorders>
                  <w:shd w:val="clear" w:color="auto" w:fill="auto"/>
                  <w:noWrap/>
                  <w:vAlign w:val="bottom"/>
                  <w:hideMark/>
                </w:tcPr>
                <w:p w14:paraId="11A99C8C" w14:textId="77777777" w:rsidR="00AE2DF2" w:rsidRPr="00175752" w:rsidRDefault="00AE2DF2" w:rsidP="00AE2DF2">
                  <w:pPr>
                    <w:rPr>
                      <w:color w:val="000000"/>
                    </w:rPr>
                  </w:pPr>
                  <w:r w:rsidRPr="00175752">
                    <w:rPr>
                      <w:color w:val="000000"/>
                    </w:rPr>
                    <w:t>Dulbecco's Modified Eagle Medium</w:t>
                  </w:r>
                </w:p>
              </w:tc>
            </w:tr>
            <w:tr w:rsidR="00AE2DF2" w:rsidRPr="00175752" w14:paraId="0A59FF73" w14:textId="77777777" w:rsidTr="00AE2DF2">
              <w:trPr>
                <w:trHeight w:val="320"/>
              </w:trPr>
              <w:tc>
                <w:tcPr>
                  <w:tcW w:w="1300" w:type="dxa"/>
                  <w:tcBorders>
                    <w:top w:val="nil"/>
                    <w:left w:val="nil"/>
                    <w:bottom w:val="nil"/>
                    <w:right w:val="nil"/>
                  </w:tcBorders>
                  <w:shd w:val="clear" w:color="auto" w:fill="auto"/>
                  <w:noWrap/>
                  <w:vAlign w:val="bottom"/>
                  <w:hideMark/>
                </w:tcPr>
                <w:p w14:paraId="6EBE1B37" w14:textId="77777777" w:rsidR="00AE2DF2" w:rsidRPr="00175752" w:rsidRDefault="00AE2DF2" w:rsidP="00AE2DF2">
                  <w:pPr>
                    <w:rPr>
                      <w:color w:val="000000"/>
                    </w:rPr>
                  </w:pPr>
                  <w:r w:rsidRPr="00175752">
                    <w:rPr>
                      <w:color w:val="000000"/>
                    </w:rPr>
                    <w:t>EDCs</w:t>
                  </w:r>
                </w:p>
              </w:tc>
              <w:tc>
                <w:tcPr>
                  <w:tcW w:w="6914" w:type="dxa"/>
                  <w:gridSpan w:val="2"/>
                  <w:tcBorders>
                    <w:top w:val="nil"/>
                    <w:left w:val="nil"/>
                    <w:bottom w:val="nil"/>
                    <w:right w:val="nil"/>
                  </w:tcBorders>
                  <w:shd w:val="clear" w:color="auto" w:fill="auto"/>
                  <w:noWrap/>
                  <w:vAlign w:val="bottom"/>
                  <w:hideMark/>
                </w:tcPr>
                <w:p w14:paraId="0E270791" w14:textId="77777777" w:rsidR="00AE2DF2" w:rsidRPr="00175752" w:rsidRDefault="00AE2DF2" w:rsidP="00AE2DF2">
                  <w:pPr>
                    <w:rPr>
                      <w:color w:val="000000"/>
                    </w:rPr>
                  </w:pPr>
                  <w:r w:rsidRPr="00175752">
                    <w:rPr>
                      <w:color w:val="000000"/>
                    </w:rPr>
                    <w:t>Endocrine-disrupting Chemicals</w:t>
                  </w:r>
                </w:p>
              </w:tc>
            </w:tr>
            <w:tr w:rsidR="00AE2DF2" w:rsidRPr="00175752" w14:paraId="18C4E266" w14:textId="77777777" w:rsidTr="00AE2DF2">
              <w:trPr>
                <w:trHeight w:val="320"/>
              </w:trPr>
              <w:tc>
                <w:tcPr>
                  <w:tcW w:w="1300" w:type="dxa"/>
                  <w:tcBorders>
                    <w:top w:val="nil"/>
                    <w:left w:val="nil"/>
                    <w:bottom w:val="nil"/>
                    <w:right w:val="nil"/>
                  </w:tcBorders>
                  <w:shd w:val="clear" w:color="auto" w:fill="auto"/>
                  <w:noWrap/>
                  <w:vAlign w:val="bottom"/>
                  <w:hideMark/>
                </w:tcPr>
                <w:p w14:paraId="39A993FA" w14:textId="77777777" w:rsidR="00AE2DF2" w:rsidRPr="00175752" w:rsidRDefault="00AE2DF2" w:rsidP="00AE2DF2">
                  <w:pPr>
                    <w:rPr>
                      <w:color w:val="000000"/>
                    </w:rPr>
                  </w:pPr>
                  <w:r w:rsidRPr="00175752">
                    <w:rPr>
                      <w:color w:val="000000"/>
                    </w:rPr>
                    <w:t>EGCG</w:t>
                  </w:r>
                </w:p>
              </w:tc>
              <w:tc>
                <w:tcPr>
                  <w:tcW w:w="6914" w:type="dxa"/>
                  <w:gridSpan w:val="2"/>
                  <w:tcBorders>
                    <w:top w:val="nil"/>
                    <w:left w:val="nil"/>
                    <w:bottom w:val="nil"/>
                    <w:right w:val="nil"/>
                  </w:tcBorders>
                  <w:shd w:val="clear" w:color="auto" w:fill="auto"/>
                  <w:noWrap/>
                  <w:vAlign w:val="bottom"/>
                  <w:hideMark/>
                </w:tcPr>
                <w:p w14:paraId="399EB650" w14:textId="77777777" w:rsidR="00AE2DF2" w:rsidRPr="00175752" w:rsidRDefault="00AE2DF2" w:rsidP="00AE2DF2">
                  <w:pPr>
                    <w:rPr>
                      <w:color w:val="000000"/>
                    </w:rPr>
                  </w:pPr>
                  <w:r w:rsidRPr="00175752">
                    <w:rPr>
                      <w:color w:val="000000"/>
                    </w:rPr>
                    <w:t>Epigallocatechin Gallate</w:t>
                  </w:r>
                </w:p>
              </w:tc>
            </w:tr>
            <w:tr w:rsidR="00AE2DF2" w:rsidRPr="00175752" w14:paraId="311E1A08" w14:textId="77777777" w:rsidTr="00AE2DF2">
              <w:trPr>
                <w:trHeight w:val="320"/>
              </w:trPr>
              <w:tc>
                <w:tcPr>
                  <w:tcW w:w="1300" w:type="dxa"/>
                  <w:tcBorders>
                    <w:top w:val="nil"/>
                    <w:left w:val="nil"/>
                    <w:bottom w:val="nil"/>
                    <w:right w:val="nil"/>
                  </w:tcBorders>
                  <w:shd w:val="clear" w:color="auto" w:fill="auto"/>
                  <w:noWrap/>
                  <w:vAlign w:val="bottom"/>
                  <w:hideMark/>
                </w:tcPr>
                <w:p w14:paraId="542E1388" w14:textId="77777777" w:rsidR="00AE2DF2" w:rsidRPr="00175752" w:rsidRDefault="00AE2DF2" w:rsidP="00AE2DF2">
                  <w:pPr>
                    <w:rPr>
                      <w:color w:val="000000"/>
                    </w:rPr>
                  </w:pPr>
                  <w:r w:rsidRPr="00175752">
                    <w:rPr>
                      <w:color w:val="000000"/>
                    </w:rPr>
                    <w:t>ER</w:t>
                  </w:r>
                </w:p>
              </w:tc>
              <w:tc>
                <w:tcPr>
                  <w:tcW w:w="6914" w:type="dxa"/>
                  <w:gridSpan w:val="2"/>
                  <w:tcBorders>
                    <w:top w:val="nil"/>
                    <w:left w:val="nil"/>
                    <w:bottom w:val="nil"/>
                    <w:right w:val="nil"/>
                  </w:tcBorders>
                  <w:shd w:val="clear" w:color="auto" w:fill="auto"/>
                  <w:noWrap/>
                  <w:vAlign w:val="bottom"/>
                  <w:hideMark/>
                </w:tcPr>
                <w:p w14:paraId="06B03641" w14:textId="77777777" w:rsidR="00AE2DF2" w:rsidRPr="00175752" w:rsidRDefault="00AE2DF2" w:rsidP="00AE2DF2">
                  <w:pPr>
                    <w:rPr>
                      <w:color w:val="000000"/>
                    </w:rPr>
                  </w:pPr>
                  <w:r w:rsidRPr="00175752">
                    <w:rPr>
                      <w:color w:val="000000"/>
                    </w:rPr>
                    <w:t>Endoplasmic Reticulum</w:t>
                  </w:r>
                </w:p>
              </w:tc>
            </w:tr>
            <w:tr w:rsidR="00AE2DF2" w:rsidRPr="00175752" w14:paraId="2D083CBB" w14:textId="77777777" w:rsidTr="00AE2DF2">
              <w:trPr>
                <w:trHeight w:val="320"/>
              </w:trPr>
              <w:tc>
                <w:tcPr>
                  <w:tcW w:w="1300" w:type="dxa"/>
                  <w:tcBorders>
                    <w:top w:val="nil"/>
                    <w:left w:val="nil"/>
                    <w:bottom w:val="nil"/>
                    <w:right w:val="nil"/>
                  </w:tcBorders>
                  <w:shd w:val="clear" w:color="auto" w:fill="auto"/>
                  <w:noWrap/>
                  <w:vAlign w:val="bottom"/>
                  <w:hideMark/>
                </w:tcPr>
                <w:p w14:paraId="6AD96425" w14:textId="77777777" w:rsidR="00AE2DF2" w:rsidRPr="00175752" w:rsidRDefault="00AE2DF2" w:rsidP="00AE2DF2">
                  <w:pPr>
                    <w:rPr>
                      <w:color w:val="000000"/>
                    </w:rPr>
                  </w:pPr>
                  <w:r w:rsidRPr="00175752">
                    <w:rPr>
                      <w:color w:val="000000"/>
                    </w:rPr>
                    <w:t>ERK1/2</w:t>
                  </w:r>
                </w:p>
              </w:tc>
              <w:tc>
                <w:tcPr>
                  <w:tcW w:w="6914" w:type="dxa"/>
                  <w:gridSpan w:val="2"/>
                  <w:tcBorders>
                    <w:top w:val="nil"/>
                    <w:left w:val="nil"/>
                    <w:bottom w:val="nil"/>
                    <w:right w:val="nil"/>
                  </w:tcBorders>
                  <w:shd w:val="clear" w:color="auto" w:fill="auto"/>
                  <w:noWrap/>
                  <w:vAlign w:val="bottom"/>
                  <w:hideMark/>
                </w:tcPr>
                <w:p w14:paraId="30E3C4F8" w14:textId="77777777" w:rsidR="00AE2DF2" w:rsidRPr="00175752" w:rsidRDefault="00AE2DF2" w:rsidP="00AE2DF2">
                  <w:pPr>
                    <w:rPr>
                      <w:color w:val="000000"/>
                    </w:rPr>
                  </w:pPr>
                  <w:r w:rsidRPr="00175752">
                    <w:rPr>
                      <w:color w:val="000000"/>
                    </w:rPr>
                    <w:t>Extracellular Signal-regulated Kinase 1/2</w:t>
                  </w:r>
                </w:p>
              </w:tc>
            </w:tr>
            <w:tr w:rsidR="00AE2DF2" w:rsidRPr="00175752" w14:paraId="441A183F" w14:textId="77777777" w:rsidTr="00AE2DF2">
              <w:trPr>
                <w:trHeight w:val="320"/>
              </w:trPr>
              <w:tc>
                <w:tcPr>
                  <w:tcW w:w="1300" w:type="dxa"/>
                  <w:tcBorders>
                    <w:top w:val="nil"/>
                    <w:left w:val="nil"/>
                    <w:bottom w:val="nil"/>
                    <w:right w:val="nil"/>
                  </w:tcBorders>
                  <w:shd w:val="clear" w:color="auto" w:fill="auto"/>
                  <w:noWrap/>
                  <w:vAlign w:val="bottom"/>
                  <w:hideMark/>
                </w:tcPr>
                <w:p w14:paraId="300E9538" w14:textId="77777777" w:rsidR="00AE2DF2" w:rsidRPr="00175752" w:rsidRDefault="00AE2DF2" w:rsidP="00AE2DF2">
                  <w:pPr>
                    <w:rPr>
                      <w:color w:val="000000"/>
                    </w:rPr>
                  </w:pPr>
                  <w:r w:rsidRPr="00175752">
                    <w:rPr>
                      <w:color w:val="000000"/>
                    </w:rPr>
                    <w:t>Erα</w:t>
                  </w:r>
                </w:p>
              </w:tc>
              <w:tc>
                <w:tcPr>
                  <w:tcW w:w="6914" w:type="dxa"/>
                  <w:gridSpan w:val="2"/>
                  <w:tcBorders>
                    <w:top w:val="nil"/>
                    <w:left w:val="nil"/>
                    <w:bottom w:val="nil"/>
                    <w:right w:val="nil"/>
                  </w:tcBorders>
                  <w:shd w:val="clear" w:color="auto" w:fill="auto"/>
                  <w:noWrap/>
                  <w:vAlign w:val="bottom"/>
                  <w:hideMark/>
                </w:tcPr>
                <w:p w14:paraId="3A7F6387" w14:textId="77777777" w:rsidR="00AE2DF2" w:rsidRPr="00175752" w:rsidRDefault="00AE2DF2" w:rsidP="00AE2DF2">
                  <w:pPr>
                    <w:rPr>
                      <w:color w:val="000000"/>
                    </w:rPr>
                  </w:pPr>
                  <w:r w:rsidRPr="00175752">
                    <w:rPr>
                      <w:color w:val="000000"/>
                    </w:rPr>
                    <w:t>Estrogen Receptor Alpha</w:t>
                  </w:r>
                </w:p>
              </w:tc>
            </w:tr>
            <w:tr w:rsidR="00AE2DF2" w:rsidRPr="00175752" w14:paraId="076DB879" w14:textId="77777777" w:rsidTr="00AE2DF2">
              <w:trPr>
                <w:trHeight w:val="320"/>
              </w:trPr>
              <w:tc>
                <w:tcPr>
                  <w:tcW w:w="1300" w:type="dxa"/>
                  <w:tcBorders>
                    <w:top w:val="nil"/>
                    <w:left w:val="nil"/>
                    <w:bottom w:val="nil"/>
                    <w:right w:val="nil"/>
                  </w:tcBorders>
                  <w:shd w:val="clear" w:color="auto" w:fill="auto"/>
                  <w:noWrap/>
                  <w:vAlign w:val="bottom"/>
                  <w:hideMark/>
                </w:tcPr>
                <w:p w14:paraId="3820F96F" w14:textId="77777777" w:rsidR="00AE2DF2" w:rsidRPr="00175752" w:rsidRDefault="00AE2DF2" w:rsidP="00AE2DF2">
                  <w:pPr>
                    <w:rPr>
                      <w:color w:val="000000"/>
                    </w:rPr>
                  </w:pPr>
                  <w:r w:rsidRPr="00175752">
                    <w:rPr>
                      <w:color w:val="000000"/>
                    </w:rPr>
                    <w:t>Erβ</w:t>
                  </w:r>
                </w:p>
              </w:tc>
              <w:tc>
                <w:tcPr>
                  <w:tcW w:w="6914" w:type="dxa"/>
                  <w:gridSpan w:val="2"/>
                  <w:tcBorders>
                    <w:top w:val="nil"/>
                    <w:left w:val="nil"/>
                    <w:bottom w:val="nil"/>
                    <w:right w:val="nil"/>
                  </w:tcBorders>
                  <w:shd w:val="clear" w:color="auto" w:fill="auto"/>
                  <w:noWrap/>
                  <w:vAlign w:val="bottom"/>
                  <w:hideMark/>
                </w:tcPr>
                <w:p w14:paraId="640DFB47" w14:textId="77777777" w:rsidR="00AE2DF2" w:rsidRPr="00175752" w:rsidRDefault="00AE2DF2" w:rsidP="00AE2DF2">
                  <w:pPr>
                    <w:rPr>
                      <w:color w:val="000000"/>
                    </w:rPr>
                  </w:pPr>
                  <w:r w:rsidRPr="00175752">
                    <w:rPr>
                      <w:color w:val="000000"/>
                    </w:rPr>
                    <w:t>Estrogen Receptor Beta</w:t>
                  </w:r>
                </w:p>
              </w:tc>
            </w:tr>
            <w:tr w:rsidR="00AE2DF2" w:rsidRPr="00175752" w14:paraId="14CFAACE" w14:textId="77777777" w:rsidTr="00AE2DF2">
              <w:trPr>
                <w:trHeight w:val="320"/>
              </w:trPr>
              <w:tc>
                <w:tcPr>
                  <w:tcW w:w="1300" w:type="dxa"/>
                  <w:tcBorders>
                    <w:top w:val="nil"/>
                    <w:left w:val="nil"/>
                    <w:bottom w:val="nil"/>
                    <w:right w:val="nil"/>
                  </w:tcBorders>
                  <w:shd w:val="clear" w:color="auto" w:fill="auto"/>
                  <w:noWrap/>
                  <w:vAlign w:val="bottom"/>
                  <w:hideMark/>
                </w:tcPr>
                <w:p w14:paraId="174AC018" w14:textId="77777777" w:rsidR="00AE2DF2" w:rsidRPr="00175752" w:rsidRDefault="00AE2DF2" w:rsidP="00AE2DF2">
                  <w:pPr>
                    <w:rPr>
                      <w:color w:val="000000"/>
                    </w:rPr>
                  </w:pPr>
                  <w:r w:rsidRPr="00175752">
                    <w:rPr>
                      <w:color w:val="000000"/>
                    </w:rPr>
                    <w:t>ETC</w:t>
                  </w:r>
                </w:p>
              </w:tc>
              <w:tc>
                <w:tcPr>
                  <w:tcW w:w="6914" w:type="dxa"/>
                  <w:gridSpan w:val="2"/>
                  <w:tcBorders>
                    <w:top w:val="nil"/>
                    <w:left w:val="nil"/>
                    <w:bottom w:val="nil"/>
                    <w:right w:val="nil"/>
                  </w:tcBorders>
                  <w:shd w:val="clear" w:color="auto" w:fill="auto"/>
                  <w:noWrap/>
                  <w:vAlign w:val="bottom"/>
                  <w:hideMark/>
                </w:tcPr>
                <w:p w14:paraId="29B80CCC" w14:textId="77777777" w:rsidR="00AE2DF2" w:rsidRPr="00175752" w:rsidRDefault="00AE2DF2" w:rsidP="00AE2DF2">
                  <w:pPr>
                    <w:rPr>
                      <w:color w:val="000000"/>
                    </w:rPr>
                  </w:pPr>
                  <w:r w:rsidRPr="00175752">
                    <w:rPr>
                      <w:color w:val="000000"/>
                    </w:rPr>
                    <w:t>Electron Transport Chain</w:t>
                  </w:r>
                </w:p>
              </w:tc>
            </w:tr>
            <w:tr w:rsidR="00AE2DF2" w:rsidRPr="00175752" w14:paraId="40C51C78" w14:textId="77777777" w:rsidTr="00AE2DF2">
              <w:trPr>
                <w:trHeight w:val="320"/>
              </w:trPr>
              <w:tc>
                <w:tcPr>
                  <w:tcW w:w="1300" w:type="dxa"/>
                  <w:tcBorders>
                    <w:top w:val="nil"/>
                    <w:left w:val="nil"/>
                    <w:bottom w:val="nil"/>
                    <w:right w:val="nil"/>
                  </w:tcBorders>
                  <w:shd w:val="clear" w:color="auto" w:fill="auto"/>
                  <w:noWrap/>
                  <w:vAlign w:val="bottom"/>
                  <w:hideMark/>
                </w:tcPr>
                <w:p w14:paraId="7DD85941" w14:textId="77777777" w:rsidR="00AE2DF2" w:rsidRPr="00175752" w:rsidRDefault="00AE2DF2" w:rsidP="00AE2DF2">
                  <w:pPr>
                    <w:rPr>
                      <w:color w:val="000000"/>
                    </w:rPr>
                  </w:pPr>
                  <w:r w:rsidRPr="00175752">
                    <w:rPr>
                      <w:color w:val="000000"/>
                    </w:rPr>
                    <w:t>FABP4</w:t>
                  </w:r>
                </w:p>
              </w:tc>
              <w:tc>
                <w:tcPr>
                  <w:tcW w:w="6914" w:type="dxa"/>
                  <w:gridSpan w:val="2"/>
                  <w:tcBorders>
                    <w:top w:val="nil"/>
                    <w:left w:val="nil"/>
                    <w:bottom w:val="nil"/>
                    <w:right w:val="nil"/>
                  </w:tcBorders>
                  <w:shd w:val="clear" w:color="auto" w:fill="auto"/>
                  <w:noWrap/>
                  <w:vAlign w:val="bottom"/>
                  <w:hideMark/>
                </w:tcPr>
                <w:p w14:paraId="6FE50A32" w14:textId="77777777" w:rsidR="00AE2DF2" w:rsidRPr="00175752" w:rsidRDefault="00AE2DF2" w:rsidP="00AE2DF2">
                  <w:pPr>
                    <w:rPr>
                      <w:color w:val="000000"/>
                    </w:rPr>
                  </w:pPr>
                  <w:r w:rsidRPr="00175752">
                    <w:rPr>
                      <w:color w:val="000000"/>
                    </w:rPr>
                    <w:t>Fatty Acid Binding Protein 4</w:t>
                  </w:r>
                </w:p>
              </w:tc>
            </w:tr>
            <w:tr w:rsidR="00AE2DF2" w:rsidRPr="00175752" w14:paraId="73906CC8" w14:textId="77777777" w:rsidTr="00AE2DF2">
              <w:trPr>
                <w:trHeight w:val="320"/>
              </w:trPr>
              <w:tc>
                <w:tcPr>
                  <w:tcW w:w="1300" w:type="dxa"/>
                  <w:tcBorders>
                    <w:top w:val="nil"/>
                    <w:left w:val="nil"/>
                    <w:bottom w:val="nil"/>
                    <w:right w:val="nil"/>
                  </w:tcBorders>
                  <w:shd w:val="clear" w:color="auto" w:fill="auto"/>
                  <w:noWrap/>
                  <w:vAlign w:val="bottom"/>
                  <w:hideMark/>
                </w:tcPr>
                <w:p w14:paraId="64E20E9E" w14:textId="77777777" w:rsidR="00AE2DF2" w:rsidRPr="00175752" w:rsidRDefault="00AE2DF2" w:rsidP="00AE2DF2">
                  <w:pPr>
                    <w:rPr>
                      <w:color w:val="000000"/>
                    </w:rPr>
                  </w:pPr>
                  <w:r w:rsidRPr="00175752">
                    <w:rPr>
                      <w:color w:val="000000"/>
                    </w:rPr>
                    <w:t>FASN</w:t>
                  </w:r>
                </w:p>
              </w:tc>
              <w:tc>
                <w:tcPr>
                  <w:tcW w:w="6914" w:type="dxa"/>
                  <w:gridSpan w:val="2"/>
                  <w:tcBorders>
                    <w:top w:val="nil"/>
                    <w:left w:val="nil"/>
                    <w:bottom w:val="nil"/>
                    <w:right w:val="nil"/>
                  </w:tcBorders>
                  <w:shd w:val="clear" w:color="auto" w:fill="auto"/>
                  <w:noWrap/>
                  <w:vAlign w:val="bottom"/>
                  <w:hideMark/>
                </w:tcPr>
                <w:p w14:paraId="4F57BA3C" w14:textId="77777777" w:rsidR="00AE2DF2" w:rsidRPr="00175752" w:rsidRDefault="00AE2DF2" w:rsidP="00AE2DF2">
                  <w:pPr>
                    <w:rPr>
                      <w:color w:val="000000"/>
                    </w:rPr>
                  </w:pPr>
                  <w:r w:rsidRPr="00175752">
                    <w:rPr>
                      <w:color w:val="000000"/>
                    </w:rPr>
                    <w:t>Fatty Acid Synthase</w:t>
                  </w:r>
                </w:p>
              </w:tc>
            </w:tr>
            <w:tr w:rsidR="00AE2DF2" w:rsidRPr="00175752" w14:paraId="2A64CC4D" w14:textId="77777777" w:rsidTr="00AE2DF2">
              <w:trPr>
                <w:trHeight w:val="320"/>
              </w:trPr>
              <w:tc>
                <w:tcPr>
                  <w:tcW w:w="1300" w:type="dxa"/>
                  <w:tcBorders>
                    <w:top w:val="nil"/>
                    <w:left w:val="nil"/>
                    <w:bottom w:val="nil"/>
                    <w:right w:val="nil"/>
                  </w:tcBorders>
                  <w:shd w:val="clear" w:color="auto" w:fill="auto"/>
                  <w:noWrap/>
                  <w:vAlign w:val="bottom"/>
                  <w:hideMark/>
                </w:tcPr>
                <w:p w14:paraId="06AA1E75" w14:textId="77777777" w:rsidR="00AE2DF2" w:rsidRPr="00175752" w:rsidRDefault="00AE2DF2" w:rsidP="00AE2DF2">
                  <w:pPr>
                    <w:rPr>
                      <w:color w:val="000000"/>
                    </w:rPr>
                  </w:pPr>
                  <w:r w:rsidRPr="00175752">
                    <w:rPr>
                      <w:color w:val="000000"/>
                    </w:rPr>
                    <w:t>FBS</w:t>
                  </w:r>
                </w:p>
              </w:tc>
              <w:tc>
                <w:tcPr>
                  <w:tcW w:w="6914" w:type="dxa"/>
                  <w:gridSpan w:val="2"/>
                  <w:tcBorders>
                    <w:top w:val="nil"/>
                    <w:left w:val="nil"/>
                    <w:bottom w:val="nil"/>
                    <w:right w:val="nil"/>
                  </w:tcBorders>
                  <w:shd w:val="clear" w:color="auto" w:fill="auto"/>
                  <w:noWrap/>
                  <w:vAlign w:val="bottom"/>
                  <w:hideMark/>
                </w:tcPr>
                <w:p w14:paraId="475F3443" w14:textId="77777777" w:rsidR="00AE2DF2" w:rsidRPr="00175752" w:rsidRDefault="00AE2DF2" w:rsidP="00AE2DF2">
                  <w:pPr>
                    <w:rPr>
                      <w:color w:val="000000"/>
                    </w:rPr>
                  </w:pPr>
                  <w:r w:rsidRPr="00175752">
                    <w:rPr>
                      <w:color w:val="000000"/>
                    </w:rPr>
                    <w:t>Fetal Bovine Serum</w:t>
                  </w:r>
                </w:p>
              </w:tc>
            </w:tr>
            <w:tr w:rsidR="00AE2DF2" w:rsidRPr="00175752" w14:paraId="41D84FA7" w14:textId="77777777" w:rsidTr="00AE2DF2">
              <w:trPr>
                <w:trHeight w:val="320"/>
              </w:trPr>
              <w:tc>
                <w:tcPr>
                  <w:tcW w:w="1300" w:type="dxa"/>
                  <w:tcBorders>
                    <w:top w:val="nil"/>
                    <w:left w:val="nil"/>
                    <w:bottom w:val="nil"/>
                    <w:right w:val="nil"/>
                  </w:tcBorders>
                  <w:shd w:val="clear" w:color="auto" w:fill="auto"/>
                  <w:noWrap/>
                  <w:vAlign w:val="bottom"/>
                  <w:hideMark/>
                </w:tcPr>
                <w:p w14:paraId="77FE7744" w14:textId="77777777" w:rsidR="00AE2DF2" w:rsidRPr="00175752" w:rsidRDefault="00AE2DF2" w:rsidP="00AE2DF2">
                  <w:pPr>
                    <w:rPr>
                      <w:color w:val="000000"/>
                    </w:rPr>
                  </w:pPr>
                  <w:r w:rsidRPr="00175752">
                    <w:rPr>
                      <w:color w:val="000000"/>
                    </w:rPr>
                    <w:t>FFA</w:t>
                  </w:r>
                </w:p>
              </w:tc>
              <w:tc>
                <w:tcPr>
                  <w:tcW w:w="6914" w:type="dxa"/>
                  <w:gridSpan w:val="2"/>
                  <w:tcBorders>
                    <w:top w:val="nil"/>
                    <w:left w:val="nil"/>
                    <w:bottom w:val="nil"/>
                    <w:right w:val="nil"/>
                  </w:tcBorders>
                  <w:shd w:val="clear" w:color="auto" w:fill="auto"/>
                  <w:noWrap/>
                  <w:vAlign w:val="bottom"/>
                  <w:hideMark/>
                </w:tcPr>
                <w:p w14:paraId="78326EF9" w14:textId="77777777" w:rsidR="00AE2DF2" w:rsidRPr="00175752" w:rsidRDefault="00AE2DF2" w:rsidP="00AE2DF2">
                  <w:pPr>
                    <w:rPr>
                      <w:color w:val="000000"/>
                    </w:rPr>
                  </w:pPr>
                  <w:r w:rsidRPr="00175752">
                    <w:rPr>
                      <w:color w:val="000000"/>
                    </w:rPr>
                    <w:t>Free Fatty Acid</w:t>
                  </w:r>
                </w:p>
              </w:tc>
            </w:tr>
            <w:tr w:rsidR="00AE2DF2" w:rsidRPr="00175752" w14:paraId="39F1A720" w14:textId="77777777" w:rsidTr="00AE2DF2">
              <w:trPr>
                <w:trHeight w:val="320"/>
              </w:trPr>
              <w:tc>
                <w:tcPr>
                  <w:tcW w:w="1300" w:type="dxa"/>
                  <w:tcBorders>
                    <w:top w:val="nil"/>
                    <w:left w:val="nil"/>
                    <w:bottom w:val="nil"/>
                    <w:right w:val="nil"/>
                  </w:tcBorders>
                  <w:shd w:val="clear" w:color="auto" w:fill="auto"/>
                  <w:noWrap/>
                  <w:vAlign w:val="bottom"/>
                  <w:hideMark/>
                </w:tcPr>
                <w:p w14:paraId="227483A0" w14:textId="77777777" w:rsidR="00AE2DF2" w:rsidRPr="00175752" w:rsidRDefault="00AE2DF2" w:rsidP="00AE2DF2">
                  <w:pPr>
                    <w:rPr>
                      <w:color w:val="000000"/>
                    </w:rPr>
                  </w:pPr>
                  <w:r w:rsidRPr="00175752">
                    <w:rPr>
                      <w:color w:val="000000"/>
                    </w:rPr>
                    <w:t>FGF21</w:t>
                  </w:r>
                </w:p>
              </w:tc>
              <w:tc>
                <w:tcPr>
                  <w:tcW w:w="6914" w:type="dxa"/>
                  <w:gridSpan w:val="2"/>
                  <w:tcBorders>
                    <w:top w:val="nil"/>
                    <w:left w:val="nil"/>
                    <w:bottom w:val="nil"/>
                    <w:right w:val="nil"/>
                  </w:tcBorders>
                  <w:shd w:val="clear" w:color="auto" w:fill="auto"/>
                  <w:noWrap/>
                  <w:vAlign w:val="bottom"/>
                  <w:hideMark/>
                </w:tcPr>
                <w:p w14:paraId="6AEA4F50" w14:textId="77777777" w:rsidR="00AE2DF2" w:rsidRPr="00175752" w:rsidRDefault="00AE2DF2" w:rsidP="00AE2DF2">
                  <w:pPr>
                    <w:rPr>
                      <w:color w:val="000000"/>
                    </w:rPr>
                  </w:pPr>
                  <w:r w:rsidRPr="00175752">
                    <w:rPr>
                      <w:color w:val="000000"/>
                    </w:rPr>
                    <w:t>Fibroblast Growth Factor 21</w:t>
                  </w:r>
                </w:p>
              </w:tc>
            </w:tr>
            <w:tr w:rsidR="00AE2DF2" w:rsidRPr="00175752" w14:paraId="1D8EFE15" w14:textId="77777777" w:rsidTr="00AE2DF2">
              <w:trPr>
                <w:trHeight w:val="320"/>
              </w:trPr>
              <w:tc>
                <w:tcPr>
                  <w:tcW w:w="1300" w:type="dxa"/>
                  <w:tcBorders>
                    <w:top w:val="nil"/>
                    <w:left w:val="nil"/>
                    <w:bottom w:val="nil"/>
                    <w:right w:val="nil"/>
                  </w:tcBorders>
                  <w:shd w:val="clear" w:color="auto" w:fill="auto"/>
                  <w:noWrap/>
                  <w:vAlign w:val="bottom"/>
                  <w:hideMark/>
                </w:tcPr>
                <w:p w14:paraId="06A5423B" w14:textId="77777777" w:rsidR="00AE2DF2" w:rsidRPr="00175752" w:rsidRDefault="00AE2DF2" w:rsidP="00AE2DF2">
                  <w:pPr>
                    <w:rPr>
                      <w:color w:val="000000"/>
                    </w:rPr>
                  </w:pPr>
                  <w:r w:rsidRPr="00175752">
                    <w:rPr>
                      <w:color w:val="000000"/>
                    </w:rPr>
                    <w:t>FMT</w:t>
                  </w:r>
                </w:p>
              </w:tc>
              <w:tc>
                <w:tcPr>
                  <w:tcW w:w="6914" w:type="dxa"/>
                  <w:gridSpan w:val="2"/>
                  <w:tcBorders>
                    <w:top w:val="nil"/>
                    <w:left w:val="nil"/>
                    <w:bottom w:val="nil"/>
                    <w:right w:val="nil"/>
                  </w:tcBorders>
                  <w:shd w:val="clear" w:color="auto" w:fill="auto"/>
                  <w:noWrap/>
                  <w:vAlign w:val="bottom"/>
                  <w:hideMark/>
                </w:tcPr>
                <w:p w14:paraId="0CEA8F7A" w14:textId="77777777" w:rsidR="00AE2DF2" w:rsidRPr="00175752" w:rsidRDefault="00AE2DF2" w:rsidP="00AE2DF2">
                  <w:pPr>
                    <w:rPr>
                      <w:color w:val="000000"/>
                    </w:rPr>
                  </w:pPr>
                  <w:r w:rsidRPr="00175752">
                    <w:rPr>
                      <w:color w:val="000000"/>
                    </w:rPr>
                    <w:t>Fecal Microbiota Transplantation</w:t>
                  </w:r>
                </w:p>
              </w:tc>
            </w:tr>
            <w:tr w:rsidR="00AE2DF2" w:rsidRPr="00175752" w14:paraId="177B2EF4" w14:textId="77777777" w:rsidTr="00AE2DF2">
              <w:trPr>
                <w:trHeight w:val="320"/>
              </w:trPr>
              <w:tc>
                <w:tcPr>
                  <w:tcW w:w="1300" w:type="dxa"/>
                  <w:tcBorders>
                    <w:top w:val="nil"/>
                    <w:left w:val="nil"/>
                    <w:bottom w:val="nil"/>
                    <w:right w:val="nil"/>
                  </w:tcBorders>
                  <w:shd w:val="clear" w:color="auto" w:fill="auto"/>
                  <w:noWrap/>
                  <w:vAlign w:val="bottom"/>
                  <w:hideMark/>
                </w:tcPr>
                <w:p w14:paraId="11B63F67" w14:textId="77777777" w:rsidR="00AE2DF2" w:rsidRPr="00175752" w:rsidRDefault="00AE2DF2" w:rsidP="00AE2DF2">
                  <w:pPr>
                    <w:rPr>
                      <w:color w:val="000000"/>
                    </w:rPr>
                  </w:pPr>
                  <w:r w:rsidRPr="00175752">
                    <w:rPr>
                      <w:color w:val="000000"/>
                    </w:rPr>
                    <w:t>FOXO1/3</w:t>
                  </w:r>
                </w:p>
              </w:tc>
              <w:tc>
                <w:tcPr>
                  <w:tcW w:w="6914" w:type="dxa"/>
                  <w:gridSpan w:val="2"/>
                  <w:tcBorders>
                    <w:top w:val="nil"/>
                    <w:left w:val="nil"/>
                    <w:bottom w:val="nil"/>
                    <w:right w:val="nil"/>
                  </w:tcBorders>
                  <w:shd w:val="clear" w:color="auto" w:fill="auto"/>
                  <w:noWrap/>
                  <w:vAlign w:val="bottom"/>
                  <w:hideMark/>
                </w:tcPr>
                <w:p w14:paraId="17AB08BE" w14:textId="77777777" w:rsidR="00AE2DF2" w:rsidRPr="00175752" w:rsidRDefault="00AE2DF2" w:rsidP="00AE2DF2">
                  <w:pPr>
                    <w:rPr>
                      <w:color w:val="000000"/>
                    </w:rPr>
                  </w:pPr>
                  <w:r w:rsidRPr="00175752">
                    <w:rPr>
                      <w:color w:val="000000"/>
                    </w:rPr>
                    <w:t>Forkhead-related Transcription Factors O1/O3</w:t>
                  </w:r>
                </w:p>
              </w:tc>
            </w:tr>
            <w:tr w:rsidR="00AE2DF2" w:rsidRPr="00175752" w14:paraId="655339D3" w14:textId="77777777" w:rsidTr="00AE2DF2">
              <w:trPr>
                <w:trHeight w:val="320"/>
              </w:trPr>
              <w:tc>
                <w:tcPr>
                  <w:tcW w:w="1300" w:type="dxa"/>
                  <w:tcBorders>
                    <w:top w:val="nil"/>
                    <w:left w:val="nil"/>
                    <w:bottom w:val="nil"/>
                    <w:right w:val="nil"/>
                  </w:tcBorders>
                  <w:shd w:val="clear" w:color="auto" w:fill="auto"/>
                  <w:noWrap/>
                  <w:vAlign w:val="bottom"/>
                  <w:hideMark/>
                </w:tcPr>
                <w:p w14:paraId="6BC4F684" w14:textId="77777777" w:rsidR="00AE2DF2" w:rsidRPr="00175752" w:rsidRDefault="00AE2DF2" w:rsidP="00AE2DF2">
                  <w:pPr>
                    <w:rPr>
                      <w:color w:val="000000"/>
                    </w:rPr>
                  </w:pPr>
                  <w:r w:rsidRPr="00175752">
                    <w:rPr>
                      <w:color w:val="000000"/>
                    </w:rPr>
                    <w:t>GLP-1</w:t>
                  </w:r>
                </w:p>
              </w:tc>
              <w:tc>
                <w:tcPr>
                  <w:tcW w:w="6914" w:type="dxa"/>
                  <w:gridSpan w:val="2"/>
                  <w:tcBorders>
                    <w:top w:val="nil"/>
                    <w:left w:val="nil"/>
                    <w:bottom w:val="nil"/>
                    <w:right w:val="nil"/>
                  </w:tcBorders>
                  <w:shd w:val="clear" w:color="auto" w:fill="auto"/>
                  <w:noWrap/>
                  <w:vAlign w:val="bottom"/>
                  <w:hideMark/>
                </w:tcPr>
                <w:p w14:paraId="7E3228C6" w14:textId="77777777" w:rsidR="00AE2DF2" w:rsidRPr="00175752" w:rsidRDefault="00AE2DF2" w:rsidP="00AE2DF2">
                  <w:pPr>
                    <w:rPr>
                      <w:color w:val="000000"/>
                    </w:rPr>
                  </w:pPr>
                  <w:r w:rsidRPr="00175752">
                    <w:rPr>
                      <w:color w:val="000000"/>
                    </w:rPr>
                    <w:t>Glucagon-like Peptide-1</w:t>
                  </w:r>
                </w:p>
              </w:tc>
            </w:tr>
            <w:tr w:rsidR="00AE2DF2" w:rsidRPr="00175752" w14:paraId="4A7C0991" w14:textId="77777777" w:rsidTr="00AE2DF2">
              <w:trPr>
                <w:trHeight w:val="320"/>
              </w:trPr>
              <w:tc>
                <w:tcPr>
                  <w:tcW w:w="1300" w:type="dxa"/>
                  <w:tcBorders>
                    <w:top w:val="nil"/>
                    <w:left w:val="nil"/>
                    <w:bottom w:val="nil"/>
                    <w:right w:val="nil"/>
                  </w:tcBorders>
                  <w:shd w:val="clear" w:color="auto" w:fill="auto"/>
                  <w:noWrap/>
                  <w:vAlign w:val="bottom"/>
                  <w:hideMark/>
                </w:tcPr>
                <w:p w14:paraId="44DE4445" w14:textId="77777777" w:rsidR="00AE2DF2" w:rsidRPr="00175752" w:rsidRDefault="00AE2DF2" w:rsidP="00AE2DF2">
                  <w:pPr>
                    <w:rPr>
                      <w:color w:val="000000"/>
                    </w:rPr>
                  </w:pPr>
                  <w:r w:rsidRPr="00175752">
                    <w:rPr>
                      <w:color w:val="000000"/>
                    </w:rPr>
                    <w:t>GLUT</w:t>
                  </w:r>
                </w:p>
              </w:tc>
              <w:tc>
                <w:tcPr>
                  <w:tcW w:w="6914" w:type="dxa"/>
                  <w:gridSpan w:val="2"/>
                  <w:tcBorders>
                    <w:top w:val="nil"/>
                    <w:left w:val="nil"/>
                    <w:bottom w:val="nil"/>
                    <w:right w:val="nil"/>
                  </w:tcBorders>
                  <w:shd w:val="clear" w:color="auto" w:fill="auto"/>
                  <w:noWrap/>
                  <w:vAlign w:val="bottom"/>
                  <w:hideMark/>
                </w:tcPr>
                <w:p w14:paraId="1DEDE522" w14:textId="77777777" w:rsidR="00AE2DF2" w:rsidRPr="00175752" w:rsidRDefault="00AE2DF2" w:rsidP="00AE2DF2">
                  <w:pPr>
                    <w:rPr>
                      <w:color w:val="000000"/>
                    </w:rPr>
                  </w:pPr>
                  <w:r w:rsidRPr="00175752">
                    <w:rPr>
                      <w:color w:val="000000"/>
                    </w:rPr>
                    <w:t>Glucose Transporter</w:t>
                  </w:r>
                </w:p>
              </w:tc>
            </w:tr>
            <w:tr w:rsidR="00AE2DF2" w:rsidRPr="00175752" w14:paraId="2B880E36" w14:textId="77777777" w:rsidTr="00AE2DF2">
              <w:trPr>
                <w:trHeight w:val="320"/>
              </w:trPr>
              <w:tc>
                <w:tcPr>
                  <w:tcW w:w="1300" w:type="dxa"/>
                  <w:tcBorders>
                    <w:top w:val="nil"/>
                    <w:left w:val="nil"/>
                    <w:bottom w:val="nil"/>
                    <w:right w:val="nil"/>
                  </w:tcBorders>
                  <w:shd w:val="clear" w:color="auto" w:fill="auto"/>
                  <w:noWrap/>
                  <w:vAlign w:val="bottom"/>
                  <w:hideMark/>
                </w:tcPr>
                <w:p w14:paraId="1387CCB5" w14:textId="77777777" w:rsidR="00AE2DF2" w:rsidRPr="00175752" w:rsidRDefault="00AE2DF2" w:rsidP="00AE2DF2">
                  <w:pPr>
                    <w:rPr>
                      <w:color w:val="000000"/>
                    </w:rPr>
                  </w:pPr>
                  <w:r w:rsidRPr="00175752">
                    <w:rPr>
                      <w:color w:val="000000"/>
                    </w:rPr>
                    <w:t>GLUT4</w:t>
                  </w:r>
                </w:p>
              </w:tc>
              <w:tc>
                <w:tcPr>
                  <w:tcW w:w="6914" w:type="dxa"/>
                  <w:gridSpan w:val="2"/>
                  <w:tcBorders>
                    <w:top w:val="nil"/>
                    <w:left w:val="nil"/>
                    <w:bottom w:val="nil"/>
                    <w:right w:val="nil"/>
                  </w:tcBorders>
                  <w:shd w:val="clear" w:color="auto" w:fill="auto"/>
                  <w:noWrap/>
                  <w:vAlign w:val="bottom"/>
                  <w:hideMark/>
                </w:tcPr>
                <w:p w14:paraId="5BC4E4BD" w14:textId="77777777" w:rsidR="00AE2DF2" w:rsidRPr="00175752" w:rsidRDefault="00AE2DF2" w:rsidP="00AE2DF2">
                  <w:pPr>
                    <w:rPr>
                      <w:color w:val="000000"/>
                    </w:rPr>
                  </w:pPr>
                  <w:r w:rsidRPr="00175752">
                    <w:rPr>
                      <w:color w:val="000000"/>
                    </w:rPr>
                    <w:t>Glucose Transporter Type 4</w:t>
                  </w:r>
                </w:p>
              </w:tc>
            </w:tr>
            <w:tr w:rsidR="00AE2DF2" w:rsidRPr="00175752" w14:paraId="35469335" w14:textId="77777777" w:rsidTr="00AE2DF2">
              <w:trPr>
                <w:trHeight w:val="320"/>
              </w:trPr>
              <w:tc>
                <w:tcPr>
                  <w:tcW w:w="1300" w:type="dxa"/>
                  <w:tcBorders>
                    <w:top w:val="nil"/>
                    <w:left w:val="nil"/>
                    <w:bottom w:val="nil"/>
                    <w:right w:val="nil"/>
                  </w:tcBorders>
                  <w:shd w:val="clear" w:color="auto" w:fill="auto"/>
                  <w:noWrap/>
                  <w:vAlign w:val="bottom"/>
                  <w:hideMark/>
                </w:tcPr>
                <w:p w14:paraId="1D960882" w14:textId="77777777" w:rsidR="00AE2DF2" w:rsidRPr="00175752" w:rsidRDefault="00AE2DF2" w:rsidP="00AE2DF2">
                  <w:pPr>
                    <w:rPr>
                      <w:color w:val="000000"/>
                    </w:rPr>
                  </w:pPr>
                  <w:r w:rsidRPr="00175752">
                    <w:rPr>
                      <w:color w:val="000000"/>
                    </w:rPr>
                    <w:t>GRP78</w:t>
                  </w:r>
                </w:p>
              </w:tc>
              <w:tc>
                <w:tcPr>
                  <w:tcW w:w="6914" w:type="dxa"/>
                  <w:gridSpan w:val="2"/>
                  <w:tcBorders>
                    <w:top w:val="nil"/>
                    <w:left w:val="nil"/>
                    <w:bottom w:val="nil"/>
                    <w:right w:val="nil"/>
                  </w:tcBorders>
                  <w:shd w:val="clear" w:color="auto" w:fill="auto"/>
                  <w:noWrap/>
                  <w:vAlign w:val="bottom"/>
                  <w:hideMark/>
                </w:tcPr>
                <w:p w14:paraId="1FD1235E" w14:textId="77777777" w:rsidR="00AE2DF2" w:rsidRPr="00175752" w:rsidRDefault="00AE2DF2" w:rsidP="00AE2DF2">
                  <w:pPr>
                    <w:rPr>
                      <w:color w:val="000000"/>
                    </w:rPr>
                  </w:pPr>
                  <w:r w:rsidRPr="00175752">
                    <w:rPr>
                      <w:color w:val="000000"/>
                    </w:rPr>
                    <w:t>Glucose-Regulated Protein 78</w:t>
                  </w:r>
                </w:p>
              </w:tc>
            </w:tr>
            <w:tr w:rsidR="00AE2DF2" w:rsidRPr="00175752" w14:paraId="2AD87116" w14:textId="77777777" w:rsidTr="00AE2DF2">
              <w:trPr>
                <w:trHeight w:val="320"/>
              </w:trPr>
              <w:tc>
                <w:tcPr>
                  <w:tcW w:w="1300" w:type="dxa"/>
                  <w:tcBorders>
                    <w:top w:val="nil"/>
                    <w:left w:val="nil"/>
                    <w:bottom w:val="nil"/>
                    <w:right w:val="nil"/>
                  </w:tcBorders>
                  <w:shd w:val="clear" w:color="auto" w:fill="auto"/>
                  <w:noWrap/>
                  <w:vAlign w:val="bottom"/>
                  <w:hideMark/>
                </w:tcPr>
                <w:p w14:paraId="6F8A2BB9" w14:textId="77777777" w:rsidR="00AE2DF2" w:rsidRPr="00175752" w:rsidRDefault="00AE2DF2" w:rsidP="00AE2DF2">
                  <w:pPr>
                    <w:rPr>
                      <w:color w:val="000000"/>
                    </w:rPr>
                  </w:pPr>
                  <w:r w:rsidRPr="00175752">
                    <w:rPr>
                      <w:color w:val="000000"/>
                    </w:rPr>
                    <w:t>GSF</w:t>
                  </w:r>
                </w:p>
              </w:tc>
              <w:tc>
                <w:tcPr>
                  <w:tcW w:w="6914" w:type="dxa"/>
                  <w:gridSpan w:val="2"/>
                  <w:tcBorders>
                    <w:top w:val="nil"/>
                    <w:left w:val="nil"/>
                    <w:bottom w:val="nil"/>
                    <w:right w:val="nil"/>
                  </w:tcBorders>
                  <w:shd w:val="clear" w:color="auto" w:fill="auto"/>
                  <w:noWrap/>
                  <w:vAlign w:val="bottom"/>
                  <w:hideMark/>
                </w:tcPr>
                <w:p w14:paraId="22BC3F63" w14:textId="77777777" w:rsidR="00AE2DF2" w:rsidRPr="00175752" w:rsidRDefault="00AE2DF2" w:rsidP="00AE2DF2">
                  <w:pPr>
                    <w:rPr>
                      <w:color w:val="000000"/>
                    </w:rPr>
                  </w:pPr>
                  <w:r w:rsidRPr="00175752">
                    <w:rPr>
                      <w:color w:val="000000"/>
                    </w:rPr>
                    <w:t>Grape Seed Flour</w:t>
                  </w:r>
                </w:p>
              </w:tc>
            </w:tr>
            <w:tr w:rsidR="00AE2DF2" w:rsidRPr="00175752" w14:paraId="3ABE0E61" w14:textId="77777777" w:rsidTr="00AE2DF2">
              <w:trPr>
                <w:trHeight w:val="320"/>
              </w:trPr>
              <w:tc>
                <w:tcPr>
                  <w:tcW w:w="1300" w:type="dxa"/>
                  <w:tcBorders>
                    <w:top w:val="nil"/>
                    <w:left w:val="nil"/>
                    <w:bottom w:val="nil"/>
                    <w:right w:val="nil"/>
                  </w:tcBorders>
                  <w:shd w:val="clear" w:color="auto" w:fill="auto"/>
                  <w:noWrap/>
                  <w:vAlign w:val="bottom"/>
                  <w:hideMark/>
                </w:tcPr>
                <w:p w14:paraId="4C7734B4" w14:textId="77777777" w:rsidR="00AE2DF2" w:rsidRPr="00175752" w:rsidRDefault="00AE2DF2" w:rsidP="00AE2DF2">
                  <w:pPr>
                    <w:rPr>
                      <w:color w:val="000000"/>
                    </w:rPr>
                  </w:pPr>
                  <w:r w:rsidRPr="00175752">
                    <w:rPr>
                      <w:color w:val="000000"/>
                    </w:rPr>
                    <w:t>GSK-3β</w:t>
                  </w:r>
                </w:p>
              </w:tc>
              <w:tc>
                <w:tcPr>
                  <w:tcW w:w="6914" w:type="dxa"/>
                  <w:gridSpan w:val="2"/>
                  <w:tcBorders>
                    <w:top w:val="nil"/>
                    <w:left w:val="nil"/>
                    <w:bottom w:val="nil"/>
                    <w:right w:val="nil"/>
                  </w:tcBorders>
                  <w:shd w:val="clear" w:color="auto" w:fill="auto"/>
                  <w:noWrap/>
                  <w:vAlign w:val="bottom"/>
                  <w:hideMark/>
                </w:tcPr>
                <w:p w14:paraId="142DC3D2" w14:textId="77777777" w:rsidR="00AE2DF2" w:rsidRPr="00175752" w:rsidRDefault="00AE2DF2" w:rsidP="00AE2DF2">
                  <w:pPr>
                    <w:rPr>
                      <w:color w:val="000000"/>
                    </w:rPr>
                  </w:pPr>
                  <w:r w:rsidRPr="00175752">
                    <w:rPr>
                      <w:color w:val="000000"/>
                    </w:rPr>
                    <w:t>Glycogen Synthase Kinase 3 beta</w:t>
                  </w:r>
                </w:p>
              </w:tc>
            </w:tr>
            <w:tr w:rsidR="00AE2DF2" w:rsidRPr="00175752" w14:paraId="64CCF8DB" w14:textId="77777777" w:rsidTr="00AE2DF2">
              <w:trPr>
                <w:trHeight w:val="320"/>
              </w:trPr>
              <w:tc>
                <w:tcPr>
                  <w:tcW w:w="1300" w:type="dxa"/>
                  <w:tcBorders>
                    <w:top w:val="nil"/>
                    <w:left w:val="nil"/>
                    <w:bottom w:val="nil"/>
                    <w:right w:val="nil"/>
                  </w:tcBorders>
                  <w:shd w:val="clear" w:color="auto" w:fill="auto"/>
                  <w:noWrap/>
                  <w:vAlign w:val="bottom"/>
                  <w:hideMark/>
                </w:tcPr>
                <w:p w14:paraId="283A76D5" w14:textId="77777777" w:rsidR="00AE2DF2" w:rsidRPr="00175752" w:rsidRDefault="00AE2DF2" w:rsidP="00AE2DF2">
                  <w:pPr>
                    <w:rPr>
                      <w:color w:val="000000"/>
                    </w:rPr>
                  </w:pPr>
                  <w:r w:rsidRPr="00175752">
                    <w:rPr>
                      <w:color w:val="000000"/>
                    </w:rPr>
                    <w:t>GTE</w:t>
                  </w:r>
                </w:p>
              </w:tc>
              <w:tc>
                <w:tcPr>
                  <w:tcW w:w="6914" w:type="dxa"/>
                  <w:gridSpan w:val="2"/>
                  <w:tcBorders>
                    <w:top w:val="nil"/>
                    <w:left w:val="nil"/>
                    <w:bottom w:val="nil"/>
                    <w:right w:val="nil"/>
                  </w:tcBorders>
                  <w:shd w:val="clear" w:color="auto" w:fill="auto"/>
                  <w:noWrap/>
                  <w:vAlign w:val="bottom"/>
                  <w:hideMark/>
                </w:tcPr>
                <w:p w14:paraId="65ED89D1" w14:textId="77777777" w:rsidR="00AE2DF2" w:rsidRPr="00175752" w:rsidRDefault="00AE2DF2" w:rsidP="00AE2DF2">
                  <w:pPr>
                    <w:rPr>
                      <w:color w:val="000000"/>
                    </w:rPr>
                  </w:pPr>
                  <w:r w:rsidRPr="00175752">
                    <w:rPr>
                      <w:color w:val="000000"/>
                    </w:rPr>
                    <w:t>Green Tea Extract</w:t>
                  </w:r>
                </w:p>
              </w:tc>
            </w:tr>
            <w:tr w:rsidR="00AE2DF2" w:rsidRPr="00175752" w14:paraId="7004E553" w14:textId="77777777" w:rsidTr="00AE2DF2">
              <w:trPr>
                <w:trHeight w:val="320"/>
              </w:trPr>
              <w:tc>
                <w:tcPr>
                  <w:tcW w:w="1300" w:type="dxa"/>
                  <w:tcBorders>
                    <w:top w:val="nil"/>
                    <w:left w:val="nil"/>
                    <w:bottom w:val="nil"/>
                    <w:right w:val="nil"/>
                  </w:tcBorders>
                  <w:shd w:val="clear" w:color="auto" w:fill="auto"/>
                  <w:noWrap/>
                  <w:vAlign w:val="bottom"/>
                  <w:hideMark/>
                </w:tcPr>
                <w:p w14:paraId="2673D2E9" w14:textId="77777777" w:rsidR="00AE2DF2" w:rsidRPr="00175752" w:rsidRDefault="00AE2DF2" w:rsidP="00AE2DF2">
                  <w:pPr>
                    <w:rPr>
                      <w:color w:val="000000"/>
                    </w:rPr>
                  </w:pPr>
                  <w:r w:rsidRPr="00175752">
                    <w:rPr>
                      <w:color w:val="000000"/>
                    </w:rPr>
                    <w:lastRenderedPageBreak/>
                    <w:t>GWAS</w:t>
                  </w:r>
                </w:p>
              </w:tc>
              <w:tc>
                <w:tcPr>
                  <w:tcW w:w="6914" w:type="dxa"/>
                  <w:gridSpan w:val="2"/>
                  <w:tcBorders>
                    <w:top w:val="nil"/>
                    <w:left w:val="nil"/>
                    <w:bottom w:val="nil"/>
                    <w:right w:val="nil"/>
                  </w:tcBorders>
                  <w:shd w:val="clear" w:color="auto" w:fill="auto"/>
                  <w:noWrap/>
                  <w:vAlign w:val="bottom"/>
                  <w:hideMark/>
                </w:tcPr>
                <w:p w14:paraId="446EF6F5" w14:textId="77777777" w:rsidR="00AE2DF2" w:rsidRPr="00175752" w:rsidRDefault="00AE2DF2" w:rsidP="00AE2DF2">
                  <w:pPr>
                    <w:rPr>
                      <w:color w:val="000000"/>
                    </w:rPr>
                  </w:pPr>
                  <w:r w:rsidRPr="00175752">
                    <w:rPr>
                      <w:color w:val="000000"/>
                    </w:rPr>
                    <w:t>Genome-wide Association Studies</w:t>
                  </w:r>
                </w:p>
              </w:tc>
            </w:tr>
            <w:tr w:rsidR="00AE2DF2" w:rsidRPr="00175752" w14:paraId="3A0DBBF0" w14:textId="77777777" w:rsidTr="00AE2DF2">
              <w:trPr>
                <w:trHeight w:val="320"/>
              </w:trPr>
              <w:tc>
                <w:tcPr>
                  <w:tcW w:w="1300" w:type="dxa"/>
                  <w:tcBorders>
                    <w:top w:val="nil"/>
                    <w:left w:val="nil"/>
                    <w:bottom w:val="nil"/>
                    <w:right w:val="nil"/>
                  </w:tcBorders>
                  <w:shd w:val="clear" w:color="auto" w:fill="auto"/>
                  <w:noWrap/>
                  <w:vAlign w:val="bottom"/>
                  <w:hideMark/>
                </w:tcPr>
                <w:p w14:paraId="06DE9692" w14:textId="77777777" w:rsidR="00AE2DF2" w:rsidRPr="00175752" w:rsidRDefault="00AE2DF2" w:rsidP="00AE2DF2">
                  <w:pPr>
                    <w:rPr>
                      <w:color w:val="000000"/>
                    </w:rPr>
                  </w:pPr>
                  <w:r w:rsidRPr="00175752">
                    <w:rPr>
                      <w:color w:val="000000"/>
                    </w:rPr>
                    <w:t>HFD</w:t>
                  </w:r>
                </w:p>
              </w:tc>
              <w:tc>
                <w:tcPr>
                  <w:tcW w:w="6914" w:type="dxa"/>
                  <w:gridSpan w:val="2"/>
                  <w:tcBorders>
                    <w:top w:val="nil"/>
                    <w:left w:val="nil"/>
                    <w:bottom w:val="nil"/>
                    <w:right w:val="nil"/>
                  </w:tcBorders>
                  <w:shd w:val="clear" w:color="auto" w:fill="auto"/>
                  <w:noWrap/>
                  <w:vAlign w:val="bottom"/>
                  <w:hideMark/>
                </w:tcPr>
                <w:p w14:paraId="2443046E" w14:textId="77777777" w:rsidR="00AE2DF2" w:rsidRPr="00175752" w:rsidRDefault="00AE2DF2" w:rsidP="00AE2DF2">
                  <w:pPr>
                    <w:rPr>
                      <w:color w:val="000000"/>
                    </w:rPr>
                  </w:pPr>
                  <w:r w:rsidRPr="00175752">
                    <w:rPr>
                      <w:color w:val="000000"/>
                    </w:rPr>
                    <w:t>High-Fat Diet</w:t>
                  </w:r>
                </w:p>
              </w:tc>
            </w:tr>
            <w:tr w:rsidR="00AE2DF2" w:rsidRPr="00175752" w14:paraId="4BEB5F18" w14:textId="77777777" w:rsidTr="00AE2DF2">
              <w:trPr>
                <w:trHeight w:val="320"/>
              </w:trPr>
              <w:tc>
                <w:tcPr>
                  <w:tcW w:w="1300" w:type="dxa"/>
                  <w:tcBorders>
                    <w:top w:val="nil"/>
                    <w:left w:val="nil"/>
                    <w:bottom w:val="nil"/>
                    <w:right w:val="nil"/>
                  </w:tcBorders>
                  <w:shd w:val="clear" w:color="auto" w:fill="auto"/>
                  <w:noWrap/>
                  <w:vAlign w:val="bottom"/>
                  <w:hideMark/>
                </w:tcPr>
                <w:p w14:paraId="3BEFC712" w14:textId="77777777" w:rsidR="00AE2DF2" w:rsidRPr="00175752" w:rsidRDefault="00AE2DF2" w:rsidP="00AE2DF2">
                  <w:pPr>
                    <w:rPr>
                      <w:color w:val="000000"/>
                    </w:rPr>
                  </w:pPr>
                  <w:r w:rsidRPr="00175752">
                    <w:rPr>
                      <w:color w:val="000000"/>
                    </w:rPr>
                    <w:t>HO-1</w:t>
                  </w:r>
                </w:p>
              </w:tc>
              <w:tc>
                <w:tcPr>
                  <w:tcW w:w="6914" w:type="dxa"/>
                  <w:gridSpan w:val="2"/>
                  <w:tcBorders>
                    <w:top w:val="nil"/>
                    <w:left w:val="nil"/>
                    <w:bottom w:val="nil"/>
                    <w:right w:val="nil"/>
                  </w:tcBorders>
                  <w:shd w:val="clear" w:color="auto" w:fill="auto"/>
                  <w:noWrap/>
                  <w:vAlign w:val="bottom"/>
                  <w:hideMark/>
                </w:tcPr>
                <w:p w14:paraId="78B4D20E" w14:textId="77777777" w:rsidR="00AE2DF2" w:rsidRPr="00175752" w:rsidRDefault="00AE2DF2" w:rsidP="00AE2DF2">
                  <w:pPr>
                    <w:rPr>
                      <w:color w:val="000000"/>
                    </w:rPr>
                  </w:pPr>
                  <w:r w:rsidRPr="00175752">
                    <w:rPr>
                      <w:color w:val="000000"/>
                    </w:rPr>
                    <w:t>Heme Oxygenase-1</w:t>
                  </w:r>
                </w:p>
              </w:tc>
            </w:tr>
            <w:tr w:rsidR="00AE2DF2" w:rsidRPr="00175752" w14:paraId="3AEADA95" w14:textId="77777777" w:rsidTr="00AE2DF2">
              <w:trPr>
                <w:trHeight w:val="320"/>
              </w:trPr>
              <w:tc>
                <w:tcPr>
                  <w:tcW w:w="1300" w:type="dxa"/>
                  <w:tcBorders>
                    <w:top w:val="nil"/>
                    <w:left w:val="nil"/>
                    <w:bottom w:val="nil"/>
                    <w:right w:val="nil"/>
                  </w:tcBorders>
                  <w:shd w:val="clear" w:color="auto" w:fill="auto"/>
                  <w:noWrap/>
                  <w:vAlign w:val="bottom"/>
                  <w:hideMark/>
                </w:tcPr>
                <w:p w14:paraId="1FABE6E0" w14:textId="77777777" w:rsidR="00AE2DF2" w:rsidRPr="00175752" w:rsidRDefault="00AE2DF2" w:rsidP="00AE2DF2">
                  <w:pPr>
                    <w:rPr>
                      <w:color w:val="000000"/>
                    </w:rPr>
                  </w:pPr>
                  <w:r w:rsidRPr="00175752">
                    <w:rPr>
                      <w:color w:val="000000"/>
                    </w:rPr>
                    <w:t>HOMA-IR</w:t>
                  </w:r>
                </w:p>
              </w:tc>
              <w:tc>
                <w:tcPr>
                  <w:tcW w:w="6914" w:type="dxa"/>
                  <w:gridSpan w:val="2"/>
                  <w:tcBorders>
                    <w:top w:val="nil"/>
                    <w:left w:val="nil"/>
                    <w:bottom w:val="nil"/>
                    <w:right w:val="nil"/>
                  </w:tcBorders>
                  <w:shd w:val="clear" w:color="auto" w:fill="auto"/>
                  <w:noWrap/>
                  <w:vAlign w:val="bottom"/>
                  <w:hideMark/>
                </w:tcPr>
                <w:p w14:paraId="20C4D9F9" w14:textId="77777777" w:rsidR="00AE2DF2" w:rsidRPr="00175752" w:rsidRDefault="00AE2DF2" w:rsidP="00AE2DF2">
                  <w:pPr>
                    <w:rPr>
                      <w:color w:val="000000"/>
                    </w:rPr>
                  </w:pPr>
                  <w:r w:rsidRPr="00175752">
                    <w:rPr>
                      <w:color w:val="000000"/>
                    </w:rPr>
                    <w:t>Homeostatic Model Assessment of Insulin Resistance</w:t>
                  </w:r>
                </w:p>
              </w:tc>
            </w:tr>
            <w:tr w:rsidR="00AE2DF2" w:rsidRPr="00175752" w14:paraId="3FCA14BB" w14:textId="77777777" w:rsidTr="00AE2DF2">
              <w:trPr>
                <w:trHeight w:val="320"/>
              </w:trPr>
              <w:tc>
                <w:tcPr>
                  <w:tcW w:w="1300" w:type="dxa"/>
                  <w:tcBorders>
                    <w:top w:val="nil"/>
                    <w:left w:val="nil"/>
                    <w:bottom w:val="nil"/>
                    <w:right w:val="nil"/>
                  </w:tcBorders>
                  <w:shd w:val="clear" w:color="auto" w:fill="auto"/>
                  <w:noWrap/>
                  <w:vAlign w:val="bottom"/>
                  <w:hideMark/>
                </w:tcPr>
                <w:p w14:paraId="5ED057A6" w14:textId="77777777" w:rsidR="00AE2DF2" w:rsidRPr="00175752" w:rsidRDefault="00AE2DF2" w:rsidP="00AE2DF2">
                  <w:pPr>
                    <w:rPr>
                      <w:color w:val="000000"/>
                    </w:rPr>
                  </w:pPr>
                  <w:r w:rsidRPr="00175752">
                    <w:rPr>
                      <w:color w:val="000000"/>
                    </w:rPr>
                    <w:t>HSL</w:t>
                  </w:r>
                </w:p>
              </w:tc>
              <w:tc>
                <w:tcPr>
                  <w:tcW w:w="6914" w:type="dxa"/>
                  <w:gridSpan w:val="2"/>
                  <w:tcBorders>
                    <w:top w:val="nil"/>
                    <w:left w:val="nil"/>
                    <w:bottom w:val="nil"/>
                    <w:right w:val="nil"/>
                  </w:tcBorders>
                  <w:shd w:val="clear" w:color="auto" w:fill="auto"/>
                  <w:noWrap/>
                  <w:vAlign w:val="bottom"/>
                  <w:hideMark/>
                </w:tcPr>
                <w:p w14:paraId="79BF6D1E" w14:textId="77777777" w:rsidR="00AE2DF2" w:rsidRPr="00175752" w:rsidRDefault="00AE2DF2" w:rsidP="00AE2DF2">
                  <w:pPr>
                    <w:rPr>
                      <w:color w:val="000000"/>
                    </w:rPr>
                  </w:pPr>
                  <w:r w:rsidRPr="00175752">
                    <w:rPr>
                      <w:color w:val="000000"/>
                    </w:rPr>
                    <w:t>Hormone-Sensitive Lipase</w:t>
                  </w:r>
                </w:p>
              </w:tc>
            </w:tr>
            <w:tr w:rsidR="00AE2DF2" w:rsidRPr="00175752" w14:paraId="5584BEC4" w14:textId="77777777" w:rsidTr="00AE2DF2">
              <w:trPr>
                <w:trHeight w:val="320"/>
              </w:trPr>
              <w:tc>
                <w:tcPr>
                  <w:tcW w:w="1300" w:type="dxa"/>
                  <w:tcBorders>
                    <w:top w:val="nil"/>
                    <w:left w:val="nil"/>
                    <w:bottom w:val="nil"/>
                    <w:right w:val="nil"/>
                  </w:tcBorders>
                  <w:shd w:val="clear" w:color="auto" w:fill="auto"/>
                  <w:noWrap/>
                  <w:vAlign w:val="bottom"/>
                  <w:hideMark/>
                </w:tcPr>
                <w:p w14:paraId="468A1516" w14:textId="77777777" w:rsidR="00AE2DF2" w:rsidRPr="00175752" w:rsidRDefault="00AE2DF2" w:rsidP="00AE2DF2">
                  <w:pPr>
                    <w:rPr>
                      <w:color w:val="000000"/>
                    </w:rPr>
                  </w:pPr>
                  <w:r w:rsidRPr="00175752">
                    <w:rPr>
                      <w:color w:val="000000"/>
                    </w:rPr>
                    <w:t>HoxC9</w:t>
                  </w:r>
                </w:p>
              </w:tc>
              <w:tc>
                <w:tcPr>
                  <w:tcW w:w="6914" w:type="dxa"/>
                  <w:gridSpan w:val="2"/>
                  <w:tcBorders>
                    <w:top w:val="nil"/>
                    <w:left w:val="nil"/>
                    <w:bottom w:val="nil"/>
                    <w:right w:val="nil"/>
                  </w:tcBorders>
                  <w:shd w:val="clear" w:color="auto" w:fill="auto"/>
                  <w:noWrap/>
                  <w:vAlign w:val="bottom"/>
                  <w:hideMark/>
                </w:tcPr>
                <w:p w14:paraId="3A57CDF3" w14:textId="77777777" w:rsidR="00AE2DF2" w:rsidRPr="00175752" w:rsidRDefault="00AE2DF2" w:rsidP="00AE2DF2">
                  <w:pPr>
                    <w:rPr>
                      <w:color w:val="000000"/>
                    </w:rPr>
                  </w:pPr>
                  <w:r w:rsidRPr="00175752">
                    <w:rPr>
                      <w:color w:val="000000"/>
                    </w:rPr>
                    <w:t>Homeobox C9</w:t>
                  </w:r>
                </w:p>
              </w:tc>
            </w:tr>
            <w:tr w:rsidR="00AE2DF2" w:rsidRPr="00175752" w14:paraId="45CD41A6" w14:textId="77777777" w:rsidTr="00AE2DF2">
              <w:trPr>
                <w:trHeight w:val="320"/>
              </w:trPr>
              <w:tc>
                <w:tcPr>
                  <w:tcW w:w="1300" w:type="dxa"/>
                  <w:tcBorders>
                    <w:top w:val="nil"/>
                    <w:left w:val="nil"/>
                    <w:bottom w:val="nil"/>
                    <w:right w:val="nil"/>
                  </w:tcBorders>
                  <w:shd w:val="clear" w:color="auto" w:fill="auto"/>
                  <w:noWrap/>
                  <w:vAlign w:val="bottom"/>
                  <w:hideMark/>
                </w:tcPr>
                <w:p w14:paraId="609736B9" w14:textId="77777777" w:rsidR="00AE2DF2" w:rsidRPr="00175752" w:rsidRDefault="00AE2DF2" w:rsidP="00AE2DF2">
                  <w:pPr>
                    <w:rPr>
                      <w:color w:val="000000"/>
                    </w:rPr>
                  </w:pPr>
                  <w:r w:rsidRPr="00175752">
                    <w:rPr>
                      <w:color w:val="000000"/>
                    </w:rPr>
                    <w:t>IL-1β</w:t>
                  </w:r>
                </w:p>
              </w:tc>
              <w:tc>
                <w:tcPr>
                  <w:tcW w:w="6914" w:type="dxa"/>
                  <w:gridSpan w:val="2"/>
                  <w:tcBorders>
                    <w:top w:val="nil"/>
                    <w:left w:val="nil"/>
                    <w:bottom w:val="nil"/>
                    <w:right w:val="nil"/>
                  </w:tcBorders>
                  <w:shd w:val="clear" w:color="auto" w:fill="auto"/>
                  <w:noWrap/>
                  <w:vAlign w:val="bottom"/>
                  <w:hideMark/>
                </w:tcPr>
                <w:p w14:paraId="241B4906" w14:textId="77777777" w:rsidR="00AE2DF2" w:rsidRPr="00175752" w:rsidRDefault="00AE2DF2" w:rsidP="00AE2DF2">
                  <w:pPr>
                    <w:rPr>
                      <w:color w:val="000000"/>
                    </w:rPr>
                  </w:pPr>
                  <w:r w:rsidRPr="00175752">
                    <w:rPr>
                      <w:color w:val="000000"/>
                    </w:rPr>
                    <w:t>Interleukin-1 Beta</w:t>
                  </w:r>
                </w:p>
              </w:tc>
            </w:tr>
            <w:tr w:rsidR="00AE2DF2" w:rsidRPr="00175752" w14:paraId="1BD06393" w14:textId="77777777" w:rsidTr="00AE2DF2">
              <w:trPr>
                <w:trHeight w:val="320"/>
              </w:trPr>
              <w:tc>
                <w:tcPr>
                  <w:tcW w:w="1300" w:type="dxa"/>
                  <w:tcBorders>
                    <w:top w:val="nil"/>
                    <w:left w:val="nil"/>
                    <w:bottom w:val="nil"/>
                    <w:right w:val="nil"/>
                  </w:tcBorders>
                  <w:shd w:val="clear" w:color="auto" w:fill="auto"/>
                  <w:noWrap/>
                  <w:vAlign w:val="bottom"/>
                  <w:hideMark/>
                </w:tcPr>
                <w:p w14:paraId="6E5C484E" w14:textId="77777777" w:rsidR="00AE2DF2" w:rsidRPr="00175752" w:rsidRDefault="00AE2DF2" w:rsidP="00AE2DF2">
                  <w:pPr>
                    <w:rPr>
                      <w:color w:val="000000"/>
                    </w:rPr>
                  </w:pPr>
                  <w:r w:rsidRPr="00175752">
                    <w:rPr>
                      <w:color w:val="000000"/>
                    </w:rPr>
                    <w:t>IL-6</w:t>
                  </w:r>
                </w:p>
              </w:tc>
              <w:tc>
                <w:tcPr>
                  <w:tcW w:w="6914" w:type="dxa"/>
                  <w:gridSpan w:val="2"/>
                  <w:tcBorders>
                    <w:top w:val="nil"/>
                    <w:left w:val="nil"/>
                    <w:bottom w:val="nil"/>
                    <w:right w:val="nil"/>
                  </w:tcBorders>
                  <w:shd w:val="clear" w:color="auto" w:fill="auto"/>
                  <w:noWrap/>
                  <w:vAlign w:val="bottom"/>
                  <w:hideMark/>
                </w:tcPr>
                <w:p w14:paraId="654ED1B8" w14:textId="77777777" w:rsidR="00AE2DF2" w:rsidRPr="00175752" w:rsidRDefault="00AE2DF2" w:rsidP="00AE2DF2">
                  <w:pPr>
                    <w:rPr>
                      <w:color w:val="000000"/>
                    </w:rPr>
                  </w:pPr>
                  <w:r w:rsidRPr="00175752">
                    <w:rPr>
                      <w:color w:val="000000"/>
                    </w:rPr>
                    <w:t>Interleukin-6</w:t>
                  </w:r>
                </w:p>
              </w:tc>
            </w:tr>
            <w:tr w:rsidR="00AE2DF2" w:rsidRPr="00175752" w14:paraId="79E60EC8" w14:textId="77777777" w:rsidTr="00AE2DF2">
              <w:trPr>
                <w:trHeight w:val="320"/>
              </w:trPr>
              <w:tc>
                <w:tcPr>
                  <w:tcW w:w="1300" w:type="dxa"/>
                  <w:tcBorders>
                    <w:top w:val="nil"/>
                    <w:left w:val="nil"/>
                    <w:bottom w:val="nil"/>
                    <w:right w:val="nil"/>
                  </w:tcBorders>
                  <w:shd w:val="clear" w:color="auto" w:fill="auto"/>
                  <w:noWrap/>
                  <w:vAlign w:val="bottom"/>
                  <w:hideMark/>
                </w:tcPr>
                <w:p w14:paraId="2488CF2D" w14:textId="77777777" w:rsidR="00AE2DF2" w:rsidRPr="00175752" w:rsidRDefault="00AE2DF2" w:rsidP="00AE2DF2">
                  <w:pPr>
                    <w:rPr>
                      <w:color w:val="000000"/>
                    </w:rPr>
                  </w:pPr>
                  <w:r w:rsidRPr="00175752">
                    <w:rPr>
                      <w:color w:val="000000"/>
                    </w:rPr>
                    <w:t>IRS</w:t>
                  </w:r>
                </w:p>
              </w:tc>
              <w:tc>
                <w:tcPr>
                  <w:tcW w:w="6914" w:type="dxa"/>
                  <w:gridSpan w:val="2"/>
                  <w:tcBorders>
                    <w:top w:val="nil"/>
                    <w:left w:val="nil"/>
                    <w:bottom w:val="nil"/>
                    <w:right w:val="nil"/>
                  </w:tcBorders>
                  <w:shd w:val="clear" w:color="auto" w:fill="auto"/>
                  <w:noWrap/>
                  <w:vAlign w:val="bottom"/>
                  <w:hideMark/>
                </w:tcPr>
                <w:p w14:paraId="2F80C3D8" w14:textId="77777777" w:rsidR="00AE2DF2" w:rsidRPr="00175752" w:rsidRDefault="00AE2DF2" w:rsidP="00AE2DF2">
                  <w:pPr>
                    <w:rPr>
                      <w:color w:val="000000"/>
                    </w:rPr>
                  </w:pPr>
                  <w:r w:rsidRPr="00175752">
                    <w:rPr>
                      <w:color w:val="000000"/>
                    </w:rPr>
                    <w:t>Insulin Receptor Substrate</w:t>
                  </w:r>
                </w:p>
              </w:tc>
            </w:tr>
            <w:tr w:rsidR="00AE2DF2" w:rsidRPr="00175752" w14:paraId="2EAAEE99" w14:textId="77777777" w:rsidTr="00AE2DF2">
              <w:trPr>
                <w:trHeight w:val="320"/>
              </w:trPr>
              <w:tc>
                <w:tcPr>
                  <w:tcW w:w="1300" w:type="dxa"/>
                  <w:tcBorders>
                    <w:top w:val="nil"/>
                    <w:left w:val="nil"/>
                    <w:bottom w:val="nil"/>
                    <w:right w:val="nil"/>
                  </w:tcBorders>
                  <w:shd w:val="clear" w:color="auto" w:fill="auto"/>
                  <w:noWrap/>
                  <w:vAlign w:val="bottom"/>
                  <w:hideMark/>
                </w:tcPr>
                <w:p w14:paraId="09D1FC48" w14:textId="77777777" w:rsidR="00AE2DF2" w:rsidRPr="00175752" w:rsidRDefault="00AE2DF2" w:rsidP="00AE2DF2">
                  <w:pPr>
                    <w:rPr>
                      <w:color w:val="000000"/>
                    </w:rPr>
                  </w:pPr>
                  <w:r w:rsidRPr="00175752">
                    <w:rPr>
                      <w:color w:val="000000"/>
                    </w:rPr>
                    <w:t>ISO</w:t>
                  </w:r>
                </w:p>
              </w:tc>
              <w:tc>
                <w:tcPr>
                  <w:tcW w:w="6914" w:type="dxa"/>
                  <w:gridSpan w:val="2"/>
                  <w:tcBorders>
                    <w:top w:val="nil"/>
                    <w:left w:val="nil"/>
                    <w:bottom w:val="nil"/>
                    <w:right w:val="nil"/>
                  </w:tcBorders>
                  <w:shd w:val="clear" w:color="auto" w:fill="auto"/>
                  <w:noWrap/>
                  <w:vAlign w:val="bottom"/>
                  <w:hideMark/>
                </w:tcPr>
                <w:p w14:paraId="57C7FFBE" w14:textId="77777777" w:rsidR="00AE2DF2" w:rsidRPr="00175752" w:rsidRDefault="00AE2DF2" w:rsidP="00AE2DF2">
                  <w:pPr>
                    <w:rPr>
                      <w:color w:val="000000"/>
                    </w:rPr>
                  </w:pPr>
                  <w:r w:rsidRPr="00175752">
                    <w:rPr>
                      <w:color w:val="000000"/>
                    </w:rPr>
                    <w:t>Isoproterenol</w:t>
                  </w:r>
                </w:p>
              </w:tc>
            </w:tr>
            <w:tr w:rsidR="00AE2DF2" w:rsidRPr="00175752" w14:paraId="10D54D40" w14:textId="77777777" w:rsidTr="00AE2DF2">
              <w:trPr>
                <w:trHeight w:val="320"/>
              </w:trPr>
              <w:tc>
                <w:tcPr>
                  <w:tcW w:w="1300" w:type="dxa"/>
                  <w:tcBorders>
                    <w:top w:val="nil"/>
                    <w:left w:val="nil"/>
                    <w:bottom w:val="nil"/>
                    <w:right w:val="nil"/>
                  </w:tcBorders>
                  <w:shd w:val="clear" w:color="auto" w:fill="auto"/>
                  <w:noWrap/>
                  <w:vAlign w:val="bottom"/>
                  <w:hideMark/>
                </w:tcPr>
                <w:p w14:paraId="6E901D80" w14:textId="77777777" w:rsidR="00AE2DF2" w:rsidRPr="00175752" w:rsidRDefault="00AE2DF2" w:rsidP="00AE2DF2">
                  <w:pPr>
                    <w:rPr>
                      <w:color w:val="000000"/>
                    </w:rPr>
                  </w:pPr>
                  <w:r w:rsidRPr="00175752">
                    <w:rPr>
                      <w:color w:val="000000"/>
                    </w:rPr>
                    <w:t>JNK</w:t>
                  </w:r>
                </w:p>
              </w:tc>
              <w:tc>
                <w:tcPr>
                  <w:tcW w:w="6914" w:type="dxa"/>
                  <w:gridSpan w:val="2"/>
                  <w:tcBorders>
                    <w:top w:val="nil"/>
                    <w:left w:val="nil"/>
                    <w:bottom w:val="nil"/>
                    <w:right w:val="nil"/>
                  </w:tcBorders>
                  <w:shd w:val="clear" w:color="auto" w:fill="auto"/>
                  <w:noWrap/>
                  <w:vAlign w:val="bottom"/>
                  <w:hideMark/>
                </w:tcPr>
                <w:p w14:paraId="29C8A100" w14:textId="77777777" w:rsidR="00AE2DF2" w:rsidRPr="00175752" w:rsidRDefault="00AE2DF2" w:rsidP="00AE2DF2">
                  <w:pPr>
                    <w:rPr>
                      <w:color w:val="000000"/>
                    </w:rPr>
                  </w:pPr>
                  <w:r w:rsidRPr="00175752">
                    <w:rPr>
                      <w:color w:val="000000"/>
                    </w:rPr>
                    <w:t>c-Jun N-terminal Kinase</w:t>
                  </w:r>
                </w:p>
              </w:tc>
            </w:tr>
            <w:tr w:rsidR="00AE2DF2" w:rsidRPr="00175752" w14:paraId="526505FE" w14:textId="77777777" w:rsidTr="00AE2DF2">
              <w:trPr>
                <w:trHeight w:val="320"/>
              </w:trPr>
              <w:tc>
                <w:tcPr>
                  <w:tcW w:w="1300" w:type="dxa"/>
                  <w:tcBorders>
                    <w:top w:val="nil"/>
                    <w:left w:val="nil"/>
                    <w:bottom w:val="nil"/>
                    <w:right w:val="nil"/>
                  </w:tcBorders>
                  <w:shd w:val="clear" w:color="auto" w:fill="auto"/>
                  <w:noWrap/>
                  <w:vAlign w:val="bottom"/>
                  <w:hideMark/>
                </w:tcPr>
                <w:p w14:paraId="62015854" w14:textId="77777777" w:rsidR="00AE2DF2" w:rsidRPr="00175752" w:rsidRDefault="00AE2DF2" w:rsidP="00AE2DF2">
                  <w:pPr>
                    <w:rPr>
                      <w:color w:val="000000"/>
                    </w:rPr>
                  </w:pPr>
                  <w:r w:rsidRPr="00175752">
                    <w:rPr>
                      <w:color w:val="000000"/>
                    </w:rPr>
                    <w:t>KO</w:t>
                  </w:r>
                </w:p>
              </w:tc>
              <w:tc>
                <w:tcPr>
                  <w:tcW w:w="6711" w:type="dxa"/>
                  <w:tcBorders>
                    <w:top w:val="nil"/>
                    <w:left w:val="nil"/>
                    <w:bottom w:val="nil"/>
                    <w:right w:val="nil"/>
                  </w:tcBorders>
                  <w:shd w:val="clear" w:color="auto" w:fill="auto"/>
                  <w:noWrap/>
                  <w:vAlign w:val="bottom"/>
                  <w:hideMark/>
                </w:tcPr>
                <w:p w14:paraId="68A684AD" w14:textId="77777777" w:rsidR="00AE2DF2" w:rsidRPr="00175752" w:rsidRDefault="00AE2DF2" w:rsidP="00AE2DF2">
                  <w:pPr>
                    <w:rPr>
                      <w:color w:val="000000"/>
                    </w:rPr>
                  </w:pPr>
                  <w:r w:rsidRPr="00175752">
                    <w:rPr>
                      <w:color w:val="000000"/>
                    </w:rPr>
                    <w:t>Knockout</w:t>
                  </w:r>
                </w:p>
              </w:tc>
              <w:tc>
                <w:tcPr>
                  <w:tcW w:w="203" w:type="dxa"/>
                  <w:tcBorders>
                    <w:top w:val="nil"/>
                    <w:left w:val="nil"/>
                    <w:bottom w:val="nil"/>
                    <w:right w:val="nil"/>
                  </w:tcBorders>
                  <w:shd w:val="clear" w:color="auto" w:fill="auto"/>
                  <w:noWrap/>
                  <w:vAlign w:val="bottom"/>
                  <w:hideMark/>
                </w:tcPr>
                <w:p w14:paraId="573CCBD8" w14:textId="77777777" w:rsidR="00AE2DF2" w:rsidRPr="00175752" w:rsidRDefault="00AE2DF2" w:rsidP="00AE2DF2">
                  <w:pPr>
                    <w:rPr>
                      <w:color w:val="000000"/>
                    </w:rPr>
                  </w:pPr>
                </w:p>
              </w:tc>
            </w:tr>
            <w:tr w:rsidR="00AE2DF2" w:rsidRPr="00175752" w14:paraId="63E62FE2" w14:textId="77777777" w:rsidTr="00AE2DF2">
              <w:trPr>
                <w:trHeight w:val="320"/>
              </w:trPr>
              <w:tc>
                <w:tcPr>
                  <w:tcW w:w="1300" w:type="dxa"/>
                  <w:tcBorders>
                    <w:top w:val="nil"/>
                    <w:left w:val="nil"/>
                    <w:bottom w:val="nil"/>
                    <w:right w:val="nil"/>
                  </w:tcBorders>
                  <w:shd w:val="clear" w:color="auto" w:fill="auto"/>
                  <w:noWrap/>
                  <w:vAlign w:val="bottom"/>
                  <w:hideMark/>
                </w:tcPr>
                <w:p w14:paraId="08A3CA07" w14:textId="77777777" w:rsidR="00AE2DF2" w:rsidRPr="00175752" w:rsidRDefault="00AE2DF2" w:rsidP="00AE2DF2">
                  <w:pPr>
                    <w:rPr>
                      <w:color w:val="000000"/>
                    </w:rPr>
                  </w:pPr>
                  <w:r w:rsidRPr="00175752">
                    <w:rPr>
                      <w:color w:val="000000"/>
                    </w:rPr>
                    <w:t>LDL-C</w:t>
                  </w:r>
                </w:p>
              </w:tc>
              <w:tc>
                <w:tcPr>
                  <w:tcW w:w="6914" w:type="dxa"/>
                  <w:gridSpan w:val="2"/>
                  <w:tcBorders>
                    <w:top w:val="nil"/>
                    <w:left w:val="nil"/>
                    <w:bottom w:val="nil"/>
                    <w:right w:val="nil"/>
                  </w:tcBorders>
                  <w:shd w:val="clear" w:color="auto" w:fill="auto"/>
                  <w:noWrap/>
                  <w:vAlign w:val="bottom"/>
                  <w:hideMark/>
                </w:tcPr>
                <w:p w14:paraId="0E8A1F79" w14:textId="77777777" w:rsidR="00AE2DF2" w:rsidRPr="00175752" w:rsidRDefault="00AE2DF2" w:rsidP="00AE2DF2">
                  <w:pPr>
                    <w:rPr>
                      <w:color w:val="000000"/>
                    </w:rPr>
                  </w:pPr>
                  <w:r w:rsidRPr="00175752">
                    <w:rPr>
                      <w:color w:val="000000"/>
                    </w:rPr>
                    <w:t>Low-Density Lipoprotein Cholesterol</w:t>
                  </w:r>
                </w:p>
              </w:tc>
            </w:tr>
            <w:tr w:rsidR="00AE2DF2" w:rsidRPr="00175752" w14:paraId="0B0A3CD1" w14:textId="77777777" w:rsidTr="00AE2DF2">
              <w:trPr>
                <w:trHeight w:val="320"/>
              </w:trPr>
              <w:tc>
                <w:tcPr>
                  <w:tcW w:w="1300" w:type="dxa"/>
                  <w:tcBorders>
                    <w:top w:val="nil"/>
                    <w:left w:val="nil"/>
                    <w:bottom w:val="nil"/>
                    <w:right w:val="nil"/>
                  </w:tcBorders>
                  <w:shd w:val="clear" w:color="auto" w:fill="auto"/>
                  <w:noWrap/>
                  <w:vAlign w:val="bottom"/>
                  <w:hideMark/>
                </w:tcPr>
                <w:p w14:paraId="10C7E385" w14:textId="77777777" w:rsidR="00AE2DF2" w:rsidRPr="00175752" w:rsidRDefault="00AE2DF2" w:rsidP="00AE2DF2">
                  <w:pPr>
                    <w:rPr>
                      <w:color w:val="000000"/>
                    </w:rPr>
                  </w:pPr>
                  <w:r w:rsidRPr="00175752">
                    <w:rPr>
                      <w:color w:val="000000"/>
                    </w:rPr>
                    <w:t>LEP</w:t>
                  </w:r>
                </w:p>
              </w:tc>
              <w:tc>
                <w:tcPr>
                  <w:tcW w:w="6711" w:type="dxa"/>
                  <w:tcBorders>
                    <w:top w:val="nil"/>
                    <w:left w:val="nil"/>
                    <w:bottom w:val="nil"/>
                    <w:right w:val="nil"/>
                  </w:tcBorders>
                  <w:shd w:val="clear" w:color="auto" w:fill="auto"/>
                  <w:noWrap/>
                  <w:vAlign w:val="bottom"/>
                  <w:hideMark/>
                </w:tcPr>
                <w:p w14:paraId="5F7026CD" w14:textId="77777777" w:rsidR="00AE2DF2" w:rsidRPr="00175752" w:rsidRDefault="00AE2DF2" w:rsidP="00AE2DF2">
                  <w:pPr>
                    <w:rPr>
                      <w:color w:val="000000"/>
                    </w:rPr>
                  </w:pPr>
                  <w:r w:rsidRPr="00175752">
                    <w:rPr>
                      <w:color w:val="000000"/>
                    </w:rPr>
                    <w:t>Leptin Gene</w:t>
                  </w:r>
                </w:p>
              </w:tc>
              <w:tc>
                <w:tcPr>
                  <w:tcW w:w="203" w:type="dxa"/>
                  <w:tcBorders>
                    <w:top w:val="nil"/>
                    <w:left w:val="nil"/>
                    <w:bottom w:val="nil"/>
                    <w:right w:val="nil"/>
                  </w:tcBorders>
                  <w:shd w:val="clear" w:color="auto" w:fill="auto"/>
                  <w:noWrap/>
                  <w:vAlign w:val="bottom"/>
                  <w:hideMark/>
                </w:tcPr>
                <w:p w14:paraId="6C8D7D3B" w14:textId="77777777" w:rsidR="00AE2DF2" w:rsidRPr="00175752" w:rsidRDefault="00AE2DF2" w:rsidP="00AE2DF2">
                  <w:pPr>
                    <w:rPr>
                      <w:color w:val="000000"/>
                    </w:rPr>
                  </w:pPr>
                </w:p>
              </w:tc>
            </w:tr>
            <w:tr w:rsidR="00AE2DF2" w:rsidRPr="00175752" w14:paraId="5204DC71" w14:textId="77777777" w:rsidTr="00AE2DF2">
              <w:trPr>
                <w:trHeight w:val="320"/>
              </w:trPr>
              <w:tc>
                <w:tcPr>
                  <w:tcW w:w="1300" w:type="dxa"/>
                  <w:tcBorders>
                    <w:top w:val="nil"/>
                    <w:left w:val="nil"/>
                    <w:bottom w:val="nil"/>
                    <w:right w:val="nil"/>
                  </w:tcBorders>
                  <w:shd w:val="clear" w:color="auto" w:fill="auto"/>
                  <w:noWrap/>
                  <w:vAlign w:val="bottom"/>
                  <w:hideMark/>
                </w:tcPr>
                <w:p w14:paraId="22CBE57C" w14:textId="77777777" w:rsidR="00AE2DF2" w:rsidRPr="00175752" w:rsidRDefault="00AE2DF2" w:rsidP="00AE2DF2">
                  <w:pPr>
                    <w:rPr>
                      <w:color w:val="000000"/>
                    </w:rPr>
                  </w:pPr>
                  <w:r w:rsidRPr="00175752">
                    <w:rPr>
                      <w:color w:val="000000"/>
                    </w:rPr>
                    <w:t>LEPR</w:t>
                  </w:r>
                </w:p>
              </w:tc>
              <w:tc>
                <w:tcPr>
                  <w:tcW w:w="6914" w:type="dxa"/>
                  <w:gridSpan w:val="2"/>
                  <w:tcBorders>
                    <w:top w:val="nil"/>
                    <w:left w:val="nil"/>
                    <w:bottom w:val="nil"/>
                    <w:right w:val="nil"/>
                  </w:tcBorders>
                  <w:shd w:val="clear" w:color="auto" w:fill="auto"/>
                  <w:noWrap/>
                  <w:vAlign w:val="bottom"/>
                  <w:hideMark/>
                </w:tcPr>
                <w:p w14:paraId="032F8B6F" w14:textId="77777777" w:rsidR="00AE2DF2" w:rsidRPr="00175752" w:rsidRDefault="00AE2DF2" w:rsidP="00AE2DF2">
                  <w:pPr>
                    <w:rPr>
                      <w:color w:val="000000"/>
                    </w:rPr>
                  </w:pPr>
                  <w:r w:rsidRPr="00175752">
                    <w:rPr>
                      <w:color w:val="000000"/>
                    </w:rPr>
                    <w:t>Leptin Receptor</w:t>
                  </w:r>
                </w:p>
              </w:tc>
            </w:tr>
            <w:tr w:rsidR="00AE2DF2" w:rsidRPr="00175752" w14:paraId="0B56F896" w14:textId="77777777" w:rsidTr="00AE2DF2">
              <w:trPr>
                <w:trHeight w:val="320"/>
              </w:trPr>
              <w:tc>
                <w:tcPr>
                  <w:tcW w:w="1300" w:type="dxa"/>
                  <w:tcBorders>
                    <w:top w:val="nil"/>
                    <w:left w:val="nil"/>
                    <w:bottom w:val="nil"/>
                    <w:right w:val="nil"/>
                  </w:tcBorders>
                  <w:shd w:val="clear" w:color="auto" w:fill="auto"/>
                  <w:noWrap/>
                  <w:vAlign w:val="bottom"/>
                  <w:hideMark/>
                </w:tcPr>
                <w:p w14:paraId="1F89C0F5" w14:textId="77777777" w:rsidR="00AE2DF2" w:rsidRPr="00175752" w:rsidRDefault="00AE2DF2" w:rsidP="00AE2DF2">
                  <w:pPr>
                    <w:rPr>
                      <w:color w:val="000000"/>
                    </w:rPr>
                  </w:pPr>
                  <w:r w:rsidRPr="00175752">
                    <w:rPr>
                      <w:color w:val="000000"/>
                    </w:rPr>
                    <w:t>LPL</w:t>
                  </w:r>
                </w:p>
              </w:tc>
              <w:tc>
                <w:tcPr>
                  <w:tcW w:w="6914" w:type="dxa"/>
                  <w:gridSpan w:val="2"/>
                  <w:tcBorders>
                    <w:top w:val="nil"/>
                    <w:left w:val="nil"/>
                    <w:bottom w:val="nil"/>
                    <w:right w:val="nil"/>
                  </w:tcBorders>
                  <w:shd w:val="clear" w:color="auto" w:fill="auto"/>
                  <w:noWrap/>
                  <w:vAlign w:val="bottom"/>
                  <w:hideMark/>
                </w:tcPr>
                <w:p w14:paraId="02BC42B0" w14:textId="77777777" w:rsidR="00AE2DF2" w:rsidRPr="00175752" w:rsidRDefault="00AE2DF2" w:rsidP="00AE2DF2">
                  <w:pPr>
                    <w:rPr>
                      <w:color w:val="000000"/>
                    </w:rPr>
                  </w:pPr>
                  <w:r w:rsidRPr="00175752">
                    <w:rPr>
                      <w:color w:val="000000"/>
                    </w:rPr>
                    <w:t>Lipoprotein Lipase</w:t>
                  </w:r>
                </w:p>
              </w:tc>
            </w:tr>
            <w:tr w:rsidR="00AE2DF2" w:rsidRPr="00175752" w14:paraId="064C52A1" w14:textId="77777777" w:rsidTr="00AE2DF2">
              <w:trPr>
                <w:trHeight w:val="320"/>
              </w:trPr>
              <w:tc>
                <w:tcPr>
                  <w:tcW w:w="1300" w:type="dxa"/>
                  <w:tcBorders>
                    <w:top w:val="nil"/>
                    <w:left w:val="nil"/>
                    <w:bottom w:val="nil"/>
                    <w:right w:val="nil"/>
                  </w:tcBorders>
                  <w:shd w:val="clear" w:color="auto" w:fill="auto"/>
                  <w:noWrap/>
                  <w:vAlign w:val="bottom"/>
                  <w:hideMark/>
                </w:tcPr>
                <w:p w14:paraId="228B5123" w14:textId="77777777" w:rsidR="00AE2DF2" w:rsidRPr="00175752" w:rsidRDefault="00AE2DF2" w:rsidP="00AE2DF2">
                  <w:pPr>
                    <w:rPr>
                      <w:color w:val="000000"/>
                    </w:rPr>
                  </w:pPr>
                  <w:r w:rsidRPr="00175752">
                    <w:rPr>
                      <w:color w:val="000000"/>
                    </w:rPr>
                    <w:t>LPS</w:t>
                  </w:r>
                </w:p>
              </w:tc>
              <w:tc>
                <w:tcPr>
                  <w:tcW w:w="6914" w:type="dxa"/>
                  <w:gridSpan w:val="2"/>
                  <w:tcBorders>
                    <w:top w:val="nil"/>
                    <w:left w:val="nil"/>
                    <w:bottom w:val="nil"/>
                    <w:right w:val="nil"/>
                  </w:tcBorders>
                  <w:shd w:val="clear" w:color="auto" w:fill="auto"/>
                  <w:noWrap/>
                  <w:vAlign w:val="bottom"/>
                  <w:hideMark/>
                </w:tcPr>
                <w:p w14:paraId="55B4707D" w14:textId="77777777" w:rsidR="00AE2DF2" w:rsidRPr="00175752" w:rsidRDefault="00AE2DF2" w:rsidP="00AE2DF2">
                  <w:pPr>
                    <w:rPr>
                      <w:color w:val="000000"/>
                    </w:rPr>
                  </w:pPr>
                  <w:r w:rsidRPr="00175752">
                    <w:rPr>
                      <w:color w:val="000000"/>
                    </w:rPr>
                    <w:t>Lipopolysaccharides</w:t>
                  </w:r>
                </w:p>
              </w:tc>
            </w:tr>
            <w:tr w:rsidR="00AE2DF2" w:rsidRPr="00175752" w14:paraId="75174D18" w14:textId="77777777" w:rsidTr="00AE2DF2">
              <w:trPr>
                <w:trHeight w:val="320"/>
              </w:trPr>
              <w:tc>
                <w:tcPr>
                  <w:tcW w:w="1300" w:type="dxa"/>
                  <w:tcBorders>
                    <w:top w:val="nil"/>
                    <w:left w:val="nil"/>
                    <w:bottom w:val="nil"/>
                    <w:right w:val="nil"/>
                  </w:tcBorders>
                  <w:shd w:val="clear" w:color="auto" w:fill="auto"/>
                  <w:noWrap/>
                  <w:vAlign w:val="bottom"/>
                  <w:hideMark/>
                </w:tcPr>
                <w:p w14:paraId="390A92CD" w14:textId="77777777" w:rsidR="00AE2DF2" w:rsidRPr="00175752" w:rsidRDefault="00AE2DF2" w:rsidP="00AE2DF2">
                  <w:pPr>
                    <w:rPr>
                      <w:color w:val="000000"/>
                    </w:rPr>
                  </w:pPr>
                  <w:r w:rsidRPr="00175752">
                    <w:rPr>
                      <w:color w:val="000000"/>
                    </w:rPr>
                    <w:t>LXR</w:t>
                  </w:r>
                </w:p>
              </w:tc>
              <w:tc>
                <w:tcPr>
                  <w:tcW w:w="6914" w:type="dxa"/>
                  <w:gridSpan w:val="2"/>
                  <w:tcBorders>
                    <w:top w:val="nil"/>
                    <w:left w:val="nil"/>
                    <w:bottom w:val="nil"/>
                    <w:right w:val="nil"/>
                  </w:tcBorders>
                  <w:shd w:val="clear" w:color="auto" w:fill="auto"/>
                  <w:noWrap/>
                  <w:vAlign w:val="bottom"/>
                  <w:hideMark/>
                </w:tcPr>
                <w:p w14:paraId="65AE91AB" w14:textId="77777777" w:rsidR="00AE2DF2" w:rsidRPr="00175752" w:rsidRDefault="00AE2DF2" w:rsidP="00AE2DF2">
                  <w:pPr>
                    <w:rPr>
                      <w:color w:val="000000"/>
                    </w:rPr>
                  </w:pPr>
                  <w:r w:rsidRPr="00175752">
                    <w:rPr>
                      <w:color w:val="000000"/>
                    </w:rPr>
                    <w:t>Liver X Receptor</w:t>
                  </w:r>
                </w:p>
              </w:tc>
            </w:tr>
            <w:tr w:rsidR="00AE2DF2" w:rsidRPr="00175752" w14:paraId="6991857B" w14:textId="77777777" w:rsidTr="00AE2DF2">
              <w:trPr>
                <w:trHeight w:val="320"/>
              </w:trPr>
              <w:tc>
                <w:tcPr>
                  <w:tcW w:w="1300" w:type="dxa"/>
                  <w:tcBorders>
                    <w:top w:val="nil"/>
                    <w:left w:val="nil"/>
                    <w:bottom w:val="nil"/>
                    <w:right w:val="nil"/>
                  </w:tcBorders>
                  <w:shd w:val="clear" w:color="auto" w:fill="auto"/>
                  <w:noWrap/>
                  <w:vAlign w:val="bottom"/>
                  <w:hideMark/>
                </w:tcPr>
                <w:p w14:paraId="19F59B37" w14:textId="77777777" w:rsidR="00AE2DF2" w:rsidRPr="00175752" w:rsidRDefault="00AE2DF2" w:rsidP="00AE2DF2">
                  <w:pPr>
                    <w:rPr>
                      <w:color w:val="000000"/>
                    </w:rPr>
                  </w:pPr>
                  <w:r w:rsidRPr="00175752">
                    <w:rPr>
                      <w:color w:val="000000"/>
                    </w:rPr>
                    <w:t>MACF</w:t>
                  </w:r>
                </w:p>
              </w:tc>
              <w:tc>
                <w:tcPr>
                  <w:tcW w:w="6914" w:type="dxa"/>
                  <w:gridSpan w:val="2"/>
                  <w:tcBorders>
                    <w:top w:val="nil"/>
                    <w:left w:val="nil"/>
                    <w:bottom w:val="nil"/>
                    <w:right w:val="nil"/>
                  </w:tcBorders>
                  <w:shd w:val="clear" w:color="auto" w:fill="auto"/>
                  <w:noWrap/>
                  <w:vAlign w:val="bottom"/>
                  <w:hideMark/>
                </w:tcPr>
                <w:p w14:paraId="7E504C71" w14:textId="77777777" w:rsidR="00AE2DF2" w:rsidRPr="00175752" w:rsidRDefault="00AE2DF2" w:rsidP="00AE2DF2">
                  <w:pPr>
                    <w:rPr>
                      <w:color w:val="000000"/>
                    </w:rPr>
                  </w:pPr>
                  <w:r w:rsidRPr="00175752">
                    <w:rPr>
                      <w:color w:val="000000"/>
                    </w:rPr>
                    <w:t>Mitochondrial Anion Carrier Family</w:t>
                  </w:r>
                </w:p>
              </w:tc>
            </w:tr>
            <w:tr w:rsidR="00AE2DF2" w:rsidRPr="00175752" w14:paraId="4BFB700A" w14:textId="77777777" w:rsidTr="00AE2DF2">
              <w:trPr>
                <w:trHeight w:val="320"/>
              </w:trPr>
              <w:tc>
                <w:tcPr>
                  <w:tcW w:w="1300" w:type="dxa"/>
                  <w:tcBorders>
                    <w:top w:val="nil"/>
                    <w:left w:val="nil"/>
                    <w:bottom w:val="nil"/>
                    <w:right w:val="nil"/>
                  </w:tcBorders>
                  <w:shd w:val="clear" w:color="auto" w:fill="auto"/>
                  <w:noWrap/>
                  <w:vAlign w:val="bottom"/>
                  <w:hideMark/>
                </w:tcPr>
                <w:p w14:paraId="0EBAB865" w14:textId="77777777" w:rsidR="00AE2DF2" w:rsidRPr="00175752" w:rsidRDefault="00AE2DF2" w:rsidP="00AE2DF2">
                  <w:pPr>
                    <w:rPr>
                      <w:color w:val="000000"/>
                    </w:rPr>
                  </w:pPr>
                  <w:r w:rsidRPr="00175752">
                    <w:rPr>
                      <w:color w:val="000000"/>
                    </w:rPr>
                    <w:t>MC4R</w:t>
                  </w:r>
                </w:p>
              </w:tc>
              <w:tc>
                <w:tcPr>
                  <w:tcW w:w="6914" w:type="dxa"/>
                  <w:gridSpan w:val="2"/>
                  <w:tcBorders>
                    <w:top w:val="nil"/>
                    <w:left w:val="nil"/>
                    <w:bottom w:val="nil"/>
                    <w:right w:val="nil"/>
                  </w:tcBorders>
                  <w:shd w:val="clear" w:color="auto" w:fill="auto"/>
                  <w:noWrap/>
                  <w:vAlign w:val="bottom"/>
                  <w:hideMark/>
                </w:tcPr>
                <w:p w14:paraId="2C40C612" w14:textId="77777777" w:rsidR="00AE2DF2" w:rsidRPr="00175752" w:rsidRDefault="00AE2DF2" w:rsidP="00AE2DF2">
                  <w:pPr>
                    <w:rPr>
                      <w:color w:val="000000"/>
                    </w:rPr>
                  </w:pPr>
                  <w:r w:rsidRPr="00175752">
                    <w:rPr>
                      <w:color w:val="000000"/>
                    </w:rPr>
                    <w:t>Melanocortin 4 Receptor</w:t>
                  </w:r>
                </w:p>
              </w:tc>
            </w:tr>
            <w:tr w:rsidR="00AE2DF2" w:rsidRPr="00175752" w14:paraId="6C822B83" w14:textId="77777777" w:rsidTr="00AE2DF2">
              <w:trPr>
                <w:trHeight w:val="320"/>
              </w:trPr>
              <w:tc>
                <w:tcPr>
                  <w:tcW w:w="1300" w:type="dxa"/>
                  <w:tcBorders>
                    <w:top w:val="nil"/>
                    <w:left w:val="nil"/>
                    <w:bottom w:val="nil"/>
                    <w:right w:val="nil"/>
                  </w:tcBorders>
                  <w:shd w:val="clear" w:color="auto" w:fill="auto"/>
                  <w:noWrap/>
                  <w:vAlign w:val="bottom"/>
                  <w:hideMark/>
                </w:tcPr>
                <w:p w14:paraId="0805FEC3" w14:textId="77777777" w:rsidR="00AE2DF2" w:rsidRPr="00175752" w:rsidRDefault="00AE2DF2" w:rsidP="00AE2DF2">
                  <w:pPr>
                    <w:rPr>
                      <w:color w:val="000000"/>
                    </w:rPr>
                  </w:pPr>
                  <w:r w:rsidRPr="00175752">
                    <w:rPr>
                      <w:color w:val="000000"/>
                    </w:rPr>
                    <w:t>MCD</w:t>
                  </w:r>
                </w:p>
              </w:tc>
              <w:tc>
                <w:tcPr>
                  <w:tcW w:w="6914" w:type="dxa"/>
                  <w:gridSpan w:val="2"/>
                  <w:tcBorders>
                    <w:top w:val="nil"/>
                    <w:left w:val="nil"/>
                    <w:bottom w:val="nil"/>
                    <w:right w:val="nil"/>
                  </w:tcBorders>
                  <w:shd w:val="clear" w:color="auto" w:fill="auto"/>
                  <w:noWrap/>
                  <w:vAlign w:val="bottom"/>
                  <w:hideMark/>
                </w:tcPr>
                <w:p w14:paraId="690B2B1F" w14:textId="77777777" w:rsidR="00AE2DF2" w:rsidRPr="00175752" w:rsidRDefault="00AE2DF2" w:rsidP="00AE2DF2">
                  <w:pPr>
                    <w:rPr>
                      <w:color w:val="000000"/>
                    </w:rPr>
                  </w:pPr>
                  <w:r w:rsidRPr="00175752">
                    <w:rPr>
                      <w:color w:val="000000"/>
                    </w:rPr>
                    <w:t>Methionine and Choline-deficient</w:t>
                  </w:r>
                </w:p>
              </w:tc>
            </w:tr>
            <w:tr w:rsidR="00AE2DF2" w:rsidRPr="00175752" w14:paraId="72091645" w14:textId="77777777" w:rsidTr="00AE2DF2">
              <w:trPr>
                <w:trHeight w:val="320"/>
              </w:trPr>
              <w:tc>
                <w:tcPr>
                  <w:tcW w:w="1300" w:type="dxa"/>
                  <w:tcBorders>
                    <w:top w:val="nil"/>
                    <w:left w:val="nil"/>
                    <w:bottom w:val="nil"/>
                    <w:right w:val="nil"/>
                  </w:tcBorders>
                  <w:shd w:val="clear" w:color="auto" w:fill="auto"/>
                  <w:noWrap/>
                  <w:vAlign w:val="bottom"/>
                  <w:hideMark/>
                </w:tcPr>
                <w:p w14:paraId="58CC25F7" w14:textId="77777777" w:rsidR="00AE2DF2" w:rsidRPr="00175752" w:rsidRDefault="00AE2DF2" w:rsidP="00AE2DF2">
                  <w:pPr>
                    <w:rPr>
                      <w:color w:val="000000"/>
                    </w:rPr>
                  </w:pPr>
                  <w:r w:rsidRPr="00175752">
                    <w:rPr>
                      <w:color w:val="000000"/>
                    </w:rPr>
                    <w:t>MCP-1</w:t>
                  </w:r>
                </w:p>
              </w:tc>
              <w:tc>
                <w:tcPr>
                  <w:tcW w:w="6914" w:type="dxa"/>
                  <w:gridSpan w:val="2"/>
                  <w:tcBorders>
                    <w:top w:val="nil"/>
                    <w:left w:val="nil"/>
                    <w:bottom w:val="nil"/>
                    <w:right w:val="nil"/>
                  </w:tcBorders>
                  <w:shd w:val="clear" w:color="auto" w:fill="auto"/>
                  <w:noWrap/>
                  <w:vAlign w:val="bottom"/>
                  <w:hideMark/>
                </w:tcPr>
                <w:p w14:paraId="2AD96BCB" w14:textId="77777777" w:rsidR="00AE2DF2" w:rsidRPr="00175752" w:rsidRDefault="00AE2DF2" w:rsidP="00AE2DF2">
                  <w:pPr>
                    <w:rPr>
                      <w:color w:val="000000"/>
                    </w:rPr>
                  </w:pPr>
                  <w:r w:rsidRPr="00175752">
                    <w:rPr>
                      <w:color w:val="000000"/>
                    </w:rPr>
                    <w:t>Monocyte Chemoattractant Protein-1</w:t>
                  </w:r>
                </w:p>
              </w:tc>
            </w:tr>
            <w:tr w:rsidR="00AE2DF2" w:rsidRPr="00175752" w14:paraId="6EA52BAB" w14:textId="77777777" w:rsidTr="00AE2DF2">
              <w:trPr>
                <w:trHeight w:val="320"/>
              </w:trPr>
              <w:tc>
                <w:tcPr>
                  <w:tcW w:w="1300" w:type="dxa"/>
                  <w:tcBorders>
                    <w:top w:val="nil"/>
                    <w:left w:val="nil"/>
                    <w:bottom w:val="nil"/>
                    <w:right w:val="nil"/>
                  </w:tcBorders>
                  <w:shd w:val="clear" w:color="auto" w:fill="auto"/>
                  <w:noWrap/>
                  <w:vAlign w:val="bottom"/>
                  <w:hideMark/>
                </w:tcPr>
                <w:p w14:paraId="61A858DD" w14:textId="77777777" w:rsidR="00AE2DF2" w:rsidRPr="00175752" w:rsidRDefault="00AE2DF2" w:rsidP="00AE2DF2">
                  <w:pPr>
                    <w:rPr>
                      <w:color w:val="000000"/>
                    </w:rPr>
                  </w:pPr>
                  <w:r w:rsidRPr="00175752">
                    <w:rPr>
                      <w:color w:val="000000"/>
                    </w:rPr>
                    <w:lastRenderedPageBreak/>
                    <w:t>MDA</w:t>
                  </w:r>
                </w:p>
              </w:tc>
              <w:tc>
                <w:tcPr>
                  <w:tcW w:w="6914" w:type="dxa"/>
                  <w:gridSpan w:val="2"/>
                  <w:tcBorders>
                    <w:top w:val="nil"/>
                    <w:left w:val="nil"/>
                    <w:bottom w:val="nil"/>
                    <w:right w:val="nil"/>
                  </w:tcBorders>
                  <w:shd w:val="clear" w:color="auto" w:fill="auto"/>
                  <w:noWrap/>
                  <w:vAlign w:val="bottom"/>
                  <w:hideMark/>
                </w:tcPr>
                <w:p w14:paraId="1266039C" w14:textId="77777777" w:rsidR="00AE2DF2" w:rsidRPr="00175752" w:rsidRDefault="00AE2DF2" w:rsidP="00AE2DF2">
                  <w:pPr>
                    <w:rPr>
                      <w:color w:val="000000"/>
                    </w:rPr>
                  </w:pPr>
                  <w:r w:rsidRPr="00175752">
                    <w:rPr>
                      <w:color w:val="000000"/>
                    </w:rPr>
                    <w:t>Malondialdehyde</w:t>
                  </w:r>
                </w:p>
              </w:tc>
            </w:tr>
            <w:tr w:rsidR="00AE2DF2" w:rsidRPr="00175752" w14:paraId="7887D4A1" w14:textId="77777777" w:rsidTr="00AE2DF2">
              <w:trPr>
                <w:trHeight w:val="320"/>
              </w:trPr>
              <w:tc>
                <w:tcPr>
                  <w:tcW w:w="1300" w:type="dxa"/>
                  <w:tcBorders>
                    <w:top w:val="nil"/>
                    <w:left w:val="nil"/>
                    <w:bottom w:val="nil"/>
                    <w:right w:val="nil"/>
                  </w:tcBorders>
                  <w:shd w:val="clear" w:color="auto" w:fill="auto"/>
                  <w:noWrap/>
                  <w:vAlign w:val="bottom"/>
                  <w:hideMark/>
                </w:tcPr>
                <w:p w14:paraId="51894192" w14:textId="77777777" w:rsidR="00AE2DF2" w:rsidRPr="00175752" w:rsidRDefault="00AE2DF2" w:rsidP="00AE2DF2">
                  <w:pPr>
                    <w:rPr>
                      <w:color w:val="000000"/>
                    </w:rPr>
                  </w:pPr>
                  <w:r w:rsidRPr="00175752">
                    <w:rPr>
                      <w:color w:val="000000"/>
                    </w:rPr>
                    <w:t>MEKK1</w:t>
                  </w:r>
                </w:p>
              </w:tc>
              <w:tc>
                <w:tcPr>
                  <w:tcW w:w="6914" w:type="dxa"/>
                  <w:gridSpan w:val="2"/>
                  <w:tcBorders>
                    <w:top w:val="nil"/>
                    <w:left w:val="nil"/>
                    <w:bottom w:val="nil"/>
                    <w:right w:val="nil"/>
                  </w:tcBorders>
                  <w:shd w:val="clear" w:color="auto" w:fill="auto"/>
                  <w:noWrap/>
                  <w:vAlign w:val="bottom"/>
                  <w:hideMark/>
                </w:tcPr>
                <w:p w14:paraId="19A56106" w14:textId="77777777" w:rsidR="00AE2DF2" w:rsidRPr="00175752" w:rsidRDefault="00AE2DF2" w:rsidP="00AE2DF2">
                  <w:pPr>
                    <w:rPr>
                      <w:color w:val="000000"/>
                    </w:rPr>
                  </w:pPr>
                  <w:r w:rsidRPr="00175752">
                    <w:rPr>
                      <w:color w:val="000000"/>
                    </w:rPr>
                    <w:t>Mitogen-Activated Protein Kinase Kinase Kinase 1</w:t>
                  </w:r>
                </w:p>
              </w:tc>
            </w:tr>
            <w:tr w:rsidR="00AE2DF2" w:rsidRPr="00175752" w14:paraId="43F61747" w14:textId="77777777" w:rsidTr="00AE2DF2">
              <w:trPr>
                <w:trHeight w:val="320"/>
              </w:trPr>
              <w:tc>
                <w:tcPr>
                  <w:tcW w:w="1300" w:type="dxa"/>
                  <w:tcBorders>
                    <w:top w:val="nil"/>
                    <w:left w:val="nil"/>
                    <w:bottom w:val="nil"/>
                    <w:right w:val="nil"/>
                  </w:tcBorders>
                  <w:shd w:val="clear" w:color="auto" w:fill="auto"/>
                  <w:noWrap/>
                  <w:vAlign w:val="bottom"/>
                  <w:hideMark/>
                </w:tcPr>
                <w:p w14:paraId="0DF52033" w14:textId="77777777" w:rsidR="00AE2DF2" w:rsidRPr="00175752" w:rsidRDefault="00AE2DF2" w:rsidP="00AE2DF2">
                  <w:pPr>
                    <w:rPr>
                      <w:color w:val="000000"/>
                    </w:rPr>
                  </w:pPr>
                  <w:r w:rsidRPr="00175752">
                    <w:rPr>
                      <w:color w:val="000000"/>
                    </w:rPr>
                    <w:t>MPK-1</w:t>
                  </w:r>
                </w:p>
              </w:tc>
              <w:tc>
                <w:tcPr>
                  <w:tcW w:w="6914" w:type="dxa"/>
                  <w:gridSpan w:val="2"/>
                  <w:tcBorders>
                    <w:top w:val="nil"/>
                    <w:left w:val="nil"/>
                    <w:bottom w:val="nil"/>
                    <w:right w:val="nil"/>
                  </w:tcBorders>
                  <w:shd w:val="clear" w:color="auto" w:fill="auto"/>
                  <w:noWrap/>
                  <w:vAlign w:val="bottom"/>
                  <w:hideMark/>
                </w:tcPr>
                <w:p w14:paraId="0FE0F3CF" w14:textId="77777777" w:rsidR="00AE2DF2" w:rsidRPr="00175752" w:rsidRDefault="00AE2DF2" w:rsidP="00AE2DF2">
                  <w:pPr>
                    <w:rPr>
                      <w:color w:val="000000"/>
                    </w:rPr>
                  </w:pPr>
                  <w:r w:rsidRPr="00175752">
                    <w:rPr>
                      <w:color w:val="000000"/>
                    </w:rPr>
                    <w:t>Mitogen-Activated Protein Kinase-1</w:t>
                  </w:r>
                </w:p>
              </w:tc>
            </w:tr>
            <w:tr w:rsidR="00AE2DF2" w:rsidRPr="00175752" w14:paraId="403811DA" w14:textId="77777777" w:rsidTr="00AE2DF2">
              <w:trPr>
                <w:trHeight w:val="320"/>
              </w:trPr>
              <w:tc>
                <w:tcPr>
                  <w:tcW w:w="1300" w:type="dxa"/>
                  <w:tcBorders>
                    <w:top w:val="nil"/>
                    <w:left w:val="nil"/>
                    <w:bottom w:val="nil"/>
                    <w:right w:val="nil"/>
                  </w:tcBorders>
                  <w:shd w:val="clear" w:color="auto" w:fill="auto"/>
                  <w:noWrap/>
                  <w:vAlign w:val="bottom"/>
                  <w:hideMark/>
                </w:tcPr>
                <w:p w14:paraId="52E7D8C8" w14:textId="77777777" w:rsidR="00AE2DF2" w:rsidRPr="00175752" w:rsidRDefault="00AE2DF2" w:rsidP="00AE2DF2">
                  <w:pPr>
                    <w:rPr>
                      <w:color w:val="000000"/>
                    </w:rPr>
                  </w:pPr>
                  <w:r w:rsidRPr="00175752">
                    <w:rPr>
                      <w:color w:val="000000"/>
                    </w:rPr>
                    <w:t>MYH11</w:t>
                  </w:r>
                </w:p>
              </w:tc>
              <w:tc>
                <w:tcPr>
                  <w:tcW w:w="6914" w:type="dxa"/>
                  <w:gridSpan w:val="2"/>
                  <w:tcBorders>
                    <w:top w:val="nil"/>
                    <w:left w:val="nil"/>
                    <w:bottom w:val="nil"/>
                    <w:right w:val="nil"/>
                  </w:tcBorders>
                  <w:shd w:val="clear" w:color="auto" w:fill="auto"/>
                  <w:noWrap/>
                  <w:vAlign w:val="bottom"/>
                  <w:hideMark/>
                </w:tcPr>
                <w:p w14:paraId="23745044" w14:textId="77777777" w:rsidR="00AE2DF2" w:rsidRPr="00175752" w:rsidRDefault="00AE2DF2" w:rsidP="00AE2DF2">
                  <w:pPr>
                    <w:rPr>
                      <w:color w:val="000000"/>
                    </w:rPr>
                  </w:pPr>
                  <w:r w:rsidRPr="00175752">
                    <w:rPr>
                      <w:color w:val="000000"/>
                    </w:rPr>
                    <w:t>Myosin Heavy Chain 11</w:t>
                  </w:r>
                </w:p>
              </w:tc>
            </w:tr>
            <w:tr w:rsidR="00AE2DF2" w:rsidRPr="00175752" w14:paraId="51FF00CB" w14:textId="77777777" w:rsidTr="00AE2DF2">
              <w:trPr>
                <w:trHeight w:val="320"/>
              </w:trPr>
              <w:tc>
                <w:tcPr>
                  <w:tcW w:w="1300" w:type="dxa"/>
                  <w:tcBorders>
                    <w:top w:val="nil"/>
                    <w:left w:val="nil"/>
                    <w:bottom w:val="nil"/>
                    <w:right w:val="nil"/>
                  </w:tcBorders>
                  <w:shd w:val="clear" w:color="auto" w:fill="auto"/>
                  <w:noWrap/>
                  <w:vAlign w:val="bottom"/>
                  <w:hideMark/>
                </w:tcPr>
                <w:p w14:paraId="4211A72C" w14:textId="77777777" w:rsidR="00AE2DF2" w:rsidRPr="00175752" w:rsidRDefault="00AE2DF2" w:rsidP="00AE2DF2">
                  <w:pPr>
                    <w:rPr>
                      <w:color w:val="000000"/>
                    </w:rPr>
                  </w:pPr>
                  <w:r w:rsidRPr="00175752">
                    <w:rPr>
                      <w:color w:val="000000"/>
                    </w:rPr>
                    <w:t>NAF-1</w:t>
                  </w:r>
                </w:p>
              </w:tc>
              <w:tc>
                <w:tcPr>
                  <w:tcW w:w="6914" w:type="dxa"/>
                  <w:gridSpan w:val="2"/>
                  <w:tcBorders>
                    <w:top w:val="nil"/>
                    <w:left w:val="nil"/>
                    <w:bottom w:val="nil"/>
                    <w:right w:val="nil"/>
                  </w:tcBorders>
                  <w:shd w:val="clear" w:color="auto" w:fill="auto"/>
                  <w:noWrap/>
                  <w:vAlign w:val="bottom"/>
                  <w:hideMark/>
                </w:tcPr>
                <w:p w14:paraId="3A4707B2" w14:textId="77777777" w:rsidR="00AE2DF2" w:rsidRPr="00175752" w:rsidRDefault="00AE2DF2" w:rsidP="00AE2DF2">
                  <w:pPr>
                    <w:rPr>
                      <w:color w:val="000000"/>
                    </w:rPr>
                  </w:pPr>
                  <w:r w:rsidRPr="00175752">
                    <w:rPr>
                      <w:color w:val="000000"/>
                    </w:rPr>
                    <w:t>Nutrient-Deprivation Autophagy Factor-1</w:t>
                  </w:r>
                </w:p>
              </w:tc>
            </w:tr>
            <w:tr w:rsidR="00AE2DF2" w:rsidRPr="00175752" w14:paraId="4FAE7DE7" w14:textId="77777777" w:rsidTr="00AE2DF2">
              <w:trPr>
                <w:trHeight w:val="320"/>
              </w:trPr>
              <w:tc>
                <w:tcPr>
                  <w:tcW w:w="1300" w:type="dxa"/>
                  <w:tcBorders>
                    <w:top w:val="nil"/>
                    <w:left w:val="nil"/>
                    <w:bottom w:val="nil"/>
                    <w:right w:val="nil"/>
                  </w:tcBorders>
                  <w:shd w:val="clear" w:color="auto" w:fill="auto"/>
                  <w:noWrap/>
                  <w:vAlign w:val="bottom"/>
                  <w:hideMark/>
                </w:tcPr>
                <w:p w14:paraId="3ECE5060" w14:textId="77777777" w:rsidR="00AE2DF2" w:rsidRPr="00175752" w:rsidRDefault="00AE2DF2" w:rsidP="00AE2DF2">
                  <w:pPr>
                    <w:rPr>
                      <w:color w:val="000000"/>
                    </w:rPr>
                  </w:pPr>
                  <w:r w:rsidRPr="00175752">
                    <w:rPr>
                      <w:color w:val="000000"/>
                    </w:rPr>
                    <w:t>NAFLD</w:t>
                  </w:r>
                </w:p>
              </w:tc>
              <w:tc>
                <w:tcPr>
                  <w:tcW w:w="6914" w:type="dxa"/>
                  <w:gridSpan w:val="2"/>
                  <w:tcBorders>
                    <w:top w:val="nil"/>
                    <w:left w:val="nil"/>
                    <w:bottom w:val="nil"/>
                    <w:right w:val="nil"/>
                  </w:tcBorders>
                  <w:shd w:val="clear" w:color="auto" w:fill="auto"/>
                  <w:noWrap/>
                  <w:vAlign w:val="bottom"/>
                  <w:hideMark/>
                </w:tcPr>
                <w:p w14:paraId="0BEE4A8B" w14:textId="77777777" w:rsidR="00AE2DF2" w:rsidRPr="00175752" w:rsidRDefault="00AE2DF2" w:rsidP="00AE2DF2">
                  <w:pPr>
                    <w:rPr>
                      <w:color w:val="000000"/>
                    </w:rPr>
                  </w:pPr>
                  <w:r w:rsidRPr="00175752">
                    <w:rPr>
                      <w:color w:val="000000"/>
                    </w:rPr>
                    <w:t>Non-alcoholic Fatty Liver Disease</w:t>
                  </w:r>
                </w:p>
              </w:tc>
            </w:tr>
            <w:tr w:rsidR="00AE2DF2" w:rsidRPr="00175752" w14:paraId="18E62B7A" w14:textId="77777777" w:rsidTr="00AE2DF2">
              <w:trPr>
                <w:trHeight w:val="320"/>
              </w:trPr>
              <w:tc>
                <w:tcPr>
                  <w:tcW w:w="1300" w:type="dxa"/>
                  <w:tcBorders>
                    <w:top w:val="nil"/>
                    <w:left w:val="nil"/>
                    <w:bottom w:val="nil"/>
                    <w:right w:val="nil"/>
                  </w:tcBorders>
                  <w:shd w:val="clear" w:color="auto" w:fill="auto"/>
                  <w:noWrap/>
                  <w:vAlign w:val="bottom"/>
                  <w:hideMark/>
                </w:tcPr>
                <w:p w14:paraId="7420E4BA" w14:textId="77777777" w:rsidR="00AE2DF2" w:rsidRPr="00175752" w:rsidRDefault="00AE2DF2" w:rsidP="00AE2DF2">
                  <w:pPr>
                    <w:rPr>
                      <w:color w:val="000000"/>
                    </w:rPr>
                  </w:pPr>
                  <w:r w:rsidRPr="00175752">
                    <w:rPr>
                      <w:color w:val="000000"/>
                    </w:rPr>
                    <w:t>NF-κB</w:t>
                  </w:r>
                </w:p>
              </w:tc>
              <w:tc>
                <w:tcPr>
                  <w:tcW w:w="6914" w:type="dxa"/>
                  <w:gridSpan w:val="2"/>
                  <w:tcBorders>
                    <w:top w:val="nil"/>
                    <w:left w:val="nil"/>
                    <w:bottom w:val="nil"/>
                    <w:right w:val="nil"/>
                  </w:tcBorders>
                  <w:shd w:val="clear" w:color="auto" w:fill="auto"/>
                  <w:noWrap/>
                  <w:vAlign w:val="bottom"/>
                  <w:hideMark/>
                </w:tcPr>
                <w:p w14:paraId="2CF39D4C" w14:textId="77777777" w:rsidR="00AE2DF2" w:rsidRPr="00175752" w:rsidRDefault="00AE2DF2" w:rsidP="00AE2DF2">
                  <w:pPr>
                    <w:rPr>
                      <w:color w:val="000000"/>
                    </w:rPr>
                  </w:pPr>
                  <w:r w:rsidRPr="00175752">
                    <w:rPr>
                      <w:color w:val="000000"/>
                    </w:rPr>
                    <w:t>Nuclear Factor Kappa B</w:t>
                  </w:r>
                </w:p>
              </w:tc>
            </w:tr>
            <w:tr w:rsidR="00AE2DF2" w:rsidRPr="00175752" w14:paraId="0B2EAADB" w14:textId="77777777" w:rsidTr="00AE2DF2">
              <w:trPr>
                <w:trHeight w:val="320"/>
              </w:trPr>
              <w:tc>
                <w:tcPr>
                  <w:tcW w:w="1300" w:type="dxa"/>
                  <w:tcBorders>
                    <w:top w:val="nil"/>
                    <w:left w:val="nil"/>
                    <w:bottom w:val="nil"/>
                    <w:right w:val="nil"/>
                  </w:tcBorders>
                  <w:shd w:val="clear" w:color="auto" w:fill="auto"/>
                  <w:noWrap/>
                  <w:vAlign w:val="bottom"/>
                  <w:hideMark/>
                </w:tcPr>
                <w:p w14:paraId="511EAA01" w14:textId="77777777" w:rsidR="00AE2DF2" w:rsidRPr="00175752" w:rsidRDefault="00AE2DF2" w:rsidP="00AE2DF2">
                  <w:pPr>
                    <w:rPr>
                      <w:color w:val="000000"/>
                    </w:rPr>
                  </w:pPr>
                  <w:r w:rsidRPr="00175752">
                    <w:rPr>
                      <w:color w:val="000000"/>
                    </w:rPr>
                    <w:t>NGF</w:t>
                  </w:r>
                </w:p>
              </w:tc>
              <w:tc>
                <w:tcPr>
                  <w:tcW w:w="6914" w:type="dxa"/>
                  <w:gridSpan w:val="2"/>
                  <w:tcBorders>
                    <w:top w:val="nil"/>
                    <w:left w:val="nil"/>
                    <w:bottom w:val="nil"/>
                    <w:right w:val="nil"/>
                  </w:tcBorders>
                  <w:shd w:val="clear" w:color="auto" w:fill="auto"/>
                  <w:noWrap/>
                  <w:vAlign w:val="bottom"/>
                  <w:hideMark/>
                </w:tcPr>
                <w:p w14:paraId="206CDB88" w14:textId="77777777" w:rsidR="00AE2DF2" w:rsidRPr="00175752" w:rsidRDefault="00AE2DF2" w:rsidP="00AE2DF2">
                  <w:pPr>
                    <w:rPr>
                      <w:color w:val="000000"/>
                    </w:rPr>
                  </w:pPr>
                  <w:r w:rsidRPr="00175752">
                    <w:rPr>
                      <w:color w:val="000000"/>
                    </w:rPr>
                    <w:t>Nerve Growth Factor</w:t>
                  </w:r>
                </w:p>
              </w:tc>
            </w:tr>
            <w:tr w:rsidR="00AE2DF2" w:rsidRPr="00175752" w14:paraId="5C1E21DF" w14:textId="77777777" w:rsidTr="00AE2DF2">
              <w:trPr>
                <w:trHeight w:val="320"/>
              </w:trPr>
              <w:tc>
                <w:tcPr>
                  <w:tcW w:w="1300" w:type="dxa"/>
                  <w:tcBorders>
                    <w:top w:val="nil"/>
                    <w:left w:val="nil"/>
                    <w:bottom w:val="nil"/>
                    <w:right w:val="nil"/>
                  </w:tcBorders>
                  <w:shd w:val="clear" w:color="auto" w:fill="auto"/>
                  <w:noWrap/>
                  <w:vAlign w:val="bottom"/>
                  <w:hideMark/>
                </w:tcPr>
                <w:p w14:paraId="185D3AC0" w14:textId="77777777" w:rsidR="00AE2DF2" w:rsidRPr="00175752" w:rsidRDefault="00AE2DF2" w:rsidP="00AE2DF2">
                  <w:pPr>
                    <w:rPr>
                      <w:color w:val="000000"/>
                    </w:rPr>
                  </w:pPr>
                  <w:r w:rsidRPr="00175752">
                    <w:rPr>
                      <w:color w:val="000000"/>
                    </w:rPr>
                    <w:t>NPY</w:t>
                  </w:r>
                </w:p>
              </w:tc>
              <w:tc>
                <w:tcPr>
                  <w:tcW w:w="6914" w:type="dxa"/>
                  <w:gridSpan w:val="2"/>
                  <w:tcBorders>
                    <w:top w:val="nil"/>
                    <w:left w:val="nil"/>
                    <w:bottom w:val="nil"/>
                    <w:right w:val="nil"/>
                  </w:tcBorders>
                  <w:shd w:val="clear" w:color="auto" w:fill="auto"/>
                  <w:noWrap/>
                  <w:vAlign w:val="bottom"/>
                  <w:hideMark/>
                </w:tcPr>
                <w:p w14:paraId="4BA38B27" w14:textId="77777777" w:rsidR="00AE2DF2" w:rsidRPr="00175752" w:rsidRDefault="00AE2DF2" w:rsidP="00AE2DF2">
                  <w:pPr>
                    <w:rPr>
                      <w:color w:val="000000"/>
                    </w:rPr>
                  </w:pPr>
                  <w:r w:rsidRPr="00175752">
                    <w:rPr>
                      <w:color w:val="000000"/>
                    </w:rPr>
                    <w:t>Neuropeptide Y</w:t>
                  </w:r>
                </w:p>
              </w:tc>
            </w:tr>
            <w:tr w:rsidR="00AE2DF2" w:rsidRPr="00175752" w14:paraId="1B7C77AF" w14:textId="77777777" w:rsidTr="00AE2DF2">
              <w:trPr>
                <w:trHeight w:val="320"/>
              </w:trPr>
              <w:tc>
                <w:tcPr>
                  <w:tcW w:w="1300" w:type="dxa"/>
                  <w:tcBorders>
                    <w:top w:val="nil"/>
                    <w:left w:val="nil"/>
                    <w:bottom w:val="nil"/>
                    <w:right w:val="nil"/>
                  </w:tcBorders>
                  <w:shd w:val="clear" w:color="auto" w:fill="auto"/>
                  <w:noWrap/>
                  <w:vAlign w:val="bottom"/>
                  <w:hideMark/>
                </w:tcPr>
                <w:p w14:paraId="0B064587" w14:textId="77777777" w:rsidR="00AE2DF2" w:rsidRPr="00175752" w:rsidRDefault="00AE2DF2" w:rsidP="00AE2DF2">
                  <w:pPr>
                    <w:rPr>
                      <w:color w:val="000000"/>
                    </w:rPr>
                  </w:pPr>
                  <w:r w:rsidRPr="00175752">
                    <w:rPr>
                      <w:color w:val="000000"/>
                    </w:rPr>
                    <w:t>NRG4</w:t>
                  </w:r>
                </w:p>
              </w:tc>
              <w:tc>
                <w:tcPr>
                  <w:tcW w:w="6914" w:type="dxa"/>
                  <w:gridSpan w:val="2"/>
                  <w:tcBorders>
                    <w:top w:val="nil"/>
                    <w:left w:val="nil"/>
                    <w:bottom w:val="nil"/>
                    <w:right w:val="nil"/>
                  </w:tcBorders>
                  <w:shd w:val="clear" w:color="auto" w:fill="auto"/>
                  <w:noWrap/>
                  <w:vAlign w:val="bottom"/>
                  <w:hideMark/>
                </w:tcPr>
                <w:p w14:paraId="0AA5F389" w14:textId="77777777" w:rsidR="00AE2DF2" w:rsidRPr="00175752" w:rsidRDefault="00AE2DF2" w:rsidP="00AE2DF2">
                  <w:pPr>
                    <w:rPr>
                      <w:color w:val="000000"/>
                    </w:rPr>
                  </w:pPr>
                  <w:r w:rsidRPr="00175752">
                    <w:rPr>
                      <w:color w:val="000000"/>
                    </w:rPr>
                    <w:t>Neuregulin 4</w:t>
                  </w:r>
                </w:p>
              </w:tc>
            </w:tr>
            <w:tr w:rsidR="00AE2DF2" w:rsidRPr="00175752" w14:paraId="2241D23E" w14:textId="77777777" w:rsidTr="00AE2DF2">
              <w:trPr>
                <w:trHeight w:val="320"/>
              </w:trPr>
              <w:tc>
                <w:tcPr>
                  <w:tcW w:w="1300" w:type="dxa"/>
                  <w:tcBorders>
                    <w:top w:val="nil"/>
                    <w:left w:val="nil"/>
                    <w:bottom w:val="nil"/>
                    <w:right w:val="nil"/>
                  </w:tcBorders>
                  <w:shd w:val="clear" w:color="auto" w:fill="auto"/>
                  <w:noWrap/>
                  <w:vAlign w:val="bottom"/>
                  <w:hideMark/>
                </w:tcPr>
                <w:p w14:paraId="11082ECC" w14:textId="77777777" w:rsidR="00AE2DF2" w:rsidRPr="00175752" w:rsidRDefault="00AE2DF2" w:rsidP="00AE2DF2">
                  <w:pPr>
                    <w:rPr>
                      <w:color w:val="000000"/>
                    </w:rPr>
                  </w:pPr>
                  <w:r w:rsidRPr="00175752">
                    <w:rPr>
                      <w:color w:val="000000"/>
                    </w:rPr>
                    <w:t>Nrf2</w:t>
                  </w:r>
                </w:p>
              </w:tc>
              <w:tc>
                <w:tcPr>
                  <w:tcW w:w="6914" w:type="dxa"/>
                  <w:gridSpan w:val="2"/>
                  <w:tcBorders>
                    <w:top w:val="nil"/>
                    <w:left w:val="nil"/>
                    <w:bottom w:val="nil"/>
                    <w:right w:val="nil"/>
                  </w:tcBorders>
                  <w:shd w:val="clear" w:color="auto" w:fill="auto"/>
                  <w:noWrap/>
                  <w:vAlign w:val="bottom"/>
                  <w:hideMark/>
                </w:tcPr>
                <w:p w14:paraId="01F800C2" w14:textId="77777777" w:rsidR="00AE2DF2" w:rsidRPr="00175752" w:rsidRDefault="00AE2DF2" w:rsidP="00AE2DF2">
                  <w:pPr>
                    <w:rPr>
                      <w:color w:val="000000"/>
                    </w:rPr>
                  </w:pPr>
                  <w:r w:rsidRPr="00175752">
                    <w:rPr>
                      <w:color w:val="000000"/>
                    </w:rPr>
                    <w:t>Nuclear Factor Erythroid 2–related Factor 2</w:t>
                  </w:r>
                </w:p>
              </w:tc>
            </w:tr>
            <w:tr w:rsidR="00AE2DF2" w:rsidRPr="00175752" w14:paraId="1C8E92EB" w14:textId="77777777" w:rsidTr="00AE2DF2">
              <w:trPr>
                <w:trHeight w:val="320"/>
              </w:trPr>
              <w:tc>
                <w:tcPr>
                  <w:tcW w:w="1300" w:type="dxa"/>
                  <w:tcBorders>
                    <w:top w:val="nil"/>
                    <w:left w:val="nil"/>
                    <w:bottom w:val="nil"/>
                    <w:right w:val="nil"/>
                  </w:tcBorders>
                  <w:shd w:val="clear" w:color="auto" w:fill="auto"/>
                  <w:noWrap/>
                  <w:vAlign w:val="bottom"/>
                  <w:hideMark/>
                </w:tcPr>
                <w:p w14:paraId="522B5E1B" w14:textId="77777777" w:rsidR="00AE2DF2" w:rsidRPr="00175752" w:rsidRDefault="00AE2DF2" w:rsidP="00AE2DF2">
                  <w:pPr>
                    <w:rPr>
                      <w:color w:val="000000"/>
                    </w:rPr>
                  </w:pPr>
                  <w:r w:rsidRPr="00175752">
                    <w:rPr>
                      <w:color w:val="000000"/>
                    </w:rPr>
                    <w:t>OCR</w:t>
                  </w:r>
                </w:p>
              </w:tc>
              <w:tc>
                <w:tcPr>
                  <w:tcW w:w="6914" w:type="dxa"/>
                  <w:gridSpan w:val="2"/>
                  <w:tcBorders>
                    <w:top w:val="nil"/>
                    <w:left w:val="nil"/>
                    <w:bottom w:val="nil"/>
                    <w:right w:val="nil"/>
                  </w:tcBorders>
                  <w:shd w:val="clear" w:color="auto" w:fill="auto"/>
                  <w:noWrap/>
                  <w:vAlign w:val="bottom"/>
                  <w:hideMark/>
                </w:tcPr>
                <w:p w14:paraId="64C60A86" w14:textId="77777777" w:rsidR="00AE2DF2" w:rsidRPr="00175752" w:rsidRDefault="00AE2DF2" w:rsidP="00AE2DF2">
                  <w:pPr>
                    <w:rPr>
                      <w:color w:val="000000"/>
                    </w:rPr>
                  </w:pPr>
                  <w:r w:rsidRPr="00175752">
                    <w:rPr>
                      <w:color w:val="000000"/>
                    </w:rPr>
                    <w:t>Oxygen Consumption Respiration</w:t>
                  </w:r>
                </w:p>
              </w:tc>
            </w:tr>
            <w:tr w:rsidR="00AE2DF2" w:rsidRPr="00175752" w14:paraId="0906FCB1" w14:textId="77777777" w:rsidTr="00AE2DF2">
              <w:trPr>
                <w:trHeight w:val="320"/>
              </w:trPr>
              <w:tc>
                <w:tcPr>
                  <w:tcW w:w="1300" w:type="dxa"/>
                  <w:tcBorders>
                    <w:top w:val="nil"/>
                    <w:left w:val="nil"/>
                    <w:bottom w:val="nil"/>
                    <w:right w:val="nil"/>
                  </w:tcBorders>
                  <w:shd w:val="clear" w:color="auto" w:fill="auto"/>
                  <w:noWrap/>
                  <w:vAlign w:val="bottom"/>
                  <w:hideMark/>
                </w:tcPr>
                <w:p w14:paraId="24A70BDA" w14:textId="77777777" w:rsidR="00AE2DF2" w:rsidRPr="00175752" w:rsidRDefault="00AE2DF2" w:rsidP="00AE2DF2">
                  <w:pPr>
                    <w:rPr>
                      <w:color w:val="000000"/>
                    </w:rPr>
                  </w:pPr>
                  <w:r w:rsidRPr="00175752">
                    <w:rPr>
                      <w:color w:val="000000"/>
                    </w:rPr>
                    <w:t>PCBs</w:t>
                  </w:r>
                </w:p>
              </w:tc>
              <w:tc>
                <w:tcPr>
                  <w:tcW w:w="6914" w:type="dxa"/>
                  <w:gridSpan w:val="2"/>
                  <w:tcBorders>
                    <w:top w:val="nil"/>
                    <w:left w:val="nil"/>
                    <w:bottom w:val="nil"/>
                    <w:right w:val="nil"/>
                  </w:tcBorders>
                  <w:shd w:val="clear" w:color="auto" w:fill="auto"/>
                  <w:noWrap/>
                  <w:vAlign w:val="bottom"/>
                  <w:hideMark/>
                </w:tcPr>
                <w:p w14:paraId="377E72CD" w14:textId="77777777" w:rsidR="00AE2DF2" w:rsidRPr="00175752" w:rsidRDefault="00AE2DF2" w:rsidP="00AE2DF2">
                  <w:pPr>
                    <w:rPr>
                      <w:color w:val="000000"/>
                    </w:rPr>
                  </w:pPr>
                  <w:r w:rsidRPr="00175752">
                    <w:rPr>
                      <w:color w:val="000000"/>
                    </w:rPr>
                    <w:t>Polychlorinated Biphenyls</w:t>
                  </w:r>
                </w:p>
              </w:tc>
            </w:tr>
            <w:tr w:rsidR="00AE2DF2" w:rsidRPr="00175752" w14:paraId="3EDC3A54" w14:textId="77777777" w:rsidTr="00AE2DF2">
              <w:trPr>
                <w:trHeight w:val="320"/>
              </w:trPr>
              <w:tc>
                <w:tcPr>
                  <w:tcW w:w="1300" w:type="dxa"/>
                  <w:tcBorders>
                    <w:top w:val="nil"/>
                    <w:left w:val="nil"/>
                    <w:bottom w:val="nil"/>
                    <w:right w:val="nil"/>
                  </w:tcBorders>
                  <w:shd w:val="clear" w:color="auto" w:fill="auto"/>
                  <w:noWrap/>
                  <w:vAlign w:val="bottom"/>
                  <w:hideMark/>
                </w:tcPr>
                <w:p w14:paraId="6C18BA16" w14:textId="77777777" w:rsidR="00AE2DF2" w:rsidRPr="00175752" w:rsidRDefault="00AE2DF2" w:rsidP="00AE2DF2">
                  <w:pPr>
                    <w:rPr>
                      <w:color w:val="000000"/>
                    </w:rPr>
                  </w:pPr>
                  <w:r w:rsidRPr="00175752">
                    <w:rPr>
                      <w:color w:val="000000"/>
                    </w:rPr>
                    <w:t>PCOS</w:t>
                  </w:r>
                </w:p>
              </w:tc>
              <w:tc>
                <w:tcPr>
                  <w:tcW w:w="6914" w:type="dxa"/>
                  <w:gridSpan w:val="2"/>
                  <w:tcBorders>
                    <w:top w:val="nil"/>
                    <w:left w:val="nil"/>
                    <w:bottom w:val="nil"/>
                    <w:right w:val="nil"/>
                  </w:tcBorders>
                  <w:shd w:val="clear" w:color="auto" w:fill="auto"/>
                  <w:noWrap/>
                  <w:vAlign w:val="bottom"/>
                  <w:hideMark/>
                </w:tcPr>
                <w:p w14:paraId="0BA7C925" w14:textId="77777777" w:rsidR="00AE2DF2" w:rsidRPr="00175752" w:rsidRDefault="00AE2DF2" w:rsidP="00AE2DF2">
                  <w:pPr>
                    <w:rPr>
                      <w:color w:val="000000"/>
                    </w:rPr>
                  </w:pPr>
                  <w:r w:rsidRPr="00175752">
                    <w:rPr>
                      <w:color w:val="000000"/>
                    </w:rPr>
                    <w:t>Polycystic Ovary Syndrome</w:t>
                  </w:r>
                </w:p>
              </w:tc>
            </w:tr>
            <w:tr w:rsidR="00AE2DF2" w:rsidRPr="00175752" w14:paraId="7E130D3B" w14:textId="77777777" w:rsidTr="00AE2DF2">
              <w:trPr>
                <w:trHeight w:val="320"/>
              </w:trPr>
              <w:tc>
                <w:tcPr>
                  <w:tcW w:w="1300" w:type="dxa"/>
                  <w:tcBorders>
                    <w:top w:val="nil"/>
                    <w:left w:val="nil"/>
                    <w:bottom w:val="nil"/>
                    <w:right w:val="nil"/>
                  </w:tcBorders>
                  <w:shd w:val="clear" w:color="auto" w:fill="auto"/>
                  <w:noWrap/>
                  <w:vAlign w:val="bottom"/>
                  <w:hideMark/>
                </w:tcPr>
                <w:p w14:paraId="21B67099" w14:textId="77777777" w:rsidR="00AE2DF2" w:rsidRPr="00175752" w:rsidRDefault="00AE2DF2" w:rsidP="00AE2DF2">
                  <w:pPr>
                    <w:rPr>
                      <w:color w:val="000000"/>
                    </w:rPr>
                  </w:pPr>
                  <w:r w:rsidRPr="00175752">
                    <w:rPr>
                      <w:color w:val="000000"/>
                    </w:rPr>
                    <w:t>PDGFR</w:t>
                  </w:r>
                </w:p>
              </w:tc>
              <w:tc>
                <w:tcPr>
                  <w:tcW w:w="6914" w:type="dxa"/>
                  <w:gridSpan w:val="2"/>
                  <w:tcBorders>
                    <w:top w:val="nil"/>
                    <w:left w:val="nil"/>
                    <w:bottom w:val="nil"/>
                    <w:right w:val="nil"/>
                  </w:tcBorders>
                  <w:shd w:val="clear" w:color="auto" w:fill="auto"/>
                  <w:noWrap/>
                  <w:vAlign w:val="bottom"/>
                  <w:hideMark/>
                </w:tcPr>
                <w:p w14:paraId="6F0A6D61" w14:textId="77777777" w:rsidR="00AE2DF2" w:rsidRPr="00175752" w:rsidRDefault="00AE2DF2" w:rsidP="00AE2DF2">
                  <w:pPr>
                    <w:rPr>
                      <w:color w:val="000000"/>
                    </w:rPr>
                  </w:pPr>
                  <w:r w:rsidRPr="00175752">
                    <w:rPr>
                      <w:color w:val="000000"/>
                    </w:rPr>
                    <w:t>Platelet-derived Growth Factor Receptor</w:t>
                  </w:r>
                </w:p>
              </w:tc>
            </w:tr>
            <w:tr w:rsidR="00AE2DF2" w:rsidRPr="00175752" w14:paraId="493E664B" w14:textId="77777777" w:rsidTr="00AE2DF2">
              <w:trPr>
                <w:trHeight w:val="320"/>
              </w:trPr>
              <w:tc>
                <w:tcPr>
                  <w:tcW w:w="1300" w:type="dxa"/>
                  <w:tcBorders>
                    <w:top w:val="nil"/>
                    <w:left w:val="nil"/>
                    <w:bottom w:val="nil"/>
                    <w:right w:val="nil"/>
                  </w:tcBorders>
                  <w:shd w:val="clear" w:color="auto" w:fill="auto"/>
                  <w:noWrap/>
                  <w:vAlign w:val="bottom"/>
                  <w:hideMark/>
                </w:tcPr>
                <w:p w14:paraId="3BEF9F53" w14:textId="77777777" w:rsidR="00AE2DF2" w:rsidRPr="00175752" w:rsidRDefault="00AE2DF2" w:rsidP="00AE2DF2">
                  <w:pPr>
                    <w:rPr>
                      <w:color w:val="000000"/>
                    </w:rPr>
                  </w:pPr>
                  <w:r w:rsidRPr="00175752">
                    <w:rPr>
                      <w:color w:val="000000"/>
                    </w:rPr>
                    <w:t>PET</w:t>
                  </w:r>
                </w:p>
              </w:tc>
              <w:tc>
                <w:tcPr>
                  <w:tcW w:w="6914" w:type="dxa"/>
                  <w:gridSpan w:val="2"/>
                  <w:tcBorders>
                    <w:top w:val="nil"/>
                    <w:left w:val="nil"/>
                    <w:bottom w:val="nil"/>
                    <w:right w:val="nil"/>
                  </w:tcBorders>
                  <w:shd w:val="clear" w:color="auto" w:fill="auto"/>
                  <w:noWrap/>
                  <w:vAlign w:val="bottom"/>
                  <w:hideMark/>
                </w:tcPr>
                <w:p w14:paraId="72BFF59C" w14:textId="77777777" w:rsidR="00AE2DF2" w:rsidRPr="00175752" w:rsidRDefault="00AE2DF2" w:rsidP="00AE2DF2">
                  <w:pPr>
                    <w:rPr>
                      <w:color w:val="000000"/>
                    </w:rPr>
                  </w:pPr>
                  <w:r w:rsidRPr="00175752">
                    <w:rPr>
                      <w:color w:val="000000"/>
                    </w:rPr>
                    <w:t>Positron Emission Tomography</w:t>
                  </w:r>
                </w:p>
              </w:tc>
            </w:tr>
            <w:tr w:rsidR="00AE2DF2" w:rsidRPr="00175752" w14:paraId="4B9F74DF" w14:textId="77777777" w:rsidTr="00AE2DF2">
              <w:trPr>
                <w:trHeight w:val="320"/>
              </w:trPr>
              <w:tc>
                <w:tcPr>
                  <w:tcW w:w="1300" w:type="dxa"/>
                  <w:tcBorders>
                    <w:top w:val="nil"/>
                    <w:left w:val="nil"/>
                    <w:bottom w:val="nil"/>
                    <w:right w:val="nil"/>
                  </w:tcBorders>
                  <w:shd w:val="clear" w:color="auto" w:fill="auto"/>
                  <w:noWrap/>
                  <w:vAlign w:val="bottom"/>
                  <w:hideMark/>
                </w:tcPr>
                <w:p w14:paraId="79E73890" w14:textId="77777777" w:rsidR="00AE2DF2" w:rsidRPr="00175752" w:rsidRDefault="00AE2DF2" w:rsidP="00AE2DF2">
                  <w:pPr>
                    <w:rPr>
                      <w:color w:val="000000"/>
                    </w:rPr>
                  </w:pPr>
                  <w:r w:rsidRPr="00175752">
                    <w:rPr>
                      <w:color w:val="000000"/>
                    </w:rPr>
                    <w:t>PGC1-α</w:t>
                  </w:r>
                </w:p>
              </w:tc>
              <w:tc>
                <w:tcPr>
                  <w:tcW w:w="6914" w:type="dxa"/>
                  <w:gridSpan w:val="2"/>
                  <w:tcBorders>
                    <w:top w:val="nil"/>
                    <w:left w:val="nil"/>
                    <w:bottom w:val="nil"/>
                    <w:right w:val="nil"/>
                  </w:tcBorders>
                  <w:shd w:val="clear" w:color="auto" w:fill="auto"/>
                  <w:noWrap/>
                  <w:vAlign w:val="bottom"/>
                  <w:hideMark/>
                </w:tcPr>
                <w:p w14:paraId="3671ED0A" w14:textId="77777777" w:rsidR="00AE2DF2" w:rsidRPr="00175752" w:rsidRDefault="00AE2DF2" w:rsidP="00AE2DF2">
                  <w:pPr>
                    <w:rPr>
                      <w:color w:val="000000"/>
                    </w:rPr>
                  </w:pPr>
                  <w:r w:rsidRPr="00175752">
                    <w:rPr>
                      <w:color w:val="000000"/>
                    </w:rPr>
                    <w:t>Peroxisome Proliferator-Activated Receptor Gamma Coactivator 1-Alpha</w:t>
                  </w:r>
                </w:p>
              </w:tc>
            </w:tr>
            <w:tr w:rsidR="00AE2DF2" w:rsidRPr="00175752" w14:paraId="50FE0674" w14:textId="77777777" w:rsidTr="00AE2DF2">
              <w:trPr>
                <w:trHeight w:val="320"/>
              </w:trPr>
              <w:tc>
                <w:tcPr>
                  <w:tcW w:w="1300" w:type="dxa"/>
                  <w:tcBorders>
                    <w:top w:val="nil"/>
                    <w:left w:val="nil"/>
                    <w:bottom w:val="nil"/>
                    <w:right w:val="nil"/>
                  </w:tcBorders>
                  <w:shd w:val="clear" w:color="auto" w:fill="auto"/>
                  <w:noWrap/>
                  <w:vAlign w:val="bottom"/>
                  <w:hideMark/>
                </w:tcPr>
                <w:p w14:paraId="3F53597E" w14:textId="77777777" w:rsidR="00AE2DF2" w:rsidRPr="00175752" w:rsidRDefault="00AE2DF2" w:rsidP="00AE2DF2">
                  <w:pPr>
                    <w:rPr>
                      <w:color w:val="000000"/>
                    </w:rPr>
                  </w:pPr>
                  <w:r w:rsidRPr="00175752">
                    <w:rPr>
                      <w:color w:val="000000"/>
                    </w:rPr>
                    <w:t>PGC1-β</w:t>
                  </w:r>
                </w:p>
              </w:tc>
              <w:tc>
                <w:tcPr>
                  <w:tcW w:w="6914" w:type="dxa"/>
                  <w:gridSpan w:val="2"/>
                  <w:tcBorders>
                    <w:top w:val="nil"/>
                    <w:left w:val="nil"/>
                    <w:bottom w:val="nil"/>
                    <w:right w:val="nil"/>
                  </w:tcBorders>
                  <w:shd w:val="clear" w:color="auto" w:fill="auto"/>
                  <w:noWrap/>
                  <w:vAlign w:val="bottom"/>
                  <w:hideMark/>
                </w:tcPr>
                <w:p w14:paraId="7B9CFF60" w14:textId="77777777" w:rsidR="00AE2DF2" w:rsidRPr="00175752" w:rsidRDefault="00AE2DF2" w:rsidP="00AE2DF2">
                  <w:pPr>
                    <w:rPr>
                      <w:color w:val="000000"/>
                    </w:rPr>
                  </w:pPr>
                  <w:r w:rsidRPr="00175752">
                    <w:rPr>
                      <w:color w:val="000000"/>
                    </w:rPr>
                    <w:t>Peroxisome Proliferator-activated Receptor Gamma Coactivator 1-beta</w:t>
                  </w:r>
                </w:p>
              </w:tc>
            </w:tr>
            <w:tr w:rsidR="00AE2DF2" w:rsidRPr="00175752" w14:paraId="62DC8B01" w14:textId="77777777" w:rsidTr="00AE2DF2">
              <w:trPr>
                <w:trHeight w:val="320"/>
              </w:trPr>
              <w:tc>
                <w:tcPr>
                  <w:tcW w:w="1300" w:type="dxa"/>
                  <w:tcBorders>
                    <w:top w:val="nil"/>
                    <w:left w:val="nil"/>
                    <w:bottom w:val="nil"/>
                    <w:right w:val="nil"/>
                  </w:tcBorders>
                  <w:shd w:val="clear" w:color="auto" w:fill="auto"/>
                  <w:noWrap/>
                  <w:vAlign w:val="bottom"/>
                  <w:hideMark/>
                </w:tcPr>
                <w:p w14:paraId="3C4A5E4B" w14:textId="77777777" w:rsidR="00AE2DF2" w:rsidRPr="00175752" w:rsidRDefault="00AE2DF2" w:rsidP="00AE2DF2">
                  <w:pPr>
                    <w:rPr>
                      <w:color w:val="000000"/>
                    </w:rPr>
                  </w:pPr>
                  <w:r w:rsidRPr="00175752">
                    <w:rPr>
                      <w:color w:val="000000"/>
                    </w:rPr>
                    <w:t>PKA</w:t>
                  </w:r>
                </w:p>
              </w:tc>
              <w:tc>
                <w:tcPr>
                  <w:tcW w:w="6914" w:type="dxa"/>
                  <w:gridSpan w:val="2"/>
                  <w:tcBorders>
                    <w:top w:val="nil"/>
                    <w:left w:val="nil"/>
                    <w:bottom w:val="nil"/>
                    <w:right w:val="nil"/>
                  </w:tcBorders>
                  <w:shd w:val="clear" w:color="auto" w:fill="auto"/>
                  <w:noWrap/>
                  <w:vAlign w:val="bottom"/>
                  <w:hideMark/>
                </w:tcPr>
                <w:p w14:paraId="0C102809" w14:textId="77777777" w:rsidR="00AE2DF2" w:rsidRPr="00175752" w:rsidRDefault="00AE2DF2" w:rsidP="00AE2DF2">
                  <w:pPr>
                    <w:rPr>
                      <w:color w:val="000000"/>
                    </w:rPr>
                  </w:pPr>
                  <w:r w:rsidRPr="00175752">
                    <w:rPr>
                      <w:color w:val="000000"/>
                    </w:rPr>
                    <w:t>Protein Kinase A</w:t>
                  </w:r>
                </w:p>
              </w:tc>
            </w:tr>
            <w:tr w:rsidR="00AE2DF2" w:rsidRPr="00175752" w14:paraId="795DA0F8" w14:textId="77777777" w:rsidTr="00AE2DF2">
              <w:trPr>
                <w:trHeight w:val="320"/>
              </w:trPr>
              <w:tc>
                <w:tcPr>
                  <w:tcW w:w="1300" w:type="dxa"/>
                  <w:tcBorders>
                    <w:top w:val="nil"/>
                    <w:left w:val="nil"/>
                    <w:bottom w:val="nil"/>
                    <w:right w:val="nil"/>
                  </w:tcBorders>
                  <w:shd w:val="clear" w:color="auto" w:fill="auto"/>
                  <w:noWrap/>
                  <w:vAlign w:val="bottom"/>
                  <w:hideMark/>
                </w:tcPr>
                <w:p w14:paraId="41CD85DF" w14:textId="77777777" w:rsidR="00AE2DF2" w:rsidRPr="00175752" w:rsidRDefault="00AE2DF2" w:rsidP="00AE2DF2">
                  <w:pPr>
                    <w:rPr>
                      <w:color w:val="000000"/>
                    </w:rPr>
                  </w:pPr>
                  <w:r w:rsidRPr="00175752">
                    <w:rPr>
                      <w:color w:val="000000"/>
                    </w:rPr>
                    <w:t>PPAR</w:t>
                  </w:r>
                </w:p>
              </w:tc>
              <w:tc>
                <w:tcPr>
                  <w:tcW w:w="6914" w:type="dxa"/>
                  <w:gridSpan w:val="2"/>
                  <w:tcBorders>
                    <w:top w:val="nil"/>
                    <w:left w:val="nil"/>
                    <w:bottom w:val="nil"/>
                    <w:right w:val="nil"/>
                  </w:tcBorders>
                  <w:shd w:val="clear" w:color="auto" w:fill="auto"/>
                  <w:noWrap/>
                  <w:vAlign w:val="bottom"/>
                  <w:hideMark/>
                </w:tcPr>
                <w:p w14:paraId="0495940E" w14:textId="77777777" w:rsidR="00AE2DF2" w:rsidRPr="00175752" w:rsidRDefault="00AE2DF2" w:rsidP="00AE2DF2">
                  <w:pPr>
                    <w:rPr>
                      <w:color w:val="000000"/>
                    </w:rPr>
                  </w:pPr>
                  <w:r w:rsidRPr="00175752">
                    <w:rPr>
                      <w:color w:val="000000"/>
                    </w:rPr>
                    <w:t>Peroxisome Proliferator-Activated Receptor</w:t>
                  </w:r>
                </w:p>
              </w:tc>
            </w:tr>
            <w:tr w:rsidR="00AE2DF2" w:rsidRPr="00175752" w14:paraId="06ED0AB1" w14:textId="77777777" w:rsidTr="00AE2DF2">
              <w:trPr>
                <w:trHeight w:val="320"/>
              </w:trPr>
              <w:tc>
                <w:tcPr>
                  <w:tcW w:w="1300" w:type="dxa"/>
                  <w:tcBorders>
                    <w:top w:val="nil"/>
                    <w:left w:val="nil"/>
                    <w:bottom w:val="nil"/>
                    <w:right w:val="nil"/>
                  </w:tcBorders>
                  <w:shd w:val="clear" w:color="auto" w:fill="auto"/>
                  <w:noWrap/>
                  <w:vAlign w:val="bottom"/>
                  <w:hideMark/>
                </w:tcPr>
                <w:p w14:paraId="17F539AA" w14:textId="77777777" w:rsidR="00AE2DF2" w:rsidRPr="00175752" w:rsidRDefault="00AE2DF2" w:rsidP="00AE2DF2">
                  <w:pPr>
                    <w:rPr>
                      <w:color w:val="000000"/>
                    </w:rPr>
                  </w:pPr>
                  <w:r w:rsidRPr="00175752">
                    <w:rPr>
                      <w:color w:val="000000"/>
                    </w:rPr>
                    <w:lastRenderedPageBreak/>
                    <w:t>PPAR</w:t>
                  </w:r>
                  <w:r w:rsidRPr="00175752">
                    <w:rPr>
                      <w:rFonts w:ascii="Cambria Math" w:hAnsi="Cambria Math" w:cs="Cambria Math"/>
                      <w:color w:val="000000"/>
                    </w:rPr>
                    <w:t>𝛄</w:t>
                  </w:r>
                </w:p>
              </w:tc>
              <w:tc>
                <w:tcPr>
                  <w:tcW w:w="6914" w:type="dxa"/>
                  <w:gridSpan w:val="2"/>
                  <w:tcBorders>
                    <w:top w:val="nil"/>
                    <w:left w:val="nil"/>
                    <w:bottom w:val="nil"/>
                    <w:right w:val="nil"/>
                  </w:tcBorders>
                  <w:shd w:val="clear" w:color="auto" w:fill="auto"/>
                  <w:noWrap/>
                  <w:vAlign w:val="bottom"/>
                  <w:hideMark/>
                </w:tcPr>
                <w:p w14:paraId="35B1F411" w14:textId="77777777" w:rsidR="00AE2DF2" w:rsidRPr="00175752" w:rsidRDefault="00AE2DF2" w:rsidP="00AE2DF2">
                  <w:pPr>
                    <w:rPr>
                      <w:color w:val="000000"/>
                    </w:rPr>
                  </w:pPr>
                  <w:r w:rsidRPr="00175752">
                    <w:rPr>
                      <w:color w:val="000000"/>
                    </w:rPr>
                    <w:t>Peroxisome Proliferator-Activated Receptor Gamma</w:t>
                  </w:r>
                </w:p>
              </w:tc>
            </w:tr>
            <w:tr w:rsidR="00AE2DF2" w:rsidRPr="00175752" w14:paraId="379C5F81" w14:textId="77777777" w:rsidTr="00AE2DF2">
              <w:trPr>
                <w:trHeight w:val="320"/>
              </w:trPr>
              <w:tc>
                <w:tcPr>
                  <w:tcW w:w="1300" w:type="dxa"/>
                  <w:tcBorders>
                    <w:top w:val="nil"/>
                    <w:left w:val="nil"/>
                    <w:bottom w:val="nil"/>
                    <w:right w:val="nil"/>
                  </w:tcBorders>
                  <w:shd w:val="clear" w:color="auto" w:fill="auto"/>
                  <w:noWrap/>
                  <w:vAlign w:val="bottom"/>
                  <w:hideMark/>
                </w:tcPr>
                <w:p w14:paraId="4EBFEBF6" w14:textId="77777777" w:rsidR="00AE2DF2" w:rsidRPr="00175752" w:rsidRDefault="00AE2DF2" w:rsidP="00AE2DF2">
                  <w:pPr>
                    <w:rPr>
                      <w:color w:val="000000"/>
                    </w:rPr>
                  </w:pPr>
                  <w:r w:rsidRPr="00175752">
                    <w:rPr>
                      <w:color w:val="000000"/>
                    </w:rPr>
                    <w:t>PRDM16</w:t>
                  </w:r>
                </w:p>
              </w:tc>
              <w:tc>
                <w:tcPr>
                  <w:tcW w:w="6914" w:type="dxa"/>
                  <w:gridSpan w:val="2"/>
                  <w:tcBorders>
                    <w:top w:val="nil"/>
                    <w:left w:val="nil"/>
                    <w:bottom w:val="nil"/>
                    <w:right w:val="nil"/>
                  </w:tcBorders>
                  <w:shd w:val="clear" w:color="auto" w:fill="auto"/>
                  <w:noWrap/>
                  <w:vAlign w:val="bottom"/>
                  <w:hideMark/>
                </w:tcPr>
                <w:p w14:paraId="33CC1708" w14:textId="77777777" w:rsidR="00AE2DF2" w:rsidRPr="00175752" w:rsidRDefault="00AE2DF2" w:rsidP="00AE2DF2">
                  <w:pPr>
                    <w:rPr>
                      <w:color w:val="000000"/>
                    </w:rPr>
                  </w:pPr>
                  <w:r w:rsidRPr="00175752">
                    <w:rPr>
                      <w:color w:val="000000"/>
                    </w:rPr>
                    <w:t>PR Domain Containing 16</w:t>
                  </w:r>
                </w:p>
              </w:tc>
            </w:tr>
            <w:tr w:rsidR="00AE2DF2" w:rsidRPr="00175752" w14:paraId="5B06500A" w14:textId="77777777" w:rsidTr="00AE2DF2">
              <w:trPr>
                <w:trHeight w:val="320"/>
              </w:trPr>
              <w:tc>
                <w:tcPr>
                  <w:tcW w:w="1300" w:type="dxa"/>
                  <w:tcBorders>
                    <w:top w:val="nil"/>
                    <w:left w:val="nil"/>
                    <w:bottom w:val="nil"/>
                    <w:right w:val="nil"/>
                  </w:tcBorders>
                  <w:shd w:val="clear" w:color="auto" w:fill="auto"/>
                  <w:noWrap/>
                  <w:vAlign w:val="bottom"/>
                  <w:hideMark/>
                </w:tcPr>
                <w:p w14:paraId="0508AA4A" w14:textId="77777777" w:rsidR="00AE2DF2" w:rsidRPr="00175752" w:rsidRDefault="00AE2DF2" w:rsidP="00AE2DF2">
                  <w:pPr>
                    <w:rPr>
                      <w:color w:val="000000"/>
                    </w:rPr>
                  </w:pPr>
                  <w:r w:rsidRPr="00175752">
                    <w:rPr>
                      <w:color w:val="000000"/>
                    </w:rPr>
                    <w:t>PYY</w:t>
                  </w:r>
                </w:p>
              </w:tc>
              <w:tc>
                <w:tcPr>
                  <w:tcW w:w="6711" w:type="dxa"/>
                  <w:tcBorders>
                    <w:top w:val="nil"/>
                    <w:left w:val="nil"/>
                    <w:bottom w:val="nil"/>
                    <w:right w:val="nil"/>
                  </w:tcBorders>
                  <w:shd w:val="clear" w:color="auto" w:fill="auto"/>
                  <w:noWrap/>
                  <w:vAlign w:val="bottom"/>
                  <w:hideMark/>
                </w:tcPr>
                <w:p w14:paraId="387984DE" w14:textId="77777777" w:rsidR="00AE2DF2" w:rsidRPr="00175752" w:rsidRDefault="00AE2DF2" w:rsidP="00AE2DF2">
                  <w:pPr>
                    <w:rPr>
                      <w:color w:val="000000"/>
                    </w:rPr>
                  </w:pPr>
                  <w:r w:rsidRPr="00175752">
                    <w:rPr>
                      <w:color w:val="000000"/>
                    </w:rPr>
                    <w:t>Peptide YY</w:t>
                  </w:r>
                </w:p>
              </w:tc>
              <w:tc>
                <w:tcPr>
                  <w:tcW w:w="203" w:type="dxa"/>
                  <w:tcBorders>
                    <w:top w:val="nil"/>
                    <w:left w:val="nil"/>
                    <w:bottom w:val="nil"/>
                    <w:right w:val="nil"/>
                  </w:tcBorders>
                  <w:shd w:val="clear" w:color="auto" w:fill="auto"/>
                  <w:noWrap/>
                  <w:vAlign w:val="bottom"/>
                  <w:hideMark/>
                </w:tcPr>
                <w:p w14:paraId="28EB0407" w14:textId="77777777" w:rsidR="00AE2DF2" w:rsidRPr="00175752" w:rsidRDefault="00AE2DF2" w:rsidP="00AE2DF2">
                  <w:pPr>
                    <w:rPr>
                      <w:color w:val="000000"/>
                    </w:rPr>
                  </w:pPr>
                </w:p>
              </w:tc>
            </w:tr>
            <w:tr w:rsidR="00AE2DF2" w:rsidRPr="00175752" w14:paraId="638C5388" w14:textId="77777777" w:rsidTr="00AE2DF2">
              <w:trPr>
                <w:trHeight w:val="320"/>
              </w:trPr>
              <w:tc>
                <w:tcPr>
                  <w:tcW w:w="1300" w:type="dxa"/>
                  <w:tcBorders>
                    <w:top w:val="nil"/>
                    <w:left w:val="nil"/>
                    <w:bottom w:val="nil"/>
                    <w:right w:val="nil"/>
                  </w:tcBorders>
                  <w:shd w:val="clear" w:color="auto" w:fill="auto"/>
                  <w:noWrap/>
                  <w:vAlign w:val="bottom"/>
                  <w:hideMark/>
                </w:tcPr>
                <w:p w14:paraId="1C39851F" w14:textId="77777777" w:rsidR="00AE2DF2" w:rsidRPr="00175752" w:rsidRDefault="00AE2DF2" w:rsidP="00AE2DF2">
                  <w:pPr>
                    <w:rPr>
                      <w:color w:val="000000"/>
                    </w:rPr>
                  </w:pPr>
                  <w:r w:rsidRPr="00175752">
                    <w:rPr>
                      <w:color w:val="000000"/>
                    </w:rPr>
                    <w:t>RAR</w:t>
                  </w:r>
                </w:p>
              </w:tc>
              <w:tc>
                <w:tcPr>
                  <w:tcW w:w="6914" w:type="dxa"/>
                  <w:gridSpan w:val="2"/>
                  <w:tcBorders>
                    <w:top w:val="nil"/>
                    <w:left w:val="nil"/>
                    <w:bottom w:val="nil"/>
                    <w:right w:val="nil"/>
                  </w:tcBorders>
                  <w:shd w:val="clear" w:color="auto" w:fill="auto"/>
                  <w:noWrap/>
                  <w:vAlign w:val="bottom"/>
                  <w:hideMark/>
                </w:tcPr>
                <w:p w14:paraId="65B4C8E8" w14:textId="77777777" w:rsidR="00AE2DF2" w:rsidRPr="00175752" w:rsidRDefault="00AE2DF2" w:rsidP="00AE2DF2">
                  <w:pPr>
                    <w:rPr>
                      <w:color w:val="000000"/>
                    </w:rPr>
                  </w:pPr>
                  <w:r w:rsidRPr="00175752">
                    <w:rPr>
                      <w:color w:val="000000"/>
                    </w:rPr>
                    <w:t>Retinoic Acid Receptor</w:t>
                  </w:r>
                </w:p>
              </w:tc>
            </w:tr>
            <w:tr w:rsidR="00AE2DF2" w:rsidRPr="00175752" w14:paraId="33E69E0F" w14:textId="77777777" w:rsidTr="00AE2DF2">
              <w:trPr>
                <w:trHeight w:val="320"/>
              </w:trPr>
              <w:tc>
                <w:tcPr>
                  <w:tcW w:w="1300" w:type="dxa"/>
                  <w:tcBorders>
                    <w:top w:val="nil"/>
                    <w:left w:val="nil"/>
                    <w:bottom w:val="nil"/>
                    <w:right w:val="nil"/>
                  </w:tcBorders>
                  <w:shd w:val="clear" w:color="auto" w:fill="auto"/>
                  <w:noWrap/>
                  <w:vAlign w:val="bottom"/>
                  <w:hideMark/>
                </w:tcPr>
                <w:p w14:paraId="196D6DC9" w14:textId="77777777" w:rsidR="00AE2DF2" w:rsidRPr="00175752" w:rsidRDefault="00AE2DF2" w:rsidP="00AE2DF2">
                  <w:pPr>
                    <w:rPr>
                      <w:color w:val="000000"/>
                    </w:rPr>
                  </w:pPr>
                  <w:r w:rsidRPr="00175752">
                    <w:rPr>
                      <w:color w:val="000000"/>
                    </w:rPr>
                    <w:t>RES</w:t>
                  </w:r>
                </w:p>
              </w:tc>
              <w:tc>
                <w:tcPr>
                  <w:tcW w:w="6711" w:type="dxa"/>
                  <w:tcBorders>
                    <w:top w:val="nil"/>
                    <w:left w:val="nil"/>
                    <w:bottom w:val="nil"/>
                    <w:right w:val="nil"/>
                  </w:tcBorders>
                  <w:shd w:val="clear" w:color="auto" w:fill="auto"/>
                  <w:noWrap/>
                  <w:vAlign w:val="bottom"/>
                  <w:hideMark/>
                </w:tcPr>
                <w:p w14:paraId="161988A5" w14:textId="77777777" w:rsidR="00AE2DF2" w:rsidRPr="00175752" w:rsidRDefault="00AE2DF2" w:rsidP="00AE2DF2">
                  <w:pPr>
                    <w:rPr>
                      <w:color w:val="000000"/>
                    </w:rPr>
                  </w:pPr>
                  <w:r w:rsidRPr="00175752">
                    <w:rPr>
                      <w:color w:val="000000"/>
                    </w:rPr>
                    <w:t>Resveratrol</w:t>
                  </w:r>
                </w:p>
              </w:tc>
              <w:tc>
                <w:tcPr>
                  <w:tcW w:w="203" w:type="dxa"/>
                  <w:tcBorders>
                    <w:top w:val="nil"/>
                    <w:left w:val="nil"/>
                    <w:bottom w:val="nil"/>
                    <w:right w:val="nil"/>
                  </w:tcBorders>
                  <w:shd w:val="clear" w:color="auto" w:fill="auto"/>
                  <w:noWrap/>
                  <w:vAlign w:val="bottom"/>
                  <w:hideMark/>
                </w:tcPr>
                <w:p w14:paraId="6C9BE680" w14:textId="77777777" w:rsidR="00AE2DF2" w:rsidRPr="00175752" w:rsidRDefault="00AE2DF2" w:rsidP="00AE2DF2">
                  <w:pPr>
                    <w:rPr>
                      <w:color w:val="000000"/>
                    </w:rPr>
                  </w:pPr>
                </w:p>
              </w:tc>
            </w:tr>
            <w:tr w:rsidR="00AE2DF2" w:rsidRPr="00175752" w14:paraId="2D183BF8" w14:textId="77777777" w:rsidTr="00AE2DF2">
              <w:trPr>
                <w:trHeight w:val="320"/>
              </w:trPr>
              <w:tc>
                <w:tcPr>
                  <w:tcW w:w="1300" w:type="dxa"/>
                  <w:tcBorders>
                    <w:top w:val="nil"/>
                    <w:left w:val="nil"/>
                    <w:bottom w:val="nil"/>
                    <w:right w:val="nil"/>
                  </w:tcBorders>
                  <w:shd w:val="clear" w:color="auto" w:fill="auto"/>
                  <w:noWrap/>
                  <w:vAlign w:val="bottom"/>
                  <w:hideMark/>
                </w:tcPr>
                <w:p w14:paraId="314A6C1C" w14:textId="77777777" w:rsidR="00AE2DF2" w:rsidRPr="00175752" w:rsidRDefault="00AE2DF2" w:rsidP="00AE2DF2">
                  <w:pPr>
                    <w:rPr>
                      <w:color w:val="000000"/>
                    </w:rPr>
                  </w:pPr>
                  <w:r w:rsidRPr="00175752">
                    <w:rPr>
                      <w:color w:val="000000"/>
                    </w:rPr>
                    <w:t>RIP140</w:t>
                  </w:r>
                </w:p>
              </w:tc>
              <w:tc>
                <w:tcPr>
                  <w:tcW w:w="6914" w:type="dxa"/>
                  <w:gridSpan w:val="2"/>
                  <w:tcBorders>
                    <w:top w:val="nil"/>
                    <w:left w:val="nil"/>
                    <w:bottom w:val="nil"/>
                    <w:right w:val="nil"/>
                  </w:tcBorders>
                  <w:shd w:val="clear" w:color="auto" w:fill="auto"/>
                  <w:noWrap/>
                  <w:vAlign w:val="bottom"/>
                  <w:hideMark/>
                </w:tcPr>
                <w:p w14:paraId="0F222CAA" w14:textId="77777777" w:rsidR="00AE2DF2" w:rsidRPr="00175752" w:rsidRDefault="00AE2DF2" w:rsidP="00AE2DF2">
                  <w:pPr>
                    <w:rPr>
                      <w:color w:val="000000"/>
                    </w:rPr>
                  </w:pPr>
                  <w:r w:rsidRPr="00175752">
                    <w:rPr>
                      <w:color w:val="000000"/>
                    </w:rPr>
                    <w:t>Receptor Interacting Protein 140</w:t>
                  </w:r>
                </w:p>
              </w:tc>
            </w:tr>
            <w:tr w:rsidR="00AE2DF2" w:rsidRPr="00175752" w14:paraId="1CD73C77" w14:textId="77777777" w:rsidTr="00AE2DF2">
              <w:trPr>
                <w:trHeight w:val="320"/>
              </w:trPr>
              <w:tc>
                <w:tcPr>
                  <w:tcW w:w="1300" w:type="dxa"/>
                  <w:tcBorders>
                    <w:top w:val="nil"/>
                    <w:left w:val="nil"/>
                    <w:bottom w:val="nil"/>
                    <w:right w:val="nil"/>
                  </w:tcBorders>
                  <w:shd w:val="clear" w:color="auto" w:fill="auto"/>
                  <w:noWrap/>
                  <w:vAlign w:val="bottom"/>
                  <w:hideMark/>
                </w:tcPr>
                <w:p w14:paraId="15C15424" w14:textId="77777777" w:rsidR="00AE2DF2" w:rsidRPr="00175752" w:rsidRDefault="00AE2DF2" w:rsidP="00AE2DF2">
                  <w:pPr>
                    <w:rPr>
                      <w:color w:val="000000"/>
                    </w:rPr>
                  </w:pPr>
                  <w:r w:rsidRPr="00175752">
                    <w:rPr>
                      <w:color w:val="000000"/>
                    </w:rPr>
                    <w:t>ROS</w:t>
                  </w:r>
                </w:p>
              </w:tc>
              <w:tc>
                <w:tcPr>
                  <w:tcW w:w="6914" w:type="dxa"/>
                  <w:gridSpan w:val="2"/>
                  <w:tcBorders>
                    <w:top w:val="nil"/>
                    <w:left w:val="nil"/>
                    <w:bottom w:val="nil"/>
                    <w:right w:val="nil"/>
                  </w:tcBorders>
                  <w:shd w:val="clear" w:color="auto" w:fill="auto"/>
                  <w:noWrap/>
                  <w:vAlign w:val="bottom"/>
                  <w:hideMark/>
                </w:tcPr>
                <w:p w14:paraId="34C5A1A6" w14:textId="77777777" w:rsidR="00AE2DF2" w:rsidRPr="00175752" w:rsidRDefault="00AE2DF2" w:rsidP="00AE2DF2">
                  <w:pPr>
                    <w:rPr>
                      <w:color w:val="000000"/>
                    </w:rPr>
                  </w:pPr>
                  <w:r w:rsidRPr="00175752">
                    <w:rPr>
                      <w:color w:val="000000"/>
                    </w:rPr>
                    <w:t>Reactive Oxygen Species</w:t>
                  </w:r>
                </w:p>
              </w:tc>
            </w:tr>
            <w:tr w:rsidR="00AE2DF2" w:rsidRPr="00175752" w14:paraId="231F75B9" w14:textId="77777777" w:rsidTr="00AE2DF2">
              <w:trPr>
                <w:trHeight w:val="320"/>
              </w:trPr>
              <w:tc>
                <w:tcPr>
                  <w:tcW w:w="1300" w:type="dxa"/>
                  <w:tcBorders>
                    <w:top w:val="nil"/>
                    <w:left w:val="nil"/>
                    <w:bottom w:val="nil"/>
                    <w:right w:val="nil"/>
                  </w:tcBorders>
                  <w:shd w:val="clear" w:color="auto" w:fill="auto"/>
                  <w:noWrap/>
                  <w:vAlign w:val="bottom"/>
                  <w:hideMark/>
                </w:tcPr>
                <w:p w14:paraId="08376EEF" w14:textId="77777777" w:rsidR="00AE2DF2" w:rsidRPr="00175752" w:rsidRDefault="00AE2DF2" w:rsidP="00AE2DF2">
                  <w:pPr>
                    <w:rPr>
                      <w:color w:val="000000"/>
                    </w:rPr>
                  </w:pPr>
                  <w:r w:rsidRPr="00175752">
                    <w:rPr>
                      <w:color w:val="000000"/>
                    </w:rPr>
                    <w:t>ROSI</w:t>
                  </w:r>
                </w:p>
              </w:tc>
              <w:tc>
                <w:tcPr>
                  <w:tcW w:w="6914" w:type="dxa"/>
                  <w:gridSpan w:val="2"/>
                  <w:tcBorders>
                    <w:top w:val="nil"/>
                    <w:left w:val="nil"/>
                    <w:bottom w:val="nil"/>
                    <w:right w:val="nil"/>
                  </w:tcBorders>
                  <w:shd w:val="clear" w:color="auto" w:fill="auto"/>
                  <w:noWrap/>
                  <w:vAlign w:val="bottom"/>
                  <w:hideMark/>
                </w:tcPr>
                <w:p w14:paraId="51A78829" w14:textId="77777777" w:rsidR="00AE2DF2" w:rsidRPr="00175752" w:rsidRDefault="00AE2DF2" w:rsidP="00AE2DF2">
                  <w:pPr>
                    <w:rPr>
                      <w:color w:val="000000"/>
                    </w:rPr>
                  </w:pPr>
                  <w:r w:rsidRPr="00175752">
                    <w:rPr>
                      <w:color w:val="000000"/>
                    </w:rPr>
                    <w:t>Rosiglitazone</w:t>
                  </w:r>
                </w:p>
              </w:tc>
            </w:tr>
            <w:tr w:rsidR="00AE2DF2" w:rsidRPr="00175752" w14:paraId="1E9FC5D4" w14:textId="77777777" w:rsidTr="00AE2DF2">
              <w:trPr>
                <w:trHeight w:val="320"/>
              </w:trPr>
              <w:tc>
                <w:tcPr>
                  <w:tcW w:w="1300" w:type="dxa"/>
                  <w:tcBorders>
                    <w:top w:val="nil"/>
                    <w:left w:val="nil"/>
                    <w:bottom w:val="nil"/>
                    <w:right w:val="nil"/>
                  </w:tcBorders>
                  <w:shd w:val="clear" w:color="auto" w:fill="auto"/>
                  <w:noWrap/>
                  <w:vAlign w:val="bottom"/>
                  <w:hideMark/>
                </w:tcPr>
                <w:p w14:paraId="08F3F21B" w14:textId="77777777" w:rsidR="00AE2DF2" w:rsidRPr="00175752" w:rsidRDefault="00AE2DF2" w:rsidP="00AE2DF2">
                  <w:pPr>
                    <w:rPr>
                      <w:color w:val="000000"/>
                    </w:rPr>
                  </w:pPr>
                  <w:r w:rsidRPr="00175752">
                    <w:rPr>
                      <w:color w:val="000000"/>
                    </w:rPr>
                    <w:t>RXR</w:t>
                  </w:r>
                </w:p>
              </w:tc>
              <w:tc>
                <w:tcPr>
                  <w:tcW w:w="6914" w:type="dxa"/>
                  <w:gridSpan w:val="2"/>
                  <w:tcBorders>
                    <w:top w:val="nil"/>
                    <w:left w:val="nil"/>
                    <w:bottom w:val="nil"/>
                    <w:right w:val="nil"/>
                  </w:tcBorders>
                  <w:shd w:val="clear" w:color="auto" w:fill="auto"/>
                  <w:noWrap/>
                  <w:vAlign w:val="bottom"/>
                  <w:hideMark/>
                </w:tcPr>
                <w:p w14:paraId="119BBC9E" w14:textId="77777777" w:rsidR="00AE2DF2" w:rsidRPr="00175752" w:rsidRDefault="00AE2DF2" w:rsidP="00AE2DF2">
                  <w:pPr>
                    <w:rPr>
                      <w:color w:val="000000"/>
                    </w:rPr>
                  </w:pPr>
                  <w:r w:rsidRPr="00175752">
                    <w:rPr>
                      <w:color w:val="000000"/>
                    </w:rPr>
                    <w:t>Retinoid X Receptor</w:t>
                  </w:r>
                </w:p>
              </w:tc>
            </w:tr>
            <w:tr w:rsidR="00AE2DF2" w:rsidRPr="00175752" w14:paraId="753EEFA5" w14:textId="77777777" w:rsidTr="00AE2DF2">
              <w:trPr>
                <w:trHeight w:val="320"/>
              </w:trPr>
              <w:tc>
                <w:tcPr>
                  <w:tcW w:w="1300" w:type="dxa"/>
                  <w:tcBorders>
                    <w:top w:val="nil"/>
                    <w:left w:val="nil"/>
                    <w:bottom w:val="nil"/>
                    <w:right w:val="nil"/>
                  </w:tcBorders>
                  <w:shd w:val="clear" w:color="auto" w:fill="auto"/>
                  <w:noWrap/>
                  <w:vAlign w:val="bottom"/>
                  <w:hideMark/>
                </w:tcPr>
                <w:p w14:paraId="727513FB" w14:textId="77777777" w:rsidR="00AE2DF2" w:rsidRPr="00175752" w:rsidRDefault="00AE2DF2" w:rsidP="00AE2DF2">
                  <w:pPr>
                    <w:rPr>
                      <w:color w:val="000000"/>
                    </w:rPr>
                  </w:pPr>
                  <w:r w:rsidRPr="00175752">
                    <w:rPr>
                      <w:color w:val="000000"/>
                    </w:rPr>
                    <w:t>SAT</w:t>
                  </w:r>
                </w:p>
              </w:tc>
              <w:tc>
                <w:tcPr>
                  <w:tcW w:w="6914" w:type="dxa"/>
                  <w:gridSpan w:val="2"/>
                  <w:tcBorders>
                    <w:top w:val="nil"/>
                    <w:left w:val="nil"/>
                    <w:bottom w:val="nil"/>
                    <w:right w:val="nil"/>
                  </w:tcBorders>
                  <w:shd w:val="clear" w:color="auto" w:fill="auto"/>
                  <w:noWrap/>
                  <w:vAlign w:val="bottom"/>
                  <w:hideMark/>
                </w:tcPr>
                <w:p w14:paraId="108C6658" w14:textId="77777777" w:rsidR="00AE2DF2" w:rsidRPr="00175752" w:rsidRDefault="00AE2DF2" w:rsidP="00AE2DF2">
                  <w:pPr>
                    <w:rPr>
                      <w:color w:val="000000"/>
                    </w:rPr>
                  </w:pPr>
                  <w:r w:rsidRPr="00175752">
                    <w:rPr>
                      <w:color w:val="000000"/>
                    </w:rPr>
                    <w:t>Subcutaneous Adipose Tissue</w:t>
                  </w:r>
                </w:p>
              </w:tc>
            </w:tr>
            <w:tr w:rsidR="00AE2DF2" w:rsidRPr="00175752" w14:paraId="56DD3DB3" w14:textId="77777777" w:rsidTr="00AE2DF2">
              <w:trPr>
                <w:trHeight w:val="320"/>
              </w:trPr>
              <w:tc>
                <w:tcPr>
                  <w:tcW w:w="1300" w:type="dxa"/>
                  <w:tcBorders>
                    <w:top w:val="nil"/>
                    <w:left w:val="nil"/>
                    <w:bottom w:val="nil"/>
                    <w:right w:val="nil"/>
                  </w:tcBorders>
                  <w:shd w:val="clear" w:color="auto" w:fill="auto"/>
                  <w:noWrap/>
                  <w:vAlign w:val="bottom"/>
                  <w:hideMark/>
                </w:tcPr>
                <w:p w14:paraId="0A7C7731" w14:textId="77777777" w:rsidR="00AE2DF2" w:rsidRPr="00175752" w:rsidRDefault="00AE2DF2" w:rsidP="00AE2DF2">
                  <w:pPr>
                    <w:rPr>
                      <w:color w:val="000000"/>
                    </w:rPr>
                  </w:pPr>
                  <w:r w:rsidRPr="00175752">
                    <w:rPr>
                      <w:color w:val="000000"/>
                    </w:rPr>
                    <w:t>SCA-1</w:t>
                  </w:r>
                </w:p>
              </w:tc>
              <w:tc>
                <w:tcPr>
                  <w:tcW w:w="6914" w:type="dxa"/>
                  <w:gridSpan w:val="2"/>
                  <w:tcBorders>
                    <w:top w:val="nil"/>
                    <w:left w:val="nil"/>
                    <w:bottom w:val="nil"/>
                    <w:right w:val="nil"/>
                  </w:tcBorders>
                  <w:shd w:val="clear" w:color="auto" w:fill="auto"/>
                  <w:noWrap/>
                  <w:vAlign w:val="bottom"/>
                  <w:hideMark/>
                </w:tcPr>
                <w:p w14:paraId="63F55C27" w14:textId="77777777" w:rsidR="00AE2DF2" w:rsidRPr="00175752" w:rsidRDefault="00AE2DF2" w:rsidP="00AE2DF2">
                  <w:pPr>
                    <w:rPr>
                      <w:color w:val="000000"/>
                    </w:rPr>
                  </w:pPr>
                  <w:r w:rsidRPr="00175752">
                    <w:rPr>
                      <w:color w:val="000000"/>
                    </w:rPr>
                    <w:t>Spinocerebellar Ataxia Type 1</w:t>
                  </w:r>
                </w:p>
              </w:tc>
            </w:tr>
            <w:tr w:rsidR="00AE2DF2" w:rsidRPr="00175752" w14:paraId="0EAEE76A" w14:textId="77777777" w:rsidTr="00AE2DF2">
              <w:trPr>
                <w:trHeight w:val="320"/>
              </w:trPr>
              <w:tc>
                <w:tcPr>
                  <w:tcW w:w="1300" w:type="dxa"/>
                  <w:tcBorders>
                    <w:top w:val="nil"/>
                    <w:left w:val="nil"/>
                    <w:bottom w:val="nil"/>
                    <w:right w:val="nil"/>
                  </w:tcBorders>
                  <w:shd w:val="clear" w:color="auto" w:fill="auto"/>
                  <w:noWrap/>
                  <w:vAlign w:val="bottom"/>
                  <w:hideMark/>
                </w:tcPr>
                <w:p w14:paraId="0094EDB3" w14:textId="77777777" w:rsidR="00AE2DF2" w:rsidRPr="00175752" w:rsidRDefault="00AE2DF2" w:rsidP="00AE2DF2">
                  <w:pPr>
                    <w:rPr>
                      <w:color w:val="000000"/>
                    </w:rPr>
                  </w:pPr>
                  <w:r w:rsidRPr="00175752">
                    <w:rPr>
                      <w:color w:val="000000"/>
                    </w:rPr>
                    <w:t>SCD1</w:t>
                  </w:r>
                </w:p>
              </w:tc>
              <w:tc>
                <w:tcPr>
                  <w:tcW w:w="6914" w:type="dxa"/>
                  <w:gridSpan w:val="2"/>
                  <w:tcBorders>
                    <w:top w:val="nil"/>
                    <w:left w:val="nil"/>
                    <w:bottom w:val="nil"/>
                    <w:right w:val="nil"/>
                  </w:tcBorders>
                  <w:shd w:val="clear" w:color="auto" w:fill="auto"/>
                  <w:noWrap/>
                  <w:vAlign w:val="bottom"/>
                  <w:hideMark/>
                </w:tcPr>
                <w:p w14:paraId="6C6F8E31" w14:textId="77777777" w:rsidR="00AE2DF2" w:rsidRPr="00175752" w:rsidRDefault="00AE2DF2" w:rsidP="00AE2DF2">
                  <w:pPr>
                    <w:rPr>
                      <w:color w:val="000000"/>
                    </w:rPr>
                  </w:pPr>
                  <w:r w:rsidRPr="00175752">
                    <w:rPr>
                      <w:color w:val="000000"/>
                    </w:rPr>
                    <w:t>Stearoyl-CoA Desaturase 1</w:t>
                  </w:r>
                </w:p>
              </w:tc>
            </w:tr>
            <w:tr w:rsidR="00AE2DF2" w:rsidRPr="00175752" w14:paraId="22C234D5" w14:textId="77777777" w:rsidTr="00AE2DF2">
              <w:trPr>
                <w:trHeight w:val="320"/>
              </w:trPr>
              <w:tc>
                <w:tcPr>
                  <w:tcW w:w="1300" w:type="dxa"/>
                  <w:tcBorders>
                    <w:top w:val="nil"/>
                    <w:left w:val="nil"/>
                    <w:bottom w:val="nil"/>
                    <w:right w:val="nil"/>
                  </w:tcBorders>
                  <w:shd w:val="clear" w:color="auto" w:fill="auto"/>
                  <w:noWrap/>
                  <w:vAlign w:val="bottom"/>
                  <w:hideMark/>
                </w:tcPr>
                <w:p w14:paraId="66F08507" w14:textId="77777777" w:rsidR="00AE2DF2" w:rsidRPr="00175752" w:rsidRDefault="00AE2DF2" w:rsidP="00AE2DF2">
                  <w:pPr>
                    <w:rPr>
                      <w:color w:val="000000"/>
                    </w:rPr>
                  </w:pPr>
                  <w:r w:rsidRPr="00175752">
                    <w:rPr>
                      <w:color w:val="000000"/>
                    </w:rPr>
                    <w:t>SCFAs</w:t>
                  </w:r>
                </w:p>
              </w:tc>
              <w:tc>
                <w:tcPr>
                  <w:tcW w:w="6914" w:type="dxa"/>
                  <w:gridSpan w:val="2"/>
                  <w:tcBorders>
                    <w:top w:val="nil"/>
                    <w:left w:val="nil"/>
                    <w:bottom w:val="nil"/>
                    <w:right w:val="nil"/>
                  </w:tcBorders>
                  <w:shd w:val="clear" w:color="auto" w:fill="auto"/>
                  <w:noWrap/>
                  <w:vAlign w:val="bottom"/>
                  <w:hideMark/>
                </w:tcPr>
                <w:p w14:paraId="342C4E3C" w14:textId="77777777" w:rsidR="00AE2DF2" w:rsidRPr="00175752" w:rsidRDefault="00AE2DF2" w:rsidP="00AE2DF2">
                  <w:pPr>
                    <w:rPr>
                      <w:color w:val="000000"/>
                    </w:rPr>
                  </w:pPr>
                  <w:r w:rsidRPr="00175752">
                    <w:rPr>
                      <w:color w:val="000000"/>
                    </w:rPr>
                    <w:t>Short-Chain Fatty Acids</w:t>
                  </w:r>
                </w:p>
              </w:tc>
            </w:tr>
            <w:tr w:rsidR="00AE2DF2" w:rsidRPr="00175752" w14:paraId="35968B40" w14:textId="77777777" w:rsidTr="00AE2DF2">
              <w:trPr>
                <w:trHeight w:val="320"/>
              </w:trPr>
              <w:tc>
                <w:tcPr>
                  <w:tcW w:w="1300" w:type="dxa"/>
                  <w:tcBorders>
                    <w:top w:val="nil"/>
                    <w:left w:val="nil"/>
                    <w:bottom w:val="nil"/>
                    <w:right w:val="nil"/>
                  </w:tcBorders>
                  <w:shd w:val="clear" w:color="auto" w:fill="auto"/>
                  <w:noWrap/>
                  <w:vAlign w:val="bottom"/>
                  <w:hideMark/>
                </w:tcPr>
                <w:p w14:paraId="0F718B7A" w14:textId="77777777" w:rsidR="00AE2DF2" w:rsidRPr="00175752" w:rsidRDefault="00AE2DF2" w:rsidP="00AE2DF2">
                  <w:pPr>
                    <w:rPr>
                      <w:color w:val="000000"/>
                    </w:rPr>
                  </w:pPr>
                  <w:r w:rsidRPr="00175752">
                    <w:rPr>
                      <w:color w:val="000000"/>
                    </w:rPr>
                    <w:t>SCR</w:t>
                  </w:r>
                </w:p>
              </w:tc>
              <w:tc>
                <w:tcPr>
                  <w:tcW w:w="6914" w:type="dxa"/>
                  <w:gridSpan w:val="2"/>
                  <w:tcBorders>
                    <w:top w:val="nil"/>
                    <w:left w:val="nil"/>
                    <w:bottom w:val="nil"/>
                    <w:right w:val="nil"/>
                  </w:tcBorders>
                  <w:shd w:val="clear" w:color="auto" w:fill="auto"/>
                  <w:noWrap/>
                  <w:vAlign w:val="bottom"/>
                  <w:hideMark/>
                </w:tcPr>
                <w:p w14:paraId="12006E5C" w14:textId="77777777" w:rsidR="00AE2DF2" w:rsidRPr="00175752" w:rsidRDefault="00AE2DF2" w:rsidP="00AE2DF2">
                  <w:pPr>
                    <w:rPr>
                      <w:color w:val="000000"/>
                    </w:rPr>
                  </w:pPr>
                  <w:r w:rsidRPr="00175752">
                    <w:rPr>
                      <w:color w:val="000000"/>
                    </w:rPr>
                    <w:t>Scrambled Control</w:t>
                  </w:r>
                </w:p>
              </w:tc>
            </w:tr>
            <w:tr w:rsidR="00AE2DF2" w:rsidRPr="00175752" w14:paraId="1754FC25" w14:textId="77777777" w:rsidTr="00AE2DF2">
              <w:trPr>
                <w:trHeight w:val="320"/>
              </w:trPr>
              <w:tc>
                <w:tcPr>
                  <w:tcW w:w="1300" w:type="dxa"/>
                  <w:tcBorders>
                    <w:top w:val="nil"/>
                    <w:left w:val="nil"/>
                    <w:bottom w:val="nil"/>
                    <w:right w:val="nil"/>
                  </w:tcBorders>
                  <w:shd w:val="clear" w:color="auto" w:fill="auto"/>
                  <w:noWrap/>
                  <w:vAlign w:val="bottom"/>
                  <w:hideMark/>
                </w:tcPr>
                <w:p w14:paraId="6B68E931" w14:textId="77777777" w:rsidR="00AE2DF2" w:rsidRPr="00175752" w:rsidRDefault="00AE2DF2" w:rsidP="00AE2DF2">
                  <w:pPr>
                    <w:rPr>
                      <w:color w:val="000000"/>
                    </w:rPr>
                  </w:pPr>
                  <w:r w:rsidRPr="00175752">
                    <w:rPr>
                      <w:color w:val="000000"/>
                    </w:rPr>
                    <w:t>SGBS</w:t>
                  </w:r>
                </w:p>
              </w:tc>
              <w:tc>
                <w:tcPr>
                  <w:tcW w:w="6914" w:type="dxa"/>
                  <w:gridSpan w:val="2"/>
                  <w:tcBorders>
                    <w:top w:val="nil"/>
                    <w:left w:val="nil"/>
                    <w:bottom w:val="nil"/>
                    <w:right w:val="nil"/>
                  </w:tcBorders>
                  <w:shd w:val="clear" w:color="auto" w:fill="auto"/>
                  <w:noWrap/>
                  <w:vAlign w:val="bottom"/>
                  <w:hideMark/>
                </w:tcPr>
                <w:p w14:paraId="32C6FFED" w14:textId="77777777" w:rsidR="00AE2DF2" w:rsidRPr="00175752" w:rsidRDefault="00AE2DF2" w:rsidP="00AE2DF2">
                  <w:pPr>
                    <w:rPr>
                      <w:color w:val="000000"/>
                    </w:rPr>
                  </w:pPr>
                  <w:r w:rsidRPr="00175752">
                    <w:rPr>
                      <w:color w:val="000000"/>
                    </w:rPr>
                    <w:t>Simpson-Golabi-Behmel Syndrome</w:t>
                  </w:r>
                </w:p>
              </w:tc>
            </w:tr>
            <w:tr w:rsidR="00AE2DF2" w:rsidRPr="00175752" w14:paraId="4DE4CB05" w14:textId="77777777" w:rsidTr="00AE2DF2">
              <w:trPr>
                <w:trHeight w:val="320"/>
              </w:trPr>
              <w:tc>
                <w:tcPr>
                  <w:tcW w:w="1300" w:type="dxa"/>
                  <w:tcBorders>
                    <w:top w:val="nil"/>
                    <w:left w:val="nil"/>
                    <w:bottom w:val="nil"/>
                    <w:right w:val="nil"/>
                  </w:tcBorders>
                  <w:shd w:val="clear" w:color="auto" w:fill="auto"/>
                  <w:noWrap/>
                  <w:vAlign w:val="bottom"/>
                  <w:hideMark/>
                </w:tcPr>
                <w:p w14:paraId="3259D123" w14:textId="77777777" w:rsidR="00AE2DF2" w:rsidRPr="00175752" w:rsidRDefault="00AE2DF2" w:rsidP="00AE2DF2">
                  <w:pPr>
                    <w:rPr>
                      <w:color w:val="000000"/>
                    </w:rPr>
                  </w:pPr>
                  <w:r w:rsidRPr="00175752">
                    <w:rPr>
                      <w:color w:val="000000"/>
                    </w:rPr>
                    <w:t>SIRT1</w:t>
                  </w:r>
                </w:p>
              </w:tc>
              <w:tc>
                <w:tcPr>
                  <w:tcW w:w="6711" w:type="dxa"/>
                  <w:tcBorders>
                    <w:top w:val="nil"/>
                    <w:left w:val="nil"/>
                    <w:bottom w:val="nil"/>
                    <w:right w:val="nil"/>
                  </w:tcBorders>
                  <w:shd w:val="clear" w:color="auto" w:fill="auto"/>
                  <w:noWrap/>
                  <w:vAlign w:val="bottom"/>
                  <w:hideMark/>
                </w:tcPr>
                <w:p w14:paraId="3AB9004F" w14:textId="77777777" w:rsidR="00AE2DF2" w:rsidRPr="00175752" w:rsidRDefault="00AE2DF2" w:rsidP="00AE2DF2">
                  <w:pPr>
                    <w:rPr>
                      <w:color w:val="000000"/>
                    </w:rPr>
                  </w:pPr>
                  <w:r w:rsidRPr="00175752">
                    <w:rPr>
                      <w:color w:val="000000"/>
                    </w:rPr>
                    <w:t>Sirtuin 1</w:t>
                  </w:r>
                </w:p>
              </w:tc>
              <w:tc>
                <w:tcPr>
                  <w:tcW w:w="203" w:type="dxa"/>
                  <w:tcBorders>
                    <w:top w:val="nil"/>
                    <w:left w:val="nil"/>
                    <w:bottom w:val="nil"/>
                    <w:right w:val="nil"/>
                  </w:tcBorders>
                  <w:shd w:val="clear" w:color="auto" w:fill="auto"/>
                  <w:noWrap/>
                  <w:vAlign w:val="bottom"/>
                  <w:hideMark/>
                </w:tcPr>
                <w:p w14:paraId="664DB34F" w14:textId="77777777" w:rsidR="00AE2DF2" w:rsidRPr="00175752" w:rsidRDefault="00AE2DF2" w:rsidP="00AE2DF2">
                  <w:pPr>
                    <w:rPr>
                      <w:color w:val="000000"/>
                    </w:rPr>
                  </w:pPr>
                </w:p>
              </w:tc>
            </w:tr>
            <w:tr w:rsidR="00AE2DF2" w:rsidRPr="00175752" w14:paraId="23481604" w14:textId="77777777" w:rsidTr="00AE2DF2">
              <w:trPr>
                <w:trHeight w:val="320"/>
              </w:trPr>
              <w:tc>
                <w:tcPr>
                  <w:tcW w:w="1300" w:type="dxa"/>
                  <w:tcBorders>
                    <w:top w:val="nil"/>
                    <w:left w:val="nil"/>
                    <w:bottom w:val="nil"/>
                    <w:right w:val="nil"/>
                  </w:tcBorders>
                  <w:shd w:val="clear" w:color="auto" w:fill="auto"/>
                  <w:noWrap/>
                  <w:vAlign w:val="bottom"/>
                  <w:hideMark/>
                </w:tcPr>
                <w:p w14:paraId="5D4D592E" w14:textId="77777777" w:rsidR="00AE2DF2" w:rsidRPr="00175752" w:rsidRDefault="00AE2DF2" w:rsidP="00AE2DF2">
                  <w:pPr>
                    <w:rPr>
                      <w:color w:val="000000"/>
                    </w:rPr>
                  </w:pPr>
                  <w:r w:rsidRPr="00175752">
                    <w:rPr>
                      <w:color w:val="000000"/>
                    </w:rPr>
                    <w:t>SLNP</w:t>
                  </w:r>
                </w:p>
              </w:tc>
              <w:tc>
                <w:tcPr>
                  <w:tcW w:w="6914" w:type="dxa"/>
                  <w:gridSpan w:val="2"/>
                  <w:tcBorders>
                    <w:top w:val="nil"/>
                    <w:left w:val="nil"/>
                    <w:bottom w:val="nil"/>
                    <w:right w:val="nil"/>
                  </w:tcBorders>
                  <w:shd w:val="clear" w:color="auto" w:fill="auto"/>
                  <w:noWrap/>
                  <w:vAlign w:val="bottom"/>
                  <w:hideMark/>
                </w:tcPr>
                <w:p w14:paraId="7B6315CB" w14:textId="77777777" w:rsidR="00AE2DF2" w:rsidRPr="00175752" w:rsidRDefault="00AE2DF2" w:rsidP="00AE2DF2">
                  <w:pPr>
                    <w:rPr>
                      <w:color w:val="000000"/>
                    </w:rPr>
                  </w:pPr>
                  <w:r w:rsidRPr="00175752">
                    <w:rPr>
                      <w:color w:val="000000"/>
                    </w:rPr>
                    <w:t>Solid Lipid Nanoparticle</w:t>
                  </w:r>
                </w:p>
              </w:tc>
            </w:tr>
            <w:tr w:rsidR="00AE2DF2" w:rsidRPr="00175752" w14:paraId="700E3CE1" w14:textId="77777777" w:rsidTr="00AE2DF2">
              <w:trPr>
                <w:trHeight w:val="320"/>
              </w:trPr>
              <w:tc>
                <w:tcPr>
                  <w:tcW w:w="1300" w:type="dxa"/>
                  <w:tcBorders>
                    <w:top w:val="nil"/>
                    <w:left w:val="nil"/>
                    <w:bottom w:val="nil"/>
                    <w:right w:val="nil"/>
                  </w:tcBorders>
                  <w:shd w:val="clear" w:color="auto" w:fill="auto"/>
                  <w:noWrap/>
                  <w:vAlign w:val="bottom"/>
                  <w:hideMark/>
                </w:tcPr>
                <w:p w14:paraId="1F81684E" w14:textId="77777777" w:rsidR="00AE2DF2" w:rsidRPr="00175752" w:rsidRDefault="00AE2DF2" w:rsidP="00AE2DF2">
                  <w:pPr>
                    <w:rPr>
                      <w:color w:val="000000"/>
                    </w:rPr>
                  </w:pPr>
                  <w:r w:rsidRPr="00175752">
                    <w:rPr>
                      <w:color w:val="000000"/>
                    </w:rPr>
                    <w:t>SNP</w:t>
                  </w:r>
                </w:p>
              </w:tc>
              <w:tc>
                <w:tcPr>
                  <w:tcW w:w="6914" w:type="dxa"/>
                  <w:gridSpan w:val="2"/>
                  <w:tcBorders>
                    <w:top w:val="nil"/>
                    <w:left w:val="nil"/>
                    <w:bottom w:val="nil"/>
                    <w:right w:val="nil"/>
                  </w:tcBorders>
                  <w:shd w:val="clear" w:color="auto" w:fill="auto"/>
                  <w:noWrap/>
                  <w:vAlign w:val="bottom"/>
                  <w:hideMark/>
                </w:tcPr>
                <w:p w14:paraId="428B2B70" w14:textId="77777777" w:rsidR="00AE2DF2" w:rsidRPr="00175752" w:rsidRDefault="00AE2DF2" w:rsidP="00AE2DF2">
                  <w:pPr>
                    <w:rPr>
                      <w:color w:val="000000"/>
                    </w:rPr>
                  </w:pPr>
                  <w:r w:rsidRPr="00175752">
                    <w:rPr>
                      <w:color w:val="000000"/>
                    </w:rPr>
                    <w:t>Single-Nucleotide Polymorphism</w:t>
                  </w:r>
                </w:p>
              </w:tc>
            </w:tr>
            <w:tr w:rsidR="00AE2DF2" w:rsidRPr="00175752" w14:paraId="336F8EBE" w14:textId="77777777" w:rsidTr="00AE2DF2">
              <w:trPr>
                <w:trHeight w:val="320"/>
              </w:trPr>
              <w:tc>
                <w:tcPr>
                  <w:tcW w:w="1300" w:type="dxa"/>
                  <w:tcBorders>
                    <w:top w:val="nil"/>
                    <w:left w:val="nil"/>
                    <w:bottom w:val="nil"/>
                    <w:right w:val="nil"/>
                  </w:tcBorders>
                  <w:shd w:val="clear" w:color="auto" w:fill="auto"/>
                  <w:noWrap/>
                  <w:vAlign w:val="bottom"/>
                  <w:hideMark/>
                </w:tcPr>
                <w:p w14:paraId="6D4271BB" w14:textId="77777777" w:rsidR="00AE2DF2" w:rsidRPr="00175752" w:rsidRDefault="00AE2DF2" w:rsidP="00AE2DF2">
                  <w:pPr>
                    <w:rPr>
                      <w:color w:val="000000"/>
                    </w:rPr>
                  </w:pPr>
                  <w:r w:rsidRPr="00175752">
                    <w:rPr>
                      <w:color w:val="000000"/>
                    </w:rPr>
                    <w:t>SNS</w:t>
                  </w:r>
                </w:p>
              </w:tc>
              <w:tc>
                <w:tcPr>
                  <w:tcW w:w="6914" w:type="dxa"/>
                  <w:gridSpan w:val="2"/>
                  <w:tcBorders>
                    <w:top w:val="nil"/>
                    <w:left w:val="nil"/>
                    <w:bottom w:val="nil"/>
                    <w:right w:val="nil"/>
                  </w:tcBorders>
                  <w:shd w:val="clear" w:color="auto" w:fill="auto"/>
                  <w:noWrap/>
                  <w:vAlign w:val="bottom"/>
                  <w:hideMark/>
                </w:tcPr>
                <w:p w14:paraId="291205A7" w14:textId="77777777" w:rsidR="00AE2DF2" w:rsidRPr="00175752" w:rsidRDefault="00AE2DF2" w:rsidP="00AE2DF2">
                  <w:pPr>
                    <w:rPr>
                      <w:color w:val="000000"/>
                    </w:rPr>
                  </w:pPr>
                  <w:r w:rsidRPr="00175752">
                    <w:rPr>
                      <w:color w:val="000000"/>
                    </w:rPr>
                    <w:t>Sympathetic Nervous System</w:t>
                  </w:r>
                </w:p>
              </w:tc>
            </w:tr>
            <w:tr w:rsidR="00AE2DF2" w:rsidRPr="00175752" w14:paraId="05DDE50F" w14:textId="77777777" w:rsidTr="00AE2DF2">
              <w:trPr>
                <w:trHeight w:val="320"/>
              </w:trPr>
              <w:tc>
                <w:tcPr>
                  <w:tcW w:w="1300" w:type="dxa"/>
                  <w:tcBorders>
                    <w:top w:val="nil"/>
                    <w:left w:val="nil"/>
                    <w:bottom w:val="nil"/>
                    <w:right w:val="nil"/>
                  </w:tcBorders>
                  <w:shd w:val="clear" w:color="auto" w:fill="auto"/>
                  <w:noWrap/>
                  <w:vAlign w:val="bottom"/>
                  <w:hideMark/>
                </w:tcPr>
                <w:p w14:paraId="59C3D5E8" w14:textId="77777777" w:rsidR="00AE2DF2" w:rsidRPr="00175752" w:rsidRDefault="00AE2DF2" w:rsidP="00AE2DF2">
                  <w:pPr>
                    <w:rPr>
                      <w:color w:val="000000"/>
                    </w:rPr>
                  </w:pPr>
                  <w:r w:rsidRPr="00175752">
                    <w:rPr>
                      <w:color w:val="000000"/>
                    </w:rPr>
                    <w:t>SOCS</w:t>
                  </w:r>
                </w:p>
              </w:tc>
              <w:tc>
                <w:tcPr>
                  <w:tcW w:w="6914" w:type="dxa"/>
                  <w:gridSpan w:val="2"/>
                  <w:tcBorders>
                    <w:top w:val="nil"/>
                    <w:left w:val="nil"/>
                    <w:bottom w:val="nil"/>
                    <w:right w:val="nil"/>
                  </w:tcBorders>
                  <w:shd w:val="clear" w:color="auto" w:fill="auto"/>
                  <w:noWrap/>
                  <w:vAlign w:val="bottom"/>
                  <w:hideMark/>
                </w:tcPr>
                <w:p w14:paraId="48F1F8AD" w14:textId="77777777" w:rsidR="00AE2DF2" w:rsidRPr="00175752" w:rsidRDefault="00AE2DF2" w:rsidP="00AE2DF2">
                  <w:pPr>
                    <w:rPr>
                      <w:color w:val="000000"/>
                    </w:rPr>
                  </w:pPr>
                  <w:r w:rsidRPr="00175752">
                    <w:rPr>
                      <w:color w:val="000000"/>
                    </w:rPr>
                    <w:t>Suppressor of Cytokine Signaling</w:t>
                  </w:r>
                </w:p>
              </w:tc>
            </w:tr>
            <w:tr w:rsidR="00AE2DF2" w:rsidRPr="00175752" w14:paraId="2CE2B646" w14:textId="77777777" w:rsidTr="00AE2DF2">
              <w:trPr>
                <w:trHeight w:val="320"/>
              </w:trPr>
              <w:tc>
                <w:tcPr>
                  <w:tcW w:w="1300" w:type="dxa"/>
                  <w:tcBorders>
                    <w:top w:val="nil"/>
                    <w:left w:val="nil"/>
                    <w:bottom w:val="nil"/>
                    <w:right w:val="nil"/>
                  </w:tcBorders>
                  <w:shd w:val="clear" w:color="auto" w:fill="auto"/>
                  <w:noWrap/>
                  <w:vAlign w:val="bottom"/>
                  <w:hideMark/>
                </w:tcPr>
                <w:p w14:paraId="2CA92C9E" w14:textId="77777777" w:rsidR="00AE2DF2" w:rsidRPr="00175752" w:rsidRDefault="00AE2DF2" w:rsidP="00AE2DF2">
                  <w:pPr>
                    <w:rPr>
                      <w:color w:val="000000"/>
                    </w:rPr>
                  </w:pPr>
                  <w:r w:rsidRPr="00175752">
                    <w:rPr>
                      <w:color w:val="000000"/>
                    </w:rPr>
                    <w:t>SOD</w:t>
                  </w:r>
                </w:p>
              </w:tc>
              <w:tc>
                <w:tcPr>
                  <w:tcW w:w="6914" w:type="dxa"/>
                  <w:gridSpan w:val="2"/>
                  <w:tcBorders>
                    <w:top w:val="nil"/>
                    <w:left w:val="nil"/>
                    <w:bottom w:val="nil"/>
                    <w:right w:val="nil"/>
                  </w:tcBorders>
                  <w:shd w:val="clear" w:color="auto" w:fill="auto"/>
                  <w:noWrap/>
                  <w:vAlign w:val="bottom"/>
                  <w:hideMark/>
                </w:tcPr>
                <w:p w14:paraId="71217DC4" w14:textId="77777777" w:rsidR="00AE2DF2" w:rsidRPr="00175752" w:rsidRDefault="00AE2DF2" w:rsidP="00AE2DF2">
                  <w:pPr>
                    <w:rPr>
                      <w:color w:val="000000"/>
                    </w:rPr>
                  </w:pPr>
                  <w:r w:rsidRPr="00175752">
                    <w:rPr>
                      <w:color w:val="000000"/>
                    </w:rPr>
                    <w:t>Superoxide Dismutase</w:t>
                  </w:r>
                </w:p>
              </w:tc>
            </w:tr>
            <w:tr w:rsidR="00AE2DF2" w:rsidRPr="00175752" w14:paraId="4106FE74" w14:textId="77777777" w:rsidTr="00AE2DF2">
              <w:trPr>
                <w:trHeight w:val="320"/>
              </w:trPr>
              <w:tc>
                <w:tcPr>
                  <w:tcW w:w="1300" w:type="dxa"/>
                  <w:tcBorders>
                    <w:top w:val="nil"/>
                    <w:left w:val="nil"/>
                    <w:bottom w:val="nil"/>
                    <w:right w:val="nil"/>
                  </w:tcBorders>
                  <w:shd w:val="clear" w:color="auto" w:fill="auto"/>
                  <w:noWrap/>
                  <w:vAlign w:val="bottom"/>
                  <w:hideMark/>
                </w:tcPr>
                <w:p w14:paraId="10776ED4" w14:textId="77777777" w:rsidR="00AE2DF2" w:rsidRPr="00175752" w:rsidRDefault="00AE2DF2" w:rsidP="00AE2DF2">
                  <w:pPr>
                    <w:rPr>
                      <w:color w:val="000000"/>
                    </w:rPr>
                  </w:pPr>
                  <w:r w:rsidRPr="00175752">
                    <w:rPr>
                      <w:color w:val="000000"/>
                    </w:rPr>
                    <w:t>SREBP-1c</w:t>
                  </w:r>
                </w:p>
              </w:tc>
              <w:tc>
                <w:tcPr>
                  <w:tcW w:w="6914" w:type="dxa"/>
                  <w:gridSpan w:val="2"/>
                  <w:tcBorders>
                    <w:top w:val="nil"/>
                    <w:left w:val="nil"/>
                    <w:bottom w:val="nil"/>
                    <w:right w:val="nil"/>
                  </w:tcBorders>
                  <w:shd w:val="clear" w:color="auto" w:fill="auto"/>
                  <w:noWrap/>
                  <w:vAlign w:val="bottom"/>
                  <w:hideMark/>
                </w:tcPr>
                <w:p w14:paraId="50E374DC" w14:textId="77777777" w:rsidR="00AE2DF2" w:rsidRPr="00175752" w:rsidRDefault="00AE2DF2" w:rsidP="00AE2DF2">
                  <w:pPr>
                    <w:rPr>
                      <w:color w:val="000000"/>
                    </w:rPr>
                  </w:pPr>
                  <w:r w:rsidRPr="00175752">
                    <w:rPr>
                      <w:color w:val="000000"/>
                    </w:rPr>
                    <w:t>Sterol Regulatory Element-Binding Protein-1c</w:t>
                  </w:r>
                </w:p>
              </w:tc>
            </w:tr>
            <w:tr w:rsidR="00AE2DF2" w:rsidRPr="00175752" w14:paraId="3D9DB7EE" w14:textId="77777777" w:rsidTr="00AE2DF2">
              <w:trPr>
                <w:trHeight w:val="320"/>
              </w:trPr>
              <w:tc>
                <w:tcPr>
                  <w:tcW w:w="1300" w:type="dxa"/>
                  <w:tcBorders>
                    <w:top w:val="nil"/>
                    <w:left w:val="nil"/>
                    <w:bottom w:val="nil"/>
                    <w:right w:val="nil"/>
                  </w:tcBorders>
                  <w:shd w:val="clear" w:color="auto" w:fill="auto"/>
                  <w:noWrap/>
                  <w:vAlign w:val="bottom"/>
                  <w:hideMark/>
                </w:tcPr>
                <w:p w14:paraId="445C7C83" w14:textId="77777777" w:rsidR="00AE2DF2" w:rsidRPr="00175752" w:rsidRDefault="00AE2DF2" w:rsidP="00AE2DF2">
                  <w:pPr>
                    <w:rPr>
                      <w:color w:val="000000"/>
                    </w:rPr>
                  </w:pPr>
                  <w:r w:rsidRPr="00175752">
                    <w:rPr>
                      <w:color w:val="000000"/>
                    </w:rPr>
                    <w:lastRenderedPageBreak/>
                    <w:t>Shox2</w:t>
                  </w:r>
                </w:p>
              </w:tc>
              <w:tc>
                <w:tcPr>
                  <w:tcW w:w="6914" w:type="dxa"/>
                  <w:gridSpan w:val="2"/>
                  <w:tcBorders>
                    <w:top w:val="nil"/>
                    <w:left w:val="nil"/>
                    <w:bottom w:val="nil"/>
                    <w:right w:val="nil"/>
                  </w:tcBorders>
                  <w:shd w:val="clear" w:color="auto" w:fill="auto"/>
                  <w:noWrap/>
                  <w:vAlign w:val="bottom"/>
                  <w:hideMark/>
                </w:tcPr>
                <w:p w14:paraId="2B21754C" w14:textId="77777777" w:rsidR="00AE2DF2" w:rsidRPr="00175752" w:rsidRDefault="00AE2DF2" w:rsidP="00AE2DF2">
                  <w:pPr>
                    <w:rPr>
                      <w:color w:val="000000"/>
                    </w:rPr>
                  </w:pPr>
                  <w:r w:rsidRPr="00175752">
                    <w:rPr>
                      <w:color w:val="000000"/>
                    </w:rPr>
                    <w:t>Short stature homeobox 2</w:t>
                  </w:r>
                </w:p>
              </w:tc>
            </w:tr>
            <w:tr w:rsidR="00AE2DF2" w:rsidRPr="00175752" w14:paraId="04E58A36" w14:textId="77777777" w:rsidTr="00AE2DF2">
              <w:trPr>
                <w:trHeight w:val="320"/>
              </w:trPr>
              <w:tc>
                <w:tcPr>
                  <w:tcW w:w="1300" w:type="dxa"/>
                  <w:tcBorders>
                    <w:top w:val="nil"/>
                    <w:left w:val="nil"/>
                    <w:bottom w:val="nil"/>
                    <w:right w:val="nil"/>
                  </w:tcBorders>
                  <w:shd w:val="clear" w:color="auto" w:fill="auto"/>
                  <w:noWrap/>
                  <w:vAlign w:val="bottom"/>
                  <w:hideMark/>
                </w:tcPr>
                <w:p w14:paraId="66A5FEB3" w14:textId="77777777" w:rsidR="00AE2DF2" w:rsidRPr="00175752" w:rsidRDefault="00AE2DF2" w:rsidP="00AE2DF2">
                  <w:pPr>
                    <w:rPr>
                      <w:color w:val="000000"/>
                    </w:rPr>
                  </w:pPr>
                  <w:r w:rsidRPr="00175752">
                    <w:rPr>
                      <w:color w:val="000000"/>
                    </w:rPr>
                    <w:t>T2DM</w:t>
                  </w:r>
                </w:p>
              </w:tc>
              <w:tc>
                <w:tcPr>
                  <w:tcW w:w="6914" w:type="dxa"/>
                  <w:gridSpan w:val="2"/>
                  <w:tcBorders>
                    <w:top w:val="nil"/>
                    <w:left w:val="nil"/>
                    <w:bottom w:val="nil"/>
                    <w:right w:val="nil"/>
                  </w:tcBorders>
                  <w:shd w:val="clear" w:color="auto" w:fill="auto"/>
                  <w:noWrap/>
                  <w:vAlign w:val="bottom"/>
                  <w:hideMark/>
                </w:tcPr>
                <w:p w14:paraId="0928FFAF" w14:textId="77777777" w:rsidR="00AE2DF2" w:rsidRPr="00175752" w:rsidRDefault="00AE2DF2" w:rsidP="00AE2DF2">
                  <w:pPr>
                    <w:rPr>
                      <w:color w:val="000000"/>
                    </w:rPr>
                  </w:pPr>
                  <w:r w:rsidRPr="00175752">
                    <w:rPr>
                      <w:color w:val="000000"/>
                    </w:rPr>
                    <w:t>Type 2 Diabetes Mellitus</w:t>
                  </w:r>
                </w:p>
              </w:tc>
            </w:tr>
            <w:tr w:rsidR="00AE2DF2" w:rsidRPr="00175752" w14:paraId="1CA9C41E" w14:textId="77777777" w:rsidTr="00AE2DF2">
              <w:trPr>
                <w:trHeight w:val="320"/>
              </w:trPr>
              <w:tc>
                <w:tcPr>
                  <w:tcW w:w="1300" w:type="dxa"/>
                  <w:tcBorders>
                    <w:top w:val="nil"/>
                    <w:left w:val="nil"/>
                    <w:bottom w:val="nil"/>
                    <w:right w:val="nil"/>
                  </w:tcBorders>
                  <w:shd w:val="clear" w:color="auto" w:fill="auto"/>
                  <w:noWrap/>
                  <w:vAlign w:val="bottom"/>
                  <w:hideMark/>
                </w:tcPr>
                <w:p w14:paraId="74F3DE7B" w14:textId="77777777" w:rsidR="00AE2DF2" w:rsidRPr="00175752" w:rsidRDefault="00AE2DF2" w:rsidP="00AE2DF2">
                  <w:pPr>
                    <w:rPr>
                      <w:color w:val="000000"/>
                    </w:rPr>
                  </w:pPr>
                  <w:r w:rsidRPr="00175752">
                    <w:rPr>
                      <w:color w:val="000000"/>
                    </w:rPr>
                    <w:t>TAGs</w:t>
                  </w:r>
                </w:p>
              </w:tc>
              <w:tc>
                <w:tcPr>
                  <w:tcW w:w="6914" w:type="dxa"/>
                  <w:gridSpan w:val="2"/>
                  <w:tcBorders>
                    <w:top w:val="nil"/>
                    <w:left w:val="nil"/>
                    <w:bottom w:val="nil"/>
                    <w:right w:val="nil"/>
                  </w:tcBorders>
                  <w:shd w:val="clear" w:color="auto" w:fill="auto"/>
                  <w:noWrap/>
                  <w:vAlign w:val="bottom"/>
                  <w:hideMark/>
                </w:tcPr>
                <w:p w14:paraId="4AAAFC9C" w14:textId="77777777" w:rsidR="00AE2DF2" w:rsidRPr="00175752" w:rsidRDefault="00AE2DF2" w:rsidP="00AE2DF2">
                  <w:pPr>
                    <w:rPr>
                      <w:color w:val="000000"/>
                    </w:rPr>
                  </w:pPr>
                  <w:r w:rsidRPr="00175752">
                    <w:rPr>
                      <w:color w:val="000000"/>
                    </w:rPr>
                    <w:t>Triacylglycerols</w:t>
                  </w:r>
                </w:p>
              </w:tc>
            </w:tr>
            <w:tr w:rsidR="00AE2DF2" w:rsidRPr="00175752" w14:paraId="61036DAB" w14:textId="77777777" w:rsidTr="00AE2DF2">
              <w:trPr>
                <w:trHeight w:val="320"/>
              </w:trPr>
              <w:tc>
                <w:tcPr>
                  <w:tcW w:w="1300" w:type="dxa"/>
                  <w:tcBorders>
                    <w:top w:val="nil"/>
                    <w:left w:val="nil"/>
                    <w:bottom w:val="nil"/>
                    <w:right w:val="nil"/>
                  </w:tcBorders>
                  <w:shd w:val="clear" w:color="auto" w:fill="auto"/>
                  <w:noWrap/>
                  <w:vAlign w:val="bottom"/>
                  <w:hideMark/>
                </w:tcPr>
                <w:p w14:paraId="37D56567" w14:textId="77777777" w:rsidR="00AE2DF2" w:rsidRPr="00175752" w:rsidRDefault="00AE2DF2" w:rsidP="00AE2DF2">
                  <w:pPr>
                    <w:rPr>
                      <w:color w:val="000000"/>
                    </w:rPr>
                  </w:pPr>
                  <w:r w:rsidRPr="00175752">
                    <w:rPr>
                      <w:color w:val="000000"/>
                    </w:rPr>
                    <w:t>TH</w:t>
                  </w:r>
                </w:p>
              </w:tc>
              <w:tc>
                <w:tcPr>
                  <w:tcW w:w="6914" w:type="dxa"/>
                  <w:gridSpan w:val="2"/>
                  <w:tcBorders>
                    <w:top w:val="nil"/>
                    <w:left w:val="nil"/>
                    <w:bottom w:val="nil"/>
                    <w:right w:val="nil"/>
                  </w:tcBorders>
                  <w:shd w:val="clear" w:color="auto" w:fill="auto"/>
                  <w:noWrap/>
                  <w:vAlign w:val="bottom"/>
                  <w:hideMark/>
                </w:tcPr>
                <w:p w14:paraId="109FE43B" w14:textId="77777777" w:rsidR="00AE2DF2" w:rsidRPr="00175752" w:rsidRDefault="00AE2DF2" w:rsidP="00AE2DF2">
                  <w:pPr>
                    <w:rPr>
                      <w:color w:val="000000"/>
                    </w:rPr>
                  </w:pPr>
                  <w:r w:rsidRPr="00175752">
                    <w:rPr>
                      <w:color w:val="000000"/>
                    </w:rPr>
                    <w:t>Tyrosine Hydroxylase</w:t>
                  </w:r>
                </w:p>
              </w:tc>
            </w:tr>
            <w:tr w:rsidR="00AE2DF2" w:rsidRPr="00175752" w14:paraId="0D28D619" w14:textId="77777777" w:rsidTr="00AE2DF2">
              <w:trPr>
                <w:trHeight w:val="320"/>
              </w:trPr>
              <w:tc>
                <w:tcPr>
                  <w:tcW w:w="1300" w:type="dxa"/>
                  <w:tcBorders>
                    <w:top w:val="nil"/>
                    <w:left w:val="nil"/>
                    <w:bottom w:val="nil"/>
                    <w:right w:val="nil"/>
                  </w:tcBorders>
                  <w:shd w:val="clear" w:color="auto" w:fill="auto"/>
                  <w:noWrap/>
                  <w:vAlign w:val="bottom"/>
                  <w:hideMark/>
                </w:tcPr>
                <w:p w14:paraId="5B9328D6" w14:textId="77777777" w:rsidR="00AE2DF2" w:rsidRPr="00175752" w:rsidRDefault="00AE2DF2" w:rsidP="00AE2DF2">
                  <w:pPr>
                    <w:rPr>
                      <w:color w:val="000000"/>
                    </w:rPr>
                  </w:pPr>
                  <w:r w:rsidRPr="00175752">
                    <w:rPr>
                      <w:color w:val="000000"/>
                    </w:rPr>
                    <w:t>TLR</w:t>
                  </w:r>
                </w:p>
              </w:tc>
              <w:tc>
                <w:tcPr>
                  <w:tcW w:w="6914" w:type="dxa"/>
                  <w:gridSpan w:val="2"/>
                  <w:tcBorders>
                    <w:top w:val="nil"/>
                    <w:left w:val="nil"/>
                    <w:bottom w:val="nil"/>
                    <w:right w:val="nil"/>
                  </w:tcBorders>
                  <w:shd w:val="clear" w:color="auto" w:fill="auto"/>
                  <w:noWrap/>
                  <w:vAlign w:val="bottom"/>
                  <w:hideMark/>
                </w:tcPr>
                <w:p w14:paraId="37929347" w14:textId="77777777" w:rsidR="00AE2DF2" w:rsidRPr="00175752" w:rsidRDefault="00AE2DF2" w:rsidP="00AE2DF2">
                  <w:pPr>
                    <w:rPr>
                      <w:color w:val="000000"/>
                    </w:rPr>
                  </w:pPr>
                  <w:r w:rsidRPr="00175752">
                    <w:rPr>
                      <w:color w:val="000000"/>
                    </w:rPr>
                    <w:t>Toll-Like Receptor</w:t>
                  </w:r>
                </w:p>
              </w:tc>
            </w:tr>
            <w:tr w:rsidR="00AE2DF2" w:rsidRPr="00175752" w14:paraId="14497B81" w14:textId="77777777" w:rsidTr="00AE2DF2">
              <w:trPr>
                <w:trHeight w:val="320"/>
              </w:trPr>
              <w:tc>
                <w:tcPr>
                  <w:tcW w:w="1300" w:type="dxa"/>
                  <w:tcBorders>
                    <w:top w:val="nil"/>
                    <w:left w:val="nil"/>
                    <w:bottom w:val="nil"/>
                    <w:right w:val="nil"/>
                  </w:tcBorders>
                  <w:shd w:val="clear" w:color="auto" w:fill="auto"/>
                  <w:noWrap/>
                  <w:vAlign w:val="bottom"/>
                  <w:hideMark/>
                </w:tcPr>
                <w:p w14:paraId="72AA459C" w14:textId="77777777" w:rsidR="00AE2DF2" w:rsidRPr="00175752" w:rsidRDefault="00AE2DF2" w:rsidP="00AE2DF2">
                  <w:pPr>
                    <w:rPr>
                      <w:color w:val="000000"/>
                    </w:rPr>
                  </w:pPr>
                  <w:r w:rsidRPr="00175752">
                    <w:rPr>
                      <w:color w:val="000000"/>
                    </w:rPr>
                    <w:t>TMEM26</w:t>
                  </w:r>
                </w:p>
              </w:tc>
              <w:tc>
                <w:tcPr>
                  <w:tcW w:w="6914" w:type="dxa"/>
                  <w:gridSpan w:val="2"/>
                  <w:tcBorders>
                    <w:top w:val="nil"/>
                    <w:left w:val="nil"/>
                    <w:bottom w:val="nil"/>
                    <w:right w:val="nil"/>
                  </w:tcBorders>
                  <w:shd w:val="clear" w:color="auto" w:fill="auto"/>
                  <w:noWrap/>
                  <w:vAlign w:val="bottom"/>
                  <w:hideMark/>
                </w:tcPr>
                <w:p w14:paraId="093D6B49" w14:textId="77777777" w:rsidR="00AE2DF2" w:rsidRPr="00175752" w:rsidRDefault="00AE2DF2" w:rsidP="00AE2DF2">
                  <w:pPr>
                    <w:rPr>
                      <w:color w:val="000000"/>
                    </w:rPr>
                  </w:pPr>
                  <w:r w:rsidRPr="00175752">
                    <w:rPr>
                      <w:color w:val="000000"/>
                    </w:rPr>
                    <w:t>Transmembrane Protein 26</w:t>
                  </w:r>
                </w:p>
              </w:tc>
            </w:tr>
            <w:tr w:rsidR="00AE2DF2" w:rsidRPr="00175752" w14:paraId="4C51AE4E" w14:textId="77777777" w:rsidTr="00AE2DF2">
              <w:trPr>
                <w:trHeight w:val="320"/>
              </w:trPr>
              <w:tc>
                <w:tcPr>
                  <w:tcW w:w="1300" w:type="dxa"/>
                  <w:tcBorders>
                    <w:top w:val="nil"/>
                    <w:left w:val="nil"/>
                    <w:bottom w:val="nil"/>
                    <w:right w:val="nil"/>
                  </w:tcBorders>
                  <w:shd w:val="clear" w:color="auto" w:fill="auto"/>
                  <w:noWrap/>
                  <w:vAlign w:val="bottom"/>
                  <w:hideMark/>
                </w:tcPr>
                <w:p w14:paraId="6213CF3D" w14:textId="77777777" w:rsidR="00AE2DF2" w:rsidRPr="00175752" w:rsidRDefault="00AE2DF2" w:rsidP="00AE2DF2">
                  <w:pPr>
                    <w:rPr>
                      <w:color w:val="000000"/>
                    </w:rPr>
                  </w:pPr>
                  <w:r w:rsidRPr="00175752">
                    <w:rPr>
                      <w:color w:val="000000"/>
                    </w:rPr>
                    <w:t>TNF-α</w:t>
                  </w:r>
                </w:p>
              </w:tc>
              <w:tc>
                <w:tcPr>
                  <w:tcW w:w="6914" w:type="dxa"/>
                  <w:gridSpan w:val="2"/>
                  <w:tcBorders>
                    <w:top w:val="nil"/>
                    <w:left w:val="nil"/>
                    <w:bottom w:val="nil"/>
                    <w:right w:val="nil"/>
                  </w:tcBorders>
                  <w:shd w:val="clear" w:color="auto" w:fill="auto"/>
                  <w:noWrap/>
                  <w:vAlign w:val="bottom"/>
                  <w:hideMark/>
                </w:tcPr>
                <w:p w14:paraId="2D024D06" w14:textId="77777777" w:rsidR="00AE2DF2" w:rsidRPr="00175752" w:rsidRDefault="00AE2DF2" w:rsidP="00AE2DF2">
                  <w:pPr>
                    <w:rPr>
                      <w:color w:val="000000"/>
                    </w:rPr>
                  </w:pPr>
                  <w:r w:rsidRPr="00175752">
                    <w:rPr>
                      <w:color w:val="000000"/>
                    </w:rPr>
                    <w:t>Tumor Necrosis Factor Alpha</w:t>
                  </w:r>
                </w:p>
              </w:tc>
            </w:tr>
            <w:tr w:rsidR="00AE2DF2" w:rsidRPr="00175752" w14:paraId="0FCFF3DB" w14:textId="77777777" w:rsidTr="00AE2DF2">
              <w:trPr>
                <w:trHeight w:val="320"/>
              </w:trPr>
              <w:tc>
                <w:tcPr>
                  <w:tcW w:w="1300" w:type="dxa"/>
                  <w:tcBorders>
                    <w:top w:val="nil"/>
                    <w:left w:val="nil"/>
                    <w:bottom w:val="nil"/>
                    <w:right w:val="nil"/>
                  </w:tcBorders>
                  <w:shd w:val="clear" w:color="auto" w:fill="auto"/>
                  <w:noWrap/>
                  <w:vAlign w:val="bottom"/>
                  <w:hideMark/>
                </w:tcPr>
                <w:p w14:paraId="7498B8FB" w14:textId="77777777" w:rsidR="00AE2DF2" w:rsidRPr="00175752" w:rsidRDefault="00AE2DF2" w:rsidP="00AE2DF2">
                  <w:pPr>
                    <w:rPr>
                      <w:color w:val="000000"/>
                    </w:rPr>
                  </w:pPr>
                  <w:r w:rsidRPr="00175752">
                    <w:rPr>
                      <w:color w:val="000000"/>
                    </w:rPr>
                    <w:t>TZD</w:t>
                  </w:r>
                </w:p>
              </w:tc>
              <w:tc>
                <w:tcPr>
                  <w:tcW w:w="6914" w:type="dxa"/>
                  <w:gridSpan w:val="2"/>
                  <w:tcBorders>
                    <w:top w:val="nil"/>
                    <w:left w:val="nil"/>
                    <w:bottom w:val="nil"/>
                    <w:right w:val="nil"/>
                  </w:tcBorders>
                  <w:shd w:val="clear" w:color="auto" w:fill="auto"/>
                  <w:noWrap/>
                  <w:vAlign w:val="bottom"/>
                  <w:hideMark/>
                </w:tcPr>
                <w:p w14:paraId="21FD5C70" w14:textId="77777777" w:rsidR="00AE2DF2" w:rsidRPr="00175752" w:rsidRDefault="00AE2DF2" w:rsidP="00AE2DF2">
                  <w:pPr>
                    <w:rPr>
                      <w:color w:val="000000"/>
                    </w:rPr>
                  </w:pPr>
                  <w:r w:rsidRPr="00175752">
                    <w:rPr>
                      <w:color w:val="000000"/>
                    </w:rPr>
                    <w:t>Thiazolidinedione</w:t>
                  </w:r>
                </w:p>
              </w:tc>
            </w:tr>
            <w:tr w:rsidR="00AE2DF2" w:rsidRPr="00175752" w14:paraId="67BC740D" w14:textId="77777777" w:rsidTr="00AE2DF2">
              <w:trPr>
                <w:trHeight w:val="320"/>
              </w:trPr>
              <w:tc>
                <w:tcPr>
                  <w:tcW w:w="1300" w:type="dxa"/>
                  <w:tcBorders>
                    <w:top w:val="nil"/>
                    <w:left w:val="nil"/>
                    <w:bottom w:val="nil"/>
                    <w:right w:val="nil"/>
                  </w:tcBorders>
                  <w:shd w:val="clear" w:color="auto" w:fill="auto"/>
                  <w:noWrap/>
                  <w:vAlign w:val="bottom"/>
                  <w:hideMark/>
                </w:tcPr>
                <w:p w14:paraId="37CAD0C1" w14:textId="77777777" w:rsidR="00AE2DF2" w:rsidRPr="00175752" w:rsidRDefault="00AE2DF2" w:rsidP="00AE2DF2">
                  <w:pPr>
                    <w:rPr>
                      <w:color w:val="000000"/>
                    </w:rPr>
                  </w:pPr>
                  <w:r w:rsidRPr="00175752">
                    <w:rPr>
                      <w:color w:val="000000"/>
                    </w:rPr>
                    <w:t>UCP1</w:t>
                  </w:r>
                </w:p>
              </w:tc>
              <w:tc>
                <w:tcPr>
                  <w:tcW w:w="6914" w:type="dxa"/>
                  <w:gridSpan w:val="2"/>
                  <w:tcBorders>
                    <w:top w:val="nil"/>
                    <w:left w:val="nil"/>
                    <w:bottom w:val="nil"/>
                    <w:right w:val="nil"/>
                  </w:tcBorders>
                  <w:shd w:val="clear" w:color="auto" w:fill="auto"/>
                  <w:noWrap/>
                  <w:vAlign w:val="bottom"/>
                  <w:hideMark/>
                </w:tcPr>
                <w:p w14:paraId="7AB75ECA" w14:textId="77777777" w:rsidR="00AE2DF2" w:rsidRPr="00175752" w:rsidRDefault="00AE2DF2" w:rsidP="00AE2DF2">
                  <w:pPr>
                    <w:rPr>
                      <w:color w:val="000000"/>
                    </w:rPr>
                  </w:pPr>
                  <w:r w:rsidRPr="00175752">
                    <w:rPr>
                      <w:color w:val="000000"/>
                    </w:rPr>
                    <w:t>Uncoupling Protein 1</w:t>
                  </w:r>
                </w:p>
              </w:tc>
            </w:tr>
            <w:tr w:rsidR="00AE2DF2" w:rsidRPr="00175752" w14:paraId="3A39EC71" w14:textId="77777777" w:rsidTr="00AE2DF2">
              <w:trPr>
                <w:trHeight w:val="320"/>
              </w:trPr>
              <w:tc>
                <w:tcPr>
                  <w:tcW w:w="1300" w:type="dxa"/>
                  <w:tcBorders>
                    <w:top w:val="nil"/>
                    <w:left w:val="nil"/>
                    <w:bottom w:val="nil"/>
                    <w:right w:val="nil"/>
                  </w:tcBorders>
                  <w:shd w:val="clear" w:color="auto" w:fill="auto"/>
                  <w:noWrap/>
                  <w:vAlign w:val="bottom"/>
                  <w:hideMark/>
                </w:tcPr>
                <w:p w14:paraId="43BCFC8D" w14:textId="77777777" w:rsidR="00AE2DF2" w:rsidRPr="00175752" w:rsidRDefault="00AE2DF2" w:rsidP="00AE2DF2">
                  <w:pPr>
                    <w:rPr>
                      <w:color w:val="000000"/>
                    </w:rPr>
                  </w:pPr>
                  <w:r w:rsidRPr="00175752">
                    <w:rPr>
                      <w:color w:val="000000"/>
                    </w:rPr>
                    <w:t>UPR</w:t>
                  </w:r>
                </w:p>
              </w:tc>
              <w:tc>
                <w:tcPr>
                  <w:tcW w:w="6914" w:type="dxa"/>
                  <w:gridSpan w:val="2"/>
                  <w:tcBorders>
                    <w:top w:val="nil"/>
                    <w:left w:val="nil"/>
                    <w:bottom w:val="nil"/>
                    <w:right w:val="nil"/>
                  </w:tcBorders>
                  <w:shd w:val="clear" w:color="auto" w:fill="auto"/>
                  <w:noWrap/>
                  <w:vAlign w:val="bottom"/>
                  <w:hideMark/>
                </w:tcPr>
                <w:p w14:paraId="4431814B" w14:textId="77777777" w:rsidR="00AE2DF2" w:rsidRPr="00175752" w:rsidRDefault="00AE2DF2" w:rsidP="00AE2DF2">
                  <w:pPr>
                    <w:rPr>
                      <w:color w:val="000000"/>
                    </w:rPr>
                  </w:pPr>
                  <w:r w:rsidRPr="00175752">
                    <w:rPr>
                      <w:color w:val="000000"/>
                    </w:rPr>
                    <w:t>Unfolded Protein Response</w:t>
                  </w:r>
                </w:p>
              </w:tc>
            </w:tr>
            <w:tr w:rsidR="00AE2DF2" w:rsidRPr="00175752" w14:paraId="74839F2B" w14:textId="77777777" w:rsidTr="00AE2DF2">
              <w:trPr>
                <w:trHeight w:val="320"/>
              </w:trPr>
              <w:tc>
                <w:tcPr>
                  <w:tcW w:w="1300" w:type="dxa"/>
                  <w:tcBorders>
                    <w:top w:val="nil"/>
                    <w:left w:val="nil"/>
                    <w:bottom w:val="nil"/>
                    <w:right w:val="nil"/>
                  </w:tcBorders>
                  <w:shd w:val="clear" w:color="auto" w:fill="auto"/>
                  <w:noWrap/>
                  <w:vAlign w:val="bottom"/>
                  <w:hideMark/>
                </w:tcPr>
                <w:p w14:paraId="5B308EDB" w14:textId="77777777" w:rsidR="00AE2DF2" w:rsidRPr="00175752" w:rsidRDefault="00AE2DF2" w:rsidP="00AE2DF2">
                  <w:pPr>
                    <w:rPr>
                      <w:color w:val="000000"/>
                    </w:rPr>
                  </w:pPr>
                  <w:r w:rsidRPr="00175752">
                    <w:rPr>
                      <w:color w:val="000000"/>
                    </w:rPr>
                    <w:t>UV</w:t>
                  </w:r>
                </w:p>
              </w:tc>
              <w:tc>
                <w:tcPr>
                  <w:tcW w:w="6711" w:type="dxa"/>
                  <w:tcBorders>
                    <w:top w:val="nil"/>
                    <w:left w:val="nil"/>
                    <w:bottom w:val="nil"/>
                    <w:right w:val="nil"/>
                  </w:tcBorders>
                  <w:shd w:val="clear" w:color="auto" w:fill="auto"/>
                  <w:noWrap/>
                  <w:vAlign w:val="bottom"/>
                  <w:hideMark/>
                </w:tcPr>
                <w:p w14:paraId="70E53F4C" w14:textId="77777777" w:rsidR="00AE2DF2" w:rsidRPr="00175752" w:rsidRDefault="00AE2DF2" w:rsidP="00AE2DF2">
                  <w:pPr>
                    <w:rPr>
                      <w:color w:val="000000"/>
                    </w:rPr>
                  </w:pPr>
                  <w:r w:rsidRPr="00175752">
                    <w:rPr>
                      <w:color w:val="000000"/>
                    </w:rPr>
                    <w:t>Ultraviolet</w:t>
                  </w:r>
                </w:p>
              </w:tc>
              <w:tc>
                <w:tcPr>
                  <w:tcW w:w="203" w:type="dxa"/>
                  <w:tcBorders>
                    <w:top w:val="nil"/>
                    <w:left w:val="nil"/>
                    <w:bottom w:val="nil"/>
                    <w:right w:val="nil"/>
                  </w:tcBorders>
                  <w:shd w:val="clear" w:color="auto" w:fill="auto"/>
                  <w:noWrap/>
                  <w:vAlign w:val="bottom"/>
                  <w:hideMark/>
                </w:tcPr>
                <w:p w14:paraId="25BA3B59" w14:textId="77777777" w:rsidR="00AE2DF2" w:rsidRPr="00175752" w:rsidRDefault="00AE2DF2" w:rsidP="00AE2DF2">
                  <w:pPr>
                    <w:rPr>
                      <w:color w:val="000000"/>
                    </w:rPr>
                  </w:pPr>
                </w:p>
              </w:tc>
            </w:tr>
            <w:tr w:rsidR="00AE2DF2" w:rsidRPr="00175752" w14:paraId="32637747" w14:textId="77777777" w:rsidTr="00AE2DF2">
              <w:trPr>
                <w:trHeight w:val="320"/>
              </w:trPr>
              <w:tc>
                <w:tcPr>
                  <w:tcW w:w="1300" w:type="dxa"/>
                  <w:tcBorders>
                    <w:top w:val="nil"/>
                    <w:left w:val="nil"/>
                    <w:bottom w:val="nil"/>
                    <w:right w:val="nil"/>
                  </w:tcBorders>
                  <w:shd w:val="clear" w:color="auto" w:fill="auto"/>
                  <w:noWrap/>
                  <w:vAlign w:val="bottom"/>
                  <w:hideMark/>
                </w:tcPr>
                <w:p w14:paraId="787E2CA7" w14:textId="77777777" w:rsidR="00AE2DF2" w:rsidRPr="00175752" w:rsidRDefault="00AE2DF2" w:rsidP="00AE2DF2">
                  <w:pPr>
                    <w:rPr>
                      <w:color w:val="000000"/>
                    </w:rPr>
                  </w:pPr>
                  <w:r w:rsidRPr="00175752">
                    <w:rPr>
                      <w:color w:val="000000"/>
                    </w:rPr>
                    <w:t>VAT</w:t>
                  </w:r>
                </w:p>
              </w:tc>
              <w:tc>
                <w:tcPr>
                  <w:tcW w:w="6914" w:type="dxa"/>
                  <w:gridSpan w:val="2"/>
                  <w:tcBorders>
                    <w:top w:val="nil"/>
                    <w:left w:val="nil"/>
                    <w:bottom w:val="nil"/>
                    <w:right w:val="nil"/>
                  </w:tcBorders>
                  <w:shd w:val="clear" w:color="auto" w:fill="auto"/>
                  <w:noWrap/>
                  <w:vAlign w:val="bottom"/>
                  <w:hideMark/>
                </w:tcPr>
                <w:p w14:paraId="1B840293" w14:textId="77777777" w:rsidR="00AE2DF2" w:rsidRPr="00175752" w:rsidRDefault="00AE2DF2" w:rsidP="00AE2DF2">
                  <w:pPr>
                    <w:rPr>
                      <w:color w:val="000000"/>
                    </w:rPr>
                  </w:pPr>
                  <w:r w:rsidRPr="00175752">
                    <w:rPr>
                      <w:color w:val="000000"/>
                    </w:rPr>
                    <w:t>Visceral Adipose Tissue</w:t>
                  </w:r>
                </w:p>
              </w:tc>
            </w:tr>
            <w:tr w:rsidR="00AE2DF2" w:rsidRPr="00175752" w14:paraId="506B527C" w14:textId="77777777" w:rsidTr="00AE2DF2">
              <w:trPr>
                <w:trHeight w:val="320"/>
              </w:trPr>
              <w:tc>
                <w:tcPr>
                  <w:tcW w:w="1300" w:type="dxa"/>
                  <w:tcBorders>
                    <w:top w:val="nil"/>
                    <w:left w:val="nil"/>
                    <w:bottom w:val="nil"/>
                    <w:right w:val="nil"/>
                  </w:tcBorders>
                  <w:shd w:val="clear" w:color="auto" w:fill="auto"/>
                  <w:noWrap/>
                  <w:vAlign w:val="bottom"/>
                  <w:hideMark/>
                </w:tcPr>
                <w:p w14:paraId="2CE3A946" w14:textId="77777777" w:rsidR="00AE2DF2" w:rsidRPr="00175752" w:rsidRDefault="00AE2DF2" w:rsidP="00AE2DF2">
                  <w:pPr>
                    <w:rPr>
                      <w:color w:val="000000"/>
                    </w:rPr>
                  </w:pPr>
                  <w:r w:rsidRPr="00175752">
                    <w:rPr>
                      <w:color w:val="000000"/>
                    </w:rPr>
                    <w:t>VEGF</w:t>
                  </w:r>
                </w:p>
              </w:tc>
              <w:tc>
                <w:tcPr>
                  <w:tcW w:w="6914" w:type="dxa"/>
                  <w:gridSpan w:val="2"/>
                  <w:tcBorders>
                    <w:top w:val="nil"/>
                    <w:left w:val="nil"/>
                    <w:bottom w:val="nil"/>
                    <w:right w:val="nil"/>
                  </w:tcBorders>
                  <w:shd w:val="clear" w:color="auto" w:fill="auto"/>
                  <w:noWrap/>
                  <w:vAlign w:val="bottom"/>
                  <w:hideMark/>
                </w:tcPr>
                <w:p w14:paraId="34E1AB09" w14:textId="77777777" w:rsidR="00AE2DF2" w:rsidRPr="00175752" w:rsidRDefault="00AE2DF2" w:rsidP="00AE2DF2">
                  <w:pPr>
                    <w:rPr>
                      <w:color w:val="000000"/>
                    </w:rPr>
                  </w:pPr>
                  <w:r w:rsidRPr="00175752">
                    <w:rPr>
                      <w:color w:val="000000"/>
                    </w:rPr>
                    <w:t>Vascular Endothelial Growth Factor</w:t>
                  </w:r>
                </w:p>
              </w:tc>
            </w:tr>
            <w:tr w:rsidR="00AE2DF2" w:rsidRPr="00175752" w14:paraId="4DFD4729" w14:textId="77777777" w:rsidTr="00AE2DF2">
              <w:trPr>
                <w:trHeight w:val="320"/>
              </w:trPr>
              <w:tc>
                <w:tcPr>
                  <w:tcW w:w="1300" w:type="dxa"/>
                  <w:tcBorders>
                    <w:top w:val="nil"/>
                    <w:left w:val="nil"/>
                    <w:bottom w:val="nil"/>
                    <w:right w:val="nil"/>
                  </w:tcBorders>
                  <w:shd w:val="clear" w:color="auto" w:fill="auto"/>
                  <w:noWrap/>
                  <w:vAlign w:val="bottom"/>
                  <w:hideMark/>
                </w:tcPr>
                <w:p w14:paraId="40482D33" w14:textId="77777777" w:rsidR="00AE2DF2" w:rsidRPr="00175752" w:rsidRDefault="00AE2DF2" w:rsidP="00AE2DF2">
                  <w:pPr>
                    <w:rPr>
                      <w:color w:val="000000"/>
                    </w:rPr>
                  </w:pPr>
                  <w:r w:rsidRPr="00175752">
                    <w:rPr>
                      <w:color w:val="000000"/>
                    </w:rPr>
                    <w:t>WAT</w:t>
                  </w:r>
                </w:p>
              </w:tc>
              <w:tc>
                <w:tcPr>
                  <w:tcW w:w="6914" w:type="dxa"/>
                  <w:gridSpan w:val="2"/>
                  <w:tcBorders>
                    <w:top w:val="nil"/>
                    <w:left w:val="nil"/>
                    <w:bottom w:val="nil"/>
                    <w:right w:val="nil"/>
                  </w:tcBorders>
                  <w:shd w:val="clear" w:color="auto" w:fill="auto"/>
                  <w:noWrap/>
                  <w:vAlign w:val="bottom"/>
                  <w:hideMark/>
                </w:tcPr>
                <w:p w14:paraId="2BFAC250" w14:textId="77777777" w:rsidR="00AE2DF2" w:rsidRPr="00175752" w:rsidRDefault="00AE2DF2" w:rsidP="00AE2DF2">
                  <w:pPr>
                    <w:rPr>
                      <w:color w:val="000000"/>
                    </w:rPr>
                  </w:pPr>
                  <w:r w:rsidRPr="00175752">
                    <w:rPr>
                      <w:color w:val="000000"/>
                    </w:rPr>
                    <w:t>White Adipose Tissue</w:t>
                  </w:r>
                </w:p>
              </w:tc>
            </w:tr>
            <w:tr w:rsidR="00AE2DF2" w:rsidRPr="00175752" w14:paraId="1262EE79" w14:textId="77777777" w:rsidTr="00AE2DF2">
              <w:trPr>
                <w:trHeight w:val="320"/>
              </w:trPr>
              <w:tc>
                <w:tcPr>
                  <w:tcW w:w="1300" w:type="dxa"/>
                  <w:tcBorders>
                    <w:top w:val="nil"/>
                    <w:left w:val="nil"/>
                    <w:bottom w:val="nil"/>
                    <w:right w:val="nil"/>
                  </w:tcBorders>
                  <w:shd w:val="clear" w:color="auto" w:fill="auto"/>
                  <w:noWrap/>
                  <w:vAlign w:val="bottom"/>
                  <w:hideMark/>
                </w:tcPr>
                <w:p w14:paraId="089FD068" w14:textId="77777777" w:rsidR="00AE2DF2" w:rsidRPr="00175752" w:rsidRDefault="00AE2DF2" w:rsidP="00AE2DF2">
                  <w:pPr>
                    <w:rPr>
                      <w:color w:val="000000"/>
                    </w:rPr>
                  </w:pPr>
                  <w:r w:rsidRPr="00175752">
                    <w:rPr>
                      <w:color w:val="000000"/>
                    </w:rPr>
                    <w:t>WT</w:t>
                  </w:r>
                </w:p>
              </w:tc>
              <w:tc>
                <w:tcPr>
                  <w:tcW w:w="6711" w:type="dxa"/>
                  <w:tcBorders>
                    <w:top w:val="nil"/>
                    <w:left w:val="nil"/>
                    <w:bottom w:val="nil"/>
                    <w:right w:val="nil"/>
                  </w:tcBorders>
                  <w:shd w:val="clear" w:color="auto" w:fill="auto"/>
                  <w:noWrap/>
                  <w:vAlign w:val="bottom"/>
                  <w:hideMark/>
                </w:tcPr>
                <w:p w14:paraId="760AD775" w14:textId="77777777" w:rsidR="00AE2DF2" w:rsidRPr="00175752" w:rsidRDefault="00AE2DF2" w:rsidP="00AE2DF2">
                  <w:pPr>
                    <w:rPr>
                      <w:color w:val="000000"/>
                    </w:rPr>
                  </w:pPr>
                  <w:r w:rsidRPr="00175752">
                    <w:rPr>
                      <w:color w:val="000000"/>
                    </w:rPr>
                    <w:t>Wild Type</w:t>
                  </w:r>
                </w:p>
              </w:tc>
              <w:tc>
                <w:tcPr>
                  <w:tcW w:w="203" w:type="dxa"/>
                  <w:tcBorders>
                    <w:top w:val="nil"/>
                    <w:left w:val="nil"/>
                    <w:bottom w:val="nil"/>
                    <w:right w:val="nil"/>
                  </w:tcBorders>
                  <w:shd w:val="clear" w:color="auto" w:fill="auto"/>
                  <w:noWrap/>
                  <w:vAlign w:val="bottom"/>
                  <w:hideMark/>
                </w:tcPr>
                <w:p w14:paraId="18F88DC1" w14:textId="77777777" w:rsidR="00AE2DF2" w:rsidRPr="00175752" w:rsidRDefault="00AE2DF2" w:rsidP="00AE2DF2">
                  <w:pPr>
                    <w:rPr>
                      <w:color w:val="000000"/>
                    </w:rPr>
                  </w:pPr>
                </w:p>
              </w:tc>
            </w:tr>
            <w:tr w:rsidR="00AE2DF2" w:rsidRPr="00175752" w14:paraId="46D1E9D5" w14:textId="77777777" w:rsidTr="00AE2DF2">
              <w:trPr>
                <w:trHeight w:val="320"/>
              </w:trPr>
              <w:tc>
                <w:tcPr>
                  <w:tcW w:w="1300" w:type="dxa"/>
                  <w:tcBorders>
                    <w:top w:val="nil"/>
                    <w:left w:val="nil"/>
                    <w:bottom w:val="nil"/>
                    <w:right w:val="nil"/>
                  </w:tcBorders>
                  <w:shd w:val="clear" w:color="auto" w:fill="auto"/>
                  <w:noWrap/>
                  <w:vAlign w:val="bottom"/>
                  <w:hideMark/>
                </w:tcPr>
                <w:p w14:paraId="786344C3" w14:textId="77777777" w:rsidR="00AE2DF2" w:rsidRPr="00175752" w:rsidRDefault="00AE2DF2" w:rsidP="00AE2DF2">
                  <w:pPr>
                    <w:rPr>
                      <w:color w:val="000000"/>
                    </w:rPr>
                  </w:pPr>
                  <w:r w:rsidRPr="00175752">
                    <w:rPr>
                      <w:color w:val="000000"/>
                    </w:rPr>
                    <w:t>ZAG</w:t>
                  </w:r>
                </w:p>
              </w:tc>
              <w:tc>
                <w:tcPr>
                  <w:tcW w:w="6914" w:type="dxa"/>
                  <w:gridSpan w:val="2"/>
                  <w:tcBorders>
                    <w:top w:val="nil"/>
                    <w:left w:val="nil"/>
                    <w:bottom w:val="nil"/>
                    <w:right w:val="nil"/>
                  </w:tcBorders>
                  <w:shd w:val="clear" w:color="auto" w:fill="auto"/>
                  <w:noWrap/>
                  <w:vAlign w:val="bottom"/>
                  <w:hideMark/>
                </w:tcPr>
                <w:p w14:paraId="1351DE82" w14:textId="77777777" w:rsidR="00AE2DF2" w:rsidRPr="00175752" w:rsidRDefault="00AE2DF2" w:rsidP="00AE2DF2">
                  <w:pPr>
                    <w:rPr>
                      <w:color w:val="000000"/>
                    </w:rPr>
                  </w:pPr>
                  <w:r w:rsidRPr="00175752">
                    <w:rPr>
                      <w:color w:val="000000"/>
                    </w:rPr>
                    <w:t>Zinc-α2-Glycoprotein</w:t>
                  </w:r>
                </w:p>
              </w:tc>
            </w:tr>
            <w:tr w:rsidR="00AE2DF2" w:rsidRPr="00175752" w14:paraId="08DF5C60" w14:textId="77777777" w:rsidTr="00AE2DF2">
              <w:trPr>
                <w:trHeight w:val="320"/>
              </w:trPr>
              <w:tc>
                <w:tcPr>
                  <w:tcW w:w="1300" w:type="dxa"/>
                  <w:tcBorders>
                    <w:top w:val="nil"/>
                    <w:left w:val="nil"/>
                    <w:bottom w:val="nil"/>
                    <w:right w:val="nil"/>
                  </w:tcBorders>
                  <w:shd w:val="clear" w:color="auto" w:fill="auto"/>
                  <w:noWrap/>
                  <w:vAlign w:val="bottom"/>
                  <w:hideMark/>
                </w:tcPr>
                <w:p w14:paraId="7E046A97" w14:textId="77777777" w:rsidR="00AE2DF2" w:rsidRPr="00175752" w:rsidRDefault="00AE2DF2" w:rsidP="00AE2DF2">
                  <w:pPr>
                    <w:rPr>
                      <w:color w:val="000000"/>
                    </w:rPr>
                  </w:pPr>
                  <w:r w:rsidRPr="00175752">
                    <w:rPr>
                      <w:color w:val="000000"/>
                    </w:rPr>
                    <w:t>ZFP516</w:t>
                  </w:r>
                </w:p>
              </w:tc>
              <w:tc>
                <w:tcPr>
                  <w:tcW w:w="6914" w:type="dxa"/>
                  <w:gridSpan w:val="2"/>
                  <w:tcBorders>
                    <w:top w:val="nil"/>
                    <w:left w:val="nil"/>
                    <w:bottom w:val="nil"/>
                    <w:right w:val="nil"/>
                  </w:tcBorders>
                  <w:shd w:val="clear" w:color="auto" w:fill="auto"/>
                  <w:noWrap/>
                  <w:vAlign w:val="bottom"/>
                  <w:hideMark/>
                </w:tcPr>
                <w:p w14:paraId="0A7A175F" w14:textId="77777777" w:rsidR="00AE2DF2" w:rsidRPr="00175752" w:rsidRDefault="00AE2DF2" w:rsidP="00AE2DF2">
                  <w:pPr>
                    <w:rPr>
                      <w:color w:val="000000"/>
                    </w:rPr>
                  </w:pPr>
                  <w:r w:rsidRPr="00175752">
                    <w:rPr>
                      <w:color w:val="000000"/>
                    </w:rPr>
                    <w:t>Zinc Finger Protein 516</w:t>
                  </w:r>
                </w:p>
              </w:tc>
            </w:tr>
            <w:tr w:rsidR="00AE2DF2" w:rsidRPr="00175752" w14:paraId="1CCF09A9" w14:textId="77777777" w:rsidTr="00AE2DF2">
              <w:trPr>
                <w:trHeight w:val="320"/>
              </w:trPr>
              <w:tc>
                <w:tcPr>
                  <w:tcW w:w="1300" w:type="dxa"/>
                  <w:tcBorders>
                    <w:top w:val="nil"/>
                    <w:left w:val="nil"/>
                    <w:bottom w:val="nil"/>
                    <w:right w:val="nil"/>
                  </w:tcBorders>
                  <w:shd w:val="clear" w:color="auto" w:fill="auto"/>
                  <w:noWrap/>
                  <w:vAlign w:val="bottom"/>
                  <w:hideMark/>
                </w:tcPr>
                <w:p w14:paraId="7BE77F93" w14:textId="77777777" w:rsidR="00AE2DF2" w:rsidRPr="00175752" w:rsidRDefault="00AE2DF2" w:rsidP="00AE2DF2">
                  <w:pPr>
                    <w:rPr>
                      <w:color w:val="000000"/>
                    </w:rPr>
                  </w:pPr>
                  <w:r w:rsidRPr="00175752">
                    <w:rPr>
                      <w:color w:val="000000"/>
                    </w:rPr>
                    <w:t>cAMP</w:t>
                  </w:r>
                </w:p>
              </w:tc>
              <w:tc>
                <w:tcPr>
                  <w:tcW w:w="6914" w:type="dxa"/>
                  <w:gridSpan w:val="2"/>
                  <w:tcBorders>
                    <w:top w:val="nil"/>
                    <w:left w:val="nil"/>
                    <w:bottom w:val="nil"/>
                    <w:right w:val="nil"/>
                  </w:tcBorders>
                  <w:shd w:val="clear" w:color="auto" w:fill="auto"/>
                  <w:noWrap/>
                  <w:vAlign w:val="bottom"/>
                  <w:hideMark/>
                </w:tcPr>
                <w:p w14:paraId="7B162D26" w14:textId="77777777" w:rsidR="00AE2DF2" w:rsidRPr="00175752" w:rsidRDefault="00AE2DF2" w:rsidP="00AE2DF2">
                  <w:pPr>
                    <w:rPr>
                      <w:color w:val="000000"/>
                    </w:rPr>
                  </w:pPr>
                  <w:r w:rsidRPr="00175752">
                    <w:rPr>
                      <w:color w:val="000000"/>
                    </w:rPr>
                    <w:t>Cyclic Adenosine Monophosphate</w:t>
                  </w:r>
                </w:p>
              </w:tc>
            </w:tr>
            <w:tr w:rsidR="00AE2DF2" w:rsidRPr="00175752" w14:paraId="0460C8E2" w14:textId="77777777" w:rsidTr="00AE2DF2">
              <w:trPr>
                <w:trHeight w:val="320"/>
              </w:trPr>
              <w:tc>
                <w:tcPr>
                  <w:tcW w:w="1300" w:type="dxa"/>
                  <w:tcBorders>
                    <w:top w:val="nil"/>
                    <w:left w:val="nil"/>
                    <w:bottom w:val="nil"/>
                    <w:right w:val="nil"/>
                  </w:tcBorders>
                  <w:shd w:val="clear" w:color="auto" w:fill="auto"/>
                  <w:noWrap/>
                  <w:vAlign w:val="bottom"/>
                  <w:hideMark/>
                </w:tcPr>
                <w:p w14:paraId="4DB25FCD" w14:textId="77777777" w:rsidR="00AE2DF2" w:rsidRPr="00175752" w:rsidRDefault="00AE2DF2" w:rsidP="00AE2DF2">
                  <w:pPr>
                    <w:rPr>
                      <w:color w:val="000000"/>
                    </w:rPr>
                  </w:pPr>
                  <w:r w:rsidRPr="00175752">
                    <w:rPr>
                      <w:color w:val="000000"/>
                    </w:rPr>
                    <w:t>gWAT</w:t>
                  </w:r>
                </w:p>
              </w:tc>
              <w:tc>
                <w:tcPr>
                  <w:tcW w:w="6914" w:type="dxa"/>
                  <w:gridSpan w:val="2"/>
                  <w:tcBorders>
                    <w:top w:val="nil"/>
                    <w:left w:val="nil"/>
                    <w:bottom w:val="nil"/>
                    <w:right w:val="nil"/>
                  </w:tcBorders>
                  <w:shd w:val="clear" w:color="auto" w:fill="auto"/>
                  <w:noWrap/>
                  <w:vAlign w:val="bottom"/>
                  <w:hideMark/>
                </w:tcPr>
                <w:p w14:paraId="4F121948" w14:textId="77777777" w:rsidR="00AE2DF2" w:rsidRPr="00175752" w:rsidRDefault="00AE2DF2" w:rsidP="00AE2DF2">
                  <w:pPr>
                    <w:rPr>
                      <w:color w:val="000000"/>
                    </w:rPr>
                  </w:pPr>
                  <w:r w:rsidRPr="00175752">
                    <w:rPr>
                      <w:color w:val="000000"/>
                    </w:rPr>
                    <w:t>Gonadal White Adipose Tissue</w:t>
                  </w:r>
                </w:p>
              </w:tc>
            </w:tr>
            <w:tr w:rsidR="00AE2DF2" w:rsidRPr="00175752" w14:paraId="25F77B92" w14:textId="77777777" w:rsidTr="00AE2DF2">
              <w:trPr>
                <w:trHeight w:val="320"/>
              </w:trPr>
              <w:tc>
                <w:tcPr>
                  <w:tcW w:w="1300" w:type="dxa"/>
                  <w:tcBorders>
                    <w:top w:val="nil"/>
                    <w:left w:val="nil"/>
                    <w:bottom w:val="nil"/>
                    <w:right w:val="nil"/>
                  </w:tcBorders>
                  <w:shd w:val="clear" w:color="auto" w:fill="auto"/>
                  <w:noWrap/>
                  <w:vAlign w:val="bottom"/>
                  <w:hideMark/>
                </w:tcPr>
                <w:p w14:paraId="100744E5" w14:textId="77777777" w:rsidR="00AE2DF2" w:rsidRPr="00175752" w:rsidRDefault="00AE2DF2" w:rsidP="00AE2DF2">
                  <w:pPr>
                    <w:rPr>
                      <w:color w:val="000000"/>
                    </w:rPr>
                  </w:pPr>
                  <w:r w:rsidRPr="00175752">
                    <w:rPr>
                      <w:color w:val="000000"/>
                    </w:rPr>
                    <w:t>iNOS</w:t>
                  </w:r>
                </w:p>
              </w:tc>
              <w:tc>
                <w:tcPr>
                  <w:tcW w:w="6914" w:type="dxa"/>
                  <w:gridSpan w:val="2"/>
                  <w:tcBorders>
                    <w:top w:val="nil"/>
                    <w:left w:val="nil"/>
                    <w:bottom w:val="nil"/>
                    <w:right w:val="nil"/>
                  </w:tcBorders>
                  <w:shd w:val="clear" w:color="auto" w:fill="auto"/>
                  <w:noWrap/>
                  <w:vAlign w:val="bottom"/>
                  <w:hideMark/>
                </w:tcPr>
                <w:p w14:paraId="01EAC0EA" w14:textId="77777777" w:rsidR="00AE2DF2" w:rsidRPr="00175752" w:rsidRDefault="00AE2DF2" w:rsidP="00AE2DF2">
                  <w:pPr>
                    <w:rPr>
                      <w:color w:val="000000"/>
                    </w:rPr>
                  </w:pPr>
                  <w:r w:rsidRPr="00175752">
                    <w:rPr>
                      <w:color w:val="000000"/>
                    </w:rPr>
                    <w:t>Inducible Nitric Oxide Synthase</w:t>
                  </w:r>
                </w:p>
              </w:tc>
            </w:tr>
            <w:tr w:rsidR="00AE2DF2" w:rsidRPr="00175752" w14:paraId="70B0E230" w14:textId="77777777" w:rsidTr="00AE2DF2">
              <w:trPr>
                <w:trHeight w:val="320"/>
              </w:trPr>
              <w:tc>
                <w:tcPr>
                  <w:tcW w:w="1300" w:type="dxa"/>
                  <w:tcBorders>
                    <w:top w:val="nil"/>
                    <w:left w:val="nil"/>
                    <w:bottom w:val="nil"/>
                    <w:right w:val="nil"/>
                  </w:tcBorders>
                  <w:shd w:val="clear" w:color="auto" w:fill="auto"/>
                  <w:noWrap/>
                  <w:vAlign w:val="bottom"/>
                  <w:hideMark/>
                </w:tcPr>
                <w:p w14:paraId="224C4A1D" w14:textId="77777777" w:rsidR="00AE2DF2" w:rsidRPr="00175752" w:rsidRDefault="00AE2DF2" w:rsidP="00AE2DF2">
                  <w:pPr>
                    <w:rPr>
                      <w:color w:val="000000"/>
                    </w:rPr>
                  </w:pPr>
                  <w:r w:rsidRPr="00175752">
                    <w:rPr>
                      <w:color w:val="000000"/>
                    </w:rPr>
                    <w:t>iWAT</w:t>
                  </w:r>
                </w:p>
              </w:tc>
              <w:tc>
                <w:tcPr>
                  <w:tcW w:w="6914" w:type="dxa"/>
                  <w:gridSpan w:val="2"/>
                  <w:tcBorders>
                    <w:top w:val="nil"/>
                    <w:left w:val="nil"/>
                    <w:bottom w:val="nil"/>
                    <w:right w:val="nil"/>
                  </w:tcBorders>
                  <w:shd w:val="clear" w:color="auto" w:fill="auto"/>
                  <w:noWrap/>
                  <w:vAlign w:val="bottom"/>
                  <w:hideMark/>
                </w:tcPr>
                <w:p w14:paraId="63C3FC3F" w14:textId="77777777" w:rsidR="00AE2DF2" w:rsidRPr="00175752" w:rsidRDefault="00AE2DF2" w:rsidP="00AE2DF2">
                  <w:pPr>
                    <w:rPr>
                      <w:color w:val="000000"/>
                    </w:rPr>
                  </w:pPr>
                  <w:r w:rsidRPr="00175752">
                    <w:rPr>
                      <w:color w:val="000000"/>
                    </w:rPr>
                    <w:t>Inguinal White Adipose Tissue</w:t>
                  </w:r>
                </w:p>
              </w:tc>
            </w:tr>
            <w:tr w:rsidR="00AE2DF2" w:rsidRPr="00175752" w14:paraId="5D4F8C20" w14:textId="77777777" w:rsidTr="00AE2DF2">
              <w:trPr>
                <w:trHeight w:val="320"/>
              </w:trPr>
              <w:tc>
                <w:tcPr>
                  <w:tcW w:w="1300" w:type="dxa"/>
                  <w:tcBorders>
                    <w:top w:val="nil"/>
                    <w:left w:val="nil"/>
                    <w:bottom w:val="nil"/>
                    <w:right w:val="nil"/>
                  </w:tcBorders>
                  <w:shd w:val="clear" w:color="auto" w:fill="auto"/>
                  <w:noWrap/>
                  <w:vAlign w:val="bottom"/>
                  <w:hideMark/>
                </w:tcPr>
                <w:p w14:paraId="4CE23B74" w14:textId="77777777" w:rsidR="00AE2DF2" w:rsidRPr="00175752" w:rsidRDefault="00AE2DF2" w:rsidP="00AE2DF2">
                  <w:pPr>
                    <w:rPr>
                      <w:color w:val="000000"/>
                    </w:rPr>
                  </w:pPr>
                  <w:r w:rsidRPr="00175752">
                    <w:rPr>
                      <w:color w:val="000000"/>
                    </w:rPr>
                    <w:t>p-AKT</w:t>
                  </w:r>
                </w:p>
              </w:tc>
              <w:tc>
                <w:tcPr>
                  <w:tcW w:w="6914" w:type="dxa"/>
                  <w:gridSpan w:val="2"/>
                  <w:tcBorders>
                    <w:top w:val="nil"/>
                    <w:left w:val="nil"/>
                    <w:bottom w:val="nil"/>
                    <w:right w:val="nil"/>
                  </w:tcBorders>
                  <w:shd w:val="clear" w:color="auto" w:fill="auto"/>
                  <w:noWrap/>
                  <w:vAlign w:val="bottom"/>
                  <w:hideMark/>
                </w:tcPr>
                <w:p w14:paraId="1E0FC043" w14:textId="77777777" w:rsidR="00AE2DF2" w:rsidRPr="00175752" w:rsidRDefault="00AE2DF2" w:rsidP="00AE2DF2">
                  <w:pPr>
                    <w:rPr>
                      <w:color w:val="000000"/>
                    </w:rPr>
                  </w:pPr>
                  <w:r w:rsidRPr="00175752">
                    <w:rPr>
                      <w:color w:val="000000"/>
                    </w:rPr>
                    <w:t>Phosphorylated Akt</w:t>
                  </w:r>
                </w:p>
              </w:tc>
            </w:tr>
            <w:tr w:rsidR="00AE2DF2" w:rsidRPr="00175752" w14:paraId="3838CF69" w14:textId="77777777" w:rsidTr="00AE2DF2">
              <w:trPr>
                <w:trHeight w:val="320"/>
              </w:trPr>
              <w:tc>
                <w:tcPr>
                  <w:tcW w:w="1300" w:type="dxa"/>
                  <w:tcBorders>
                    <w:top w:val="nil"/>
                    <w:left w:val="nil"/>
                    <w:bottom w:val="nil"/>
                    <w:right w:val="nil"/>
                  </w:tcBorders>
                  <w:shd w:val="clear" w:color="auto" w:fill="auto"/>
                  <w:noWrap/>
                  <w:vAlign w:val="bottom"/>
                  <w:hideMark/>
                </w:tcPr>
                <w:p w14:paraId="4FBF93E5" w14:textId="77777777" w:rsidR="00AE2DF2" w:rsidRPr="00175752" w:rsidRDefault="00AE2DF2" w:rsidP="00AE2DF2">
                  <w:pPr>
                    <w:rPr>
                      <w:color w:val="000000"/>
                    </w:rPr>
                  </w:pPr>
                  <w:r w:rsidRPr="00175752">
                    <w:rPr>
                      <w:color w:val="000000"/>
                    </w:rPr>
                    <w:lastRenderedPageBreak/>
                    <w:t>sWAT</w:t>
                  </w:r>
                </w:p>
              </w:tc>
              <w:tc>
                <w:tcPr>
                  <w:tcW w:w="6914" w:type="dxa"/>
                  <w:gridSpan w:val="2"/>
                  <w:tcBorders>
                    <w:top w:val="nil"/>
                    <w:left w:val="nil"/>
                    <w:bottom w:val="nil"/>
                    <w:right w:val="nil"/>
                  </w:tcBorders>
                  <w:shd w:val="clear" w:color="auto" w:fill="auto"/>
                  <w:noWrap/>
                  <w:vAlign w:val="bottom"/>
                  <w:hideMark/>
                </w:tcPr>
                <w:p w14:paraId="0399A418" w14:textId="77777777" w:rsidR="00AE2DF2" w:rsidRPr="00175752" w:rsidRDefault="00AE2DF2" w:rsidP="00AE2DF2">
                  <w:pPr>
                    <w:rPr>
                      <w:color w:val="000000"/>
                    </w:rPr>
                  </w:pPr>
                  <w:r w:rsidRPr="00175752">
                    <w:rPr>
                      <w:color w:val="000000"/>
                    </w:rPr>
                    <w:t>Subcutaneous White Adipose Tissue</w:t>
                  </w:r>
                </w:p>
              </w:tc>
            </w:tr>
            <w:tr w:rsidR="00AE2DF2" w:rsidRPr="00175752" w14:paraId="1CE07F3C" w14:textId="77777777" w:rsidTr="00AE2DF2">
              <w:trPr>
                <w:trHeight w:val="320"/>
              </w:trPr>
              <w:tc>
                <w:tcPr>
                  <w:tcW w:w="1300" w:type="dxa"/>
                  <w:tcBorders>
                    <w:top w:val="nil"/>
                    <w:left w:val="nil"/>
                    <w:bottom w:val="nil"/>
                    <w:right w:val="nil"/>
                  </w:tcBorders>
                  <w:shd w:val="clear" w:color="auto" w:fill="auto"/>
                  <w:noWrap/>
                  <w:vAlign w:val="bottom"/>
                  <w:hideMark/>
                </w:tcPr>
                <w:p w14:paraId="7679CCCD" w14:textId="77777777" w:rsidR="00AE2DF2" w:rsidRPr="00175752" w:rsidRDefault="00AE2DF2" w:rsidP="00AE2DF2">
                  <w:pPr>
                    <w:rPr>
                      <w:color w:val="000000"/>
                    </w:rPr>
                  </w:pPr>
                  <w:r w:rsidRPr="00175752">
                    <w:rPr>
                      <w:color w:val="000000"/>
                    </w:rPr>
                    <w:t>sgRNA</w:t>
                  </w:r>
                </w:p>
              </w:tc>
              <w:tc>
                <w:tcPr>
                  <w:tcW w:w="6914" w:type="dxa"/>
                  <w:gridSpan w:val="2"/>
                  <w:tcBorders>
                    <w:top w:val="nil"/>
                    <w:left w:val="nil"/>
                    <w:bottom w:val="nil"/>
                    <w:right w:val="nil"/>
                  </w:tcBorders>
                  <w:shd w:val="clear" w:color="auto" w:fill="auto"/>
                  <w:noWrap/>
                  <w:vAlign w:val="bottom"/>
                  <w:hideMark/>
                </w:tcPr>
                <w:p w14:paraId="39B2D6A0" w14:textId="77777777" w:rsidR="00AE2DF2" w:rsidRPr="00175752" w:rsidRDefault="00AE2DF2" w:rsidP="00AE2DF2">
                  <w:pPr>
                    <w:rPr>
                      <w:color w:val="000000"/>
                    </w:rPr>
                  </w:pPr>
                  <w:r w:rsidRPr="00175752">
                    <w:rPr>
                      <w:color w:val="000000"/>
                    </w:rPr>
                    <w:t>Single-guide RNA</w:t>
                  </w:r>
                </w:p>
              </w:tc>
            </w:tr>
            <w:tr w:rsidR="00AE2DF2" w:rsidRPr="00175752" w14:paraId="02A7BAD0" w14:textId="77777777" w:rsidTr="00AE2DF2">
              <w:trPr>
                <w:trHeight w:val="320"/>
              </w:trPr>
              <w:tc>
                <w:tcPr>
                  <w:tcW w:w="1300" w:type="dxa"/>
                  <w:tcBorders>
                    <w:top w:val="nil"/>
                    <w:left w:val="nil"/>
                    <w:bottom w:val="nil"/>
                    <w:right w:val="nil"/>
                  </w:tcBorders>
                  <w:shd w:val="clear" w:color="auto" w:fill="auto"/>
                  <w:noWrap/>
                  <w:vAlign w:val="bottom"/>
                  <w:hideMark/>
                </w:tcPr>
                <w:p w14:paraId="6B7DE2BB" w14:textId="77777777" w:rsidR="00AE2DF2" w:rsidRPr="00175752" w:rsidRDefault="00AE2DF2" w:rsidP="00AE2DF2">
                  <w:pPr>
                    <w:rPr>
                      <w:color w:val="000000"/>
                    </w:rPr>
                  </w:pPr>
                  <w:r w:rsidRPr="00175752">
                    <w:rPr>
                      <w:color w:val="000000"/>
                    </w:rPr>
                    <w:t>β3-AR</w:t>
                  </w:r>
                </w:p>
              </w:tc>
              <w:tc>
                <w:tcPr>
                  <w:tcW w:w="6914" w:type="dxa"/>
                  <w:gridSpan w:val="2"/>
                  <w:tcBorders>
                    <w:top w:val="nil"/>
                    <w:left w:val="nil"/>
                    <w:bottom w:val="nil"/>
                    <w:right w:val="nil"/>
                  </w:tcBorders>
                  <w:shd w:val="clear" w:color="auto" w:fill="auto"/>
                  <w:noWrap/>
                  <w:vAlign w:val="bottom"/>
                  <w:hideMark/>
                </w:tcPr>
                <w:p w14:paraId="57701A24" w14:textId="77777777" w:rsidR="00AE2DF2" w:rsidRPr="00175752" w:rsidRDefault="00AE2DF2" w:rsidP="00AE2DF2">
                  <w:pPr>
                    <w:rPr>
                      <w:color w:val="000000"/>
                    </w:rPr>
                  </w:pPr>
                  <w:r w:rsidRPr="00175752">
                    <w:rPr>
                      <w:color w:val="000000"/>
                    </w:rPr>
                    <w:t>Beta-3-adrenergic receptor</w:t>
                  </w:r>
                </w:p>
              </w:tc>
            </w:tr>
          </w:tbl>
          <w:p w14:paraId="46CE9A1D" w14:textId="77777777" w:rsidR="002C7DBE" w:rsidRPr="00AE2DF2" w:rsidRDefault="002C7DBE" w:rsidP="0037428E">
            <w:pPr>
              <w:jc w:val="left"/>
            </w:pPr>
          </w:p>
        </w:tc>
        <w:tc>
          <w:tcPr>
            <w:tcW w:w="1797" w:type="dxa"/>
          </w:tcPr>
          <w:p w14:paraId="7EFB348E" w14:textId="77777777" w:rsidR="002C7DBE" w:rsidRDefault="002C7DBE" w:rsidP="0037428E">
            <w:pPr>
              <w:jc w:val="left"/>
            </w:pPr>
          </w:p>
        </w:tc>
      </w:tr>
    </w:tbl>
    <w:p w14:paraId="336779B4" w14:textId="0F0FEA84" w:rsidR="00E222EA" w:rsidRPr="00FD2821" w:rsidRDefault="00E222EA" w:rsidP="00E222EA">
      <w:pPr>
        <w:spacing w:line="240" w:lineRule="auto"/>
        <w:rPr>
          <w:lang w:eastAsia="zh-CN"/>
        </w:rPr>
        <w:sectPr w:rsidR="00E222EA" w:rsidRPr="00FD2821" w:rsidSect="001D4908">
          <w:headerReference w:type="default" r:id="rId11"/>
          <w:footerReference w:type="default" r:id="rId12"/>
          <w:pgSz w:w="12240" w:h="15840" w:code="1"/>
          <w:pgMar w:top="1440" w:right="1800" w:bottom="1872" w:left="1800" w:header="720" w:footer="1440" w:gutter="0"/>
          <w:pgNumType w:fmt="lowerRoman" w:start="1"/>
          <w:cols w:space="720"/>
          <w:noEndnote/>
          <w:titlePg/>
        </w:sectPr>
      </w:pPr>
    </w:p>
    <w:p w14:paraId="0EC561BD" w14:textId="3EDA791D" w:rsidR="00BB7651" w:rsidRPr="00DB2C42" w:rsidRDefault="00E2447F" w:rsidP="00F37087">
      <w:pPr>
        <w:pStyle w:val="Heading1"/>
      </w:pPr>
      <w:bookmarkStart w:id="0" w:name="_Ref190981703"/>
      <w:bookmarkStart w:id="1" w:name="_Toc204848620"/>
      <w:r w:rsidRPr="00DB2C42">
        <w:lastRenderedPageBreak/>
        <w:t>CHAPTER I INTRODUCTION</w:t>
      </w:r>
      <w:bookmarkEnd w:id="0"/>
      <w:bookmarkEnd w:id="1"/>
    </w:p>
    <w:p w14:paraId="426FCF33" w14:textId="5B0FD6EB" w:rsidR="0022692A" w:rsidRPr="00DB2C42" w:rsidRDefault="00BB7651" w:rsidP="00BB7651">
      <w:pPr>
        <w:spacing w:line="240" w:lineRule="auto"/>
        <w:rPr>
          <w:b/>
          <w:bCs/>
          <w:caps/>
        </w:rPr>
      </w:pPr>
      <w:r w:rsidRPr="00DB2C42">
        <w:br w:type="page"/>
      </w:r>
    </w:p>
    <w:p w14:paraId="38A95132" w14:textId="069F1F0E" w:rsidR="00B3030C" w:rsidRPr="00DB2C42" w:rsidRDefault="00B3030C" w:rsidP="00B007DA">
      <w:pPr>
        <w:ind w:firstLine="720"/>
        <w:jc w:val="left"/>
      </w:pPr>
      <w:r w:rsidRPr="00DB2C42">
        <w:lastRenderedPageBreak/>
        <w:t>Obesity is an increasing global health issue</w:t>
      </w:r>
      <w:r w:rsidR="00763393" w:rsidRPr="00DB2C42">
        <w:t xml:space="preserve"> </w:t>
      </w:r>
      <w:r w:rsidR="00763393" w:rsidRPr="00DB2C42">
        <w:fldChar w:fldCharType="begin"/>
      </w:r>
      <w:r w:rsidR="003037AB" w:rsidRPr="00DB2C42">
        <w:instrText xml:space="preserve"> ADDIN ZOTERO_ITEM CSL_CITATION {"citationID":"a1rgfqflqh9","properties":{"formattedCitation":"\\super 1\\nosupersub{}","plainCitation":"1","noteIndex":0},"citationItems":[{"id":4038,"uris":["http://zotero.org/users/9622455/items/SV7K5N3F"],"itemData":{"id":4038,"type":"chapter","abstract":"Obesity is increasing as a global public health issue. It affects 2 in 5 adults and 1 in 5 children in the United States and has been characterized as an epidemic. Several countries worldwide have witnessed a doubling or tripling in the prevalence of obesity in the last 3 decades (see Images. Obesity Trends in Children and Obesity Trends in Adults), likely due to urbanization, sedentary lifestyles, and increased consumption of high-calorie processed foods. The alarming increase in childhood obesity forecasts a significant burden of chronic disease worldwide. Obesity prevention is critical in controlling obesity-related noncommunicable diseases (OR-NCDs), including type 2 diabetes, insulin resistance/metabolic syndrome with hyperinsulinemia, hyperlipidemia, hypertension, metabolic-associated fatty liver disease, and coronary artery disease. The failure of traditional obesity prevention and control measures underscores the need for a new, nonstigmatizing public health policy model. This approach shifts the focus from solely targeting individual behavior changes to implementing strategies that address broader environmental factors contributing to obesity. Weight bias and discrimination against people with obesity exist in public settings, eg, workplaces, healthcare facilities, and schools, and must be confronted on a societal level.","call-number":"NBK572122","container-title":"StatPearls","event-place":"Treasure Island (FL)","language":"eng","license":"Copyright © 2025, StatPearls Publishing LLC.","note":"PMID: 34283488","publisher":"StatPearls Publishing","publisher-place":"Treasure Island (FL)","source":"PubMed","title":"Public Health Considerations Regarding Obesity","URL":"http://www.ncbi.nlm.nih.gov/books/NBK572122/","author":[{"family":"Balasundaram","given":"Palanikumar"},{"family":"Daley","given":"Sharon F."}],"accessed":{"date-parts":[["2025",6,12]]},"issued":{"date-parts":[["2025"]]}}}],"schema":"https://github.com/citation-style-language/schema/raw/master/csl-citation.json"} </w:instrText>
      </w:r>
      <w:r w:rsidR="00763393" w:rsidRPr="00DB2C42">
        <w:fldChar w:fldCharType="separate"/>
      </w:r>
      <w:r w:rsidR="003037AB" w:rsidRPr="00DB2C42">
        <w:rPr>
          <w:vertAlign w:val="superscript"/>
        </w:rPr>
        <w:t>1</w:t>
      </w:r>
      <w:r w:rsidR="00763393" w:rsidRPr="00DB2C42">
        <w:fldChar w:fldCharType="end"/>
      </w:r>
      <w:r w:rsidRPr="00DB2C42">
        <w:t>. It is linked to the main metabolic disease complications like type 2 diabetes mellitus (T2DM), cardiovascular issues, and even non-alcoholic fatty liver disease</w:t>
      </w:r>
      <w:r w:rsidR="00B03FA4">
        <w:t xml:space="preserve"> </w:t>
      </w:r>
      <w:r w:rsidR="00B03FA4" w:rsidRPr="00DB2C42">
        <w:t>(NAFLD)</w:t>
      </w:r>
      <w:r w:rsidR="00E4316A" w:rsidRPr="00DB2C42">
        <w:t xml:space="preserve"> </w:t>
      </w:r>
      <w:r w:rsidRPr="00DB2C42">
        <w:fldChar w:fldCharType="begin"/>
      </w:r>
      <w:r w:rsidRPr="00DB2C42">
        <w:instrText xml:space="preserve"> ADDIN ZOTERO_ITEM CSL_CITATION {"citationID":"qm9y3mms","properties":{"formattedCitation":"\\super 2\\nosupersub{}","plainCitation":"2","noteIndex":0},"citationItems":[{"id":4041,"uris":["http://zotero.org/users/9622455/items/DIL5A33I"],"itemData":{"id":4041,"type":"article-journal","abstract":"Obesity is a chronic disease characterized by the abnormal or excessive accumulation of body fat, affecting more than 1 billion people worldwide. Obesity is commonly associated with other metabolic disorders, such as type 2 diabetes, non-alcoholic fatty liver disease, cardiovascular diseases, chronic kidney disease, and cancers. Factors such as a sedentary lifestyle, overnutrition, socioeconomic status, and other environmental and genetic conditions can cause obesity. Many molecules and signaling pathways are involved in the pathogenesis of obesity, such as nuclear factor (NF)-κB, Toll-like receptors (TLRs), adhesion molecules, G protein-coupled receptors (GPCRs), programmed cell death 1 (PD-1)/programmed death-ligand 1 (PD-L1), and sirtuin 1 (SIRT1). Commonly used strategies of obesity management and treatment include exercise and dietary change or restriction for the early stage of obesity, bariatric surgery for server obesity, and Food and Drug Administration (FDA)-approved medicines such as semaglutide and liraglutide that can be used as monotherapy or as a synergistic treatment. In addition, psychological management, especially for patients with obesity and distress, is a good option. Gut microbiota plays an important role in obesity and its comorbidities, and gut microbial reprogramming by fecal microbiota transplantation (FMT), probiotics, prebiotics, or synbiotics shows promising potential in obesity and metabolic syndrome. Many clinical trials are ongoing to evaluate the therapeutic effects of different treatments. Currently, prevention and early treatment of obesity are the best options to prevent its progression to many comorbidities.","container-title":"Healthcare","DOI":"10.3390/healthcare10091616","ISSN":"2227-9032","issue":"9","language":"en","license":"http://creativecommons.org/licenses/by/3.0/","note":"number: 9\npublisher: Multidisciplinary Digital Publishing Institute","page":"1616","source":"www.mdpi.com","title":"The Related Metabolic Diseases and Treatments of Obesity","volume":"10","author":[{"family":"Yang","given":"Ming"},{"family":"Liu","given":"Shuai"},{"family":"Zhang","given":"Chunye"}],"issued":{"date-parts":[["2022",9]]}}}],"schema":"https://github.com/citation-style-language/schema/raw/master/csl-citation.json"} </w:instrText>
      </w:r>
      <w:r w:rsidRPr="00DB2C42">
        <w:fldChar w:fldCharType="separate"/>
      </w:r>
      <w:r w:rsidRPr="00DB2C42">
        <w:rPr>
          <w:vertAlign w:val="superscript"/>
        </w:rPr>
        <w:t>2</w:t>
      </w:r>
      <w:r w:rsidRPr="00DB2C42">
        <w:fldChar w:fldCharType="end"/>
      </w:r>
      <w:r w:rsidRPr="00DB2C42">
        <w:t>. The causes of obesity are multifactorial</w:t>
      </w:r>
      <w:r w:rsidR="005249AC" w:rsidRPr="00DB2C42">
        <w:t>,</w:t>
      </w:r>
      <w:r w:rsidRPr="00DB2C42">
        <w:t xml:space="preserve"> but can be simplified as the result of an imbalance between caloric intake </w:t>
      </w:r>
      <w:r w:rsidR="005249AC" w:rsidRPr="00DB2C42">
        <w:t>and</w:t>
      </w:r>
      <w:r w:rsidRPr="00DB2C42">
        <w:t xml:space="preserve"> </w:t>
      </w:r>
      <w:r w:rsidR="00B03FA4">
        <w:t xml:space="preserve">energy </w:t>
      </w:r>
      <w:r w:rsidRPr="00DB2C42">
        <w:t>expenditure (EE)</w:t>
      </w:r>
      <w:r w:rsidR="00E4316A" w:rsidRPr="00DB2C42">
        <w:t xml:space="preserve"> </w:t>
      </w:r>
      <w:r w:rsidRPr="00DB2C42">
        <w:fldChar w:fldCharType="begin"/>
      </w:r>
      <w:r w:rsidRPr="00DB2C42">
        <w:instrText xml:space="preserve"> ADDIN ZOTERO_ITEM CSL_CITATION {"citationID":"WZ2YRvMw","properties":{"formattedCitation":"\\super 3\\nosupersub{}","plainCitation":"3","noteIndex":0},"citationItems":[{"id":4043,"uris":["http://zotero.org/users/9622455/items/DC3KKCGN"],"itemData":{"id":4043,"type":"chapter","abstract":"Obesity is the excessive or abnormal accumulation of fat or adipose tissue in the body that impairs health via its association with the risk of development of diabetes mellitus, cardiovascular disease, hypertension, and hyperlipidemia. It is a significant public health epidemic which has progressively worsened over the past 50 years. Obesity is a complex disease and has a multifactorial etiology. It is the second most common cause of preventable death after smoking. Obesity needs multiprong treatment strategies and may require lifelong treatment. A 5% to 10% weight loss can significantly improve health, quality of life, and economic burden of an individual and a country as a whole. Obesity has enormous healthcare costs exceeding $700 billion each year. The economic burden is estimated to be about $100 billion annually in the United States alone. The body mass index (BMI) is used to define obesity, which is calculated as weight (kg)/height(m). While the BMI does correlate with body fat in a curvilinear fashion, it may not be as accurate in Asians and older people,  where a normal BMI may conceal underlying excess fat. Obesity can also be estimated by assessing skin thickness in the triceps, biceps, subscapular, and supra-iliac areas. Dural energy radiographic absorptiometry (DEXA)  scan may also be used to assess fat mass.","call-number":"NBK459357","container-title":"StatPearls","event-place":"Treasure Island (FL)","language":"eng","license":"Copyright © 2025, StatPearls Publishing LLC.","note":"PMID: 29083734","publisher":"StatPearls Publishing","publisher-place":"Treasure Island (FL)","source":"PubMed","title":"Obesity","URL":"http://www.ncbi.nlm.nih.gov/books/NBK459357/","author":[{"family":"Panuganti","given":"Kiran K."},{"family":"Nguyen","given":"Minhthao"},{"family":"Kshirsagar","given":"Ravi K."}],"accessed":{"date-parts":[["2025",6,12]]},"issued":{"date-parts":[["2025"]]}}}],"schema":"https://github.com/citation-style-language/schema/raw/master/csl-citation.json"} </w:instrText>
      </w:r>
      <w:r w:rsidRPr="00DB2C42">
        <w:fldChar w:fldCharType="separate"/>
      </w:r>
      <w:r w:rsidRPr="00DB2C42">
        <w:rPr>
          <w:vertAlign w:val="superscript"/>
        </w:rPr>
        <w:t>3</w:t>
      </w:r>
      <w:r w:rsidRPr="00DB2C42">
        <w:fldChar w:fldCharType="end"/>
      </w:r>
      <w:r w:rsidRPr="00DB2C42">
        <w:t xml:space="preserve">. As an energy reservoir, </w:t>
      </w:r>
      <w:r w:rsidR="00B03FA4">
        <w:t>white adipose tissue (</w:t>
      </w:r>
      <w:r w:rsidRPr="00DB2C42">
        <w:t>WAT</w:t>
      </w:r>
      <w:r w:rsidR="00B03FA4">
        <w:t>)</w:t>
      </w:r>
      <w:r w:rsidRPr="00DB2C42">
        <w:t xml:space="preserve"> is traditionally considered to store triglycerides during times of surplus and release free fatty acids (FFAs) during times of deficit</w:t>
      </w:r>
      <w:r w:rsidR="00E4316A" w:rsidRPr="00DB2C42">
        <w:t xml:space="preserve"> </w:t>
      </w:r>
      <w:r w:rsidRPr="00DB2C42">
        <w:fldChar w:fldCharType="begin"/>
      </w:r>
      <w:r w:rsidRPr="00DB2C42">
        <w:instrText xml:space="preserve"> ADDIN ZOTERO_ITEM CSL_CITATION {"citationID":"P5nVTJlD","properties":{"formattedCitation":"\\super 4\\nosupersub{}","plainCitation":"4","noteIndex":0},"citationItems":[{"id":4046,"uris":["http://zotero.org/users/9622455/items/WE88U4C7"],"itemData":{"id":4046,"type":"chapter","abstract":"Like the obesity epidemic, our understanding of adipocytes and adipose tissue is expanding. Just in the past decade, substantial advances have led to new insights into the contributions of adipose tissue to normal physiology and obesity-related complications, which places adipocyte biology at the epicenter of a global pandemic of metabolic diseases. In addition to detailing the types, locations, and functions of different adipose tissue depots, this chapter will review the secretory capacities of adipose tissue. Arguably one of the most significant discoveries in the last two decades of adipocyte research is that not only do adipocytes release endocrine hormones, but fat cells and adipose tissue secrete a variety of effectors, including exosomes, miRNA, lipids, inflammatory cytokines, and peptide hormones that act in both paracrine and endocrine capacities to impact local and systemic metabolic responses. The origins of adipocytes via progenitor cells and the process of adipocyte development are discussed. Inflammation, metabolically healthy fat, and adipose tissue expansion are also considered. Finally, several emerging research areas in fat cell biology with therapeutic potential in the management patients who are overweight and have obesity are summarized. For complete coverage of all related areas of Endocrinology, please visit our on-line FREE web-text, WWW.ENDOTEXT.ORG.","call-number":"NBK555602","container-title":"Endotext","event-place":"South Dartmouth (MA)","language":"eng","license":"Copyright © 2000-2025, MDText.com, Inc.","note":"PMID: 32255578","publisher":"MDText.com, Inc.","publisher-place":"South Dartmouth (MA)","source":"PubMed","title":"Adipose Tissue: Physiology to Metabolic Dysfunction","title-short":"Adipose Tissue","URL":"http://www.ncbi.nlm.nih.gov/books/NBK555602/","author":[{"family":"Richard","given":"Allison J."},{"family":"White","given":"Ursula"},{"family":"Elks","given":"Carrie M."},{"family":"Stephens","given":"Jacqueline M."}],"editor":[{"family":"Feingold","given":"Kenneth R."},{"family":"Ahmed","given":"S. Faisal"},{"family":"Anawalt","given":"Bradley"},{"family":"Blackman","given":"Marc R."},{"family":"Boyce","given":"Alison"},{"family":"Chrousos","given":"George"},{"family":"Corpas","given":"Emiliano"},{"family":"Herder","given":"Wouter W.","non-dropping-particle":"de"},{"family":"Dhatariya","given":"Ketan"},{"family":"Dungan","given":"Kathleen"},{"family":"Hofland","given":"Johannes"},{"family":"Kalra","given":"Sanjay"},{"family":"Kaltsas","given":"Gregory"},{"family":"Kapoor","given":"Nitin"},{"family":"Koch","given":"Christian"},{"family":"Kopp","given":"Peter"},{"family":"Korbonits","given":"Márta"},{"family":"Kovacs","given":"Christopher S."},{"family":"Kuohung","given":"Wendy"},{"family":"Laferrère","given":"Blandine"},{"family":"Levy","given":"Miles"},{"family":"McGee","given":"Elizabeth A."},{"family":"McLachlan","given":"Robert"},{"family":"Muzumdar","given":"Radhika"},{"family":"Purnell","given":"Jonathan"},{"family":"Rey","given":"Rodolfo"},{"family":"Sahay","given":"Rakesh"},{"family":"Shah","given":"Amy S."},{"family":"Singer","given":"Frederick"},{"family":"Sperling","given":"Mark A."},{"family":"Stratakis","given":"Constantine A."},{"family":"Trence","given":"Dace L."},{"family":"Wilson","given":"Don P."}],"accessed":{"date-parts":[["2025",6,12]]},"issued":{"date-parts":[["2000"]]}}}],"schema":"https://github.com/citation-style-language/schema/raw/master/csl-citation.json"} </w:instrText>
      </w:r>
      <w:r w:rsidRPr="00DB2C42">
        <w:fldChar w:fldCharType="separate"/>
      </w:r>
      <w:r w:rsidRPr="00DB2C42">
        <w:rPr>
          <w:vertAlign w:val="superscript"/>
        </w:rPr>
        <w:t>4</w:t>
      </w:r>
      <w:r w:rsidRPr="00DB2C42">
        <w:fldChar w:fldCharType="end"/>
      </w:r>
      <w:r w:rsidRPr="00DB2C42">
        <w:t>. It is now understood that adipose tissue is a dynamic and metabolical</w:t>
      </w:r>
      <w:r w:rsidR="00CA61E9">
        <w:t>ly</w:t>
      </w:r>
      <w:r w:rsidRPr="00DB2C42">
        <w:t xml:space="preserve"> active organ</w:t>
      </w:r>
      <w:r w:rsidR="007C1D72" w:rsidRPr="00DB2C42">
        <w:t>,</w:t>
      </w:r>
      <w:r w:rsidRPr="00DB2C42">
        <w:t xml:space="preserve"> critical</w:t>
      </w:r>
      <w:r w:rsidR="007C1D72" w:rsidRPr="00DB2C42">
        <w:t>ly important</w:t>
      </w:r>
      <w:r w:rsidRPr="00DB2C42">
        <w:t xml:space="preserve"> in governing endocrine, energy balance, and metabolism</w:t>
      </w:r>
      <w:r w:rsidR="00E4316A" w:rsidRPr="00DB2C42">
        <w:t xml:space="preserve"> </w:t>
      </w:r>
      <w:r w:rsidRPr="00DB2C42">
        <w:fldChar w:fldCharType="begin"/>
      </w:r>
      <w:r w:rsidRPr="00DB2C42">
        <w:instrText xml:space="preserve"> ADDIN ZOTERO_ITEM CSL_CITATION {"citationID":"Bo841Ci3","properties":{"formattedCitation":"\\super 5\\nosupersub{}","plainCitation":"5","noteIndex":0},"citationItems":[{"id":4049,"uris":["http://zotero.org/users/9622455/items/Q9IGT84P"],"itemData":{"id":4049,"type":"article-journal","abstract":"The adipose tissue is a central metabolic organ in the regulation of whole-body energy homeostasis. The white adipose tissue (WAT) functions as a key energy reservoir for other organs, whereas the brown adipose tissue (BAT) accumulates lipids for cold-induced adaptive thermogenesis. Adipose tissues secret various hormones, cytokines, and metabolites (termed as adipokines) that control systemic energy balance by regulating appetitive signals from the central nerve system as well as metabolic activity in peripheral tissues. In response to changes in the nutritional status, the adipose tissue undergoes dynamic remodeling, including quantitative and qualitative alterations in adipose tissue resident cells. A growing body of evidence indicates that adipose tissue remodeling in obesity is closely associated with adipose tissue function. Changes in the number and size of the adipocytes affect the microenvironment of expanded fat tissues, accompanied by alterations in adipokine secretion, adipocyte death, local hypoxia, and fatty acid fluxes. Concurrently, stromal vascular cells in the adipose tissue, including immune cells, are involved in numerous adaptive processes, such as dead adipocyte clearance, adipogenesis, and angiogenesis, all of which are dysregulated in obese adipose tissue remodeling. Chronic over-nutrition triggers uncontrolled inflammatory responses, leading to systemic low-grade inflammation and metabolic disorders, such as insulin resistance. This review will discuss current mechanistic understandings of adipose tissue remodeling processes in adaptive energy homeostasis and pathological remodeling of adipose tissue in connection with immune response.","container-title":"Frontiers in Endocrinology","DOI":"10.3389/fendo.2016.00030","ISSN":"1664-2392","journalAbbreviation":"Front. Endocrinol.","language":"English","note":"publisher: Frontiers","source":"Frontiers","title":"Adipose Tissue Remodeling: Its Role in Energy Metabolism and Metabolic Disorders","title-short":"Adipose Tissue Remodeling","URL":"https://www.frontiersin.org/journals/endocrinology/articles/10.3389/fendo.2016.00030/full","volume":"7","author":[{"family":"Choe","given":"Sung Sik"},{"family":"Huh","given":"Jin Young"},{"family":"Hwang","given":"In Jae"},{"family":"Kim","given":"Jong In"},{"family":"Kim","given":"Jae Bum"}],"accessed":{"date-parts":[["2025",6,12]]},"issued":{"date-parts":[["2016",4,13]]}}}],"schema":"https://github.com/citation-style-language/schema/raw/master/csl-citation.json"} </w:instrText>
      </w:r>
      <w:r w:rsidRPr="00DB2C42">
        <w:fldChar w:fldCharType="separate"/>
      </w:r>
      <w:r w:rsidRPr="00DB2C42">
        <w:rPr>
          <w:vertAlign w:val="superscript"/>
        </w:rPr>
        <w:t>5</w:t>
      </w:r>
      <w:r w:rsidRPr="00DB2C42">
        <w:fldChar w:fldCharType="end"/>
      </w:r>
      <w:r w:rsidRPr="00DB2C42">
        <w:t>. Unlike WAT, brown adipose tissue (BAT) dissipates energy through non-shivering thermogenesis</w:t>
      </w:r>
      <w:r w:rsidR="00E4316A" w:rsidRPr="00DB2C42">
        <w:t xml:space="preserve"> </w:t>
      </w:r>
      <w:r w:rsidRPr="00DB2C42">
        <w:fldChar w:fldCharType="begin"/>
      </w:r>
      <w:r w:rsidRPr="00DB2C42">
        <w:instrText xml:space="preserve"> ADDIN ZOTERO_ITEM CSL_CITATION {"citationID":"48jnJdvr","properties":{"formattedCitation":"\\super 6\\nosupersub{}","plainCitation":"6","noteIndex":0},"citationItems":[{"id":4051,"uris":["http://zotero.org/users/9622455/items/SL3U8XCW"],"itemData":{"id":4051,"type":"article-journal","abstract":"In mammals including humans, there are two types of adipose tissue, white and brown adipose tissues (BATs). White adipose tissue is the primary site of energy storage, while BAT is a specialized tissue for non-shivering thermogenesis to dissipate energy as heat. Although BAT research has long been limited mostly in small rodents, the rediscovery of metabolically active BAT in adult humans has dramatically promoted the translational studies on BAT in health and diseases. It is now established that BAT, through its thermogenic and energy dissipating activities, plays a role in the regulation of body temperature, whole-body energy expenditure, and body fatness. Moreover, increasing evidence has demonstrated that BAT secretes various paracrine and endocrine factors, which influence other peripheral tissues and control systemic metabolic homeostasis, suggesting BAT as a metabolic regulator, other than for thermogenesis. In fact, clinical studies have revealed an association of BAT not only with metabolic disorders such as insulin resistance, diabetes, dyslipidemia, and fatty liver, but also with cardiovascular diseases including hypertension and atherosclerosis. Thus, BAT is an intriguing tissue combating obesity and related metabolic diseases. In this review, we summarize current knowledge on human BAT, focusing its patho-physiological roles in energy homeostasis, obesity and related metabolic disorders. The effects of aging and sex on BAT are also discussed.","container-title":"The World Journal of Men's Health","DOI":"10.5534/wjmh.220224","ISSN":"2287-4208","issue":"3","journalAbbreviation":"World J Mens Health","note":"PMID: 36792089\nPMCID: PMC10307652","page":"489-507","source":"PubMed Central","title":"Thermogenic Brown Fat in Humans: Implications in Energy Homeostasis, Obesity and Metabolic Disorders","title-short":"Thermogenic Brown Fat in Humans","volume":"41","author":[{"family":"Saito","given":"Masayuki"},{"family":"Okamatsu-Ogura","given":"Yuko"}],"issued":{"date-parts":[["2023",7]]}}}],"schema":"https://github.com/citation-style-language/schema/raw/master/csl-citation.json"} </w:instrText>
      </w:r>
      <w:r w:rsidRPr="00DB2C42">
        <w:fldChar w:fldCharType="separate"/>
      </w:r>
      <w:r w:rsidRPr="00DB2C42">
        <w:rPr>
          <w:vertAlign w:val="superscript"/>
        </w:rPr>
        <w:t>6</w:t>
      </w:r>
      <w:r w:rsidRPr="00DB2C42">
        <w:fldChar w:fldCharType="end"/>
      </w:r>
      <w:r w:rsidRPr="00DB2C42">
        <w:t xml:space="preserve">. This action is mediated by uncoupling protein 1 (UCP1), a protein </w:t>
      </w:r>
      <w:r w:rsidR="002C79B0">
        <w:t xml:space="preserve">located in mitochondria </w:t>
      </w:r>
      <w:r w:rsidRPr="00DB2C42">
        <w:t>that compromises the proton gradient formed by oxidative phosphorylation, releasing energy as heat instead of storing it in the form of ATP</w:t>
      </w:r>
      <w:r w:rsidR="00480E53" w:rsidRPr="00DB2C42">
        <w:t xml:space="preserve"> </w:t>
      </w:r>
      <w:r w:rsidRPr="00DB2C42">
        <w:fldChar w:fldCharType="begin"/>
      </w:r>
      <w:r w:rsidRPr="00DB2C42">
        <w:instrText xml:space="preserve"> ADDIN ZOTERO_ITEM CSL_CITATION {"citationID":"4s8eCnjH","properties":{"formattedCitation":"\\super 7\\nosupersub{}","plainCitation":"7","noteIndex":0},"citationItems":[{"id":4054,"uris":["http://zotero.org/users/9622455/items/N75YWFKP"],"itemData":{"id":4054,"type":"article-journal","abstract":"Mitochondrial uncoupling protein 1 (UCP1) is responsible for nonshivering thermogenesis in brown adipose tissue (BAT). Upon activation by long-chain fatty acids (LCFAs), UCP1 increases the conductance of the inner mitochondrial membrane (IMM) to make BAT mitochondria generate heat rather than ATP. Despite being a member of the family of mitochondrial anion carriers (SLC25), UCP1 is believed to transport H+ by an unusual mechanism that has long remained unresolved. Here, we achieved direct patch-clamp measurements of UCP1 currents from the IMM of BAT mitochondria. We show that UCP1 is an LCFA anion/H+ symporter. However, the LCFA anions cannot dissociate from UCP1 due to hydrophobic interactions established by their hydrophobic tails, and UCP1 effectively operates as an H+ carrier activated by LCFA. A similar LCFA-dependent mechanism of transmembrane H+ transport may be employed by other SLC25 members and be responsible for mitochondrial uncoupling and regulation of metabolic efficiency in various tissues.","container-title":"Cell","DOI":"10.1016/j.cell.2012.09.010","ISSN":"0092-8674","issue":"2","journalAbbreviation":"Cell","note":"PMID: 23063128\nPMCID: PMC3782081","page":"400-413","source":"PubMed Central","title":"Mechanism of Fatty-Acid-Dependent UCP1 Uncoupling in Brown Fat Mitochondria","volume":"151","author":[{"family":"Fedorenko","given":"Andriy"},{"family":"Lishko","given":"Polina V."},{"family":"Kirichok","given":"Yuriy"}],"issued":{"date-parts":[["2012",10,12]]}}}],"schema":"https://github.com/citation-style-language/schema/raw/master/csl-citation.json"} </w:instrText>
      </w:r>
      <w:r w:rsidRPr="00DB2C42">
        <w:fldChar w:fldCharType="separate"/>
      </w:r>
      <w:r w:rsidRPr="00DB2C42">
        <w:rPr>
          <w:vertAlign w:val="superscript"/>
        </w:rPr>
        <w:t>7</w:t>
      </w:r>
      <w:r w:rsidRPr="00DB2C42">
        <w:fldChar w:fldCharType="end"/>
      </w:r>
      <w:r w:rsidRPr="00DB2C42">
        <w:t>. BAT has a rich supply of mitochondria and UCP1</w:t>
      </w:r>
      <w:r w:rsidR="000560E6" w:rsidRPr="00DB2C42">
        <w:t>,</w:t>
      </w:r>
      <w:r w:rsidRPr="00DB2C42">
        <w:t xml:space="preserve"> which </w:t>
      </w:r>
      <w:r w:rsidR="00CD5968" w:rsidRPr="00DB2C42">
        <w:t xml:space="preserve">enables </w:t>
      </w:r>
      <w:r w:rsidRPr="00DB2C42">
        <w:t>its ability to generate heat</w:t>
      </w:r>
      <w:r w:rsidR="00480E53" w:rsidRPr="00DB2C42">
        <w:t xml:space="preserve"> </w:t>
      </w:r>
      <w:r w:rsidRPr="00DB2C42">
        <w:fldChar w:fldCharType="begin"/>
      </w:r>
      <w:r w:rsidRPr="00DB2C42">
        <w:instrText xml:space="preserve"> ADDIN ZOTERO_ITEM CSL_CITATION {"citationID":"PsywHrvE","properties":{"formattedCitation":"\\super 8\\nosupersub{}","plainCitation":"8","noteIndex":0},"citationItems":[{"id":4057,"uris":["http://zotero.org/users/9622455/items/X5D85ZHX"],"itemData":{"id":4057,"type":"article-journal","abstract":"Brown adipose tissue (BAT) dissipates energy as heat to maintain optimal thermogenesis and to contribute to energy expenditure, in rodents and possibly humans. The energetic processes executed by BAT require a readily available fuel supply, which includes glucose and fatty acids (FAs). FAs become available by cellular uptake, de novo lipogenesis, and from multilocular lipid droplets in brown adipocytes. BAT also possesses a great capacity for glucose uptake and metabolism, and an ability to regulate insulin sensitivity. These properties make BAT an appealing target for the treatment of obesity, diabetes and other metabolic disorders. Recent research has revealed a better understanding of the processes of fuel utilization carried out by brown adipocytes, which is the focus of the current review.","container-title":"Trends in endocrinology and metabolism: TEM","DOI":"10.1016/j.tem.2013.12.004","ISSN":"1043-2760","issue":"4","journalAbbreviation":"Trends Endocrinol Metab","note":"PMID: 24389130\nPMCID: PMC3972344","page":"168-177","source":"PubMed Central","title":"Brown Fat Fuel Utilization and Thermogenesis","volume":"25","author":[{"family":"Townsend","given":"Kristy L."},{"family":"Tseng","given":"Yu-Hua"}],"issued":{"date-parts":[["2014",4]]}}}],"schema":"https://github.com/citation-style-language/schema/raw/master/csl-citation.json"} </w:instrText>
      </w:r>
      <w:r w:rsidRPr="00DB2C42">
        <w:fldChar w:fldCharType="separate"/>
      </w:r>
      <w:r w:rsidRPr="00DB2C42">
        <w:rPr>
          <w:vertAlign w:val="superscript"/>
        </w:rPr>
        <w:t>8</w:t>
      </w:r>
      <w:r w:rsidRPr="00DB2C42">
        <w:fldChar w:fldCharType="end"/>
      </w:r>
      <w:r w:rsidRPr="00DB2C42">
        <w:t>.</w:t>
      </w:r>
    </w:p>
    <w:p w14:paraId="529CC228" w14:textId="5B7D7DA8" w:rsidR="00B3030C" w:rsidRPr="00DB2C42" w:rsidRDefault="00B3030C" w:rsidP="00594274">
      <w:pPr>
        <w:ind w:firstLine="720"/>
        <w:jc w:val="left"/>
      </w:pPr>
      <w:r w:rsidRPr="00DB2C42">
        <w:t>Beige adipocytes, which emerge within white adipocytes under certain stimuli, such as cold exposure or pharmacological agents, exhibit similar thermogenic characteristics to classical brown adipocytes, including UCP1 expression and increased mitochondrial content</w:t>
      </w:r>
      <w:r w:rsidR="00480E53" w:rsidRPr="00DB2C42">
        <w:t xml:space="preserve"> </w:t>
      </w:r>
      <w:r w:rsidRPr="00DB2C42">
        <w:fldChar w:fldCharType="begin"/>
      </w:r>
      <w:r w:rsidRPr="00DB2C42">
        <w:instrText xml:space="preserve"> ADDIN ZOTERO_ITEM CSL_CITATION {"citationID":"KmjfZb6k","properties":{"formattedCitation":"\\super 9\\nosupersub{}","plainCitation":"9","noteIndex":0},"citationItems":[{"id":4060,"uris":["http://zotero.org/users/9622455/items/Y83JMXRM"],"itemData":{"id":4060,"type":"article-journal","abstract":"Brown fat defends against hypothermia and obesity through thermogenesis mediated by mitochondrial UCP1. Recent data suggest that there are two distinct types of brown fat: classical brown fat derived from a myf-5 cellular lineage and UCP1-positive cells that emerge in white fat from a non-myf-5 lineage. Here we report the cloning of “beige” cells from murine white fat depots. Beige cells resemble white fat cells in having extremely low basal expression of UCP1, but like classical brown fat, they respond to cyclic AMP stimulation with high UCP1 expression and respiration rates. Beige cells have a gene expression pattern distinct from either white or brown fat and are preferentially sensitive to the polypeptide hormone irisin. Finally, we show that deposits of brown fat previously observed in adult humans are composed of beige adipose cells. These data illustrate a new cell type with therapeutic potential in mouse and human.","container-title":"Cell","DOI":"10.1016/j.cell.2012.05.016","ISSN":"0092-8674","issue":"2","journalAbbreviation":"Cell","note":"PMID: 22796012\nPMCID: PMC3402601","page":"366-376","source":"PubMed Central","title":"Beige Adipocytes are a Distinct Type of Thermogenic Fat Cell in Mouse and Human","volume":"150","author":[{"family":"Wu","given":"Jun"},{"family":"Boström","given":"Pontus"},{"family":"Sparks","given":"Lauren M."},{"family":"Ye","given":"Li"},{"family":"Choi","given":"Jang Hyun"},{"family":"Giang","given":"An-Hoa"},{"family":"Khandekar","given":"Melin"},{"family":"Nuutila","given":"Pirjo"},{"family":"Schaart","given":"Gert"},{"family":"Huang","given":"Kexin"},{"family":"Tu","given":"Hua"},{"family":"Marken Lichtenbelt","given":"Wouter D.","non-dropping-particle":"van"},{"family":"Hoeks","given":"Joris"},{"family":"Enerbäck","given":"Sven"},{"family":"Schrauwen","given":"Patrick"},{"family":"Spiegelman","given":"Bruce M."}],"issued":{"date-parts":[["2012",7,20]]}}}],"schema":"https://github.com/citation-style-language/schema/raw/master/csl-citation.json"} </w:instrText>
      </w:r>
      <w:r w:rsidRPr="00DB2C42">
        <w:fldChar w:fldCharType="separate"/>
      </w:r>
      <w:r w:rsidRPr="00DB2C42">
        <w:rPr>
          <w:vertAlign w:val="superscript"/>
        </w:rPr>
        <w:t>9</w:t>
      </w:r>
      <w:r w:rsidRPr="00DB2C42">
        <w:fldChar w:fldCharType="end"/>
      </w:r>
      <w:r w:rsidRPr="00DB2C42">
        <w:t xml:space="preserve">. The transformation of white to beige adipocytes, referred to as “browning,” has attracted significant attention as </w:t>
      </w:r>
      <w:r w:rsidR="004F54C1" w:rsidRPr="00DB2C42">
        <w:t xml:space="preserve">a potential </w:t>
      </w:r>
      <w:r w:rsidRPr="00DB2C42">
        <w:t xml:space="preserve">approach </w:t>
      </w:r>
      <w:r w:rsidR="00F9691E" w:rsidRPr="00DB2C42">
        <w:t xml:space="preserve">for </w:t>
      </w:r>
      <w:r w:rsidRPr="00DB2C42">
        <w:t>treat</w:t>
      </w:r>
      <w:r w:rsidR="00F9691E" w:rsidRPr="00DB2C42">
        <w:t>ing</w:t>
      </w:r>
      <w:r w:rsidRPr="00DB2C42">
        <w:t xml:space="preserve"> obesity and metabolic disorders by increasing EE</w:t>
      </w:r>
      <w:r w:rsidR="00480E53" w:rsidRPr="00DB2C42">
        <w:t xml:space="preserve"> </w:t>
      </w:r>
      <w:r w:rsidRPr="00DB2C42">
        <w:fldChar w:fldCharType="begin"/>
      </w:r>
      <w:r w:rsidRPr="00DB2C42">
        <w:instrText xml:space="preserve"> ADDIN ZOTERO_ITEM CSL_CITATION {"citationID":"Uigf0ChO","properties":{"formattedCitation":"\\super 10\\nosupersub{}","plainCitation":"10","noteIndex":0},"citationItems":[{"id":4063,"uris":["http://zotero.org/users/9622455/items/3III7W7Y"],"itemData":{"id":4063,"type":"article-journal","abstract":"Overweight and obesity have become a world-wide problem. However, effective intervention approaches are limited. Brown adipose tissue, which helps maintain body temperature and contributes to thermogenesis, is dependent on uncoupling protein1. Over the last decade, an in-creasing number of studies have found that activating brown adipose tissue and browning of white adipose tissue can protect against obesity and obesity-related metabolic disease. Brown adipose tissue has gradually become an appealing therapeutic target for the prevention and re-versal of obesity. However, some important issues remain unresolved. It is not certain whether increasing brown adipose tissue activity is the cause or effect of body weight loss or what the risks might be for sympathetic nervous system-dependent non-shivering thermogenesis. In this review, we comprehensively summarize approaches to activating brown adipose tissue and/or browning white adipose tissue, such as cold exposure, exercise, and small-molecule treatment. We highlight the functional mechanisms of small-molecule treatment and brown adipose tissue transplantation using batokine, sympathetic nervous system and/or gut microbiome. Finally, we discuss the causality between body weight loss induced by bariatric surgery, exercise, and brown adipose tissue activity.","container-title":"Frontiers in Endocrinology","DOI":"10.3389/fendo.2022.1065263","ISSN":"1664-2392","journalAbbreviation":"Front Endocrinol (Lausanne)","note":"PMID: 36714578\nPMCID: PMC9874101","page":"1065263","source":"PubMed Central","title":"An update on brown adipose tissue and obesity intervention: Function, regulation and therapeutic implications","title-short":"An update on brown adipose tissue and obesity intervention","volume":"13","author":[{"family":"Liu","given":"Xiaomeng"},{"family":"Zhang","given":"Zhi"},{"family":"Song","given":"Yajie"},{"family":"Xie","given":"Hengchang"},{"family":"Dong","given":"Meng"}],"issued":{"date-parts":[["2023",1,11]]}}}],"schema":"https://github.com/citation-style-language/schema/raw/master/csl-citation.json"} </w:instrText>
      </w:r>
      <w:r w:rsidRPr="00DB2C42">
        <w:fldChar w:fldCharType="separate"/>
      </w:r>
      <w:r w:rsidRPr="00DB2C42">
        <w:rPr>
          <w:vertAlign w:val="superscript"/>
        </w:rPr>
        <w:t>10</w:t>
      </w:r>
      <w:r w:rsidRPr="00DB2C42">
        <w:fldChar w:fldCharType="end"/>
      </w:r>
      <w:r w:rsidRPr="00DB2C42">
        <w:t xml:space="preserve">. </w:t>
      </w:r>
      <w:r w:rsidR="00B8172A" w:rsidRPr="00DB2C42">
        <w:t xml:space="preserve">By </w:t>
      </w:r>
      <w:r w:rsidR="008E3319" w:rsidRPr="00DB2C42">
        <w:t xml:space="preserve">enhancing </w:t>
      </w:r>
      <w:r w:rsidR="00E40F66" w:rsidRPr="00DB2C42">
        <w:t>the uptake and utilization of fuel</w:t>
      </w:r>
      <w:r w:rsidR="00D462CE" w:rsidRPr="00DB2C42">
        <w:t xml:space="preserve"> substra</w:t>
      </w:r>
      <w:r w:rsidR="00833D18" w:rsidRPr="00DB2C42">
        <w:t>tes</w:t>
      </w:r>
      <w:r w:rsidR="00E40F66" w:rsidRPr="00DB2C42">
        <w:t xml:space="preserve"> (primarily glucose and lipids) </w:t>
      </w:r>
      <w:r w:rsidR="00211368" w:rsidRPr="00DB2C42">
        <w:t>in adipocytes</w:t>
      </w:r>
      <w:r w:rsidR="0028205E" w:rsidRPr="00DB2C42">
        <w:t xml:space="preserve">, </w:t>
      </w:r>
      <w:r w:rsidR="00DC6CB4" w:rsidRPr="00DB2C42">
        <w:t>UCP1-mediated thermogenesis</w:t>
      </w:r>
      <w:r w:rsidR="0028205E" w:rsidRPr="00DB2C42">
        <w:t xml:space="preserve"> </w:t>
      </w:r>
      <w:r w:rsidR="00211368" w:rsidRPr="00DB2C42">
        <w:t>is thought to act as a “metabolic sink”</w:t>
      </w:r>
      <w:r w:rsidR="00CA1857" w:rsidRPr="00DB2C42">
        <w:t xml:space="preserve"> to improve metabolic dysfunction</w:t>
      </w:r>
      <w:r w:rsidR="0079392B">
        <w:t xml:space="preserve"> </w:t>
      </w:r>
      <w:r w:rsidR="00B71EFF" w:rsidRPr="00DB2C42">
        <w:fldChar w:fldCharType="begin"/>
      </w:r>
      <w:r w:rsidR="00763393" w:rsidRPr="00DB2C42">
        <w:instrText xml:space="preserve"> ADDIN ZOTERO_ITEM CSL_CITATION {"citationID":"a1qlsb5s5iu","properties":{"formattedCitation":"\\super 11\\nosupersub{}","plainCitation":"11","noteIndex":0},"citationItems":[{"id":4140,"uris":["http://zotero.org/users/9622455/items/QKFRJ3W6"],"itemData":{"id":4140,"type":"article-journal","abstract":"Brown and beige adipocytes are mitochondria-enriched cells capable of dissipating energy in the form of heat. These thermogenic fat cells were originally considered to function solely in heat generation through the action of the mitochondrial protein uncoupling protein 1 (UCP1). In recent years, significant advances have been made in our understanding of the ontogeny, bioenergetics and physiological functions of thermogenic fat. Distinct subtypes of thermogenic adipocytes have been identified with unique developmental origins, which have been increasingly dissected in cellular and molecular detail. Moreover, several UCP1-independent thermogenic mechanisms have been described, expanding the role of these cells in energy homeostasis. Recent studies have also delineated roles for these cells beyond the regulation of thermogenesis, including as dynamic secretory cells and as a metabolic sink. This Review presents our current understanding of thermogenic adipocytes with an emphasis on their development, biological functions and roles in systemic physiology.","container-title":"Nature reviews. Molecular cell biology","DOI":"10.1038/s41580-021-00350-0","ISSN":"1471-0072","issue":"6","journalAbbreviation":"Nat Rev Mol Cell Biol","note":"PMID: 33758402\nPMCID: PMC8159882","page":"393-409","source":"PubMed Central","title":"The cellular and functional complexity of thermogenic fat","volume":"22","author":[{"family":"Cohen","given":"Paul"},{"family":"Kajimura","given":"Shingo"}],"issued":{"date-parts":[["2021",6]]}}}],"schema":"https://github.com/citation-style-language/schema/raw/master/csl-citation.json"} </w:instrText>
      </w:r>
      <w:r w:rsidR="00B71EFF" w:rsidRPr="00DB2C42">
        <w:fldChar w:fldCharType="separate"/>
      </w:r>
      <w:r w:rsidR="00763393" w:rsidRPr="00DB2C42">
        <w:rPr>
          <w:vertAlign w:val="superscript"/>
        </w:rPr>
        <w:t>11</w:t>
      </w:r>
      <w:r w:rsidR="00B71EFF" w:rsidRPr="00DB2C42">
        <w:fldChar w:fldCharType="end"/>
      </w:r>
      <w:r w:rsidR="00CA1857" w:rsidRPr="00DB2C42">
        <w:t>.</w:t>
      </w:r>
      <w:r w:rsidR="00DC6CB4" w:rsidRPr="00DB2C42">
        <w:t xml:space="preserve"> </w:t>
      </w:r>
      <w:r w:rsidRPr="00DB2C42">
        <w:t xml:space="preserve">Adipose-derived stromal cells (ADSCs) </w:t>
      </w:r>
      <w:r w:rsidR="001F3718" w:rsidRPr="00DB2C42">
        <w:t xml:space="preserve">from </w:t>
      </w:r>
      <w:r w:rsidRPr="00DB2C42">
        <w:t>WAT serve as precursors for beige adipocytes and are capable of undergoing browning</w:t>
      </w:r>
      <w:r w:rsidR="004631FF" w:rsidRPr="00DB2C42">
        <w:t xml:space="preserve"> </w:t>
      </w:r>
      <w:r w:rsidRPr="00DB2C42">
        <w:fldChar w:fldCharType="begin"/>
      </w:r>
      <w:r w:rsidR="00763393" w:rsidRPr="00DB2C42">
        <w:instrText xml:space="preserve"> ADDIN ZOTERO_ITEM CSL_CITATION {"citationID":"Ec4vzn8e","properties":{"formattedCitation":"\\super 12\\nosupersub{}","plainCitation":"12","noteIndex":0},"citationItems":[{"id":4066,"uris":["http://zotero.org/users/9622455/items/EV59D5NV"],"itemData":{"id":4066,"type":"article-journal","abstract":"Human beige adipocytes (BAs) have potential utility for the development of therapeutics to treat diabetes and obesity-associated diseases. Although several reports have described the generation of beige adipocytes in vitro, their potential utility in cell therapy and drug discovery has not been reported. Here, we describe the generation of BAs from human adipose-derived stem/stromal cells (ADSCs) in serum-free medium with efficiencies &gt;90%. Molecular profiling of beige adipocytes shows them to be similar to primary BAs isolated from human tissue. In vitro, beige adipocytes exhibit uncoupled mitochondrial respiration and cAMP-induced lipolytic activity. Following transplantation, BAs increase whole-body energy expenditure and oxygen consumption, while reducing body-weight in recipient mice. Finally, we show the therapeutic utility of BAs in a platform for high-throughput drug screening (HTS). These findings demonstrate the potential utility of BAs as a cell therapeutic and as a tool for the identification of drugs to treat metabolic diseases.","container-title":"Nature Communications","DOI":"10.1038/s41467-020-16340-3","ISSN":"2041-1723","issue":"1","journalAbbreviation":"Nat Commun","language":"en","license":"2020 The Author(s)","note":"publisher: Nature Publishing Group","page":"2758","source":"www.nature.com","title":"Human beige adipocytes for drug discovery and cell therapy in metabolic diseases","volume":"11","author":[{"family":"Singh","given":"Amar M."},{"family":"Zhang","given":"Liang"},{"family":"Avery","given":"John"},{"family":"Yin","given":"Amelia"},{"family":"Du","given":"Yuhong"},{"family":"Wang","given":"Hui"},{"family":"Li","given":"Zibo"},{"family":"Fu","given":"Haian"},{"family":"Yin","given":"Hang"},{"family":"Dalton","given":"Stephen"}],"issued":{"date-parts":[["2020",6,2]]}}}],"schema":"https://github.com/citation-style-language/schema/raw/master/csl-citation.json"} </w:instrText>
      </w:r>
      <w:r w:rsidRPr="00DB2C42">
        <w:fldChar w:fldCharType="separate"/>
      </w:r>
      <w:r w:rsidR="00763393" w:rsidRPr="00DB2C42">
        <w:rPr>
          <w:vertAlign w:val="superscript"/>
        </w:rPr>
        <w:t>12</w:t>
      </w:r>
      <w:r w:rsidRPr="00DB2C42">
        <w:fldChar w:fldCharType="end"/>
      </w:r>
      <w:r w:rsidRPr="00DB2C42">
        <w:t xml:space="preserve">. They can be stimulated to </w:t>
      </w:r>
      <w:r w:rsidRPr="00DB2C42">
        <w:lastRenderedPageBreak/>
        <w:t>undergo browning by PPARγ agonists, β-adrenergic agonists, cold, and certain dietary phytonutrients</w:t>
      </w:r>
      <w:r w:rsidR="00480E53" w:rsidRPr="00DB2C42">
        <w:t xml:space="preserve"> </w:t>
      </w:r>
      <w:r w:rsidRPr="00DB2C42">
        <w:fldChar w:fldCharType="begin"/>
      </w:r>
      <w:r w:rsidR="00763393" w:rsidRPr="00DB2C42">
        <w:instrText xml:space="preserve"> ADDIN ZOTERO_ITEM CSL_CITATION {"citationID":"7yxFCXf1","properties":{"formattedCitation":"\\super 13\\nosupersub{}","plainCitation":"13","noteIndex":0},"citationItems":[{"id":4068,"uris":["http://zotero.org/users/9622455/items/35WJ6EHA"],"itemData":{"id":4068,"type":"article-journal","abstract":"The primary role of adipose tissue stem cells (ADSCs) is to support the function and homeostasis of adipose tissue in physiological and pathophysiological conditions. However, when ADSCs become dysfunctional in diseases such as obesity and cancer, they become impaired, undergo signalling changes, and their epigenome is altered, which can have a dramatic effect on human health. In more recent years, the therapeutic potential of ADSCs in regenerative medicine, wound healing, and for treating conditions such as cancer and metabolic diseases has been extensively investigated with very promising results. ADSCs have also been used to generate two-dimensional (2D) and three-dimensional (3D) cellular and in vivo models to study adipose tissue biology and function as well as intracellular communication. Characterising the biology and function of ADSCs, how it is altered in health and disease, and its therapeutic potential and uses in cellular models is key for designing intervention strategies for complex metabolic diseases and cancer.","container-title":"Biochemical Pharmacology","DOI":"10.1016/j.bcp.2024.116108","ISSN":"0006-2952","journalAbbreviation":"Biochemical Pharmacology","page":"116108","source":"ScienceDirect","title":"Adipose tissue-derived stem cells, &lt;i&gt;in vivo&lt;/i&gt; and &lt;i&gt;in vitro&lt;/i&gt; models for metabolic diseases","volume":"222","author":[{"family":"Navarro-Perez","given":"Jaime"},{"family":"Carobbio","given":"Stefania"}],"issued":{"date-parts":[["2024",4,1]]}}}],"schema":"https://github.com/citation-style-language/schema/raw/master/csl-citation.json"} </w:instrText>
      </w:r>
      <w:r w:rsidRPr="00DB2C42">
        <w:fldChar w:fldCharType="separate"/>
      </w:r>
      <w:r w:rsidR="00763393" w:rsidRPr="00DB2C42">
        <w:rPr>
          <w:vertAlign w:val="superscript"/>
        </w:rPr>
        <w:t>13</w:t>
      </w:r>
      <w:r w:rsidRPr="00DB2C42">
        <w:fldChar w:fldCharType="end"/>
      </w:r>
      <w:r w:rsidRPr="00DB2C42">
        <w:t xml:space="preserve">. Rosiglitazone (ROSI), a </w:t>
      </w:r>
      <w:r w:rsidR="005821A9" w:rsidRPr="00DB2C42">
        <w:t xml:space="preserve">PPARγ agonist, belonging to the </w:t>
      </w:r>
      <w:r w:rsidRPr="00DB2C42">
        <w:t xml:space="preserve">thiazolidinedione </w:t>
      </w:r>
      <w:r w:rsidR="005821A9" w:rsidRPr="00DB2C42">
        <w:t>class</w:t>
      </w:r>
      <w:r w:rsidRPr="00DB2C42">
        <w:t>, is well known for its insulin-sensitizing properties in the treatment of T2DM</w:t>
      </w:r>
      <w:r w:rsidR="00480E53" w:rsidRPr="00DB2C42">
        <w:t xml:space="preserve"> </w:t>
      </w:r>
      <w:r w:rsidRPr="00DB2C42">
        <w:fldChar w:fldCharType="begin"/>
      </w:r>
      <w:r w:rsidR="00763393" w:rsidRPr="00DB2C42">
        <w:instrText xml:space="preserve"> ADDIN ZOTERO_ITEM CSL_CITATION {"citationID":"3B7EBaCQ","properties":{"formattedCitation":"\\super 14\\nosupersub{}","plainCitation":"14","noteIndex":0},"citationItems":[{"id":4072,"uris":["http://zotero.org/users/9622455/items/YJ43E7YI"],"itemData":{"id":4072,"type":"article-journal","abstract":"Type 2 diabetes is caused by insulin resistance coupled with an inability to produce enough insulin to control blood glucose, and thiazolidinediones (TZDs) are the only current antidiabetic agents that function primarily by increasing insulin sensitivity. However, despite clear benefits in glycemic control, this class of drugs has recently fallen into disuse due to concerns over side effects and adverse events. Here we review the clinical data and attempt to balance the benefits and risks of TZD therapy. We also examine potential mechanisms of action for the beneficial and harmful effects of TZDs, mainly via agonism of the nuclear receptor PPARγ. Based on critical appraisal of both preclinical and clinical studies, we discuss the prospect of harnessing the insulin sensitizing effects of PPARγ for more effective, safe, and potentially personalized treatments of type 2 diabetes.","container-title":"Cell Metabolism","DOI":"10.1016/j.cmet.2014.08.005","ISSN":"1550-4131","issue":"4","journalAbbreviation":"Cell Metabolism","page":"573-591","source":"ScienceDirect","title":"Thiazolidinediones and the Promise of Insulin Sensitization in Type 2 Diabetes","volume":"20","author":[{"family":"Soccio","given":"Raymond E."},{"family":"Chen","given":"Eric R."},{"family":"Lazar","given":"Mitchell A."}],"issued":{"date-parts":[["2014",10,7]]}}}],"schema":"https://github.com/citation-style-language/schema/raw/master/csl-citation.json"} </w:instrText>
      </w:r>
      <w:r w:rsidRPr="00DB2C42">
        <w:fldChar w:fldCharType="separate"/>
      </w:r>
      <w:r w:rsidR="00763393" w:rsidRPr="00DB2C42">
        <w:rPr>
          <w:vertAlign w:val="superscript"/>
        </w:rPr>
        <w:t>14</w:t>
      </w:r>
      <w:r w:rsidRPr="00DB2C42">
        <w:fldChar w:fldCharType="end"/>
      </w:r>
      <w:r w:rsidRPr="00DB2C42">
        <w:t xml:space="preserve">. In addition to increasing insulin signaling, ROSI promotes browning of white adipocytes by upregulating UCP1 and other thermogenic genes, resulting in increased mitochondrial </w:t>
      </w:r>
      <w:r w:rsidR="00AA1312" w:rsidRPr="00DB2C42">
        <w:t xml:space="preserve">uncoupling </w:t>
      </w:r>
      <w:r w:rsidRPr="00DB2C42">
        <w:t>and EE</w:t>
      </w:r>
      <w:r w:rsidR="00480E53" w:rsidRPr="00DB2C42">
        <w:t xml:space="preserve"> </w:t>
      </w:r>
      <w:r w:rsidRPr="00DB2C42">
        <w:fldChar w:fldCharType="begin"/>
      </w:r>
      <w:r w:rsidR="00763393" w:rsidRPr="00DB2C42">
        <w:instrText xml:space="preserve"> ADDIN ZOTERO_ITEM CSL_CITATION {"citationID":"RfIe7GtU","properties":{"formattedCitation":"\\super 15\\nosupersub{}","plainCitation":"15","noteIndex":0},"citationItems":[{"id":4075,"uris":["http://zotero.org/users/9622455/items/Z9EIBPNH"],"itemData":{"id":4075,"type":"article-journal","abstract":"Heat-producing beige/brite (brown-in-white) adipocytes in white adipose tissue have the potential to suppress metabolic disease in mice and hold great promise for the treatment of obesity and type 2 diabetes in humans. Here, we demonstrate that human adipose-derived stromal/progenitor cells (hASCs) from subcutaneous white adipose tissue can be efficiently converted into beige adipocytes. Upon pharmacological activation of peroxisome proliferator-activated receptor-γ, hASC-derived adipocytes activated beige fat-selective genes and a brown/beige fat-selective electron transport chain gene program. Importantly, hASC-derived beige fat cells displayed the bioenergetic characteristics of genuine brown fat cells, including a capacity for increased respiratory uncoupling in response to β-adrenergic agonists. Furthermore, knock-down experiments reveal that the thermogenic capacity of human beige fat cells was entirely dependent on the presence of Uncoupling protein 1. In summary, this study reveals that hASCs can be readily differentiated into beige adipocytes that, upon activation, undergo uncoupling protein 1-dependent thermogenesis.","container-title":"Molecular Endocrinology","DOI":"10.1210/me.2014-1295","ISSN":"0888-8809","issue":"1","journalAbbreviation":"Molecular Endocrinology","page":"130-139","source":"Silverchair","title":"Thermogenic Activity of UCP1 in Human White Fat-Derived Beige Adipocytes","volume":"29","author":[{"family":"Bartesaghi","given":"Stefano"},{"family":"Hallen","given":"Stefan"},{"family":"Huang","given":"Li"},{"family":"Svensson","given":"Per-Arne"},{"family":"Momo","given":"Remi A."},{"family":"Wallin","given":"Simonetta"},{"family":"Carlsson","given":"Eva K."},{"family":"Forslöw","given":"Anna"},{"family":"Seale","given":"Patrick"},{"family":"Peng","given":"Xiao-Rong"}],"issued":{"date-parts":[["2015",1,1]]}}}],"schema":"https://github.com/citation-style-language/schema/raw/master/csl-citation.json"} </w:instrText>
      </w:r>
      <w:r w:rsidRPr="00DB2C42">
        <w:fldChar w:fldCharType="separate"/>
      </w:r>
      <w:r w:rsidR="00763393" w:rsidRPr="00DB2C42">
        <w:rPr>
          <w:vertAlign w:val="superscript"/>
        </w:rPr>
        <w:t>15</w:t>
      </w:r>
      <w:r w:rsidRPr="00DB2C42">
        <w:fldChar w:fldCharType="end"/>
      </w:r>
      <w:r w:rsidRPr="00DB2C42">
        <w:t>.</w:t>
      </w:r>
      <w:r w:rsidR="00713A8D" w:rsidRPr="00DB2C42">
        <w:t xml:space="preserve"> </w:t>
      </w:r>
      <w:r w:rsidR="003F21AB" w:rsidRPr="00DB2C42">
        <w:t xml:space="preserve">As </w:t>
      </w:r>
      <w:r w:rsidR="00184BD6" w:rsidRPr="00DB2C42">
        <w:t xml:space="preserve">UCP1-mediated </w:t>
      </w:r>
      <w:r w:rsidR="003A184B" w:rsidRPr="00DB2C42">
        <w:t xml:space="preserve">browning effects are known to </w:t>
      </w:r>
      <w:r w:rsidR="00217C10" w:rsidRPr="00DB2C42">
        <w:t>enhance glucose uptake and uti</w:t>
      </w:r>
      <w:r w:rsidR="003F21AB" w:rsidRPr="00DB2C42">
        <w:t xml:space="preserve">lization, it </w:t>
      </w:r>
      <w:r w:rsidR="00A90057" w:rsidRPr="00DB2C42">
        <w:t xml:space="preserve">is unknown whether </w:t>
      </w:r>
      <w:r w:rsidR="004F390E" w:rsidRPr="00DB2C42">
        <w:t xml:space="preserve">browning effects induced by ROSI contribute to its insulin-sensitizing effects. </w:t>
      </w:r>
    </w:p>
    <w:p w14:paraId="62D14DF3" w14:textId="5AA71033" w:rsidR="00B3030C" w:rsidRPr="00DB2C42" w:rsidRDefault="00B3030C" w:rsidP="00847BA5">
      <w:pPr>
        <w:jc w:val="left"/>
      </w:pPr>
      <w:r w:rsidRPr="00DB2C42">
        <w:t xml:space="preserve">Resveratrol (RES) is a polyphenol </w:t>
      </w:r>
      <w:r w:rsidR="00564624" w:rsidRPr="00DB2C42">
        <w:t xml:space="preserve">primarily </w:t>
      </w:r>
      <w:r w:rsidRPr="00DB2C42">
        <w:t>found in grapes, which has recently gained attention for its antioxidant, anti-obesity, and browning properties</w:t>
      </w:r>
      <w:r w:rsidR="00480E53" w:rsidRPr="00DB2C42">
        <w:t xml:space="preserve"> </w:t>
      </w:r>
      <w:r w:rsidRPr="00DB2C42">
        <w:fldChar w:fldCharType="begin"/>
      </w:r>
      <w:r w:rsidR="00763393" w:rsidRPr="00DB2C42">
        <w:instrText xml:space="preserve"> ADDIN ZOTERO_ITEM CSL_CITATION {"citationID":"Bc1VRKg9","properties":{"formattedCitation":"\\super 16\\nosupersub{}","plainCitation":"16","noteIndex":0},"citationItems":[{"id":4078,"uris":["http://zotero.org/users/9622455/items/RQ89G4B6"],"itemData":{"id":4078,"type":"article-journal","abstract":"Resveratrol is a stilbenoid from red grapes that possesses a strong antioxidant activity. Resveratrol has been shown to have anticancer activity, making it a promising drug for the treatment and prevention of numerous cancers. Several in vitro and in vivo investigations have validated resveratrol’s anticancer capabilities, demonstrating its ability to block all steps of carcinogenesis (such as initiation, promotion, and progression). Additionally, resveratrol has been found to have auxiliary pharmacological effects such as anti-inflammatory, cardioprotective, and neuroprotective activity. Despite its pharmacological properties, several obstacles, such as resveratrol’s poor solubility and bioavailability, as well as its adverse effects, continue to be key obstacles to drug development. This review critically evaluates the clinical trials to date and aims to develop a framework to develop resveratrol into a clinically viable drug.","container-title":"Nutrients","DOI":"10.3390/nu15204486","ISSN":"2072-6643","issue":"20","journalAbbreviation":"Nutrients","note":"PMID: 37892561\nPMCID: PMC10610408","page":"4486","source":"PubMed Central","title":"The Pharmacological Properties of Red Grape Polyphenol Resveratrol: Clinical Trials and Obstacles in Drug Development","title-short":"The Pharmacological Properties of Red Grape Polyphenol Resveratrol","volume":"15","author":[{"family":"Farhan","given":"Mohd"},{"family":"Rizvi","given":"Asim"}],"issued":{"date-parts":[["2023",10,23]]}}}],"schema":"https://github.com/citation-style-language/schema/raw/master/csl-citation.json"} </w:instrText>
      </w:r>
      <w:r w:rsidRPr="00DB2C42">
        <w:fldChar w:fldCharType="separate"/>
      </w:r>
      <w:r w:rsidR="00763393" w:rsidRPr="00DB2C42">
        <w:rPr>
          <w:vertAlign w:val="superscript"/>
        </w:rPr>
        <w:t>16</w:t>
      </w:r>
      <w:r w:rsidRPr="00DB2C42">
        <w:fldChar w:fldCharType="end"/>
      </w:r>
      <w:r w:rsidRPr="00DB2C42">
        <w:t xml:space="preserve">. Studies </w:t>
      </w:r>
      <w:r w:rsidR="00050E05" w:rsidRPr="00DB2C42">
        <w:t xml:space="preserve">have </w:t>
      </w:r>
      <w:r w:rsidRPr="00DB2C42">
        <w:t xml:space="preserve">demonstrated that RES has the ability to induce browning by stimulating mitochondrial biogenesis and upregulating thermogenic genes such as </w:t>
      </w:r>
      <w:r w:rsidRPr="00312C85">
        <w:rPr>
          <w:i/>
          <w:iCs/>
        </w:rPr>
        <w:t>U</w:t>
      </w:r>
      <w:r w:rsidR="00420EA9" w:rsidRPr="00312C85">
        <w:rPr>
          <w:i/>
          <w:iCs/>
        </w:rPr>
        <w:t>cp</w:t>
      </w:r>
      <w:r w:rsidRPr="00312C85">
        <w:rPr>
          <w:i/>
          <w:iCs/>
        </w:rPr>
        <w:t>1</w:t>
      </w:r>
      <w:r w:rsidRPr="00DB2C42">
        <w:t xml:space="preserve"> and P</w:t>
      </w:r>
      <w:r w:rsidR="00420EA9" w:rsidRPr="00312C85">
        <w:rPr>
          <w:i/>
          <w:iCs/>
        </w:rPr>
        <w:t>gc</w:t>
      </w:r>
      <w:r w:rsidRPr="00312C85">
        <w:rPr>
          <w:i/>
          <w:iCs/>
        </w:rPr>
        <w:t>1α</w:t>
      </w:r>
      <w:r w:rsidR="00480E53" w:rsidRPr="00DB2C42">
        <w:t xml:space="preserve"> </w:t>
      </w:r>
      <w:r w:rsidRPr="00DB2C42">
        <w:fldChar w:fldCharType="begin"/>
      </w:r>
      <w:r w:rsidR="00763393" w:rsidRPr="00DB2C42">
        <w:instrText xml:space="preserve"> ADDIN ZOTERO_ITEM CSL_CITATION {"citationID":"WXWuLEel","properties":{"formattedCitation":"\\super 17\\nosupersub{}","plainCitation":"17","noteIndex":0},"citationItems":[{"id":4081,"uris":["http://zotero.org/users/9622455/items/Y7MPCALF"],"itemData":{"id":4081,"type":"article-journal","abstract":"Background\nFlavonoids are a class of plant and fungus secondary metabolites and are the most common group of polyphenolic compounds in the human diet. In recent studies, flavonoids have been shown to induce browning of white adipocytes, increase energy consumption, inhibit high-fat diet (HFD)-induced obesity and improve metabolic status. Promoting the activity of brown adipose tissue (BAT) and inducing white adipose tissue (WAT) browning are promising means to increase energy expenditure and improve glucose and lipid metabolism. This review summarizes recent advances in the knowledge of flavonoid compounds and their metabolites.\n\nMethods\nWe searched the following databases for all research related to flavonoids and WAT browning published through March 2019: PubMed, MEDLINE, EMBASE, and the Web of Science. All included studies are summarized and listed in Table .\n\nResult\nWe summarized the effects of flavonoids on fat metabolism and the specific underlying mechanisms in sub-categories. Flavonoids activated the sympathetic nervous system (SNS), promoted the release of adrenaline and thyroid hormones to increase thermogenesis and induced WAT browning through the AMPK-PGC-1α/Sirt1 and PPAR signalling pathways. Flavonoids may also promote brown preadipocyte differentiation, inhibit apoptosis and produce inflammatory factors in BAT.\n\nConclusion\nFlavonoids induced WAT browning and activated BAT to increase energy consumption and non-shivering thermogenesis, thus inhibiting weight gain and preventing metabolic diseases.","container-title":"Nutrition &amp; Metabolism","DOI":"10.1186/s12986-019-0370-7","ISSN":"1743-7075","journalAbbreviation":"Nutr Metab (Lond)","note":"PMID: 31346342\nPMCID: PMC6637576","page":"47","source":"PubMed Central","title":"Flavonoids as inducers of white adipose tissue browning and thermogenesis: signalling pathways and molecular triggers","title-short":"Flavonoids as inducers of white adipose tissue browning and thermogenesis","volume":"16","author":[{"family":"Zhang","given":"Xuejun"},{"family":"Li","given":"Xin"},{"family":"Fang","given":"Huang"},{"family":"Guo","given":"Fengjin"},{"family":"Li","given":"Feng"},{"family":"Chen","given":"Anmin"},{"family":"Huang","given":"Shilong"}],"issued":{"date-parts":[["2019",7,18]]}}}],"schema":"https://github.com/citation-style-language/schema/raw/master/csl-citation.json"} </w:instrText>
      </w:r>
      <w:r w:rsidRPr="00DB2C42">
        <w:fldChar w:fldCharType="separate"/>
      </w:r>
      <w:r w:rsidR="00763393" w:rsidRPr="00DB2C42">
        <w:rPr>
          <w:vertAlign w:val="superscript"/>
        </w:rPr>
        <w:t>17</w:t>
      </w:r>
      <w:r w:rsidRPr="00DB2C42">
        <w:fldChar w:fldCharType="end"/>
      </w:r>
      <w:r w:rsidRPr="00DB2C42">
        <w:t xml:space="preserve">. However, most investigations have been limited to non-diabetic models. In addition, no research has comprehensively explored the differences between biological sex in the cellular response to RES, </w:t>
      </w:r>
      <w:r w:rsidR="008460A7" w:rsidRPr="00DB2C42">
        <w:t>leaving</w:t>
      </w:r>
      <w:r w:rsidRPr="00DB2C42">
        <w:t xml:space="preserve"> a </w:t>
      </w:r>
      <w:r w:rsidR="008460A7" w:rsidRPr="00DB2C42">
        <w:t xml:space="preserve">knowledge </w:t>
      </w:r>
      <w:r w:rsidR="00D101FF" w:rsidRPr="00DB2C42">
        <w:t xml:space="preserve">gap </w:t>
      </w:r>
      <w:r w:rsidRPr="00DB2C42">
        <w:t>about how biological sex impacts the effectiveness of RES interventions.</w:t>
      </w:r>
    </w:p>
    <w:p w14:paraId="35C3C682" w14:textId="11824FE7" w:rsidR="009D181F" w:rsidRPr="00DB2C42" w:rsidRDefault="00B3030C" w:rsidP="00594274">
      <w:pPr>
        <w:ind w:firstLine="720"/>
        <w:jc w:val="left"/>
      </w:pPr>
      <w:r w:rsidRPr="00DB2C42">
        <w:t xml:space="preserve">In this dissertation, the thermogenic capacity of diabetic </w:t>
      </w:r>
      <w:r w:rsidRPr="00DB2C42">
        <w:rPr>
          <w:i/>
          <w:iCs/>
        </w:rPr>
        <w:t>db/db</w:t>
      </w:r>
      <w:r w:rsidRPr="00DB2C42">
        <w:t xml:space="preserve"> mice and the browning potential of their ADSCs by RES were systematically investigated</w:t>
      </w:r>
      <w:r w:rsidR="00AF50A0" w:rsidRPr="00DB2C42">
        <w:t xml:space="preserve"> and compared</w:t>
      </w:r>
      <w:r w:rsidRPr="00DB2C42">
        <w:t xml:space="preserve">. First, we evaluated physiological and molecular markers of thermogenesis in </w:t>
      </w:r>
      <w:r w:rsidRPr="00DB2C42">
        <w:rPr>
          <w:i/>
          <w:iCs/>
        </w:rPr>
        <w:t>db/db</w:t>
      </w:r>
      <w:r w:rsidRPr="00DB2C42">
        <w:t xml:space="preserve"> compared to </w:t>
      </w:r>
      <w:r w:rsidR="00971C39" w:rsidRPr="00DB2C42">
        <w:t xml:space="preserve">their </w:t>
      </w:r>
      <w:r w:rsidRPr="00DB2C42">
        <w:t xml:space="preserve">wildtype (WT) counterparts, including cold tolerance, heat production, and the expression of thermogenic proteins in </w:t>
      </w:r>
      <w:r w:rsidR="00A7005C" w:rsidRPr="00DB2C42">
        <w:t xml:space="preserve">the </w:t>
      </w:r>
      <w:r w:rsidRPr="00DB2C42">
        <w:t>BAT and s</w:t>
      </w:r>
      <w:r w:rsidR="00773609">
        <w:t>ubcutaneous white adipose tissue (</w:t>
      </w:r>
      <w:r w:rsidRPr="00DB2C42">
        <w:t>WAT</w:t>
      </w:r>
      <w:r w:rsidR="00773609">
        <w:t>)</w:t>
      </w:r>
      <w:r w:rsidRPr="00DB2C42">
        <w:t xml:space="preserve"> (Chapter III). </w:t>
      </w:r>
      <w:r w:rsidR="00503A5D" w:rsidRPr="00DB2C42">
        <w:t>Second</w:t>
      </w:r>
      <w:r w:rsidRPr="00DB2C42">
        <w:t xml:space="preserve">, the browning and insulin response of </w:t>
      </w:r>
      <w:r w:rsidR="00600C70" w:rsidRPr="00DB2C42">
        <w:t xml:space="preserve">the </w:t>
      </w:r>
      <w:r w:rsidR="003B38C0" w:rsidRPr="00DB2C42">
        <w:t xml:space="preserve">primary </w:t>
      </w:r>
      <w:r w:rsidR="00211B60" w:rsidRPr="00DB2C42">
        <w:t xml:space="preserve">adipocytes from the </w:t>
      </w:r>
      <w:r w:rsidRPr="00DB2C42">
        <w:t xml:space="preserve">ADSCs </w:t>
      </w:r>
      <w:r w:rsidR="00211B60" w:rsidRPr="00DB2C42">
        <w:t xml:space="preserve">derived </w:t>
      </w:r>
      <w:r w:rsidRPr="00DB2C42">
        <w:t xml:space="preserve">from </w:t>
      </w:r>
      <w:r w:rsidR="00820680" w:rsidRPr="00DB2C42">
        <w:t xml:space="preserve">the </w:t>
      </w:r>
      <w:r w:rsidRPr="00DB2C42">
        <w:t xml:space="preserve">WAT </w:t>
      </w:r>
      <w:r w:rsidR="000D1B22" w:rsidRPr="00DB2C42">
        <w:t xml:space="preserve">of </w:t>
      </w:r>
      <w:r w:rsidRPr="00DB2C42">
        <w:rPr>
          <w:i/>
          <w:iCs/>
        </w:rPr>
        <w:t>db/db</w:t>
      </w:r>
      <w:r w:rsidRPr="00DB2C42">
        <w:t xml:space="preserve"> and WT mice </w:t>
      </w:r>
      <w:r w:rsidR="00810128" w:rsidRPr="00DB2C42">
        <w:t xml:space="preserve">in response to </w:t>
      </w:r>
      <w:r w:rsidR="00A0005C" w:rsidRPr="00DB2C42">
        <w:t>RES</w:t>
      </w:r>
      <w:r w:rsidR="00810128" w:rsidRPr="00DB2C42">
        <w:t xml:space="preserve"> and </w:t>
      </w:r>
      <w:r w:rsidR="00A0005C" w:rsidRPr="00DB2C42">
        <w:t>ROSI</w:t>
      </w:r>
      <w:r w:rsidR="00810128" w:rsidRPr="00DB2C42">
        <w:t xml:space="preserve"> treatments </w:t>
      </w:r>
      <w:r w:rsidRPr="00DB2C42">
        <w:t>w</w:t>
      </w:r>
      <w:r w:rsidR="00391893">
        <w:t>ere</w:t>
      </w:r>
      <w:r w:rsidRPr="00DB2C42">
        <w:t xml:space="preserve"> assessed </w:t>
      </w:r>
      <w:r w:rsidR="004B354A" w:rsidRPr="004B354A">
        <w:rPr>
          <w:i/>
        </w:rPr>
        <w:t>in vitro</w:t>
      </w:r>
      <w:r w:rsidRPr="00DB2C42">
        <w:t xml:space="preserve">, with </w:t>
      </w:r>
      <w:r w:rsidR="00AD56B4" w:rsidRPr="00DB2C42">
        <w:t xml:space="preserve">a focus </w:t>
      </w:r>
      <w:bookmarkStart w:id="2" w:name="_Hlk200887430"/>
      <w:r w:rsidR="00AD56B4" w:rsidRPr="00DB2C42">
        <w:t>on</w:t>
      </w:r>
      <w:bookmarkEnd w:id="2"/>
      <w:r w:rsidRPr="00DB2C42">
        <w:t xml:space="preserve"> sex differences (Chapter IV). </w:t>
      </w:r>
      <w:r w:rsidR="00B11479" w:rsidRPr="00DB2C42">
        <w:t>Lastly</w:t>
      </w:r>
      <w:r w:rsidRPr="00DB2C42">
        <w:t xml:space="preserve">, </w:t>
      </w:r>
      <w:r w:rsidR="00857F33" w:rsidRPr="00DB2C42">
        <w:t xml:space="preserve">as a proof-of-concept, </w:t>
      </w:r>
      <w:r w:rsidRPr="00DB2C42">
        <w:t>we assessed</w:t>
      </w:r>
      <w:r w:rsidR="00B11479" w:rsidRPr="00DB2C42">
        <w:t xml:space="preserve"> </w:t>
      </w:r>
      <w:r w:rsidR="00B11479" w:rsidRPr="00DB2C42">
        <w:lastRenderedPageBreak/>
        <w:t>the contribution of</w:t>
      </w:r>
      <w:r w:rsidRPr="00DB2C42">
        <w:t xml:space="preserve"> UCP1-mediated browning</w:t>
      </w:r>
      <w:r w:rsidR="00B11479" w:rsidRPr="00DB2C42">
        <w:t xml:space="preserve"> </w:t>
      </w:r>
      <w:r w:rsidRPr="00DB2C42">
        <w:t xml:space="preserve">to insulin sensitization </w:t>
      </w:r>
      <w:r w:rsidR="000E2B87" w:rsidRPr="00DB2C42">
        <w:t xml:space="preserve">by ROSI </w:t>
      </w:r>
      <w:r w:rsidRPr="00DB2C42">
        <w:t xml:space="preserve">using 3T3L1 adipocytes </w:t>
      </w:r>
      <w:r w:rsidR="00A90F63" w:rsidRPr="00DB2C42">
        <w:t xml:space="preserve">with </w:t>
      </w:r>
      <w:r w:rsidRPr="00DB2C42">
        <w:t>UCP1 knockout (KO)</w:t>
      </w:r>
      <w:r w:rsidR="000E2B87" w:rsidRPr="00DB2C42">
        <w:t xml:space="preserve"> </w:t>
      </w:r>
      <w:r w:rsidRPr="00DB2C42">
        <w:t>(Chapter V). Together, these studies aim to elucidate the mechanisms underlying impaired thermogenesis in obesity, highlight the influence of biological sex on adipocyte responsiveness</w:t>
      </w:r>
      <w:r w:rsidR="00DC5228" w:rsidRPr="00DB2C42">
        <w:t xml:space="preserve"> to browning</w:t>
      </w:r>
      <w:r w:rsidRPr="00DB2C42">
        <w:t xml:space="preserve">, and identify therapeutic targets for enhancing energy expenditure and improving insulin sensitivity in metabolically compromised </w:t>
      </w:r>
      <w:r w:rsidR="00AF50A0" w:rsidRPr="00DB2C42">
        <w:t>conditions</w:t>
      </w:r>
      <w:r w:rsidRPr="00DB2C42">
        <w:t>.</w:t>
      </w:r>
    </w:p>
    <w:p w14:paraId="22177047" w14:textId="77777777" w:rsidR="009D181F" w:rsidRPr="00DB2C42" w:rsidRDefault="009D181F" w:rsidP="00F65CB6">
      <w:r w:rsidRPr="00DB2C42">
        <w:br w:type="page"/>
      </w:r>
    </w:p>
    <w:p w14:paraId="26ADBB36" w14:textId="77777777" w:rsidR="009765AB" w:rsidRPr="00DB2C42" w:rsidRDefault="009765AB" w:rsidP="00F37087">
      <w:pPr>
        <w:pStyle w:val="Heading1"/>
      </w:pPr>
      <w:bookmarkStart w:id="3" w:name="_Toc200988036"/>
      <w:bookmarkStart w:id="4" w:name="_Toc204848621"/>
      <w:r w:rsidRPr="00DB2C42">
        <w:lastRenderedPageBreak/>
        <w:t>CHAPTER II lITERATURE REVIEW</w:t>
      </w:r>
      <w:bookmarkEnd w:id="3"/>
      <w:bookmarkEnd w:id="4"/>
    </w:p>
    <w:p w14:paraId="02DDCD3F" w14:textId="2B51FD93" w:rsidR="009117C0" w:rsidRPr="009117C0" w:rsidRDefault="009765AB" w:rsidP="009117C0">
      <w:pPr>
        <w:spacing w:line="240" w:lineRule="auto"/>
        <w:rPr>
          <w:b/>
          <w:bCs/>
          <w:caps/>
        </w:rPr>
      </w:pPr>
      <w:r w:rsidRPr="00DB2C42">
        <w:br w:type="page"/>
      </w:r>
    </w:p>
    <w:p w14:paraId="12179FD7" w14:textId="77777777" w:rsidR="009117C0" w:rsidRDefault="009117C0" w:rsidP="00847BA5">
      <w:pPr>
        <w:pStyle w:val="Heading2"/>
        <w:jc w:val="left"/>
      </w:pPr>
      <w:bookmarkStart w:id="5" w:name="_Toc200988037"/>
      <w:bookmarkStart w:id="6" w:name="_Toc201001652"/>
      <w:bookmarkStart w:id="7" w:name="_Toc204848622"/>
      <w:r>
        <w:lastRenderedPageBreak/>
        <w:t>Obesity</w:t>
      </w:r>
      <w:bookmarkEnd w:id="5"/>
      <w:bookmarkEnd w:id="6"/>
      <w:bookmarkEnd w:id="7"/>
    </w:p>
    <w:p w14:paraId="2F5BA631" w14:textId="77777777" w:rsidR="009117C0" w:rsidRPr="00735FCE" w:rsidRDefault="009117C0" w:rsidP="00847BA5">
      <w:pPr>
        <w:pStyle w:val="Heading3"/>
        <w:jc w:val="left"/>
      </w:pPr>
      <w:bookmarkStart w:id="8" w:name="_Toc200988038"/>
      <w:bookmarkStart w:id="9" w:name="_Toc201001653"/>
      <w:bookmarkStart w:id="10" w:name="_Toc204848623"/>
      <w:r w:rsidRPr="00735FCE">
        <w:t>Global Prevalence of Obesity</w:t>
      </w:r>
      <w:bookmarkEnd w:id="8"/>
      <w:bookmarkEnd w:id="9"/>
      <w:bookmarkEnd w:id="10"/>
    </w:p>
    <w:p w14:paraId="6A038149" w14:textId="11F35CFA" w:rsidR="009117C0" w:rsidRPr="00735FCE" w:rsidRDefault="009117C0" w:rsidP="00594274">
      <w:pPr>
        <w:ind w:firstLine="720"/>
        <w:jc w:val="left"/>
      </w:pPr>
      <w:r w:rsidRPr="00735FCE">
        <w:t xml:space="preserve">Obesity is a chronic disease characterized by excessive accumulation of adipose tissue or abnormal adipose tissue function and is associated with </w:t>
      </w:r>
      <w:r>
        <w:t>many</w:t>
      </w:r>
      <w:r w:rsidRPr="00735FCE">
        <w:t xml:space="preserve"> adverse health consequence</w:t>
      </w:r>
      <w:r>
        <w:t xml:space="preserve">s </w:t>
      </w:r>
      <w:r w:rsidRPr="00735FCE">
        <w:fldChar w:fldCharType="begin"/>
      </w:r>
      <w:r w:rsidR="00281437">
        <w:instrText xml:space="preserve"> ADDIN ZOTERO_ITEM CSL_CITATION {"citationID":"mR6P9BIH","properties":{"formattedCitation":"\\super 18\\nosupersub{}","plainCitation":"18","noteIndex":0},"citationItems":[{"id":3082,"uris":["http://zotero.org/users/9622455/items/SP4V2XDC"],"itemData":{"id":3082,"type":"article-journal","abstract":"The Global Burden of Disease (GBD) study that is now reported in the Journal offers a discouraging reminder that the global obesity epidemic is worsening in most parts of the world and that its implications regarding both physical health and economic health remain ominous.1 The study, in which researchers assembled data from 195 countries to model trends in overweight and obesity and related morbidity and mortality, showed that the prevalence of obesity has more than doubled since 1980 and is now 5% in children and 12% in adults — findings that mirror similar global trends in type 2 diabetes. Apart . . .","container-title":"New England Journal of Medicine","DOI":"10.1056/NEJMe1706095","ISSN":"0028-4793","issue":"1","note":"publisher: Massachusetts Medical Society\n_eprint: https://www.nejm.org/doi/pdf/10.1056/NEJMe1706095","page":"80-81","source":"Taylor and Francis+NEJM","title":"Global Health Effects of Overweight and Obesity","volume":"377","author":[{"family":"Gregg","given":"Edward W."},{"family":"Shaw","given":"Jonathan E."}],"issued":{"date-parts":[["2017",7,6]]}}}],"schema":"https://github.com/citation-style-language/schema/raw/master/csl-citation.json"} </w:instrText>
      </w:r>
      <w:r w:rsidRPr="00735FCE">
        <w:fldChar w:fldCharType="separate"/>
      </w:r>
      <w:r w:rsidR="00281437" w:rsidRPr="00281437">
        <w:rPr>
          <w:vertAlign w:val="superscript"/>
        </w:rPr>
        <w:t>18</w:t>
      </w:r>
      <w:r w:rsidRPr="00735FCE">
        <w:fldChar w:fldCharType="end"/>
      </w:r>
      <w:r w:rsidRPr="00735FCE">
        <w:t>. Body mass index (BMI) is the traditional tool for classifying obesity. It is calculated using body weight and height [(weight in kg)/(height in m2)]</w:t>
      </w:r>
      <w:r>
        <w:t>,</w:t>
      </w:r>
      <w:r w:rsidRPr="00735FCE">
        <w:t xml:space="preserve"> and a BMI ≥ 30 is considered obese</w:t>
      </w:r>
      <w:r>
        <w:t xml:space="preserve"> </w:t>
      </w:r>
      <w:r w:rsidRPr="00735FCE">
        <w:fldChar w:fldCharType="begin"/>
      </w:r>
      <w:r w:rsidR="00281437">
        <w:instrText xml:space="preserve"> ADDIN ZOTERO_ITEM CSL_CITATION {"citationID":"GWslsmNe","properties":{"formattedCitation":"\\super 19\\nosupersub{}","plainCitation":"19","noteIndex":0},"citationItems":[{"id":3083,"uris":["http://zotero.org/users/9622455/items/3TPQ5B8T"],"itemData":{"id":3083,"type":"article-journal","abstract":"The quest for a practical index of relative body weight that began shortly after actuaries reported the increased mortality of their overweight policyholders culminated after World War II, when the relationship between weight and cardiovascular disease became the subject of epidemiological studies. It became evident then that the best index was the ratio of the weight in kilograms divided by the square of the height in meters, or the Quetelet Index described in 1832. Adolphe Quetelet (1796–1874) was a Belgian mathematician, astronomer and statistician, who developed a passionate interest in probability calculus that he applied to study human physical characteristics and social aptitudes. His pioneering cross-sectional studies of human growth led him to conclude that other than the spurts of growth after birth and during puberty, ‘the weight increases as the square of the height’, known as the Quetelet Index until it was termed the Body Mass Index in 1972 by Ancel Keys (1904–2004).For his application of comparative statistics to social conditions and moral issues, Quetelet is considered a founder of the social sciences. His principal work, ‘A Treatise of Man and the development of his faculties’ published in 1835 is considered ‘one of the greatest books of the 19th century’. A tireless promoter of statistical data collection based on standard methods and definitions, Quetelet organized in 1853 the first International Statistical Congress, which launched the development of ‘a uniform nomenclature of the causes of death applicable to all countries’, progenitor of the current International Classification of Diseases.","container-title":"Nephrology Dialysis Transplantation","DOI":"10.1093/ndt/gfm517","ISSN":"0931-0509","issue":"1","journalAbbreviation":"Nephrology Dialysis Transplantation","page":"47-51","source":"Silverchair","title":"Adolphe Quetelet (1796–1874)—the average man and indices of obesity","volume":"23","author":[{"family":"Eknoyan","given":"Garabed"}],"issued":{"date-parts":[["2008",1,1]]}}}],"schema":"https://github.com/citation-style-language/schema/raw/master/csl-citation.json"} </w:instrText>
      </w:r>
      <w:r w:rsidRPr="00735FCE">
        <w:fldChar w:fldCharType="separate"/>
      </w:r>
      <w:r w:rsidR="00281437" w:rsidRPr="00281437">
        <w:rPr>
          <w:vertAlign w:val="superscript"/>
        </w:rPr>
        <w:t>19</w:t>
      </w:r>
      <w:r w:rsidRPr="00735FCE">
        <w:fldChar w:fldCharType="end"/>
      </w:r>
      <w:r w:rsidRPr="00735FCE">
        <w:t xml:space="preserve">. However, BMI-based classifications have </w:t>
      </w:r>
      <w:r>
        <w:t>significant</w:t>
      </w:r>
      <w:r w:rsidRPr="00735FCE">
        <w:t xml:space="preserve"> limitations. It does not reflect fat distribution, inter-individual differences in fat metabolism, or susceptibility to adipose tissue dysfunction</w:t>
      </w:r>
      <w:r>
        <w:t xml:space="preserve"> </w:t>
      </w:r>
      <w:r w:rsidRPr="00735FCE">
        <w:fldChar w:fldCharType="begin"/>
      </w:r>
      <w:r w:rsidR="00281437">
        <w:instrText xml:space="preserve"> ADDIN ZOTERO_ITEM CSL_CITATION {"citationID":"PQP7hueP","properties":{"formattedCitation":"\\super 20\\nosupersub{}","plainCitation":"20","noteIndex":0},"citationItems":[{"id":3088,"uris":["http://zotero.org/users/9622455/items/UTMZ5WBQ"],"itemData":{"id":3088,"type":"article-journal","abstract":"Background. Childhood and adolescent overweight and obesity are related to health risks, medical conditions, and increased risk of adult obesity, with its attendant effects on morbidity and mortality rates. The prevalence of childhood overweight and obesity has more than doubled in the past 25 years.Purpose. This evidence synthesis examines the evidence for the benefits and harms of screening and early treatment of overweight among children and adolescents in clinical settings.Methods. We developed an analytic framework and 7 key questions representing the logical evidence connecting screening and weight control interventions with changes in overweight and behavioral, physiologic, and health outcomes in childhood or adulthood. We searched the Cochrane Library from 1996 to April 2004. We searched Medline, PsycINFO, DARE, and CINAHL from 1966 to April 2004. One reviewer abstracted relevant information from each included article into standardized evidence tables, and a second reviewer checked key elements. Two reviewers quality-graded each article with US Preventive Services Task Force criteria.Results. Although BMI is a measure of relative weight rather than adiposity, it is recommended widely for use among children and adolescents to determine overweight and is the currently preferred measure. The risk of adult overweight from childhood overweight provides the best available evidence to judge the clinical validity of BMI as an overweight criterion for children an</w:instrText>
      </w:r>
      <w:r w:rsidR="00281437">
        <w:rPr>
          <w:rFonts w:hint="eastAsia"/>
        </w:rPr>
        <w:instrText xml:space="preserve">d adolescents. BMI measures in childhood track to adulthood moderately or very well, with stronger tracking seen for children with </w:instrText>
      </w:r>
      <w:r w:rsidR="00281437">
        <w:rPr>
          <w:rFonts w:hint="eastAsia"/>
        </w:rPr>
        <w:instrText>≥</w:instrText>
      </w:r>
      <w:r w:rsidR="00281437">
        <w:rPr>
          <w:rFonts w:hint="eastAsia"/>
        </w:rPr>
        <w:instrText xml:space="preserve">1 obese parent and children who are more overweight or older. The probability of adult obesity (BMI of &amp;gt;30 kg/m2) is </w:instrText>
      </w:r>
      <w:r w:rsidR="00281437">
        <w:rPr>
          <w:rFonts w:hint="eastAsia"/>
        </w:rPr>
        <w:instrText>≥</w:instrText>
      </w:r>
      <w:r w:rsidR="00281437">
        <w:rPr>
          <w:rFonts w:hint="eastAsia"/>
        </w:rPr>
        <w:instrText>50</w:instrText>
      </w:r>
      <w:r w:rsidR="00281437">
        <w:instrText>% among children &amp;gt;13 years of age whose BMI percentiles meet or exceed the 95th percentile for age and gender. BMI-based overweight categorization for individuals, particularly for racial/ethnic minorities with differences in body composition, may have limited validity because BMI measures cannot differentiate between increased weight for height attributable to relatively greater fat-free mass (muscle, bone, and fluids) and that attributable to greater fat. No trials of screening programs to identify and to treat childhood overweight have been reported. Limited research is available on effective, generalizable interventions for overweight children and adolescents that can be conducted in primary care settings or through primary care referrals.Conclusions. BMI measurements of overweight among older adolescents identify those at increased risk of developing adult obesity. Interventions to treat overweight adolescents in clinical settings have not been shown to have clinically significant benefits, and they are not widely available. Screening to categorize overweight among children under age 12 or 13 who are not clearly overweight may not provide reliable risk categorization for adult obesity. Screening in this age group is compromised by the fact that there is little generalizable evidence for primary care interventions. Because existing trials report modest short- to medium-term improvements (</w:instrText>
      </w:r>
      <w:r w:rsidR="00281437">
        <w:rPr>
          <w:rFonts w:ascii="Cambria Math" w:hAnsi="Cambria Math" w:cs="Cambria Math"/>
        </w:rPr>
        <w:instrText>∼</w:instrText>
      </w:r>
      <w:r w:rsidR="00281437">
        <w:instrText xml:space="preserve">10–20% decrease in percentage of overweight or a few units of change in BMI), however, overweight improvements among children and adolescents seem possible.","container-title":"Pediatrics","DOI":"10.1542/peds.2005-0242","ISSN":"0031-4005","issue":"1","journalAbbreviation":"Pediatrics","page":"e125-e144","source":"Silverchair","title":"Screening and Interventions for Childhood Overweight: A Summary of Evidence for the US Preventive Services Task Force","title-short":"Screening and Interventions for Childhood Overweight","volume":"116","author":[{"family":"Whitlock","given":"Evelyn P."},{"family":"Williams","given":"Selvi B."},{"family":"Gold","given":"Rachel"},{"family":"Smith","given":"Paula R."},{"family":"Shipman","given":"Scott A."}],"issued":{"date-parts":[["2005",7,1]]}}}],"schema":"https://github.com/citation-style-language/schema/raw/master/csl-citation.json"} </w:instrText>
      </w:r>
      <w:r w:rsidRPr="00735FCE">
        <w:fldChar w:fldCharType="separate"/>
      </w:r>
      <w:r w:rsidR="00281437" w:rsidRPr="00281437">
        <w:rPr>
          <w:vertAlign w:val="superscript"/>
        </w:rPr>
        <w:t>20</w:t>
      </w:r>
      <w:r w:rsidRPr="00735FCE">
        <w:fldChar w:fldCharType="end"/>
      </w:r>
      <w:r w:rsidRPr="00735FCE">
        <w:t>. Furthermore, a BMI-based definition does not account for the impact of obesity on health or well-being, which is a defining characteristic of any disease</w:t>
      </w:r>
      <w:r>
        <w:t xml:space="preserve"> </w:t>
      </w:r>
      <w:r w:rsidRPr="00735FCE">
        <w:fldChar w:fldCharType="begin"/>
      </w:r>
      <w:r w:rsidR="00281437">
        <w:instrText xml:space="preserve"> ADDIN ZOTERO_ITEM CSL_CITATION {"citationID":"TXXzrzuj","properties":{"formattedCitation":"\\super 21\\nosupersub{}","plainCitation":"21","noteIndex":0},"citationItems":[{"id":3085,"uris":["http://zotero.org/users/9622455/items/IR7VLU4T"],"itemData":{"id":3085,"type":"article-journal","container-title":"The Lancet","DOI":"10.1016/S0140-6736(24)01210-8","ISSN":"0140-6736, 1474-547X","issue":"10456","journalAbbreviation":"The Lancet","language":"English","note":"publisher: Elsevier\nPMID: 39159652","page":"972-987","source":"www.thelancet.com","title":"Obesity in adults","volume":"404","author":[{"family":"Lingvay","given":"Ildiko"},{"family":"Cohen","given":"Ricardo V."},{"family":"Roux","given":"Carel W.","dropping-particle":"le"},{"family":"Sumithran","given":"Priya"}],"issued":{"date-parts":[["2024",9,7]]}}}],"schema":"https://github.com/citation-style-language/schema/raw/master/csl-citation.json"} </w:instrText>
      </w:r>
      <w:r w:rsidRPr="00735FCE">
        <w:fldChar w:fldCharType="separate"/>
      </w:r>
      <w:r w:rsidR="00281437" w:rsidRPr="00281437">
        <w:rPr>
          <w:vertAlign w:val="superscript"/>
        </w:rPr>
        <w:t>21</w:t>
      </w:r>
      <w:r w:rsidRPr="00735FCE">
        <w:fldChar w:fldCharType="end"/>
      </w:r>
      <w:r w:rsidRPr="00735FCE">
        <w:t xml:space="preserve">. Since these limitations have been recognized, alternative methods have been proposed for defining obesity. Direct measures of adipose tissue distribution include waist circumference, waist-to-hip ratio, and fat percentage, as well as clinical markers of metabolic dysfunction, </w:t>
      </w:r>
      <w:r>
        <w:t>such as</w:t>
      </w:r>
      <w:r w:rsidRPr="00735FCE">
        <w:t xml:space="preserve"> insulin resistance, dyslipidemia, and inflammatory profiles, </w:t>
      </w:r>
      <w:r>
        <w:t xml:space="preserve">which </w:t>
      </w:r>
      <w:r w:rsidRPr="00735FCE">
        <w:t>can also be used to determine obesity</w:t>
      </w:r>
      <w:r>
        <w:t xml:space="preserve"> </w:t>
      </w:r>
      <w:r w:rsidRPr="00735FCE">
        <w:fldChar w:fldCharType="begin"/>
      </w:r>
      <w:r w:rsidR="00281437">
        <w:instrText xml:space="preserve"> ADDIN ZOTERO_ITEM CSL_CITATION {"citationID":"SYgd6me8","properties":{"formattedCitation":"\\super 22,23\\nosupersub{}","plainCitation":"22,23","noteIndex":0},"citationItems":[{"id":3095,"uris":["http://zotero.org/users/9622455/items/R6QUHYCN"],"itemData":{"id":3095,"type":"article-journal","abstract":"Background:Insulin resistance is more common in overweight individuals and is associated with increased risk for type 2 diabetes mellitus and cardiovascular disease. Given the current epidemic of obesity and the fact that lifestyle interventions, such as weight loss and exercise, decrease insulin resistance, a relatively simple means to identify overweight individuals who are insulin resistant would be clinically useful.Objective:To evaluate the ability of metabolic markers associated with insulin resistance and increased risk for cardiovascular disease to identify the subset of overweight individuals who are insulin resistant.Design:Cross-sectional study.Setting:General clinical research center.Patients:258 nondiabetic, overweight volunteers.Measurements:Body mass index; fasting glucose, insulin, lipid and lipoprotein concentrations; and insulin-mediated glucose disposal as quantified by the steady-state plasma glucose concentration during the insulin suppression test. Overweight was defined as body mass index of 25 kg/m2 or greater, and insulin resistance was defined as being in the top tertile of steady-state plasma glucose concentrations. Receiver-operating characteristic curve analysis was used to identify the best markers of insulin resistance; optimal cut-points were identified and analyzed for predictive power.Results:Plasma triglyceride concentration, ratio of triglyceride to high-density lipoprotein cholesterol concentrations, and insulin concentration were the most useful metabolic markers in identifying insulin-resistant individuals. The optimal cut-points were 1.47 mmol/L (130 mg/dL) for triglyceride, 1.8 in SI units (3.0 in traditional units) for the triglyceridehigh-density lipoprotein cholesterol ratio, and 109 pmol/L for insulin. Respective sensitivity and specifity for these cut-points were 67%, 64%, and 57% and 71%, 68%, and 85%. Their ability to identify insulin-resistant individuals was similar to the ability of the criteria proposed by the Adult Treatment Panel III to diagnose the metabolic syndrome (sensitivity, 52%, and specificity, 85%).Conclusions:Three relatively simple metabolic markers can help identify overweight individuals who are sufficiently insulin resistant to be at increased risk for various adverse outcomes. In the absence of a standardized insulin assay, we suggest that the most practical approach to identify overweight individuals who are insulin resistant is to use the cut-points for either triglyceride concentration or the triglyceridehigh-density lipoprotein cholesterol concentration ratio.","container-title":"Annals of Internal Medicine","DOI":"10.7326/0003-4819-139-10-200311180-00007","ISSN":"0003-4819","issue":"10","journalAbbreviation":"Ann Intern Med","note":"publisher: American College of Physicians","page":"802-809","source":"acpjournals.org (Atypon)","title":"Use of Metabolic Markers To Identify Overweight Individuals Who Are Insulin Resistant","volume":"139","author":[{"family":"McLaughlin","given":"Tracey"},{"family":"Abbasi","given":"Fahim"},{"family":"Cheal","given":"Karen"},{"family":"Chu","given":"James"},{"family":"Lamendola","given":"Cindy"},{"family":"Reaven","given":"Gerald"}],"issued":{"date-parts":[["2003",11,18]]}}},{"id":2852,"uris":["http://zotero.org/users/9622455/items/GKYHZJE5"],"itemData":{"id":2852,"type":"article-journal","abstract":"Adipose tissue plays essential roles in maintaining lipid and glucose homeostasis. To date several types of adipose tissue have been identified, namely white, brown, and beige, that reside in various specific anatomical locations throughout the body. The cellular composition, secretome, and location of these adipose depots define their function in health and metabolic disease. In obesity, adipose tissue becomes dysfunctional, promoting a pro-inflammatory, hyperlipidemic and insulin resistant environment that contributes to type 2 diabetes mellitus (T2DM). Concurrently, similar features that result from adipose tissue dysfunction also promote cardiovascular disease (CVD) by mechanisms that can be augmented by T2DM. The mechanisms by which dysfunctional adipose tissue simultaneously promote T2DM and CVD, focusing on adipose tissue depot-specific adipokines, inflammatory profiles, and metabolism, will be the focus of this review. The impact that various T2DM and CVD treatment strategies have on adipose tissue function and body weight also will be discussed.","container-title":"Frontiers in Cardiovascular Medicine","DOI":"10.3389/fcvm.2020.00022","ISSN":"2297-055X","journalAbbreviation":"Front. Cardiovasc. Med.","language":"English","note":"publisher: Frontiers","source":"Frontiers","title":"Adipose Tissue Distribution, Inflammation and Its Metabolic Consequences, Including Diabetes and Cardiovascular Disease","URL":"https://www.frontiersin.orghttps://www.frontiersin.org/journals/cardiovascular-medicine/articles/10.3389/fcvm.2020.00022/full","volume":"7","author":[{"family":"Chait","given":"Alan"},{"family":"Hartigh","given":"Laura J.","non-dropping-particle":"den"}],"accessed":{"date-parts":[["2025",4,29]]},"issued":{"date-parts":[["2020",2,25]]}}}],"schema":"https://github.com/citation-style-language/schema/raw/master/csl-citation.json"} </w:instrText>
      </w:r>
      <w:r w:rsidRPr="00735FCE">
        <w:fldChar w:fldCharType="separate"/>
      </w:r>
      <w:r w:rsidR="00281437" w:rsidRPr="00281437">
        <w:rPr>
          <w:vertAlign w:val="superscript"/>
        </w:rPr>
        <w:t>22,23</w:t>
      </w:r>
      <w:r w:rsidRPr="00735FCE">
        <w:fldChar w:fldCharType="end"/>
      </w:r>
      <w:r w:rsidRPr="00735FCE">
        <w:t xml:space="preserve">. </w:t>
      </w:r>
    </w:p>
    <w:p w14:paraId="2383C568" w14:textId="63EFCF5F" w:rsidR="009117C0" w:rsidRPr="00735FCE" w:rsidRDefault="009117C0" w:rsidP="00594274">
      <w:pPr>
        <w:ind w:firstLine="720"/>
        <w:jc w:val="left"/>
      </w:pPr>
      <w:r w:rsidRPr="00735FCE">
        <w:t xml:space="preserve">There has been a significant increase in obesity rates globally over the last three decades, with </w:t>
      </w:r>
      <w:r>
        <w:t>significant</w:t>
      </w:r>
      <w:r w:rsidRPr="00735FCE">
        <w:t xml:space="preserve"> differences across regions and sexes. As of 2022, approximately 2.5 billion adults aged 18 years and older are overweight</w:t>
      </w:r>
      <w:r>
        <w:t xml:space="preserve"> (BMI </w:t>
      </w:r>
      <w:r w:rsidRPr="00735FCE">
        <w:t>≥</w:t>
      </w:r>
      <w:r>
        <w:t xml:space="preserve"> 25)</w:t>
      </w:r>
      <w:r w:rsidRPr="00735FCE">
        <w:t>, including over 890 million who are obese</w:t>
      </w:r>
      <w:r>
        <w:t xml:space="preserve"> </w:t>
      </w:r>
      <w:r w:rsidRPr="00735FCE">
        <w:fldChar w:fldCharType="begin"/>
      </w:r>
      <w:r w:rsidR="00281437">
        <w:instrText xml:space="preserve"> ADDIN ZOTERO_ITEM CSL_CITATION {"citationID":"K3wqWu01","properties":{"formattedCitation":"\\super 24\\nosupersub{}","plainCitation":"24","noteIndex":0},"citationItems":[{"id":3100,"uris":["http://zotero.org/users/9622455/items/829YAKYN"],"itemData":{"id":3100,"type":"webpage","title":"Obesity and overweight","URL":"https://www.who.int/news-room/fact-sheets/detail/obesity-and-overweight","accessed":{"date-parts":[["2025",5,28]]}}}],"schema":"https://github.com/citation-style-language/schema/raw/master/csl-citation.json"} </w:instrText>
      </w:r>
      <w:r w:rsidRPr="00735FCE">
        <w:fldChar w:fldCharType="separate"/>
      </w:r>
      <w:r w:rsidR="00281437" w:rsidRPr="00281437">
        <w:rPr>
          <w:vertAlign w:val="superscript"/>
        </w:rPr>
        <w:t>24</w:t>
      </w:r>
      <w:r w:rsidRPr="00735FCE">
        <w:fldChar w:fldCharType="end"/>
      </w:r>
      <w:r w:rsidRPr="00735FCE">
        <w:t>. By 2050, over half of global adults will be overweight or obese, which will be 3.8 billion</w:t>
      </w:r>
      <w:r>
        <w:t xml:space="preserve"> </w:t>
      </w:r>
      <w:r w:rsidRPr="00735FCE">
        <w:fldChar w:fldCharType="begin"/>
      </w:r>
      <w:r w:rsidR="00281437">
        <w:instrText xml:space="preserve"> ADDIN ZOTERO_ITEM CSL_CITATION {"citationID":"fIbJMD8c","properties":{"formattedCitation":"\\super 25\\nosupersub{}","plainCitation":"25","noteIndex":0},"citationItems":[{"id":3099,"uris":["http://zotero.org/users/9622455/items/FR93TNFR"],"itemData":{"id":3099,"type":"article-journal","abstract":"Background Overweight and obesity is a global epidemic. Forecasting future trajectories of the epidemic is crucial for providing an evidence base for policy change. In this study, we examine the historical trends of the global, regional, and national prevalence of adult overweight and obesity from 1990 to 2021 and forecast the future trajectories to 2050.","container-title":"The Lancet","DOI":"10.1016/S0140-6736(25)00355-1","ISSN":"01406736","issue":"10481","journalAbbreviation":"The Lancet","language":"en","page":"813-838","source":"DOI.org (Crossref)","title":"Global, regional, and national prevalence of adult overweight and obesity, 1990–2021, with forecasts to 2050: a forecasting study for the Global Burden of Disease Study 2021","title-short":"Global, regional, and national prevalence of adult overweight and obesity, 1990–2021, with forecasts to 2050","volume":"405","author":[{"family":"Ng","given":"Marie"},{"family":"Gakidou","given":"Emmanuela"},{"family":"Lo","given":"Justin"},{"family":"Abate","given":"Yohannes Habtegiorgis"},{"family":"Abbafati","given":"Cristiana"},{"family":"Abbas","given":"Nasir"},{"family":"Abbasian","given":"Mohammadreza"},{"family":"Abd ElHafeez","given":"Samar"},{"family":"Abdel-Rahman","given":"Wael M"},{"family":"Abd-Elsalam","given":"Sherief"},{"family":"Abdollahi","given":"Arash"},{"family":"Abdoun","given":"Meriem"},{"family":"Abdulah","given":"Deldar Morad"},{"family":"Abdulkader","given":"Rizwan Suliankatchi"},{"family":"Abdullahi","given":"Auwal"},{"family":"Abedi","given":"Armita"},{"family":"Abeywickrama","given":"Hansani Madushika"},{"family":"Abie","given":"Alemwork"},{"family":"Aboagye","given":"Richard Gyan"},{"family":"Abohashem","given":"Shady"},{"family":"Abtahi","given":"Dariush"},{"family":"Abualruz","given":"Hasan"},{"family":"Abubakar","given":"Bilyaminu"},{"family":"Abu Farha","given":"Rana Kamal"},{"family":"Abukhadijah","given":"Hana J"},{"family":"Abu-Rmeileh","given":"Niveen Me"},{"family":"Aburuz","given":"Salahdein"},{"family":"Abu-Zaid","given":"Ahmed"},{"family":"Adams","given":"Lisa C"},{"family":"Adane","given":"Mesafint Molla"},{"family":"Addo","given":"Isaac Yeboah"},{"family":"Adedokun","given":"Kamoru Ademola"},{"family":"Adegoke","given":"Nurudeen A"},{"family":"Adepoju","given":"Abiola Victor Victor"},{"family":"Adesola","given":"Ridwan Olamilekan"},{"family":"Adeyeoluwa","given":"Temitayo Esther"},{"family":"Adiga","given":"Usha"},{"family":"Adnani","given":"Qorinah Estiningtyas Sakilah"},{"family":"Afaghi","given":"Siamak"},{"family":"Afzal","given":"Saira"},{"family":"Afzal","given":"Muhammad Sohail"},{"family":"Agampodi","given":"Thilini Chanchala"},{"family":"Aghamiri","given":"Shahin"},{"family":"Agostinis Sobrinho","given":"César"},{"family":"Agyemang-Duah","given":"Williams"},{"family":"Ahlstrom","given":"Austin J"},{"family":"Ahmad","given":"Danish"},{"family":"Ahmad","given":"Sajjad"},{"family":"Ahmad","given":"Aqeel"},{"family":"Ahmad","given":"Muayyad M"},{"family":"Ahmad","given":"Fuzail"},{"family":"Ahmad","given":"Noah"},{"family":"Ahmed","given":"Haroon"},{"family":"Ahmed","given":"Muktar Beshir"},{"family":"Ahmed","given":"Ayman"},{"family":"Ahmed","given":"Meqdad Saleh"},{"family":"Ahmed","given":"Mehrunnisha Sharif"},{"family":"Ahmed","given":"Syed Anees"},{"family":"Ajami","given":"Marjan"},{"family":"Akhtar","given":"Samina"},{"family":"Akkaif","given":"Mohammed Ahmed"},{"family":"Akrami","given":"Ashley E"},{"family":"Alalwan","given":"Tariq A"},{"family":"Al-Aly","given":"Ziyad"},{"family":"Alam","given":"Khurshid"},{"family":"Al-amer","given":"Rasmieh Mustafa"},{"family":"Alansari","given":"Amani"},{"family":"Al-Ashwal","given":"Fahmi Y"},{"family":"Albashtawy","given":"Mohammed"},{"family":"Aldhaleei","given":"Wafa A"},{"family":"Alemayehu","given":"Bezawit Abeje"},{"family":"Algammal","given":"Abdelazeem M"},{"family":"Alhabib","given":"Khalid F"},{"family":"Al Hamad","given":"Hanadi"},{"family":"Al Hasan","given":"Syed Mahfuz"},{"family":"Alhuwail","given":"Dari"},{"family":"Ali","given":"Rafat"},{"family":"Ali","given":"Abid"},{"family":"Ali","given":"Waad"},{"family":"Ali","given":"Mohammed Usman"},{"family":"Alif","given":"Sheikh Mohammad"},{"family":"Al-Jabi","given":"Samah W"},{"family":"Aljunid","given":"Syed Mohamed"},{"family":"Alkhatib","given":"Ahmad"},{"family":"Al-Marwani","given":"Sabah"},{"family":"Alomari","given":"Mahmoud A"},{"family":"Alqahtani","given":"Saleh A"},{"family":"Al-Raddadi","given":"Rajaa M Mohammad"},{"family":"Alrawashdeh","given":"Ahmad"},{"family":"Alrimawi","given":"Intima"},{"family":"Alrousan","given":"Sahel Majed"},{"family":"Alshahrani","given":"Najim Z"},{"family":"Al Ta'ani","given":"Omar"},{"family":"Al Ta'ani","given":"Zain"},{"family":"Altaany","given":"Zaid"},{"family":"Altaf","given":"Awais"},{"family":"Al Thaher","given":"Yazan"},{"family":"Alvis-Guzman","given":"Nelson"},{"family":"Al-Wardat","given":"Mohammad"},{"family":"Al-Worafi","given":"Yaser Mohammed"},{"family":"Aly","given":"Safwat"},{"family":"Aly","given":"Hany"},{"family":"Alzahrani","given":"Hosam"},{"family":"Alzoubi","given":"Abdallah"},{"family":"Alzoubi","given":"Karem H"},{"family":"Al-Zubayer","given":"Md. Akib"},{"family":"Amiri","given":"Sohrab"},{"family":"Amu","given":"Hubert"},{"family":"Amugsi","given":"Dickson A"},{"family":"Amusa","given":"Ganiyu Adeniyi"},{"family":"Ananda","given":"Roshan A"},{"family":"Ancuceanu","given":"Robert"},{"family":"Andrei","given":"Catalina Liliana"},{"family":"Anjana","given":"Ranjit Mohan"},{"family":"Ansari","given":"Sumbul"},{"family":"Ansari","given":"Mohammed Tahir"},{"family":"Antony","given":"Catherine M"},{"family":"Anuoluwa","given":"Iyadunni Adesola"},{"family":"Anuoluwa","given":"Boluwatife Stephen"},{"family":"Anvari","given":"Saeid"},{"family":"Anwar","given":"Saleha"},{"family":"Anyasodor","given":"Anayochukwu Edward"},{"family":"Apostol","given":"Geminn Louis Carace"},{"family":"Arab","given":"Juan Pablo"},{"family":"Arabloo","given":"Jalal"},{"family":"Arafat","given":"Mosab"},{"family":"Aravkin","given":"Aleksandr Y"},{"family":"Areda","given":"Demelash"},{"family":"Arifin","given":"Hidayat"},{"family":"Arkew","given":"Mesay"},{"family":"Armocida","given":"Benedetta"},{"family":"Ärnlöv","given":"Johan"},{"family":"Arooj","given":"Mahwish"},{"family":"Artamonov","given":"Anton A"},{"family":"Artanti","given":"Kurnia Dwi"},{"family":"Arumugam","given":"Ashokan"},{"family":"Asghari-Jafarabadi","given":"Mohammad"},{"family":"Ashraf","given":"Tahira"},{"family":"Asiamah-Asare","given":"Bernard Kwadwo Yeboah"},{"family":"Asrat","given":"Anemaw A"},{"family":"Astell-Burt","given":"Thomas"},{"family":"Athari","given":"Seyyed Shamsadin"},{"family":"Atorkey","given":"Prince"},{"family":"Atreya","given":"Alok"},{"family":"Aumoldaeva","given":"Zaure Maratovna"},{"family":"Awad","given":"Hamzeh"},{"family":"Awoke","given":"Mamaru Ayenew"},{"family":"Awotidebe","given":"Adedapo Wasiu"},{"family":"Aychiluhm","given":"Setognal Birara"},{"family":"Azargoonjahromi","given":"Ali"},{"family":"Azimi","given":"Amirali"},{"family":"Aziz","given":"Sadat Abdulla"},{"family":"Aziz","given":"Shahkaar"},{"family":"Azzam","given":"Ahmed Y."},{"family":"Azzolino","given":"Domenico"},{"family":"Azzopardi","given":"Peter S"},{"family":"Babashahi","given":"Mina"},{"family":"Babu","given":"Giridhara Rathnaiah"},{"family":"Badiye","given":"Ashish D"},{"family":"Bagheri","given":"Nasser"},{"family":"Bahurupi","given":"Yogesh"},{"family":"Bai","given":"Ruhai"},{"family":"Baig","given":"Atif Amin"},{"family":"Bakkannavar","given":"Shankar M"},{"family":"Balakrishnan","given":"Senthilkumar"},{"family":"Baltatu","given":"Ovidiu Constantin"},{"family":"Bam","given":"Kiran"},{"family":"Banach","given":"Maciej"},{"family":"Banik","given":"Rajon"},{"family":"Bardhan","given":"Mainak"},{"family":"Barqawi","given":"Hiba Jawdat"},{"family":"Barquera","given":"Simon"},{"family":"Barua","given":"Lingkan"},{"family":"Basharat","given":"Zarrin"},{"family":"Bashir","given":"Shahid"},{"family":"Bastan","given":"Mohammad-Mahdi"},{"family":"Basu","given":"Saurav"},{"family":"Bayat","given":"Reza"},{"family":"Bayih","given":"Mulat Tirfie"},{"family":"Beeraka","given":"Narasimha M"},{"family":"Begum","given":"Tahmina"},{"family":"Bello","given":"Umar Muhammad"},{"family":"Bello","given":"Abdulrahman Babatunde"},{"family":"Belo","given":"Luis"},{"family":"Bensenor","given":"Isabela M"},{"family":"Bergami","given":"Maria"},{"family":"Berhe","given":"Kidanemaryam"},{"family":"Berihun","given":"Abiye Assefa"},{"family":"Bhadoria","given":"Ajeet Singh"},{"family":"Bhagavathula","given":"Akshaya Srikanth"},{"family":"Bhala","given":"Neeraj"},{"family":"Bhalla","given":"Jaideep Singh"},{"family":"Bharadwaj","given":"Ravi"},{"family":"Bhardwaj","given":"Pankaj"},{"family":"Bhardwaj","given":"Nikha"},{"family":"Bhaskar","given":"Sonu"},{"family":"Bhat","given":"Ajay Nagesh"},{"family":"Bhattacharjee","given":"Priyadarshini"},{"family":"Bhattacharjee","given":"Shuvarthi"},{"family":"Bhatti","given":"Jasvinder Singh"},{"family":"Bhatti","given":"Gurjit Kaur"},{"family":"Bikov","given":"Andras"},{"family":"Bilgin","given":"Cem"},{"family":"Bisignano","given":"Catherine"},{"family":"Biswas","given":"Bijit"},{"family":"Bizzozero Peroni","given":"Bruno"},{"family":"Bjertness","given":"Espen"},{"family":"Bjørge","given":"Tone"},{"family":"Bolla","given":"Srinivasa Rao"},{"family":"Borhany","given":"Hamed"},{"family":"Bosoka","given":"Samuel Adolf"},{"family":"Bouaoud","given":"Souad"},{"family":"Boyko","given":"Edward J"},{"family":"Braithwaite","given":"Dejana"},{"family":"Brazo-Sayavera","given":"Javier"},{"family":"Brenner","given":"Hermann"},{"family":"Britton","given":"Gabrielle"},{"family":"Bryazka","given":"Dana"},{"family":"Bugiardini","given":"Raffaele"},{"family":"Bui","given":"Linh Phuong"},{"family":"Busch","given":"Felix"},{"family":"Bustanji","given":"Yasser"},{"family":"Butt","given":"Nadeem Shafique"},{"family":"Butt","given":"Zahid A"},{"family":"Calina","given":"Daniela"},{"family":"Campos","given":"Luciana Aparecida"},{"family":"Campos-Nonato","given":"Ismael"},{"family":"Cao","given":"Si"},{"family":"Cao","given":"Yin"},{"family":"Capodici","given":"Angelo"},{"family":"Carvalho","given":"Andre F"},{"family":"Carvalho","given":"Márcia"},{"family":"Catapano","given":"Alberico L"},{"family":"Cattafesta","given":"Monica"},{"family":"Cattaruzza","given":"Maria Sofia"},{"family":"Cegolon","given":"Luca"},{"family":"Cembranel","given":"Francieli"},{"family":"Cenko","given":"Edina"},{"family":"Cerin","given":"Ester"},{"family":"Cernigliaro","given":"Achille"},{"family":"Chadwick","given":"Joshua"},{"family":"Chakraborty","given":"Chiranjib"},{"family":"Chan","given":"Raymond N C"},{"family":"Chang","given":"Jung-Chen"},{"family":"Chattu","given":"Vijay Kumar"},{"family":"Chaudhary","given":"Anis Ahmad"},{"family":"Chaurasia","given":"Akhilanand"},{"family":"Chen","given":"Guangjin"},{"family":"Chen","given":"An-Tian"},{"family":"Chen","given":"Haowei"},{"family":"Cheng","given":"Esther T W"},{"family":"Chew","given":"Nicholas Ws"},{"family":"Chi","given":"Gerald"},{"family":"Chimoriya","given":"Ritesh"},{"family":"Ching","given":"Patrick R"},{"family":"Choi","given":"Dong-Woo"},{"family":"Chong","given":"Bryan"},{"family":"Chopra","given":"Hitesh"},{"family":"Chopra","given":"Shivani"},{"family":"Chou","given":"Hou In"},{"family":"Choudhari","given":"Sonali Gajanan"},{"family":"Chu","given":"Dinh-Toi"},{"family":"Chung","given":"Sunghyun"},{"family":"Chung","given":"Sheng-Chia"},{"family":"Chutiyami","given":"Muhammad"},{"family":"Cini","given":"Karly I"},{"family":"Cioffi","given":"Iolanda"},{"family":"Cogen","given":"Rebecca M"},{"family":"Collado-Mateo","given":"Daniel"},{"family":"Columbus","given":"Alyssa"},{"family":"Conrad","given":"Nathalie"},{"family":"Criqui","given":"Michael H"},{"family":"Cruz-Martins","given":"Natalia"},{"family":"Cummins","given":"Steven"},{"family":"D'Amico","given":"Emanuele"},{"family":"D'Anna","given":"Lucio"},{"family":"D'Oria","given":"Mario"},{"family":"Dadras","given":"Omid"},{"family":"Dai","given":"Xiaochen"},{"family":"Dalakoti","given":"Mayank"},{"family":"Dandona","given":"Rakhi"},{"family":"Dandona","given":"Lalit"},{"family":"Danpanichkul","given":"Pojsakorn"},{"family":"Darcho","given":"Samuel Demissie"},{"family":"Darvishi Cheshmeh Soltani","given":"Reza"},{"family":"Da Silva","given":"Alanna Gomes"},{"family":"Davletov","given":"Kairat"},{"family":"Delgado-Enciso","given":"Ivan"},{"family":"Denova-Gutiérrez","given":"Edgar"},{"family":"Derbew Molla","given":"Meseret"},{"family":"Dergaa","given":"Ismail"},{"family":"Desale","given":"Aragaw Tesfaw"},{"family":"Devanbu","given":"Vinoth Gnana Chellaiyan"},{"family":"Devegowda","given":"Devananda"},{"family":"Dewan","given":"Syed Masudur Rahman"},{"family":"Dhali","given":"Arkadeep"},{"family":"Dharmaratne","given":"Samath Dhamminda"},{"family":"Dhimal","given":"Meghnath"},{"family":"Dhungel","given":"Bibha"},{"family":"Diaz","given":"Daniel"},{"family":"Dinu","given":"Monica"},{"family":"Dodangeh","given":"Milad"},{"family":"Dohare","given":"Sushil"},{"family":"Dokova","given":"Klara Georgieva"},{"family":"Dolatkhah","given":"Neda"},{"family":"Do Prado","given":"Camila Bruneli"},{"family":"Dorostkar","given":"Fariba"},{"family":"Doshi","given":"Ojas Prakashbhai"},{"family":"Doshi","given":"Rajkumar Prakashbhai"},{"family":"Dowou","given":"Robert Kokou"},{"family":"Dsouza","given":"Viola Savy"},{"family":"Du","given":"Mi"},{"family":"Dumith","given":"Samuel C"},{"family":"Dumuid","given":"Dorothea"},{"family":"Duncan","given":"Bruce B"},{"family":"Dutta","given":"Sulagna"},{"family":"Dziedzic","given":"Arkadiusz Marian"},{"family":"Ebrahimi","given":"Alireza"},{"family":"Eftekhari","given":"Behrad"},{"family":"Eighaei Sedeh","given":"Ashkan"},{"family":"Ekholuenetale","given":"Michael"},{"family":"Eladl","given":"Mohamed Ahmed"},{"family":"El Arab","given":"Rabie Adel"},{"family":"El-Ashker","given":"Said"},{"family":"Elbarazi","given":"Iffat"},{"family":"El Bayoumy","given":"Ibrahim Farahat"},{"family":"Elgendy","given":"Islam Y"},{"family":"Elhadi","given":"Muhammed"},{"family":"El-Huneidi","given":"Waseem"},{"family":"El-Metwally","given":"Ashraf A"},{"family":"Elmonem","given":"Mohamed A"},{"family":"Elnaem","given":"Mohamed Hassan"},{"family":"Elsheikh","given":"Randa"},{"family":"Elsohaby","given":"Ibrahim"},{"family":"Eltaha","given":"Chadi"},{"family":"Emeto","given":"Theophilus I"},{"family":"Eslami","given":"Maysa"},{"family":"Eze","given":"Ugochukwu Anthony"},{"family":"Fadavian","given":"Heidar"},{"family":"Fagbamigbe","given":"Adeniyi Francis"},{"family":"Fakhradiyev","given":"Ildar Ravisovich"},{"family":"Faraji","given":"Seyed Nooreddin"},{"family":"Farinha","given":"Carla Sofia E Sá"},{"family":"Faris","given":"MoezAlIslam Ezzat Mahmoud"},{"family":"Farooque","given":"Umar"},{"family":"Farrokhpour","given":"Hossein"},{"family":"Fasusi","given":"Samuel Aanuoluwapo"},{"family":"Fazeli","given":"Patrick"},{"family":"Fazylov","given":"Timur"},{"family":"Feizkhah","given":"Alireza"},{"family":"Fekadu","given":"Ginenus"},{"family":"Feng","given":"Xiaoqi"},{"family":"Fernandes","given":"João C"},{"family":"Fernandez-Jimenez","given":"Rodrigo"},{"family":"Ferreira","given":"Nuno"},{"family":"Feyisa","given":"Bikila Regassa"},{"family":"Fischer","given":"Florian"},{"family":"Flood","given":"David"},{"family":"Foigt","given":"Nataliya A"},{"family":"Folayan","given":"Morenike Oluwatoyin"},{"family":"Fomenkov","given":"Artem Alekseevich"},{"family":"Foroumadi","given":"Roham"},{"family":"Fortuna Rodrigues","given":"Celia"},{"family":"Foschi","given":"Matteo"},{"family":"Fotouhi","given":"Maryam"},{"family":"Francis","given":"Kate Louise"},{"family":"Franklin","given":"Richard Charles"},{"family":"Gába","given":"Aleš"},{"family":"Gadanya","given":"Muktar A"},{"family":"Gaidhane","given":"Abhay Motiramji"},{"family":"Galali","given":"Yaseen"},{"family":"Gallus","given":"Silvano"},{"family":"Ganesan","given":"Balasankar"},{"family":"Gangachannaiah","given":"Shivaprakash"},{"family":"Gastélum Espinoza","given":"Wendy Paola"},{"family":"Gebregergis","given":"Miglas Welay"},{"family":"Gebremeskel","given":"Teferi Gebru"},{"family":"Getacher","given":"Lemma"},{"family":"Ghadirian","given":"Fataneh"},{"family":"Ghaffari Jolfayi","given":"Amir"},{"family":"Ghamari","given":"Seyyed-Hadi"},{"family":"Ghazy","given":"Ramy Mohamed"},{"family":"Gil","given":"Artyom Urievich"},{"family":"Gill","given":"Tiffany K"},{"family":"Gnedovskaya","given":"Elena V"},{"family":"Golechha","given":"Mahaveer"},{"family":"Golinelli","given":"Davide"},{"family":"Grivna","given":"Michal"},{"family":"Grover","given":"Ashna"},{"family":"Guan","given":"Zhongyang"},{"family":"Guan","given":"Shi-Yang"},{"family":"Guarducci","given":"Giovanni"},{"family":"Gubari","given":"Mohammed Ibrahim Mohialdeen"},{"family":"Guha","given":"Avirup"},{"family":"Gunawardane","given":"Damitha Asanga"},{"family":"Guo","given":"Zheng"},{"family":"Gupta","given":"Rajeev"},{"family":"Gupta","given":"Anish Kumar"},{"family":"Gupta","given":"Rahul"},{"family":"Gupta","given":"Sapna"},{"family":"Gupta","given":"Vivek Kumar"},{"family":"Gutiérrez-Murillo","given":"Roberth Steven"},{"family":"Guzman-Esquivel","given":"Jose"},{"family":"Hadi","given":"Najah R"},{"family":"Hadian","given":"Zahra"},{"family":"Hamdy","given":"Nadia M"},{"family":"Hameed","given":"Sajid"},{"family":"Hamidi","given":"Samer"},{"family":"Hamiduzzaman","given":"Mohammad"},{"family":"Hanif","given":"Asif"},{"family":"Hanifi","given":"Nasrin"},{"family":"Hankey","given":"Graeme J"},{"family":"Haq","given":"Allie"},{"family":"Harlianto","given":"Netanja I"},{"family":"Haro","given":"Josep Maria"},{"family":"Hartono","given":"Risky Kusuma"},{"family":"Hasan","given":"Faizul"},{"family":"Hashempur","given":"Mohammad Hashem"},{"family":"Hasnain","given":"Md Saquib"},{"family":"Hassan","given":"Amr"},{"family":"Hassan","given":"Nageeb"},{"family":"Hassanipour","given":"Soheil"},{"family":"Hassanzade Rad","given":"Afagh"},{"family":"Havmoeller","given":"Rasmus J"},{"family":"Hay","given":"Simon I"},{"family":"He","given":"Wen-Qiang"},{"family":"Hebert","given":"Jeffrey J"},{"family":"Heidari","given":"Golnaz"},{"family":"Hemmati","given":"Mehdi"},{"family":"Hiraike","given":"Yuta"},{"family":"Hoan","given":"Nguyen Quoc"},{"family":"Hoang","given":"Mai"},{"family":"Holla","given":"Ramesh"},{"family":"Hoogar","given":"Praveen"},{"family":"Hopkins","given":"Ashley Mark"},{"family":"Hossain","given":"Alamgir"},{"family":"Hosseinzadeh","given":"Hassan"},{"family":"Hostiuc","given":"Sorin"},{"family":"Hostiuc","given":"Mihaela"},{"family":"Htay","given":"Zin Wai"},{"family":"Hu","given":"Chengxi"},{"family":"Huang","given":"Junjie"},{"family":"Hundie","given":"Tsegaye Gebreyes"},{"family":"Husseiny","given":"Mohamed Ibrahim"},{"family":"Huynh","given":"Hong-Han"},{"family":"Iavicoli","given":"Ivo"},{"family":"Ibrayeva","given":"Anel"},{"family":"Ilesanmi","given":"Olayinka Stephen"},{"family":"Ilic","given":"Irena M"},{"family":"Ilic","given":"Milena D"},{"family":"Imam","given":"Mohammad Tarique"},{"family":"Inbaraj","given":"Leeberk Raja"},{"family":"Inok","given":"Arit"},{"family":"Irham","given":"Lalu Muhammad"},{"family":"Islam","given":"Md. Rabiul"},{"family":"Islam","given":"Sheikh Mohammed Shariful"},{"family":"Islam","given":"Rakibul M"},{"family":"Ismail","given":"Nahlah Elkudssiah"},{"family":"Iso","given":"Hiroyasu"},{"family":"Isola","given":"Gaetano"},{"family":"Ituka","given":"Mosimah Charles"},{"family":"Iwagami","given":"Masao"},{"family":"Iwu-Jaja","given":"Chinwe Juliana"},{"family":"Iyasu","given":"Assefa N"},{"family":"J","given":"Vinothini"},{"family":"Jacob","given":"Louis"},{"family":"Jaffar","given":"Shabbar"},{"family":"Jahrami","given":"Haitham"},{"family":"Jain","given":"Akhil"},{"family":"Jairoun","given":"Ammar Abdulrahman"},{"family":"Jakovljevic","given":"Mihajlo"},{"family":"Jalloh","given":"Mohamed Lamrana"},{"family":"Javaid","given":"Syed Sarmad"},{"family":"Jayapal","given":"Sathish Kumar"},{"family":"Jayarajah","given":"Umesh"},{"family":"Jayaram","given":"Shubha"},{"family":"Jebai","given":"Rime"},{"family":"Jebasingh","given":"Felix K"},{"family":"Jema","given":"Alelign Tasew"},{"family":"Jokar","given":"Mohammad"},{"family":"Jonas","given":"Jost B"},{"family":"Jose","given":"Jobinse"},{"family":"Joseph","given":"Nitin"},{"family":"Joshua","given":"Charity Ehimwenma"},{"family":"Jozwiak","given":"Jacek Jerzy"},{"family":"Jürisson","given":"Mikk"},{"family":"Kaambwa","given":"Billingsley"},{"family":"Kabir","given":"Ali"},{"family":"Kabir","given":"Zubair"},{"family":"Kakkar","given":"Ashish Kumar"},{"family":"Kalra","given":"Sanjay"},{"family":"Kamarajah","given":"Sivesh Kathir"},{"family":"Kanaan","given":"Saddam Fuad"},{"family":"Kankam","given":"Samuel Berchi"},{"family":"Kanmodi","given":"Kehinde Kazeem"},{"family":"Kapoor","given":"Neeti"},{"family":"Karajizadeh","given":"Mehrdad"},{"family":"Karakasis","given":"Paschalis"},{"family":"Karasneh","given":"Reema A"},{"family":"Karimi","given":"Yeganeh"},{"family":"Karimi Behnagh","given":"Arman"},{"family":"Kassebaum","given":"Nicholas J"},{"family":"Kauppila","given":"Joonas H"},{"family":"Kayode","given":"Gbenga A"},{"family":"Kehagias","given":"Dimitrios"},{"family":"Kerr","given":"Jessica A"},{"family":"Keshwani","given":"Ariz"},{"family":"Kesse-Guyot","given":"Emmanuelle"},{"family":"Keykhaei","given":"Mohammad"},{"family":"Khaing","given":"Inn Kynn"},{"family":"Khajuria","given":"Himanshu"},{"family":"Khalili","given":"Pantea"},{"family":"Khalilian","given":"Alireza"},{"family":"Khalis","given":"Mohamed"},{"family":"Khan","given":"Mohammad Jobair"},{"family":"Khan","given":"Maseer"},{"family":"Khan","given":"Nusrat"},{"family":"Khan","given":"Md Abdullah Saeed"},{"family":"Khan","given":"Ajmal"},{"family":"Khan","given":"Moien Ab"},{"family":"Khanmohammadi","given":"Shaghayegh"},{"family":"Khatab","given":"Khaled"},{"family":"Khatatbeh","given":"Moawiah Mohammad"},{"family":"Khayamzadeh","given":"Maryam"},{"family":"Khidri","given":"Feriha Fatima"},{"family":"Khorashadizadeh","given":"Fatemeh"},{"family":"Khosla","given":"Atulya Aman"},{"family":"Khosravi","given":"Sepehr"},{"family":"Khosrowjerdi","given":"Mahmood"},{"family":"Khubchandani","given":"Jagdish"},{"family":"Khusun","given":"Helda"},{"family":"Kim","given":"Jinho"},{"family":"Kim","given":"Kwanghyun"},{"family":"Kim","given":"Min Seo"},{"family":"Kim","given":"Yun Jin"},{"family":"Kimokoti","given":"Ruth W"},{"family":"Kisa","given":"Adnan"},{"family":"Kishore","given":"Ladli"},{"family":"Kivimäki","given":"Mika"},{"family":"Kokkorakis","given":"Michail"},{"family":"Kolahi","given":"Ali-Asghar"},{"family":"Kompani","given":"Farzad"},{"family":"Korzh","given":"Oleksii"},{"family":"Kostev","given":"Karel"},{"family":"Koulmane Laxminarayana","given":"Sindhura Lakshmi"},{"family":"Kretchy","given":"Irene Akwo"},{"family":"Krishan","given":"Kewal"},{"family":"Kua","given":"Chong-Han"},{"family":"Kuate Defo","given":"Barthelemy"},{"family":"Kulimbet","given":"Mukhtar"},{"family":"Kulkarni","given":"Vishnutheertha"},{"family":"Kumar","given":"Ashish"},{"family":"Kumar","given":"Vijay"},{"family":"Kumar","given":"G Anil"},{"family":"Kundu","given":"Satyajit"},{"family":"Kunutsor","given":"Setor K"},{"family":"Kurmi","given":"Om P"},{"family":"Kurniasari","given":"Maria Dyah"},{"family":"Kusuma","given":"Dian"},{"family":"Kytö","given":"Ville"},{"family":"Lacey","given":"Ben"},{"family":"Lahariya","given":"Chandrakant"},{"family":"Lai","given":"Daphne Teck Ching"},{"family":"Lai","given":"Hanpeng"},{"family":"Landires","given":"Iván"},{"family":"Larijani","given":"Bagher"},{"family":"Latief","given":"Kamaluddin"},{"family":"La Vecchia","given":"Carlo"},{"family":"Le","given":"Nhi Huu Hanh"},{"family":"Lee","given":"Munjae"},{"family":"Lee","given":"Sang-woong"},{"family":"Lee","given":"Wei-Chen"},{"family":"Lee","given":"Seung Won"},{"family":"Lee","given":"Paul H"},{"family":"Li","given":"Ming-Chieh"},{"family":"Li","given":"Yongze"},{"family":"Li","given":"Weilong"},{"family":"Lim","given":"Stephen S"},{"family":"Lin","given":"Queran"},{"family":"Lin","given":"Jialing"},{"family":"Lindholm","given":"Daniel"},{"family":"Lindstedt","given":"Paulina A"},{"family":"Liu","given":"Simin"},{"family":"Llanaj","given":"Erand"},{"family":"López-Gil","given":"José Francisco"},{"family":"Lorkowski","given":"Stefan"},{"family":"Lucchetti","given":"Giancarlo"},{"family":"Lugo","given":"Alessandra"},{"family":"Lutambi","given":"Angelina M"},{"family":"Lv","given":"Lei"},{"family":"Lytvyak","given":"Ellina"},{"family":"Ma","given":"Zheng Feei"},{"family":"Machoy","given":"Monika"},{"family":"Magaña Gómez","given":"Javier A"},{"family":"Maghbouli","given":"Nastaran"},{"family":"Mahalleh","given":"Mehrdad"},{"family":"Mahmood","given":"Nozad H"},{"family":"Mahmoudi","given":"Elham"},{"family":"Maiti","given":"Rituparna"},{"family":"Makris","given":"Konstantinos Christos C"},{"family":"Malhotra","given":"Kashish"},{"family":"Malik","given":"Ahmad Azam"},{"family":"Malik","given":"Iram"},{"family":"Malta","given":"Deborah Carvalho"},{"family":"Mamun","given":"Abdullah A"},{"family":"Mansourian","given":"Marjan"},{"family":"Manu","given":"Emmanuel"},{"family":"Marateb","given":"Hamid Reza"},{"family":"Marino","given":"Mirko"},{"family":"Marjani","given":"Abdoljalal"},{"family":"Martinez-Piedra","given":"Ramon"},{"family":"Martini","given":"Santi"},{"family":"Martorell","given":"Miquel"},{"family":"Marzouk","given":"Sammer"},{"family":"Masi","given":"Stefano"},{"family":"Masrouri","given":"Soroush"},{"family":"Mathangasinghe","given":"Yasith"},{"family":"Mathur","given":"Manu Raj"},{"family":"Matozinhos","given":"Fernanda Penido"},{"family":"Matthias","given":"Thushara"},{"family":"Mattiello","given":"Rita"},{"family":"Mazidi","given":"Mohsen"},{"family":"McPhail","given":"Steven M"},{"family":"Mechili","given":"Enkeleint A"},{"family":"Mehboob","given":"Riffat"},{"family":"Mehmood","given":"Asim"},{"family":"Mehndiratta","given":"Man Mohan"},{"family":"Mehrabani-Zeinabad","given":"Kamran"},{"family":"Mekene Meto","given":"Tesfahun"},{"family":"Meles","given":"Hadush Negash"},{"family":"Mendoza","given":"Walter"},{"family":"Menezes","given":"Ritesh G"},{"family":"Mengistie","given":"Emiru Ayalew"},{"family":"Meo","given":"Sultan Ayoub"},{"family":"Mestrovic","given":"Tomislav"},{"family":"Mettananda","given":"Sachith"},{"family":"Mettananda","given":"Chamila Dinushi Kukulege"},{"family":"Micheletti Gomide Nogueira De Sá","given":"Ana Carolina"},{"family":"Miller","given":"Ted R"},{"family":"Mini","given":"Gk"},{"family":"Mirrakhimov","given":"Erkin M"},{"family":"Misganaw","given":"Awoke"},{"family":"Mittal","given":"Madhukar"},{"family":"Mohamed","given":"Ahmed Ismail"},{"family":"Mohamed","given":"Mona Gamal"},{"family":"Mohamed","given":"Nouh Saad"},{"family":"Mohamed","given":"Jama"},{"family":"Mohammad","given":"Taj"},{"family":"Mohammad-Alizadeh-Charandabi","given":"Sakineh"},{"family":"Mohammadzadeh","given":"Ibrahim"},{"family":"Mohammed","given":"Shafiu"},{"family":"Mohammed","given":"Mustapha"},{"family":"Mokdad","given":"Ali H"},{"family":"Mondello","given":"Stefania"},{"family":"Moni","given":"Mohammad Ali"},{"family":"Moradi","given":"Maryam"},{"family":"Morrison","given":"Shane Douglas"},{"family":"Mossialos","given":"Elias"},{"family":"Motappa","given":"Rohith"},{"family":"Mulita","given":"Francesk"},{"family":"Mullany","given":"Erin C"},{"family":"Munkhsaikhan","given":"Yanjinlkham"},{"family":"Murillo-Zamora","given":"Efren"},{"family":"Musa","given":"Sani"},{"family":"Mustafa","given":"Ghulam"},{"family":"Muthu","given":"Sathish"},{"family":"Myung","given":"Woojae"},{"family":"Naghavi","given":"Pirouz"},{"family":"Naghavi","given":"Mohsen"},{"family":"Naik","given":"Ganesh R"},{"family":"Naik","given":"Hiten"},{"family":"Nambi","given":"Gopal"},{"family":"Nangia","given":"Vinay"},{"family":"Nansseu","given":"Jobert Richie"},{"family":"Nascimento","given":"Gustavo G"},{"family":"Nassar","given":"Mahmoud"},{"family":"Natto","given":"Zuhair S"},{"family":"Nauman","given":"Javaid"},{"family":"Naureen","given":"Zakira"},{"family":"Navaratna","given":"Samidi Nirasha Kumari"},{"family":"Nayak","given":"Biswa Prakash"},{"family":"Nayon","given":"Md Fahad Shahariar"},{"family":"Nazri-Panjaki","given":"Athare"},{"family":"Negahdary","given":"Masoud"},{"family":"Negoi","given":"Ruxandra Irina"},{"family":"Negoi","given":"Ionut"},{"family":"Nejadghaderi","given":"Seyed Aria"},{"family":"Nematollahi","given":"Soroush"},{"family":"Nepal","given":"Samata"},{"family":"Netsere","given":"Henok Biresaw"},{"family":"Ngunjiri","given":"Josephine W"},{"family":"Nguyen","given":"Cuong Tat"},{"family":"Nguyen","given":"Dang"},{"family":"Nguyen","given":"Trang"},{"family":"Nguyen","given":"Duc Hoang"},{"family":"Nguyen","given":"Phuong The"},{"family":"Niazi","given":"Robina Khan"},{"family":"Nieddu","given":"Luciano"},{"family":"Niknam","given":"Mahdieh"},{"family":"Nikoobar","given":"Ali"},{"family":"Nkeck","given":"Jan Rene"},{"family":"Nomura","given":"Shuhei"},{"family":"Noor","given":"Syed Toukir Ahmed"},{"family":"Noreen","given":"Mamoona"},{"family":"Noroozi","given":"Masoud"},{"literal":"Nawsherwan"},{"family":"Noubiap","given":"Jean Jacques"},{"family":"Nouri","given":"Mehran"},{"family":"Nri-Ezedi","given":"Chisom Adaobi"},{"family":"Nugen","given":"Fred"},{"family":"Nurrika","given":"Dieta"},{"family":"Nzoputam","given":"Ogochukwu Janet"},{"family":"O'Connell","given":"Erin M"},{"family":"Oancea","given":"Bogdan"},{"family":"Oguta","given":"James Odhiambo"},{"family":"Oh","given":"In-Hwan"},{"family":"Okati-Aliabad","given":"Hassan"},{"family":"Okekunle","given":"Akinkunmi Paul"},{"family":"Okonji","given":"Osaretin Christabel"},{"family":"Olagunju","given":"Andrew T"},{"family":"Olalusi","given":"Oladotun Victor"},{"family":"Olanrewaju","given":"Timothy Olusegun"},{"family":"Olasupo","given":"Omotola O"},{"family":"Oliveira","given":"Gláucia Maria Moraes"},{"family":"Oliveira","given":"Arão Belitardo"},{"family":"Oluwafemi","given":"Yinka Doris"},{"family":"Omar","given":"Hany A"},{"family":"Omar Bali","given":"Ahmed"},{"family":"Opitz","given":"Marcel"},{"family":"Ordak","given":"Michal"},{"family":"Ortiz","given":"Alberto"},{"family":"Osborne","given":"Augustus"},{"family":"Osman","given":"Wael M S"},{"family":"Osman","given":"Alaa A M"},{"family":"Osuagwu","given":"Uchechukwu Levi"},{"family":"Otoiu","given":"Adrian"},{"family":"Oumer","given":"Abdu"},{"family":"Ouyahia","given":"Amel"},{"family":"Owolabi","given":"Mayowa O"},{"family":"Owusu","given":"Irene Amoakoh"},{"family":"Oyebola","given":"Kolapo"},{"family":"P A","given":"Mahesh Padukudru"},{"family":"Padron-Monedero","given":"Alicia"},{"family":"Padubidri","given":"Jagadish Rao"},{"family":"Panda","given":"Sujogya Kumar"},{"family":"Panda-Jonas","given":"Songhomitra"},{"family":"Pandey","given":"Anamika"},{"family":"Pandi-Perumal","given":"Seithikurippu R"},{"family":"Pardhan","given":"Shahina"},{"family":"Parekh","given":"Utsav"},{"family":"Parija","given":"Pragyan Paramita"},{"family":"Parikh","given":"Romil R"},{"family":"Park","given":"Eun-Cheol"},{"family":"Pashaei","given":"Ava"},{"family":"Passera","given":"Roberto"},{"family":"Patel","given":"Hemal M"},{"family":"Pathan","given":"Aslam Ramjan"},{"family":"Patoulias","given":"Dimitrios"},{"family":"Patton","given":"George C"},{"family":"Paudel","given":"Susan"},{"family":"Pazoki Toroudi","given":"Hamidreza"},{"family":"Pensato","given":"Umberto"},{"family":"Peprah","given":"Prince"},{"family":"Pereira","given":"Gavin"},{"family":"Pereira","given":"Marcos"},{"family":"Perianayagam","given":"Arokiasamy"},{"family":"Perico","given":"Norberto"},{"family":"Perna","given":"Simone"},{"family":"Petcu","given":"Ionela-Roxana"},{"family":"Petermann-Rocha","given":"Fanny Emily"},{"family":"Pham","given":"Hoang Nhat"},{"family":"Polibin","given":"Roman V"},{"family":"Popovic","given":"Djordje S"},{"family":"Pourghazi","given":"Farzad"},{"family":"Pourshams","given":"Akram"},{"family":"Pradhan","given":"Jalandhar"},{"family":"Pradhan","given":"Pranil Man Singh"},{"family":"Prasad","given":"Manya"},{"family":"Prashant","given":"Akila"},{"family":"Prates","given":"Elton Junio Sady"},{"family":"Putra","given":"I Gusti Ngurah Edi"},{"family":"Puvvula","given":"Jagadeesh"},{"family":"Qattea","given":"Ibrahim"},{"family":"Qiu","given":"Jia-Yong"},{"family":"Radhakrishnan","given":"Venkatraman"},{"family":"Radojčić","given":"Maja R"},{"family":"Raggi","given":"Catalina"},{"family":"Rahman","given":"Muhammad Aziz"},{"family":"Rahman","given":"Fryad Majeed"},{"family":"Rahman","given":"Mohammad Hifz Ur"},{"family":"Rahman","given":"Mosiur"},{"family":"Rahmani","given":"Saeed"},{"family":"Rahmanian","given":"Vahid"},{"family":"Rahmawaty","given":"Setyaningrum"},{"family":"Rai","given":"Rajesh Kumar"},{"family":"Raimondo","given":"Ivano"},{"family":"Raj","given":"Jeffrey Pradeep"},{"family":"Rajput","given":"Prashant"},{"family":"Ramadan","given":"Mahmoud Mohammed"},{"family":"Ramasamy","given":"Chitra"},{"family":"Ramasamy","given":"Shakthi Kumaran"},{"family":"Ramazanu","given":"Sheena"},{"family":"Rana","given":"Kritika"},{"family":"Ranabhat","given":"Chhabi Lal"},{"family":"Rao","given":"Mithun"},{"family":"Rao","given":"Sowmya J"},{"family":"Rashedi","given":"Sina"},{"family":"Rashidi","given":"Mohammad-Mahdi"},{"family":"Rasouli-Saravani","given":"Ashkan"},{"family":"Rathish","given":"Devarajan"},{"family":"Rauniyar","given":"Santosh Kumar"},{"family":"Rautalin","given":"Ilari"},{"family":"Rawaf","given":"David Laith"},{"family":"Rawaf","given":"Salman"},{"family":"Redwan","given":"Elrashdy M. Moustafa Mohamed"},{"family":"Rege","given":"Sanika"},{"family":"Reis-Mendes","given":"Ana"},{"family":"Remuzzi","given":"Giuseppe"},{"family":"Rezaei","given":"Nazila"},{"family":"Rezaeian","given":"Mohsen"},{"family":"Rezazadeh","given":"Hossein"},{"family":"Rhee","given":"Taeho Gregory"},{"family":"Rocha-Gomes","given":"João Rocha"},{"family":"Rodrigues","given":"Mónica"},{"family":"Rodrigues Da Silva","given":"Thales Philipe"},{"family":"Rodriguez","given":"Jefferson Antonio Buendia"},{"family":"Roever","given":"Leonardo"},{"family":"Rohloff","given":"Peter"},{"family":"Romadlon","given":"Debby Syahru"},{"family":"Rony","given":"Moustaq Karim Khan"},{"family":"Roshandel","given":"Gholamreza"},{"family":"Rout","given":"Himanshu Sekhar"},{"family":"Roy","given":"Nitai"},{"family":"Rwegerera","given":"Godfrey M"},{"family":"Saad","given":"Aly M A"},{"family":"Saber-Ayad","given":"Maha Mohamed"},{"family":"Sabet","given":"Cameron John"},{"family":"Sadarangani","given":"Kabir P"},{"family":"Saddik","given":"Basema Ahmad"},{"family":"Sadeghi","given":"Masoumeh"},{"family":"Saeb","given":"Mohammad Reza"},{"family":"Saeed","given":"Umar"},{"family":"Saeedi Moghaddam","given":"Sahar"},{"family":"Safi","given":"Sher Zaman"},{"family":"Saghazadeh","given":"Amene"},{"family":"Sagoe","given":"Dominic"},{"family":"Sahebkar","given":"Amirhossein"},{"family":"Saheb Sharif-Askari","given":"Fatemeh"},{"family":"Sahoo","given":"Soumya Swaroop"},{"family":"Sajid","given":"Mirza Rizwan"},{"family":"Salaroli","given":"Luciane B"},{"family":"Saleh","given":"Mohamed A"},{"family":"Salem","given":"Marwa Rashad"},{"family":"Salimi","given":"Sohrab"},{"family":"Samodra","given":"Yoseph Leonardo"},{"family":"Samuel","given":"Vijaya Paul"},{"family":"Samy","given":"Abdallah M"},{"family":"Santhekadur","given":"Prasanna K"},{"family":"Santric-Milicevic","given":"Milena M"},{"family":"Saqib","given":"Muhammad Arif Nadeem"},{"family":"Saraswati","given":"Ushasi"},{"family":"Saravanan","given":"Aswini"},{"family":"Sari","given":"Dianis Wulan"},{"family":"Sarkar","given":"Tanmay"},{"family":"Sarmadi","given":"Mohammad"},{"family":"Sarode","given":"Sachin C"},{"family":"Sarode","given":"Gargi Sachin"},{"family":"Sassano","given":"Michele"},{"family":"Sathian","given":"Brijesh"},{"family":"Saya","given":"Ganesh Kumar"},{"family":"Schinckus","given":"Christophe"},{"family":"Schmidt","given":"Maria Inês"},{"family":"Schuermans","given":"Art"},{"family":"Schutte","given":"Aletta Elisabeth"},{"family":"Sebastian","given":"Sneha Annie"},{"family":"Selvaraj","given":"Siddharthan"},{"family":"Semreen","given":"Mohammad H"},{"family":"Sendekie","given":"Ashenafi Kibret"},{"family":"Sengupta","given":"Pallav"},{"family":"Senol","given":"Yigit Can"},{"family":"Senthilkumaran","given":"Subramanian"},{"family":"Sepanlou","given":"Sadaf G"},{"family":"Sethi","given":"Yashendra"},{"family":"Seylani","given":"Allen"},{"family":"Shafie","given":"Mahan"},{"family":"Shah","given":"Sweni"},{"family":"Shah","given":"Syed Mahboob"},{"family":"Shahid","given":"Samiah"},{"family":"Shahrahmani","given":"Fatemeh"},{"family":"Shahwan","given":"Moyad Jamal"},{"family":"Sham","given":"Sunder"},{"family":"Shamim","given":"Muhammad Aaqib"},{"family":"Shams-Beyranvand","given":"Mehran"},{"family":"Shamsi","given":"Anas"},{"family":"Shamsutdinova","given":"Alfiya"},{"family":"Shan","given":"Dan"},{"family":"Shanawaz","given":"Mohd"},{"family":"Shannawaz","given":"Mohammed"},{"family":"Sharath","given":"Medha"},{"family":"Sharfaei","given":"Sadaf"},{"family":"Sharifan","given":"Amin"},{"family":"Sharma","given":"Anupam"},{"family":"Sharma","given":"Ujjawal"},{"family":"Sharma","given":"Manoj"},{"family":"Sharma","given":"Vishal"},{"family":"Sheida","given":"Fateme"},{"family":"Sheikhy","given":"Ali"},{"family":"Shenoy","given":"Rekha Raghuveer"},{"family":"Shetty","given":"Pavanchand H"},{"family":"Shibuya","given":"Kenji"},{"family":"Shiferaw","given":"Desalegn"},{"family":"Shin","given":"Min-Jeong"},{"family":"Shiri","given":"Rahman"},{"family":"Shittu","given":"Aminu"},{"family":"Shool","given":"Sina"},{"family":"Shorofi","given":"Seyed Afshin"},{"family":"Shrestha","given":"Rajan"},{"family":"Shuval","given":"Kerem"},{"family":"Si","given":"Yafei"},{"family":"Sibuyi","given":"Nicole R S"},{"family":"Siddig","given":"Emmanuel Edwar"},{"family":"Siddiqi","given":"Ahmed Kamal"},{"family":"Sikdar","given":"Mithun"},{"family":"Silva","given":"Diego Augusto Santos"},{"family":"Silva","given":"Luís Manuel Lopes Rodrigues"},{"family":"Singh","given":"Surjit"},{"family":"Singh","given":"Jasvinder A"},{"family":"Singh","given":"Amit"},{"family":"Singh","given":"Harmanjit"},{"family":"Singh","given":"Baljinder"},{"family":"Singh","given":"Kalpana"},{"family":"Singh","given":"Puneetpal"},{"family":"Skryabin","given":"Valentin Yurievich"},{"family":"Skryabina","given":"Anna Aleksandrovna"},{"family":"Smith","given":"Amanda E"},{"family":"Smith","given":"Georgia"},{"family":"Soliman","given":"Sameh S M"},{"family":"Soraneh","given":"Soroush"},{"family":"Sorensen","given":"Reed J D"},{"family":"Spartalis","given":"Michael"},{"family":"Srichawla","given":"Bahadar S"},{"family":"Stachteas","given":"Panagiotis"},{"family":"Starodubova","given":"Antonina V"},{"family":"Straif","given":"Kurt"},{"family":"Stubbs","given":"Pete"},{"family":"Subramaniyan","given":"Vetriselvan"},{"family":"Suleiman Odidi","given":"Muritala Odidi"},{"family":"Sulkowski","given":"Aleksander"},{"family":"Sultan Meo","given":"Anusha"},{"family":"Sun","given":"Jing"},{"family":"Sun","given":"Zhong"},{"family":"Sunny","given":"Sumam"},{"family":"Swain","given":"Chandan Kumar"},{"family":"Szarpak","given":"Lukasz"},{"family":"Tabarés-Seisdedos","given":"Rafael"},{"family":"Tabatabaei","given":"Seyyed Mohammad"},{"family":"Tabatabaei","given":"Fatemeh Sadat"},{"family":"Tabatabaei Malazy","given":"Ozra"},{"family":"Tabatabai","given":"Shima"},{"family":"Tabche","given":"Celine"},{"family":"Tabish","given":"Mohammad"},{"family":"Taiba","given":"Jabeen"},{"family":"Talic","given":"Stella"},{"family":"Tampa","given":"Mircea"},{"family":"Tamuzi","given":"Jacques Lukenze"},{"family":"Tan","given":"Ker-Kan"},{"family":"Tanwar","given":"Manoj"},{"family":"Tariq","given":"Saba"},{"family":"Tat","given":"Nathan Y"},{"family":"Tavangar","given":"Seyed Mohammad"},{"family":"Temsah","given":"Reem Mohamad Hani"},{"family":"Temsah","given":"Mohamad-Hani"},{"family":"Teramoto","given":"Masayuki"},{"family":"Terefa","given":"Dufera Rikitu"},{"family":"Tewari","given":"Jay"},{"family":"Thapar","given":"Rekha"},{"family":"Ticoalu","given":"Jansje Henny Vera"},{"family":"Tiruneh","given":"Sofonyas Abebaw"},{"family":"Tiruye","given":"Tenaw Yimer"},{"family":"Titova","given":"Mariya Vladimirovna"},{"family":"Tiwari","given":"Krishna"},{"family":"Tomo","given":"Sojit"},{"family":"Tonelli","given":"Marcello"},{"family":"Touvier","given":"Mathilde"},{"family":"Tovani-Palone","given":"Marcos Roberto"},{"family":"Trabelsi","given":"Khaled"},{"family":"Tran","given":"Mai Thi Ngoc"},{"family":"Tran","given":"Thang Huu"},{"family":"Tran Minh Duc","given":"Nguyen"},{"family":"Trico","given":"Domenico"},{"family":"Trihandini","given":"Indang"},{"family":"Truyen","given":"Thien Tan Tri Tai"},{"family":"Tsatsakis","given":"Aristidis"},{"family":"Tse","given":"Gary"},{"family":"Tsegay","given":"Guesh Mebrahtom"},{"family":"Tumurkhuu","given":"Munkhtuya"},{"family":"T Y","given":"Sree Sudha"},{"family":"Tye","given":"Sok Cin"},{"family":"Tyrovolas","given":"Stefanos"},{"family":"Udoakang","given":"Aniefiok John"},{"family":"Ullah","given":"Shahid"},{"family":"Ullah","given":"Saeed"},{"family":"Umair","given":"Muhammad"},{"family":"Umar","given":"Umar Muhammad"},{"family":"Umar","given":"Lawan"},{"family":"Unim","given":"Brigid"},{"family":"Upadhya","given":"Dinesh"},{"family":"Upadhyay","given":"Era"},{"family":"Usman","given":"Jibrin Sammani"},{"family":"Ustunsoz","given":"Damla"},{"family":"Vaithinathan","given":"Asokan Govindaraj"},{"family":"Van Den Eynde","given":"Jef"},{"family":"Varghese","given":"Joe"},{"family":"Vasankari","given":"Tommi Juhani"},{"family":"Vaziri","given":"Siavash"},{"family":"Vellingiri","given":"Balachandar"},{"family":"Venketasubramanian","given":"Narayanaswamy"},{"family":"Verma","given":"Madhur"},{"family":"Verma","given":"Anjul"},{"family":"Verras","given":"Georgios-Ioannis"},{"family":"Vidale","given":"Simone"},{"family":"Villalobos-Daniel","given":"Victor E"},{"family":"Vinayak","given":"Manish"},{"family":"Vlassov","given":"Vasily"},{"family":"Vos","given":"Theo"},{"family":"Vukovic","given":"Rade"},{"family":"Wahidin","given":"Mugi"},{"family":"Wahiduzzaman","given":"Mohammad"},{"family":"Wang","given":"Yanzhong"},{"family":"Wang","given":"Shu"},{"family":"Wang","given":"Cong"},{"family":"Wang","given":"Xingxin"},{"family":"Wanjau","given":"Mary Njeri"},{"family":"Waqar","given":"Ahmed Bilal"},{"family":"Waqas","given":"Muhammad"},{"family":"Weerakoon","given":"Kosala Gayan"},{"family":"Wei","given":"Fei-Long"},{"family":"Wicaksana","given":"Anggi Lukman"},{"family":"Wickramasinghe","given":"Dakshitha Praneeth"},{"family":"Willeit","given":"Peter"},{"family":"Wojewodzic","given":"Marcin W"},{"family":"Wonde","given":"Tewodros Eshete"},{"family":"Wongsin","given":"Utoomporn"},{"family":"Xia","given":"Qing"},{"family":"Xie","given":"Wanqing"},{"family":"Xu","given":"Suowen"},{"family":"Xu","given":"Xiaoyue"},{"family":"Yamagishi","given":"Kazumasa"},{"family":"Yano","given":"Yuichiro"},{"family":"Yao","given":"Haiqiang"},{"family":"Yarahmadi","given":"Amir"},{"family":"Yaribeygi","given":"Habib"},{"family":"Yesuf","given":"Subah Abderehim"},{"family":"Yin","given":"Dehui"},{"family":"Yon","given":"Dong Keon"},{"family":"Yonemoto","given":"Naohiro"},{"family":"Yu","given":"Chuanhua"},{"family":"Yuan","given":"Chun-Wei"},{"family":"Yuce","given":"Deniz"},{"family":"Yunusa","given":"Ismaeel"},{"family":"Zaman","given":"Sojib Bin"},{"family":"Zare","given":"Iman"},{"family":"Zastrozhin","given":"Michael"},{"family":"Zeariya","given":"Mohammed G M"},{"family":"Zhang","given":"Xiaoyi"},{"family":"Zhang","given":"Liqun"},{"family":"Zhang","given":"Jingya"},{"family":"Zhang","given":"Zhiqiang"},{"family":"Zhang","given":"Casper J P"},{"family":"Zheng","given":"David X"},{"family":"Zheng","given":"Peng"},{"family":"Zhong","given":"Anthony"},{"family":"Zhong","given":"Claire Chenwen"},{"family":"Zhou","given":"Jiayan"},{"family":"Zhu","given":"Bin"},{"family":"Zhumagaliuly","given":"Abzal"},{"family":"Zielińska","given":"Magdalena"},{"family":"Zoghi","given":"Ghazal"},{"family":"Zou","given":"Zhiyong"},{"family":"Zweck","given":"Elric"},{"family":"Zyoud","given":"Sa'ed H"},{"family":"Murray","given":"Christopher J L"},{"family":"Sawyer","given":"Susan M"},{"family":"Vollset","given":"Stein Emil"}],"issued":{"date-parts":[["2025",3]]}}}],"schema":"https://github.com/citation-style-language/schema/raw/master/csl-citation.json"} </w:instrText>
      </w:r>
      <w:r w:rsidRPr="00735FCE">
        <w:fldChar w:fldCharType="separate"/>
      </w:r>
      <w:r w:rsidR="00281437" w:rsidRPr="00281437">
        <w:rPr>
          <w:vertAlign w:val="superscript"/>
        </w:rPr>
        <w:t>25</w:t>
      </w:r>
      <w:r w:rsidRPr="00735FCE">
        <w:fldChar w:fldCharType="end"/>
      </w:r>
      <w:r w:rsidRPr="00735FCE">
        <w:t>. The prevalence of obesity varies considerably between regions. In Oceania, North Africa, and the Middle East, obesity and overweight prevalence rates are among the highest in the world, which are over 80%</w:t>
      </w:r>
      <w:r>
        <w:t xml:space="preserve"> </w:t>
      </w:r>
      <w:r w:rsidRPr="00735FCE">
        <w:fldChar w:fldCharType="begin"/>
      </w:r>
      <w:r w:rsidR="00281437">
        <w:instrText xml:space="preserve"> ADDIN ZOTERO_ITEM CSL_CITATION {"citationID":"qAonT3Z8","properties":{"formattedCitation":"\\super 25\\nosupersub{}","plainCitation":"25","noteIndex":0},"citationItems":[{"id":3099,"uris":["http://zotero.org/users/9622455/items/FR93TNFR"],"itemData":{"id":3099,"type":"article-journal","abstract":"Background Overweight and obesity is a global epidemic. Forecasting future trajectories of the epidemic is crucial for providing an evidence base for policy change. In this study, we examine the historical trends of the global, regional, and national prevalence of adult overweight and obesity from 1990 to 2021 and forecast the future trajectories to 2050.","container-title":"The Lancet","DOI":"10.1016/S0140-6736(25)00355-1","ISSN":"01406736","issue":"10481","journalAbbreviation":"The Lancet","language":"en","page":"813-838","source":"DOI.org (Crossref)","title":"Global, regional, and national prevalence of adult overweight and obesity, 1990–2021, with forecasts to 2050: a forecasting study for the Global Burden of Disease Study 2021","title-short":"Global, regional, and national prevalence of adult overweight and obesity, 1990–2021, with forecasts to 2050","volume":"405","author":[{"family":"Ng","given":"Marie"},{"family":"Gakidou","given":"Emmanuela"},{"family":"Lo","given":"Justin"},{"family":"Abate","given":"Yohannes Habtegiorgis"},{"family":"Abbafati","given":"Cristiana"},{"family":"Abbas","given":"Nasir"},{"family":"Abbasian","given":"Mohammadreza"},{"family":"Abd ElHafeez","given":"Samar"},{"family":"Abdel-Rahman","given":"Wael M"},{"family":"Abd-Elsalam","given":"Sherief"},{"family":"Abdollahi","given":"Arash"},{"family":"Abdoun","given":"Meriem"},{"family":"Abdulah","given":"Deldar Morad"},{"family":"Abdulkader","given":"Rizwan Suliankatchi"},{"family":"Abdullahi","given":"Auwal"},{"family":"Abedi","given":"Armita"},{"family":"Abeywickrama","given":"Hansani Madushika"},{"family":"Abie","given":"Alemwork"},{"family":"Aboagye","given":"Richard Gyan"},{"family":"Abohashem","given":"Shady"},{"family":"Abtahi","given":"Dariush"},{"family":"Abualruz","given":"Hasan"},{"family":"Abubakar","given":"Bilyaminu"},{"family":"Abu Farha","given":"Rana Kamal"},{"family":"Abukhadijah","given":"Hana J"},{"family":"Abu-Rmeileh","given":"Niveen Me"},{"family":"Aburuz","given":"Salahdein"},{"family":"Abu-Zaid","given":"Ahmed"},{"family":"Adams","given":"Lisa C"},{"family":"Adane","given":"Mesafint Molla"},{"family":"Addo","given":"Isaac Yeboah"},{"family":"Adedokun","given":"Kamoru Ademola"},{"family":"Adegoke","given":"Nurudeen A"},{"family":"Adepoju","given":"Abiola Victor Victor"},{"family":"Adesola","given":"Ridwan Olamilekan"},{"family":"Adeyeoluwa","given":"Temitayo Esther"},{"family":"Adiga","given":"Usha"},{"family":"Adnani","given":"Qorinah Estiningtyas Sakilah"},{"family":"Afaghi","given":"Siamak"},{"family":"Afzal","given":"Saira"},{"family":"Afzal","given":"Muhammad Sohail"},{"family":"Agampodi","given":"Thilini Chanchala"},{"family":"Aghamiri","given":"Shahin"},{"family":"Agostinis Sobrinho","given":"César"},{"family":"Agyemang-Duah","given":"Williams"},{"family":"Ahlstrom","given":"Austin J"},{"family":"Ahmad","given":"Danish"},{"family":"Ahmad","given":"Sajjad"},{"family":"Ahmad","given":"Aqeel"},{"family":"Ahmad","given":"Muayyad M"},{"family":"Ahmad","given":"Fuzail"},{"family":"Ahmad","given":"Noah"},{"family":"Ahmed","given":"Haroon"},{"family":"Ahmed","given":"Muktar Beshir"},{"family":"Ahmed","given":"Ayman"},{"family":"Ahmed","given":"Meqdad Saleh"},{"family":"Ahmed","given":"Mehrunnisha Sharif"},{"family":"Ahmed","given":"Syed Anees"},{"family":"Ajami","given":"Marjan"},{"family":"Akhtar","given":"Samina"},{"family":"Akkaif","given":"Mohammed Ahmed"},{"family":"Akrami","given":"Ashley E"},{"family":"Alalwan","given":"Tariq A"},{"family":"Al-Aly","given":"Ziyad"},{"family":"Alam","given":"Khurshid"},{"family":"Al-amer","given":"Rasmieh Mustafa"},{"family":"Alansari","given":"Amani"},{"family":"Al-Ashwal","given":"Fahmi Y"},{"family":"Albashtawy","given":"Mohammed"},{"family":"Aldhaleei","given":"Wafa A"},{"family":"Alemayehu","given":"Bezawit Abeje"},{"family":"Algammal","given":"Abdelazeem M"},{"family":"Alhabib","given":"Khalid F"},{"family":"Al Hamad","given":"Hanadi"},{"family":"Al Hasan","given":"Syed Mahfuz"},{"family":"Alhuwail","given":"Dari"},{"family":"Ali","given":"Rafat"},{"family":"Ali","given":"Abid"},{"family":"Ali","given":"Waad"},{"family":"Ali","given":"Mohammed Usman"},{"family":"Alif","given":"Sheikh Mohammad"},{"family":"Al-Jabi","given":"Samah W"},{"family":"Aljunid","given":"Syed Mohamed"},{"family":"Alkhatib","given":"Ahmad"},{"family":"Al-Marwani","given":"Sabah"},{"family":"Alomari","given":"Mahmoud A"},{"family":"Alqahtani","given":"Saleh A"},{"family":"Al-Raddadi","given":"Rajaa M Mohammad"},{"family":"Alrawashdeh","given":"Ahmad"},{"family":"Alrimawi","given":"Intima"},{"family":"Alrousan","given":"Sahel Majed"},{"family":"Alshahrani","given":"Najim Z"},{"family":"Al Ta'ani","given":"Omar"},{"family":"Al Ta'ani","given":"Zain"},{"family":"Altaany","given":"Zaid"},{"family":"Altaf","given":"Awais"},{"family":"Al Thaher","given":"Yazan"},{"family":"Alvis-Guzman","given":"Nelson"},{"family":"Al-Wardat","given":"Mohammad"},{"family":"Al-Worafi","given":"Yaser Mohammed"},{"family":"Aly","given":"Safwat"},{"family":"Aly","given":"Hany"},{"family":"Alzahrani","given":"Hosam"},{"family":"Alzoubi","given":"Abdallah"},{"family":"Alzoubi","given":"Karem H"},{"family":"Al-Zubayer","given":"Md. Akib"},{"family":"Amiri","given":"Sohrab"},{"family":"Amu","given":"Hubert"},{"family":"Amugsi","given":"Dickson A"},{"family":"Amusa","given":"Ganiyu Adeniyi"},{"family":"Ananda","given":"Roshan A"},{"family":"Ancuceanu","given":"Robert"},{"family":"Andrei","given":"Catalina Liliana"},{"family":"Anjana","given":"Ranjit Mohan"},{"family":"Ansari","given":"Sumbul"},{"family":"Ansari","given":"Mohammed Tahir"},{"family":"Antony","given":"Catherine M"},{"family":"Anuoluwa","given":"Iyadunni Adesola"},{"family":"Anuoluwa","given":"Boluwatife Stephen"},{"family":"Anvari","given":"Saeid"},{"family":"Anwar","given":"Saleha"},{"family":"Anyasodor","given":"Anayochukwu Edward"},{"family":"Apostol","given":"Geminn Louis Carace"},{"family":"Arab","given":"Juan Pablo"},{"family":"Arabloo","given":"Jalal"},{"family":"Arafat","given":"Mosab"},{"family":"Aravkin","given":"Aleksandr Y"},{"family":"Areda","given":"Demelash"},{"family":"Arifin","given":"Hidayat"},{"family":"Arkew","given":"Mesay"},{"family":"Armocida","given":"Benedetta"},{"family":"Ärnlöv","given":"Johan"},{"family":"Arooj","given":"Mahwish"},{"family":"Artamonov","given":"Anton A"},{"family":"Artanti","given":"Kurnia Dwi"},{"family":"Arumugam","given":"Ashokan"},{"family":"Asghari-Jafarabadi","given":"Mohammad"},{"family":"Ashraf","given":"Tahira"},{"family":"Asiamah-Asare","given":"Bernard Kwadwo Yeboah"},{"family":"Asrat","given":"Anemaw A"},{"family":"Astell-Burt","given":"Thomas"},{"family":"Athari","given":"Seyyed Shamsadin"},{"family":"Atorkey","given":"Prince"},{"family":"Atreya","given":"Alok"},{"family":"Aumoldaeva","given":"Zaure Maratovna"},{"family":"Awad","given":"Hamzeh"},{"family":"Awoke","given":"Mamaru Ayenew"},{"family":"Awotidebe","given":"Adedapo Wasiu"},{"family":"Aychiluhm","given":"Setognal Birara"},{"family":"Azargoonjahromi","given":"Ali"},{"family":"Azimi","given":"Amirali"},{"family":"Aziz","given":"Sadat Abdulla"},{"family":"Aziz","given":"Shahkaar"},{"family":"Azzam","given":"Ahmed Y."},{"family":"Azzolino","given":"Domenico"},{"family":"Azzopardi","given":"Peter S"},{"family":"Babashahi","given":"Mina"},{"family":"Babu","given":"Giridhara Rathnaiah"},{"family":"Badiye","given":"Ashish D"},{"family":"Bagheri","given":"Nasser"},{"family":"Bahurupi","given":"Yogesh"},{"family":"Bai","given":"Ruhai"},{"family":"Baig","given":"Atif Amin"},{"family":"Bakkannavar","given":"Shankar M"},{"family":"Balakrishnan","given":"Senthilkumar"},{"family":"Baltatu","given":"Ovidiu Constantin"},{"family":"Bam","given":"Kiran"},{"family":"Banach","given":"Maciej"},{"family":"Banik","given":"Rajon"},{"family":"Bardhan","given":"Mainak"},{"family":"Barqawi","given":"Hiba Jawdat"},{"family":"Barquera","given":"Simon"},{"family":"Barua","given":"Lingkan"},{"family":"Basharat","given":"Zarrin"},{"family":"Bashir","given":"Shahid"},{"family":"Bastan","given":"Mohammad-Mahdi"},{"family":"Basu","given":"Saurav"},{"family":"Bayat","given":"Reza"},{"family":"Bayih","given":"Mulat Tirfie"},{"family":"Beeraka","given":"Narasimha M"},{"family":"Begum","given":"Tahmina"},{"family":"Bello","given":"Umar Muhammad"},{"family":"Bello","given":"Abdulrahman Babatunde"},{"family":"Belo","given":"Luis"},{"family":"Bensenor","given":"Isabela M"},{"family":"Bergami","given":"Maria"},{"family":"Berhe","given":"Kidanemaryam"},{"family":"Berihun","given":"Abiye Assefa"},{"family":"Bhadoria","given":"Ajeet Singh"},{"family":"Bhagavathula","given":"Akshaya Srikanth"},{"family":"Bhala","given":"Neeraj"},{"family":"Bhalla","given":"Jaideep Singh"},{"family":"Bharadwaj","given":"Ravi"},{"family":"Bhardwaj","given":"Pankaj"},{"family":"Bhardwaj","given":"Nikha"},{"family":"Bhaskar","given":"Sonu"},{"family":"Bhat","given":"Ajay Nagesh"},{"family":"Bhattacharjee","given":"Priyadarshini"},{"family":"Bhattacharjee","given":"Shuvarthi"},{"family":"Bhatti","given":"Jasvinder Singh"},{"family":"Bhatti","given":"Gurjit Kaur"},{"family":"Bikov","given":"Andras"},{"family":"Bilgin","given":"Cem"},{"family":"Bisignano","given":"Catherine"},{"family":"Biswas","given":"Bijit"},{"family":"Bizzozero Peroni","given":"Bruno"},{"family":"Bjertness","given":"Espen"},{"family":"Bjørge","given":"Tone"},{"family":"Bolla","given":"Srinivasa Rao"},{"family":"Borhany","given":"Hamed"},{"family":"Bosoka","given":"Samuel Adolf"},{"family":"Bouaoud","given":"Souad"},{"family":"Boyko","given":"Edward J"},{"family":"Braithwaite","given":"Dejana"},{"family":"Brazo-Sayavera","given":"Javier"},{"family":"Brenner","given":"Hermann"},{"family":"Britton","given":"Gabrielle"},{"family":"Bryazka","given":"Dana"},{"family":"Bugiardini","given":"Raffaele"},{"family":"Bui","given":"Linh Phuong"},{"family":"Busch","given":"Felix"},{"family":"Bustanji","given":"Yasser"},{"family":"Butt","given":"Nadeem Shafique"},{"family":"Butt","given":"Zahid A"},{"family":"Calina","given":"Daniela"},{"family":"Campos","given":"Luciana Aparecida"},{"family":"Campos-Nonato","given":"Ismael"},{"family":"Cao","given":"Si"},{"family":"Cao","given":"Yin"},{"family":"Capodici","given":"Angelo"},{"family":"Carvalho","given":"Andre F"},{"family":"Carvalho","given":"Márcia"},{"family":"Catapano","given":"Alberico L"},{"family":"Cattafesta","given":"Monica"},{"family":"Cattaruzza","given":"Maria Sofia"},{"family":"Cegolon","given":"Luca"},{"family":"Cembranel","given":"Francieli"},{"family":"Cenko","given":"Edina"},{"family":"Cerin","given":"Ester"},{"family":"Cernigliaro","given":"Achille"},{"family":"Chadwick","given":"Joshua"},{"family":"Chakraborty","given":"Chiranjib"},{"family":"Chan","given":"Raymond N C"},{"family":"Chang","given":"Jung-Chen"},{"family":"Chattu","given":"Vijay Kumar"},{"family":"Chaudhary","given":"Anis Ahmad"},{"family":"Chaurasia","given":"Akhilanand"},{"family":"Chen","given":"Guangjin"},{"family":"Chen","given":"An-Tian"},{"family":"Chen","given":"Haowei"},{"family":"Cheng","given":"Esther T W"},{"family":"Chew","given":"Nicholas Ws"},{"family":"Chi","given":"Gerald"},{"family":"Chimoriya","given":"Ritesh"},{"family":"Ching","given":"Patrick R"},{"family":"Choi","given":"Dong-Woo"},{"family":"Chong","given":"Bryan"},{"family":"Chopra","given":"Hitesh"},{"family":"Chopra","given":"Shivani"},{"family":"Chou","given":"Hou In"},{"family":"Choudhari","given":"Sonali Gajanan"},{"family":"Chu","given":"Dinh-Toi"},{"family":"Chung","given":"Sunghyun"},{"family":"Chung","given":"Sheng-Chia"},{"family":"Chutiyami","given":"Muhammad"},{"family":"Cini","given":"Karly I"},{"family":"Cioffi","given":"Iolanda"},{"family":"Cogen","given":"Rebecca M"},{"family":"Collado-Mateo","given":"Daniel"},{"family":"Columbus","given":"Alyssa"},{"family":"Conrad","given":"Nathalie"},{"family":"Criqui","given":"Michael H"},{"family":"Cruz-Martins","given":"Natalia"},{"family":"Cummins","given":"Steven"},{"family":"D'Amico","given":"Emanuele"},{"family":"D'Anna","given":"Lucio"},{"family":"D'Oria","given":"Mario"},{"family":"Dadras","given":"Omid"},{"family":"Dai","given":"Xiaochen"},{"family":"Dalakoti","given":"Mayank"},{"family":"Dandona","given":"Rakhi"},{"family":"Dandona","given":"Lalit"},{"family":"Danpanichkul","given":"Pojsakorn"},{"family":"Darcho","given":"Samuel Demissie"},{"family":"Darvishi Cheshmeh Soltani","given":"Reza"},{"family":"Da Silva","given":"Alanna Gomes"},{"family":"Davletov","given":"Kairat"},{"family":"Delgado-Enciso","given":"Ivan"},{"family":"Denova-Gutiérrez","given":"Edgar"},{"family":"Derbew Molla","given":"Meseret"},{"family":"Dergaa","given":"Ismail"},{"family":"Desale","given":"Aragaw Tesfaw"},{"family":"Devanbu","given":"Vinoth Gnana Chellaiyan"},{"family":"Devegowda","given":"Devananda"},{"family":"Dewan","given":"Syed Masudur Rahman"},{"family":"Dhali","given":"Arkadeep"},{"family":"Dharmaratne","given":"Samath Dhamminda"},{"family":"Dhimal","given":"Meghnath"},{"family":"Dhungel","given":"Bibha"},{"family":"Diaz","given":"Daniel"},{"family":"Dinu","given":"Monica"},{"family":"Dodangeh","given":"Milad"},{"family":"Dohare","given":"Sushil"},{"family":"Dokova","given":"Klara Georgieva"},{"family":"Dolatkhah","given":"Neda"},{"family":"Do Prado","given":"Camila Bruneli"},{"family":"Dorostkar","given":"Fariba"},{"family":"Doshi","given":"Ojas Prakashbhai"},{"family":"Doshi","given":"Rajkumar Prakashbhai"},{"family":"Dowou","given":"Robert Kokou"},{"family":"Dsouza","given":"Viola Savy"},{"family":"Du","given":"Mi"},{"family":"Dumith","given":"Samuel C"},{"family":"Dumuid","given":"Dorothea"},{"family":"Duncan","given":"Bruce B"},{"family":"Dutta","given":"Sulagna"},{"family":"Dziedzic","given":"Arkadiusz Marian"},{"family":"Ebrahimi","given":"Alireza"},{"family":"Eftekhari","given":"Behrad"},{"family":"Eighaei Sedeh","given":"Ashkan"},{"family":"Ekholuenetale","given":"Michael"},{"family":"Eladl","given":"Mohamed Ahmed"},{"family":"El Arab","given":"Rabie Adel"},{"family":"El-Ashker","given":"Said"},{"family":"Elbarazi","given":"Iffat"},{"family":"El Bayoumy","given":"Ibrahim Farahat"},{"family":"Elgendy","given":"Islam Y"},{"family":"Elhadi","given":"Muhammed"},{"family":"El-Huneidi","given":"Waseem"},{"family":"El-Metwally","given":"Ashraf A"},{"family":"Elmonem","given":"Mohamed A"},{"family":"Elnaem","given":"Mohamed Hassan"},{"family":"Elsheikh","given":"Randa"},{"family":"Elsohaby","given":"Ibrahim"},{"family":"Eltaha","given":"Chadi"},{"family":"Emeto","given":"Theophilus I"},{"family":"Eslami","given":"Maysa"},{"family":"Eze","given":"Ugochukwu Anthony"},{"family":"Fadavian","given":"Heidar"},{"family":"Fagbamigbe","given":"Adeniyi Francis"},{"family":"Fakhradiyev","given":"Ildar Ravisovich"},{"family":"Faraji","given":"Seyed Nooreddin"},{"family":"Farinha","given":"Carla Sofia E Sá"},{"family":"Faris","given":"MoezAlIslam Ezzat Mahmoud"},{"family":"Farooque","given":"Umar"},{"family":"Farrokhpour","given":"Hossein"},{"family":"Fasusi","given":"Samuel Aanuoluwapo"},{"family":"Fazeli","given":"Patrick"},{"family":"Fazylov","given":"Timur"},{"family":"Feizkhah","given":"Alireza"},{"family":"Fekadu","given":"Ginenus"},{"family":"Feng","given":"Xiaoqi"},{"family":"Fernandes","given":"João C"},{"family":"Fernandez-Jimenez","given":"Rodrigo"},{"family":"Ferreira","given":"Nuno"},{"family":"Feyisa","given":"Bikila Regassa"},{"family":"Fischer","given":"Florian"},{"family":"Flood","given":"David"},{"family":"Foigt","given":"Nataliya A"},{"family":"Folayan","given":"Morenike Oluwatoyin"},{"family":"Fomenkov","given":"Artem Alekseevich"},{"family":"Foroumadi","given":"Roham"},{"family":"Fortuna Rodrigues","given":"Celia"},{"family":"Foschi","given":"Matteo"},{"family":"Fotouhi","given":"Maryam"},{"family":"Francis","given":"Kate Louise"},{"family":"Franklin","given":"Richard Charles"},{"family":"Gába","given":"Aleš"},{"family":"Gadanya","given":"Muktar A"},{"family":"Gaidhane","given":"Abhay Motiramji"},{"family":"Galali","given":"Yaseen"},{"family":"Gallus","given":"Silvano"},{"family":"Ganesan","given":"Balasankar"},{"family":"Gangachannaiah","given":"Shivaprakash"},{"family":"Gastélum Espinoza","given":"Wendy Paola"},{"family":"Gebregergis","given":"Miglas Welay"},{"family":"Gebremeskel","given":"Teferi Gebru"},{"family":"Getacher","given":"Lemma"},{"family":"Ghadirian","given":"Fataneh"},{"family":"Ghaffari Jolfayi","given":"Amir"},{"family":"Ghamari","given":"Seyyed-Hadi"},{"family":"Ghazy","given":"Ramy Mohamed"},{"family":"Gil","given":"Artyom Urievich"},{"family":"Gill","given":"Tiffany K"},{"family":"Gnedovskaya","given":"Elena V"},{"family":"Golechha","given":"Mahaveer"},{"family":"Golinelli","given":"Davide"},{"family":"Grivna","given":"Michal"},{"family":"Grover","given":"Ashna"},{"family":"Guan","given":"Zhongyang"},{"family":"Guan","given":"Shi-Yang"},{"family":"Guarducci","given":"Giovanni"},{"family":"Gubari","given":"Mohammed Ibrahim Mohialdeen"},{"family":"Guha","given":"Avirup"},{"family":"Gunawardane","given":"Damitha Asanga"},{"family":"Guo","given":"Zheng"},{"family":"Gupta","given":"Rajeev"},{"family":"Gupta","given":"Anish Kumar"},{"family":"Gupta","given":"Rahul"},{"family":"Gupta","given":"Sapna"},{"family":"Gupta","given":"Vivek Kumar"},{"family":"Gutiérrez-Murillo","given":"Roberth Steven"},{"family":"Guzman-Esquivel","given":"Jose"},{"family":"Hadi","given":"Najah R"},{"family":"Hadian","given":"Zahra"},{"family":"Hamdy","given":"Nadia M"},{"family":"Hameed","given":"Sajid"},{"family":"Hamidi","given":"Samer"},{"family":"Hamiduzzaman","given":"Mohammad"},{"family":"Hanif","given":"Asif"},{"family":"Hanifi","given":"Nasrin"},{"family":"Hankey","given":"Graeme J"},{"family":"Haq","given":"Allie"},{"family":"Harlianto","given":"Netanja I"},{"family":"Haro","given":"Josep Maria"},{"family":"Hartono","given":"Risky Kusuma"},{"family":"Hasan","given":"Faizul"},{"family":"Hashempur","given":"Mohammad Hashem"},{"family":"Hasnain","given":"Md Saquib"},{"family":"Hassan","given":"Amr"},{"family":"Hassan","given":"Nageeb"},{"family":"Hassanipour","given":"Soheil"},{"family":"Hassanzade Rad","given":"Afagh"},{"family":"Havmoeller","given":"Rasmus J"},{"family":"Hay","given":"Simon I"},{"family":"He","given":"Wen-Qiang"},{"family":"Hebert","given":"Jeffrey J"},{"family":"Heidari","given":"Golnaz"},{"family":"Hemmati","given":"Mehdi"},{"family":"Hiraike","given":"Yuta"},{"family":"Hoan","given":"Nguyen Quoc"},{"family":"Hoang","given":"Mai"},{"family":"Holla","given":"Ramesh"},{"family":"Hoogar","given":"Praveen"},{"family":"Hopkins","given":"Ashley Mark"},{"family":"Hossain","given":"Alamgir"},{"family":"Hosseinzadeh","given":"Hassan"},{"family":"Hostiuc","given":"Sorin"},{"family":"Hostiuc","given":"Mihaela"},{"family":"Htay","given":"Zin Wai"},{"family":"Hu","given":"Chengxi"},{"family":"Huang","given":"Junjie"},{"family":"Hundie","given":"Tsegaye Gebreyes"},{"family":"Husseiny","given":"Mohamed Ibrahim"},{"family":"Huynh","given":"Hong-Han"},{"family":"Iavicoli","given":"Ivo"},{"family":"Ibrayeva","given":"Anel"},{"family":"Ilesanmi","given":"Olayinka Stephen"},{"family":"Ilic","given":"Irena M"},{"family":"Ilic","given":"Milena D"},{"family":"Imam","given":"Mohammad Tarique"},{"family":"Inbaraj","given":"Leeberk Raja"},{"family":"Inok","given":"Arit"},{"family":"Irham","given":"Lalu Muhammad"},{"family":"Islam","given":"Md. Rabiul"},{"family":"Islam","given":"Sheikh Mohammed Shariful"},{"family":"Islam","given":"Rakibul M"},{"family":"Ismail","given":"Nahlah Elkudssiah"},{"family":"Iso","given":"Hiroyasu"},{"family":"Isola","given":"Gaetano"},{"family":"Ituka","given":"Mosimah Charles"},{"family":"Iwagami","given":"Masao"},{"family":"Iwu-Jaja","given":"Chinwe Juliana"},{"family":"Iyasu","given":"Assefa N"},{"family":"J","given":"Vinothini"},{"family":"Jacob","given":"Louis"},{"family":"Jaffar","given":"Shabbar"},{"family":"Jahrami","given":"Haitham"},{"family":"Jain","given":"Akhil"},{"family":"Jairoun","given":"Ammar Abdulrahman"},{"family":"Jakovljevic","given":"Mihajlo"},{"family":"Jalloh","given":"Mohamed Lamrana"},{"family":"Javaid","given":"Syed Sarmad"},{"family":"Jayapal","given":"Sathish Kumar"},{"family":"Jayarajah","given":"Umesh"},{"family":"Jayaram","given":"Shubha"},{"family":"Jebai","given":"Rime"},{"family":"Jebasingh","given":"Felix K"},{"family":"Jema","given":"Alelign Tasew"},{"family":"Jokar","given":"Mohammad"},{"family":"Jonas","given":"Jost B"},{"family":"Jose","given":"Jobinse"},{"family":"Joseph","given":"Nitin"},{"family":"Joshua","given":"Charity Ehimwenma"},{"family":"Jozwiak","given":"Jacek Jerzy"},{"family":"Jürisson","given":"Mikk"},{"family":"Kaambwa","given":"Billingsley"},{"family":"Kabir","given":"Ali"},{"family":"Kabir","given":"Zubair"},{"family":"Kakkar","given":"Ashish Kumar"},{"family":"Kalra","given":"Sanjay"},{"family":"Kamarajah","given":"Sivesh Kathir"},{"family":"Kanaan","given":"Saddam Fuad"},{"family":"Kankam","given":"Samuel Berchi"},{"family":"Kanmodi","given":"Kehinde Kazeem"},{"family":"Kapoor","given":"Neeti"},{"family":"Karajizadeh","given":"Mehrdad"},{"family":"Karakasis","given":"Paschalis"},{"family":"Karasneh","given":"Reema A"},{"family":"Karimi","given":"Yeganeh"},{"family":"Karimi Behnagh","given":"Arman"},{"family":"Kassebaum","given":"Nicholas J"},{"family":"Kauppila","given":"Joonas H"},{"family":"Kayode","given":"Gbenga A"},{"family":"Kehagias","given":"Dimitrios"},{"family":"Kerr","given":"Jessica A"},{"family":"Keshwani","given":"Ariz"},{"family":"Kesse-Guyot","given":"Emmanuelle"},{"family":"Keykhaei","given":"Mohammad"},{"family":"Khaing","given":"Inn Kynn"},{"family":"Khajuria","given":"Himanshu"},{"family":"Khalili","given":"Pantea"},{"family":"Khalilian","given":"Alireza"},{"family":"Khalis","given":"Mohamed"},{"family":"Khan","given":"Mohammad Jobair"},{"family":"Khan","given":"Maseer"},{"family":"Khan","given":"Nusrat"},{"family":"Khan","given":"Md Abdullah Saeed"},{"family":"Khan","given":"Ajmal"},{"family":"Khan","given":"Moien Ab"},{"family":"Khanmohammadi","given":"Shaghayegh"},{"family":"Khatab","given":"Khaled"},{"family":"Khatatbeh","given":"Moawiah Mohammad"},{"family":"Khayamzadeh","given":"Maryam"},{"family":"Khidri","given":"Feriha Fatima"},{"family":"Khorashadizadeh","given":"Fatemeh"},{"family":"Khosla","given":"Atulya Aman"},{"family":"Khosravi","given":"Sepehr"},{"family":"Khosrowjerdi","given":"Mahmood"},{"family":"Khubchandani","given":"Jagdish"},{"family":"Khusun","given":"Helda"},{"family":"Kim","given":"Jinho"},{"family":"Kim","given":"Kwanghyun"},{"family":"Kim","given":"Min Seo"},{"family":"Kim","given":"Yun Jin"},{"family":"Kimokoti","given":"Ruth W"},{"family":"Kisa","given":"Adnan"},{"family":"Kishore","given":"Ladli"},{"family":"Kivimäki","given":"Mika"},{"family":"Kokkorakis","given":"Michail"},{"family":"Kolahi","given":"Ali-Asghar"},{"family":"Kompani","given":"Farzad"},{"family":"Korzh","given":"Oleksii"},{"family":"Kostev","given":"Karel"},{"family":"Koulmane Laxminarayana","given":"Sindhura Lakshmi"},{"family":"Kretchy","given":"Irene Akwo"},{"family":"Krishan","given":"Kewal"},{"family":"Kua","given":"Chong-Han"},{"family":"Kuate Defo","given":"Barthelemy"},{"family":"Kulimbet","given":"Mukhtar"},{"family":"Kulkarni","given":"Vishnutheertha"},{"family":"Kumar","given":"Ashish"},{"family":"Kumar","given":"Vijay"},{"family":"Kumar","given":"G Anil"},{"family":"Kundu","given":"Satyajit"},{"family":"Kunutsor","given":"Setor K"},{"family":"Kurmi","given":"Om P"},{"family":"Kurniasari","given":"Maria Dyah"},{"family":"Kusuma","given":"Dian"},{"family":"Kytö","given":"Ville"},{"family":"Lacey","given":"Ben"},{"family":"Lahariya","given":"Chandrakant"},{"family":"Lai","given":"Daphne Teck Ching"},{"family":"Lai","given":"Hanpeng"},{"family":"Landires","given":"Iván"},{"family":"Larijani","given":"Bagher"},{"family":"Latief","given":"Kamaluddin"},{"family":"La Vecchia","given":"Carlo"},{"family":"Le","given":"Nhi Huu Hanh"},{"family":"Lee","given":"Munjae"},{"family":"Lee","given":"Sang-woong"},{"family":"Lee","given":"Wei-Chen"},{"family":"Lee","given":"Seung Won"},{"family":"Lee","given":"Paul H"},{"family":"Li","given":"Ming-Chieh"},{"family":"Li","given":"Yongze"},{"family":"Li","given":"Weilong"},{"family":"Lim","given":"Stephen S"},{"family":"Lin","given":"Queran"},{"family":"Lin","given":"Jialing"},{"family":"Lindholm","given":"Daniel"},{"family":"Lindstedt","given":"Paulina A"},{"family":"Liu","given":"Simin"},{"family":"Llanaj","given":"Erand"},{"family":"López-Gil","given":"José Francisco"},{"family":"Lorkowski","given":"Stefan"},{"family":"Lucchetti","given":"Giancarlo"},{"family":"Lugo","given":"Alessandra"},{"family":"Lutambi","given":"Angelina M"},{"family":"Lv","given":"Lei"},{"family":"Lytvyak","given":"Ellina"},{"family":"Ma","given":"Zheng Feei"},{"family":"Machoy","given":"Monika"},{"family":"Magaña Gómez","given":"Javier A"},{"family":"Maghbouli","given":"Nastaran"},{"family":"Mahalleh","given":"Mehrdad"},{"family":"Mahmood","given":"Nozad H"},{"family":"Mahmoudi","given":"Elham"},{"family":"Maiti","given":"Rituparna"},{"family":"Makris","given":"Konstantinos Christos C"},{"family":"Malhotra","given":"Kashish"},{"family":"Malik","given":"Ahmad Azam"},{"family":"Malik","given":"Iram"},{"family":"Malta","given":"Deborah Carvalho"},{"family":"Mamun","given":"Abdullah A"},{"family":"Mansourian","given":"Marjan"},{"family":"Manu","given":"Emmanuel"},{"family":"Marateb","given":"Hamid Reza"},{"family":"Marino","given":"Mirko"},{"family":"Marjani","given":"Abdoljalal"},{"family":"Martinez-Piedra","given":"Ramon"},{"family":"Martini","given":"Santi"},{"family":"Martorell","given":"Miquel"},{"family":"Marzouk","given":"Sammer"},{"family":"Masi","given":"Stefano"},{"family":"Masrouri","given":"Soroush"},{"family":"Mathangasinghe","given":"Yasith"},{"family":"Mathur","given":"Manu Raj"},{"family":"Matozinhos","given":"Fernanda Penido"},{"family":"Matthias","given":"Thushara"},{"family":"Mattiello","given":"Rita"},{"family":"Mazidi","given":"Mohsen"},{"family":"McPhail","given":"Steven M"},{"family":"Mechili","given":"Enkeleint A"},{"family":"Mehboob","given":"Riffat"},{"family":"Mehmood","given":"Asim"},{"family":"Mehndiratta","given":"Man Mohan"},{"family":"Mehrabani-Zeinabad","given":"Kamran"},{"family":"Mekene Meto","given":"Tesfahun"},{"family":"Meles","given":"Hadush Negash"},{"family":"Mendoza","given":"Walter"},{"family":"Menezes","given":"Ritesh G"},{"family":"Mengistie","given":"Emiru Ayalew"},{"family":"Meo","given":"Sultan Ayoub"},{"family":"Mestrovic","given":"Tomislav"},{"family":"Mettananda","given":"Sachith"},{"family":"Mettananda","given":"Chamila Dinushi Kukulege"},{"family":"Micheletti Gomide Nogueira De Sá","given":"Ana Carolina"},{"family":"Miller","given":"Ted R"},{"family":"Mini","given":"Gk"},{"family":"Mirrakhimov","given":"Erkin M"},{"family":"Misganaw","given":"Awoke"},{"family":"Mittal","given":"Madhukar"},{"family":"Mohamed","given":"Ahmed Ismail"},{"family":"Mohamed","given":"Mona Gamal"},{"family":"Mohamed","given":"Nouh Saad"},{"family":"Mohamed","given":"Jama"},{"family":"Mohammad","given":"Taj"},{"family":"Mohammad-Alizadeh-Charandabi","given":"Sakineh"},{"family":"Mohammadzadeh","given":"Ibrahim"},{"family":"Mohammed","given":"Shafiu"},{"family":"Mohammed","given":"Mustapha"},{"family":"Mokdad","given":"Ali H"},{"family":"Mondello","given":"Stefania"},{"family":"Moni","given":"Mohammad Ali"},{"family":"Moradi","given":"Maryam"},{"family":"Morrison","given":"Shane Douglas"},{"family":"Mossialos","given":"Elias"},{"family":"Motappa","given":"Rohith"},{"family":"Mulita","given":"Francesk"},{"family":"Mullany","given":"Erin C"},{"family":"Munkhsaikhan","given":"Yanjinlkham"},{"family":"Murillo-Zamora","given":"Efren"},{"family":"Musa","given":"Sani"},{"family":"Mustafa","given":"Ghulam"},{"family":"Muthu","given":"Sathish"},{"family":"Myung","given":"Woojae"},{"family":"Naghavi","given":"Pirouz"},{"family":"Naghavi","given":"Mohsen"},{"family":"Naik","given":"Ganesh R"},{"family":"Naik","given":"Hiten"},{"family":"Nambi","given":"Gopal"},{"family":"Nangia","given":"Vinay"},{"family":"Nansseu","given":"Jobert Richie"},{"family":"Nascimento","given":"Gustavo G"},{"family":"Nassar","given":"Mahmoud"},{"family":"Natto","given":"Zuhair S"},{"family":"Nauman","given":"Javaid"},{"family":"Naureen","given":"Zakira"},{"family":"Navaratna","given":"Samidi Nirasha Kumari"},{"family":"Nayak","given":"Biswa Prakash"},{"family":"Nayon","given":"Md Fahad Shahariar"},{"family":"Nazri-Panjaki","given":"Athare"},{"family":"Negahdary","given":"Masoud"},{"family":"Negoi","given":"Ruxandra Irina"},{"family":"Negoi","given":"Ionut"},{"family":"Nejadghaderi","given":"Seyed Aria"},{"family":"Nematollahi","given":"Soroush"},{"family":"Nepal","given":"Samata"},{"family":"Netsere","given":"Henok Biresaw"},{"family":"Ngunjiri","given":"Josephine W"},{"family":"Nguyen","given":"Cuong Tat"},{"family":"Nguyen","given":"Dang"},{"family":"Nguyen","given":"Trang"},{"family":"Nguyen","given":"Duc Hoang"},{"family":"Nguyen","given":"Phuong The"},{"family":"Niazi","given":"Robina Khan"},{"family":"Nieddu","given":"Luciano"},{"family":"Niknam","given":"Mahdieh"},{"family":"Nikoobar","given":"Ali"},{"family":"Nkeck","given":"Jan Rene"},{"family":"Nomura","given":"Shuhei"},{"family":"Noor","given":"Syed Toukir Ahmed"},{"family":"Noreen","given":"Mamoona"},{"family":"Noroozi","given":"Masoud"},{"literal":"Nawsherwan"},{"family":"Noubiap","given":"Jean Jacques"},{"family":"Nouri","given":"Mehran"},{"family":"Nri-Ezedi","given":"Chisom Adaobi"},{"family":"Nugen","given":"Fred"},{"family":"Nurrika","given":"Dieta"},{"family":"Nzoputam","given":"Ogochukwu Janet"},{"family":"O'Connell","given":"Erin M"},{"family":"Oancea","given":"Bogdan"},{"family":"Oguta","given":"James Odhiambo"},{"family":"Oh","given":"In-Hwan"},{"family":"Okati-Aliabad","given":"Hassan"},{"family":"Okekunle","given":"Akinkunmi Paul"},{"family":"Okonji","given":"Osaretin Christabel"},{"family":"Olagunju","given":"Andrew T"},{"family":"Olalusi","given":"Oladotun Victor"},{"family":"Olanrewaju","given":"Timothy Olusegun"},{"family":"Olasupo","given":"Omotola O"},{"family":"Oliveira","given":"Gláucia Maria Moraes"},{"family":"Oliveira","given":"Arão Belitardo"},{"family":"Oluwafemi","given":"Yinka Doris"},{"family":"Omar","given":"Hany A"},{"family":"Omar Bali","given":"Ahmed"},{"family":"Opitz","given":"Marcel"},{"family":"Ordak","given":"Michal"},{"family":"Ortiz","given":"Alberto"},{"family":"Osborne","given":"Augustus"},{"family":"Osman","given":"Wael M S"},{"family":"Osman","given":"Alaa A M"},{"family":"Osuagwu","given":"Uchechukwu Levi"},{"family":"Otoiu","given":"Adrian"},{"family":"Oumer","given":"Abdu"},{"family":"Ouyahia","given":"Amel"},{"family":"Owolabi","given":"Mayowa O"},{"family":"Owusu","given":"Irene Amoakoh"},{"family":"Oyebola","given":"Kolapo"},{"family":"P A","given":"Mahesh Padukudru"},{"family":"Padron-Monedero","given":"Alicia"},{"family":"Padubidri","given":"Jagadish Rao"},{"family":"Panda","given":"Sujogya Kumar"},{"family":"Panda-Jonas","given":"Songhomitra"},{"family":"Pandey","given":"Anamika"},{"family":"Pandi-Perumal","given":"Seithikurippu R"},{"family":"Pardhan","given":"Shahina"},{"family":"Parekh","given":"Utsav"},{"family":"Parija","given":"Pragyan Paramita"},{"family":"Parikh","given":"Romil R"},{"family":"Park","given":"Eun-Cheol"},{"family":"Pashaei","given":"Ava"},{"family":"Passera","given":"Roberto"},{"family":"Patel","given":"Hemal M"},{"family":"Pathan","given":"Aslam Ramjan"},{"family":"Patoulias","given":"Dimitrios"},{"family":"Patton","given":"George C"},{"family":"Paudel","given":"Susan"},{"family":"Pazoki Toroudi","given":"Hamidreza"},{"family":"Pensato","given":"Umberto"},{"family":"Peprah","given":"Prince"},{"family":"Pereira","given":"Gavin"},{"family":"Pereira","given":"Marcos"},{"family":"Perianayagam","given":"Arokiasamy"},{"family":"Perico","given":"Norberto"},{"family":"Perna","given":"Simone"},{"family":"Petcu","given":"Ionela-Roxana"},{"family":"Petermann-Rocha","given":"Fanny Emily"},{"family":"Pham","given":"Hoang Nhat"},{"family":"Polibin","given":"Roman V"},{"family":"Popovic","given":"Djordje S"},{"family":"Pourghazi","given":"Farzad"},{"family":"Pourshams","given":"Akram"},{"family":"Pradhan","given":"Jalandhar"},{"family":"Pradhan","given":"Pranil Man Singh"},{"family":"Prasad","given":"Manya"},{"family":"Prashant","given":"Akila"},{"family":"Prates","given":"Elton Junio Sady"},{"family":"Putra","given":"I Gusti Ngurah Edi"},{"family":"Puvvula","given":"Jagadeesh"},{"family":"Qattea","given":"Ibrahim"},{"family":"Qiu","given":"Jia-Yong"},{"family":"Radhakrishnan","given":"Venkatraman"},{"family":"Radojčić","given":"Maja R"},{"family":"Raggi","given":"Catalina"},{"family":"Rahman","given":"Muhammad Aziz"},{"family":"Rahman","given":"Fryad Majeed"},{"family":"Rahman","given":"Mohammad Hifz Ur"},{"family":"Rahman","given":"Mosiur"},{"family":"Rahmani","given":"Saeed"},{"family":"Rahmanian","given":"Vahid"},{"family":"Rahmawaty","given":"Setyaningrum"},{"family":"Rai","given":"Rajesh Kumar"},{"family":"Raimondo","given":"Ivano"},{"family":"Raj","given":"Jeffrey Pradeep"},{"family":"Rajput","given":"Prashant"},{"family":"Ramadan","given":"Mahmoud Mohammed"},{"family":"Ramasamy","given":"Chitra"},{"family":"Ramasamy","given":"Shakthi Kumaran"},{"family":"Ramazanu","given":"Sheena"},{"family":"Rana","given":"Kritika"},{"family":"Ranabhat","given":"Chhabi Lal"},{"family":"Rao","given":"Mithun"},{"family":"Rao","given":"Sowmya J"},{"family":"Rashedi","given":"Sina"},{"family":"Rashidi","given":"Mohammad-Mahdi"},{"family":"Rasouli-Saravani","given":"Ashkan"},{"family":"Rathish","given":"Devarajan"},{"family":"Rauniyar","given":"Santosh Kumar"},{"family":"Rautalin","given":"Ilari"},{"family":"Rawaf","given":"David Laith"},{"family":"Rawaf","given":"Salman"},{"family":"Redwan","given":"Elrashdy M. Moustafa Mohamed"},{"family":"Rege","given":"Sanika"},{"family":"Reis-Mendes","given":"Ana"},{"family":"Remuzzi","given":"Giuseppe"},{"family":"Rezaei","given":"Nazila"},{"family":"Rezaeian","given":"Mohsen"},{"family":"Rezazadeh","given":"Hossein"},{"family":"Rhee","given":"Taeho Gregory"},{"family":"Rocha-Gomes","given":"João Rocha"},{"family":"Rodrigues","given":"Mónica"},{"family":"Rodrigues Da Silva","given":"Thales Philipe"},{"family":"Rodriguez","given":"Jefferson Antonio Buendia"},{"family":"Roever","given":"Leonardo"},{"family":"Rohloff","given":"Peter"},{"family":"Romadlon","given":"Debby Syahru"},{"family":"Rony","given":"Moustaq Karim Khan"},{"family":"Roshandel","given":"Gholamreza"},{"family":"Rout","given":"Himanshu Sekhar"},{"family":"Roy","given":"Nitai"},{"family":"Rwegerera","given":"Godfrey M"},{"family":"Saad","given":"Aly M A"},{"family":"Saber-Ayad","given":"Maha Mohamed"},{"family":"Sabet","given":"Cameron John"},{"family":"Sadarangani","given":"Kabir P"},{"family":"Saddik","given":"Basema Ahmad"},{"family":"Sadeghi","given":"Masoumeh"},{"family":"Saeb","given":"Mohammad Reza"},{"family":"Saeed","given":"Umar"},{"family":"Saeedi Moghaddam","given":"Sahar"},{"family":"Safi","given":"Sher Zaman"},{"family":"Saghazadeh","given":"Amene"},{"family":"Sagoe","given":"Dominic"},{"family":"Sahebkar","given":"Amirhossein"},{"family":"Saheb Sharif-Askari","given":"Fatemeh"},{"family":"Sahoo","given":"Soumya Swaroop"},{"family":"Sajid","given":"Mirza Rizwan"},{"family":"Salaroli","given":"Luciane B"},{"family":"Saleh","given":"Mohamed A"},{"family":"Salem","given":"Marwa Rashad"},{"family":"Salimi","given":"Sohrab"},{"family":"Samodra","given":"Yoseph Leonardo"},{"family":"Samuel","given":"Vijaya Paul"},{"family":"Samy","given":"Abdallah M"},{"family":"Santhekadur","given":"Prasanna K"},{"family":"Santric-Milicevic","given":"Milena M"},{"family":"Saqib","given":"Muhammad Arif Nadeem"},{"family":"Saraswati","given":"Ushasi"},{"family":"Saravanan","given":"Aswini"},{"family":"Sari","given":"Dianis Wulan"},{"family":"Sarkar","given":"Tanmay"},{"family":"Sarmadi","given":"Mohammad"},{"family":"Sarode","given":"Sachin C"},{"family":"Sarode","given":"Gargi Sachin"},{"family":"Sassano","given":"Michele"},{"family":"Sathian","given":"Brijesh"},{"family":"Saya","given":"Ganesh Kumar"},{"family":"Schinckus","given":"Christophe"},{"family":"Schmidt","given":"Maria Inês"},{"family":"Schuermans","given":"Art"},{"family":"Schutte","given":"Aletta Elisabeth"},{"family":"Sebastian","given":"Sneha Annie"},{"family":"Selvaraj","given":"Siddharthan"},{"family":"Semreen","given":"Mohammad H"},{"family":"Sendekie","given":"Ashenafi Kibret"},{"family":"Sengupta","given":"Pallav"},{"family":"Senol","given":"Yigit Can"},{"family":"Senthilkumaran","given":"Subramanian"},{"family":"Sepanlou","given":"Sadaf G"},{"family":"Sethi","given":"Yashendra"},{"family":"Seylani","given":"Allen"},{"family":"Shafie","given":"Mahan"},{"family":"Shah","given":"Sweni"},{"family":"Shah","given":"Syed Mahboob"},{"family":"Shahid","given":"Samiah"},{"family":"Shahrahmani","given":"Fatemeh"},{"family":"Shahwan","given":"Moyad Jamal"},{"family":"Sham","given":"Sunder"},{"family":"Shamim","given":"Muhammad Aaqib"},{"family":"Shams-Beyranvand","given":"Mehran"},{"family":"Shamsi","given":"Anas"},{"family":"Shamsutdinova","given":"Alfiya"},{"family":"Shan","given":"Dan"},{"family":"Shanawaz","given":"Mohd"},{"family":"Shannawaz","given":"Mohammed"},{"family":"Sharath","given":"Medha"},{"family":"Sharfaei","given":"Sadaf"},{"family":"Sharifan","given":"Amin"},{"family":"Sharma","given":"Anupam"},{"family":"Sharma","given":"Ujjawal"},{"family":"Sharma","given":"Manoj"},{"family":"Sharma","given":"Vishal"},{"family":"Sheida","given":"Fateme"},{"family":"Sheikhy","given":"Ali"},{"family":"Shenoy","given":"Rekha Raghuveer"},{"family":"Shetty","given":"Pavanchand H"},{"family":"Shibuya","given":"Kenji"},{"family":"Shiferaw","given":"Desalegn"},{"family":"Shin","given":"Min-Jeong"},{"family":"Shiri","given":"Rahman"},{"family":"Shittu","given":"Aminu"},{"family":"Shool","given":"Sina"},{"family":"Shorofi","given":"Seyed Afshin"},{"family":"Shrestha","given":"Rajan"},{"family":"Shuval","given":"Kerem"},{"family":"Si","given":"Yafei"},{"family":"Sibuyi","given":"Nicole R S"},{"family":"Siddig","given":"Emmanuel Edwar"},{"family":"Siddiqi","given":"Ahmed Kamal"},{"family":"Sikdar","given":"Mithun"},{"family":"Silva","given":"Diego Augusto Santos"},{"family":"Silva","given":"Luís Manuel Lopes Rodrigues"},{"family":"Singh","given":"Surjit"},{"family":"Singh","given":"Jasvinder A"},{"family":"Singh","given":"Amit"},{"family":"Singh","given":"Harmanjit"},{"family":"Singh","given":"Baljinder"},{"family":"Singh","given":"Kalpana"},{"family":"Singh","given":"Puneetpal"},{"family":"Skryabin","given":"Valentin Yurievich"},{"family":"Skryabina","given":"Anna Aleksandrovna"},{"family":"Smith","given":"Amanda E"},{"family":"Smith","given":"Georgia"},{"family":"Soliman","given":"Sameh S M"},{"family":"Soraneh","given":"Soroush"},{"family":"Sorensen","given":"Reed J D"},{"family":"Spartalis","given":"Michael"},{"family":"Srichawla","given":"Bahadar S"},{"family":"Stachteas","given":"Panagiotis"},{"family":"Starodubova","given":"Antonina V"},{"family":"Straif","given":"Kurt"},{"family":"Stubbs","given":"Pete"},{"family":"Subramaniyan","given":"Vetriselvan"},{"family":"Suleiman Odidi","given":"Muritala Odidi"},{"family":"Sulkowski","given":"Aleksander"},{"family":"Sultan Meo","given":"Anusha"},{"family":"Sun","given":"Jing"},{"family":"Sun","given":"Zhong"},{"family":"Sunny","given":"Sumam"},{"family":"Swain","given":"Chandan Kumar"},{"family":"Szarpak","given":"Lukasz"},{"family":"Tabarés-Seisdedos","given":"Rafael"},{"family":"Tabatabaei","given":"Seyyed Mohammad"},{"family":"Tabatabaei","given":"Fatemeh Sadat"},{"family":"Tabatabaei Malazy","given":"Ozra"},{"family":"Tabatabai","given":"Shima"},{"family":"Tabche","given":"Celine"},{"family":"Tabish","given":"Mohammad"},{"family":"Taiba","given":"Jabeen"},{"family":"Talic","given":"Stella"},{"family":"Tampa","given":"Mircea"},{"family":"Tamuzi","given":"Jacques Lukenze"},{"family":"Tan","given":"Ker-Kan"},{"family":"Tanwar","given":"Manoj"},{"family":"Tariq","given":"Saba"},{"family":"Tat","given":"Nathan Y"},{"family":"Tavangar","given":"Seyed Mohammad"},{"family":"Temsah","given":"Reem Mohamad Hani"},{"family":"Temsah","given":"Mohamad-Hani"},{"family":"Teramoto","given":"Masayuki"},{"family":"Terefa","given":"Dufera Rikitu"},{"family":"Tewari","given":"Jay"},{"family":"Thapar","given":"Rekha"},{"family":"Ticoalu","given":"Jansje Henny Vera"},{"family":"Tiruneh","given":"Sofonyas Abebaw"},{"family":"Tiruye","given":"Tenaw Yimer"},{"family":"Titova","given":"Mariya Vladimirovna"},{"family":"Tiwari","given":"Krishna"},{"family":"Tomo","given":"Sojit"},{"family":"Tonelli","given":"Marcello"},{"family":"Touvier","given":"Mathilde"},{"family":"Tovani-Palone","given":"Marcos Roberto"},{"family":"Trabelsi","given":"Khaled"},{"family":"Tran","given":"Mai Thi Ngoc"},{"family":"Tran","given":"Thang Huu"},{"family":"Tran Minh Duc","given":"Nguyen"},{"family":"Trico","given":"Domenico"},{"family":"Trihandini","given":"Indang"},{"family":"Truyen","given":"Thien Tan Tri Tai"},{"family":"Tsatsakis","given":"Aristidis"},{"family":"Tse","given":"Gary"},{"family":"Tsegay","given":"Guesh Mebrahtom"},{"family":"Tumurkhuu","given":"Munkhtuya"},{"family":"T Y","given":"Sree Sudha"},{"family":"Tye","given":"Sok Cin"},{"family":"Tyrovolas","given":"Stefanos"},{"family":"Udoakang","given":"Aniefiok John"},{"family":"Ullah","given":"Shahid"},{"family":"Ullah","given":"Saeed"},{"family":"Umair","given":"Muhammad"},{"family":"Umar","given":"Umar Muhammad"},{"family":"Umar","given":"Lawan"},{"family":"Unim","given":"Brigid"},{"family":"Upadhya","given":"Dinesh"},{"family":"Upadhyay","given":"Era"},{"family":"Usman","given":"Jibrin Sammani"},{"family":"Ustunsoz","given":"Damla"},{"family":"Vaithinathan","given":"Asokan Govindaraj"},{"family":"Van Den Eynde","given":"Jef"},{"family":"Varghese","given":"Joe"},{"family":"Vasankari","given":"Tommi Juhani"},{"family":"Vaziri","given":"Siavash"},{"family":"Vellingiri","given":"Balachandar"},{"family":"Venketasubramanian","given":"Narayanaswamy"},{"family":"Verma","given":"Madhur"},{"family":"Verma","given":"Anjul"},{"family":"Verras","given":"Georgios-Ioannis"},{"family":"Vidale","given":"Simone"},{"family":"Villalobos-Daniel","given":"Victor E"},{"family":"Vinayak","given":"Manish"},{"family":"Vlassov","given":"Vasily"},{"family":"Vos","given":"Theo"},{"family":"Vukovic","given":"Rade"},{"family":"Wahidin","given":"Mugi"},{"family":"Wahiduzzaman","given":"Mohammad"},{"family":"Wang","given":"Yanzhong"},{"family":"Wang","given":"Shu"},{"family":"Wang","given":"Cong"},{"family":"Wang","given":"Xingxin"},{"family":"Wanjau","given":"Mary Njeri"},{"family":"Waqar","given":"Ahmed Bilal"},{"family":"Waqas","given":"Muhammad"},{"family":"Weerakoon","given":"Kosala Gayan"},{"family":"Wei","given":"Fei-Long"},{"family":"Wicaksana","given":"Anggi Lukman"},{"family":"Wickramasinghe","given":"Dakshitha Praneeth"},{"family":"Willeit","given":"Peter"},{"family":"Wojewodzic","given":"Marcin W"},{"family":"Wonde","given":"Tewodros Eshete"},{"family":"Wongsin","given":"Utoomporn"},{"family":"Xia","given":"Qing"},{"family":"Xie","given":"Wanqing"},{"family":"Xu","given":"Suowen"},{"family":"Xu","given":"Xiaoyue"},{"family":"Yamagishi","given":"Kazumasa"},{"family":"Yano","given":"Yuichiro"},{"family":"Yao","given":"Haiqiang"},{"family":"Yarahmadi","given":"Amir"},{"family":"Yaribeygi","given":"Habib"},{"family":"Yesuf","given":"Subah Abderehim"},{"family":"Yin","given":"Dehui"},{"family":"Yon","given":"Dong Keon"},{"family":"Yonemoto","given":"Naohiro"},{"family":"Yu","given":"Chuanhua"},{"family":"Yuan","given":"Chun-Wei"},{"family":"Yuce","given":"Deniz"},{"family":"Yunusa","given":"Ismaeel"},{"family":"Zaman","given":"Sojib Bin"},{"family":"Zare","given":"Iman"},{"family":"Zastrozhin","given":"Michael"},{"family":"Zeariya","given":"Mohammed G M"},{"family":"Zhang","given":"Xiaoyi"},{"family":"Zhang","given":"Liqun"},{"family":"Zhang","given":"Jingya"},{"family":"Zhang","given":"Zhiqiang"},{"family":"Zhang","given":"Casper J P"},{"family":"Zheng","given":"David X"},{"family":"Zheng","given":"Peng"},{"family":"Zhong","given":"Anthony"},{"family":"Zhong","given":"Claire Chenwen"},{"family":"Zhou","given":"Jiayan"},{"family":"Zhu","given":"Bin"},{"family":"Zhumagaliuly","given":"Abzal"},{"family":"Zielińska","given":"Magdalena"},{"family":"Zoghi","given":"Ghazal"},{"family":"Zou","given":"Zhiyong"},{"family":"Zweck","given":"Elric"},{"family":"Zyoud","given":"Sa'ed H"},{"family":"Murray","given":"Christopher J L"},{"family":"Sawyer","given":"Susan M"},{"family":"Vollset","given":"Stein Emil"}],"issued":{"date-parts":[["2025",3]]}}}],"schema":"https://github.com/citation-style-language/schema/raw/master/csl-citation.json"} </w:instrText>
      </w:r>
      <w:r w:rsidRPr="00735FCE">
        <w:fldChar w:fldCharType="separate"/>
      </w:r>
      <w:r w:rsidR="00281437" w:rsidRPr="00281437">
        <w:rPr>
          <w:vertAlign w:val="superscript"/>
        </w:rPr>
        <w:t>25</w:t>
      </w:r>
      <w:r w:rsidRPr="00735FCE">
        <w:fldChar w:fldCharType="end"/>
      </w:r>
      <w:r w:rsidRPr="00735FCE">
        <w:t xml:space="preserve">. On the other hand, nations such as Vietnam, Bangladesh, and </w:t>
      </w:r>
      <w:r w:rsidRPr="00735FCE">
        <w:lastRenderedPageBreak/>
        <w:t>Ethiopia have much lower prevalence rates</w:t>
      </w:r>
      <w:r>
        <w:t>,</w:t>
      </w:r>
      <w:r w:rsidRPr="00735FCE">
        <w:t xml:space="preserve"> which are typically below 5%, highlighting significant geographic disparities in the global obesity burden</w:t>
      </w:r>
      <w:r>
        <w:t xml:space="preserve"> </w:t>
      </w:r>
      <w:r w:rsidRPr="00735FCE">
        <w:fldChar w:fldCharType="begin"/>
      </w:r>
      <w:r w:rsidR="00281437">
        <w:instrText xml:space="preserve"> ADDIN ZOTERO_ITEM CSL_CITATION {"citationID":"wxitOfu8","properties":{"formattedCitation":"\\super 25\\nosupersub{}","plainCitation":"25","noteIndex":0},"citationItems":[{"id":3099,"uris":["http://zotero.org/users/9622455/items/FR93TNFR"],"itemData":{"id":3099,"type":"article-journal","abstract":"Background Overweight and obesity is a global epidemic. Forecasting future trajectories of the epidemic is crucial for providing an evidence base for policy change. In this study, we examine the historical trends of the global, regional, and national prevalence of adult overweight and obesity from 1990 to 2021 and forecast the future trajectories to 2050.","container-title":"The Lancet","DOI":"10.1016/S0140-6736(25)00355-1","ISSN":"01406736","issue":"10481","journalAbbreviation":"The Lancet","language":"en","page":"813-838","source":"DOI.org (Crossref)","title":"Global, regional, and national prevalence of adult overweight and obesity, 1990–2021, with forecasts to 2050: a forecasting study for the Global Burden of Disease Study 2021","title-short":"Global, regional, and national prevalence of adult overweight and obesity, 1990–2021, with forecasts to 2050","volume":"405","author":[{"family":"Ng","given":"Marie"},{"family":"Gakidou","given":"Emmanuela"},{"family":"Lo","given":"Justin"},{"family":"Abate","given":"Yohannes Habtegiorgis"},{"family":"Abbafati","given":"Cristiana"},{"family":"Abbas","given":"Nasir"},{"family":"Abbasian","given":"Mohammadreza"},{"family":"Abd ElHafeez","given":"Samar"},{"family":"Abdel-Rahman","given":"Wael M"},{"family":"Abd-Elsalam","given":"Sherief"},{"family":"Abdollahi","given":"Arash"},{"family":"Abdoun","given":"Meriem"},{"family":"Abdulah","given":"Deldar Morad"},{"family":"Abdulkader","given":"Rizwan Suliankatchi"},{"family":"Abdullahi","given":"Auwal"},{"family":"Abedi","given":"Armita"},{"family":"Abeywickrama","given":"Hansani Madushika"},{"family":"Abie","given":"Alemwork"},{"family":"Aboagye","given":"Richard Gyan"},{"family":"Abohashem","given":"Shady"},{"family":"Abtahi","given":"Dariush"},{"family":"Abualruz","given":"Hasan"},{"family":"Abubakar","given":"Bilyaminu"},{"family":"Abu Farha","given":"Rana Kamal"},{"family":"Abukhadijah","given":"Hana J"},{"family":"Abu-Rmeileh","given":"Niveen Me"},{"family":"Aburuz","given":"Salahdein"},{"family":"Abu-Zaid","given":"Ahmed"},{"family":"Adams","given":"Lisa C"},{"family":"Adane","given":"Mesafint Molla"},{"family":"Addo","given":"Isaac Yeboah"},{"family":"Adedokun","given":"Kamoru Ademola"},{"family":"Adegoke","given":"Nurudeen A"},{"family":"Adepoju","given":"Abiola Victor Victor"},{"family":"Adesola","given":"Ridwan Olamilekan"},{"family":"Adeyeoluwa","given":"Temitayo Esther"},{"family":"Adiga","given":"Usha"},{"family":"Adnani","given":"Qorinah Estiningtyas Sakilah"},{"family":"Afaghi","given":"Siamak"},{"family":"Afzal","given":"Saira"},{"family":"Afzal","given":"Muhammad Sohail"},{"family":"Agampodi","given":"Thilini Chanchala"},{"family":"Aghamiri","given":"Shahin"},{"family":"Agostinis Sobrinho","given":"César"},{"family":"Agyemang-Duah","given":"Williams"},{"family":"Ahlstrom","given":"Austin J"},{"family":"Ahmad","given":"Danish"},{"family":"Ahmad","given":"Sajjad"},{"family":"Ahmad","given":"Aqeel"},{"family":"Ahmad","given":"Muayyad M"},{"family":"Ahmad","given":"Fuzail"},{"family":"Ahmad","given":"Noah"},{"family":"Ahmed","given":"Haroon"},{"family":"Ahmed","given":"Muktar Beshir"},{"family":"Ahmed","given":"Ayman"},{"family":"Ahmed","given":"Meqdad Saleh"},{"family":"Ahmed","given":"Mehrunnisha Sharif"},{"family":"Ahmed","given":"Syed Anees"},{"family":"Ajami","given":"Marjan"},{"family":"Akhtar","given":"Samina"},{"family":"Akkaif","given":"Mohammed Ahmed"},{"family":"Akrami","given":"Ashley E"},{"family":"Alalwan","given":"Tariq A"},{"family":"Al-Aly","given":"Ziyad"},{"family":"Alam","given":"Khurshid"},{"family":"Al-amer","given":"Rasmieh Mustafa"},{"family":"Alansari","given":"Amani"},{"family":"Al-Ashwal","given":"Fahmi Y"},{"family":"Albashtawy","given":"Mohammed"},{"family":"Aldhaleei","given":"Wafa A"},{"family":"Alemayehu","given":"Bezawit Abeje"},{"family":"Algammal","given":"Abdelazeem M"},{"family":"Alhabib","given":"Khalid F"},{"family":"Al Hamad","given":"Hanadi"},{"family":"Al Hasan","given":"Syed Mahfuz"},{"family":"Alhuwail","given":"Dari"},{"family":"Ali","given":"Rafat"},{"family":"Ali","given":"Abid"},{"family":"Ali","given":"Waad"},{"family":"Ali","given":"Mohammed Usman"},{"family":"Alif","given":"Sheikh Mohammad"},{"family":"Al-Jabi","given":"Samah W"},{"family":"Aljunid","given":"Syed Mohamed"},{"family":"Alkhatib","given":"Ahmad"},{"family":"Al-Marwani","given":"Sabah"},{"family":"Alomari","given":"Mahmoud A"},{"family":"Alqahtani","given":"Saleh A"},{"family":"Al-Raddadi","given":"Rajaa M Mohammad"},{"family":"Alrawashdeh","given":"Ahmad"},{"family":"Alrimawi","given":"Intima"},{"family":"Alrousan","given":"Sahel Majed"},{"family":"Alshahrani","given":"Najim Z"},{"family":"Al Ta'ani","given":"Omar"},{"family":"Al Ta'ani","given":"Zain"},{"family":"Altaany","given":"Zaid"},{"family":"Altaf","given":"Awais"},{"family":"Al Thaher","given":"Yazan"},{"family":"Alvis-Guzman","given":"Nelson"},{"family":"Al-Wardat","given":"Mohammad"},{"family":"Al-Worafi","given":"Yaser Mohammed"},{"family":"Aly","given":"Safwat"},{"family":"Aly","given":"Hany"},{"family":"Alzahrani","given":"Hosam"},{"family":"Alzoubi","given":"Abdallah"},{"family":"Alzoubi","given":"Karem H"},{"family":"Al-Zubayer","given":"Md. Akib"},{"family":"Amiri","given":"Sohrab"},{"family":"Amu","given":"Hubert"},{"family":"Amugsi","given":"Dickson A"},{"family":"Amusa","given":"Ganiyu Adeniyi"},{"family":"Ananda","given":"Roshan A"},{"family":"Ancuceanu","given":"Robert"},{"family":"Andrei","given":"Catalina Liliana"},{"family":"Anjana","given":"Ranjit Mohan"},{"family":"Ansari","given":"Sumbul"},{"family":"Ansari","given":"Mohammed Tahir"},{"family":"Antony","given":"Catherine M"},{"family":"Anuoluwa","given":"Iyadunni Adesola"},{"family":"Anuoluwa","given":"Boluwatife Stephen"},{"family":"Anvari","given":"Saeid"},{"family":"Anwar","given":"Saleha"},{"family":"Anyasodor","given":"Anayochukwu Edward"},{"family":"Apostol","given":"Geminn Louis Carace"},{"family":"Arab","given":"Juan Pablo"},{"family":"Arabloo","given":"Jalal"},{"family":"Arafat","given":"Mosab"},{"family":"Aravkin","given":"Aleksandr Y"},{"family":"Areda","given":"Demelash"},{"family":"Arifin","given":"Hidayat"},{"family":"Arkew","given":"Mesay"},{"family":"Armocida","given":"Benedetta"},{"family":"Ärnlöv","given":"Johan"},{"family":"Arooj","given":"Mahwish"},{"family":"Artamonov","given":"Anton A"},{"family":"Artanti","given":"Kurnia Dwi"},{"family":"Arumugam","given":"Ashokan"},{"family":"Asghari-Jafarabadi","given":"Mohammad"},{"family":"Ashraf","given":"Tahira"},{"family":"Asiamah-Asare","given":"Bernard Kwadwo Yeboah"},{"family":"Asrat","given":"Anemaw A"},{"family":"Astell-Burt","given":"Thomas"},{"family":"Athari","given":"Seyyed Shamsadin"},{"family":"Atorkey","given":"Prince"},{"family":"Atreya","given":"Alok"},{"family":"Aumoldaeva","given":"Zaure Maratovna"},{"family":"Awad","given":"Hamzeh"},{"family":"Awoke","given":"Mamaru Ayenew"},{"family":"Awotidebe","given":"Adedapo Wasiu"},{"family":"Aychiluhm","given":"Setognal Birara"},{"family":"Azargoonjahromi","given":"Ali"},{"family":"Azimi","given":"Amirali"},{"family":"Aziz","given":"Sadat Abdulla"},{"family":"Aziz","given":"Shahkaar"},{"family":"Azzam","given":"Ahmed Y."},{"family":"Azzolino","given":"Domenico"},{"family":"Azzopardi","given":"Peter S"},{"family":"Babashahi","given":"Mina"},{"family":"Babu","given":"Giridhara Rathnaiah"},{"family":"Badiye","given":"Ashish D"},{"family":"Bagheri","given":"Nasser"},{"family":"Bahurupi","given":"Yogesh"},{"family":"Bai","given":"Ruhai"},{"family":"Baig","given":"Atif Amin"},{"family":"Bakkannavar","given":"Shankar M"},{"family":"Balakrishnan","given":"Senthilkumar"},{"family":"Baltatu","given":"Ovidiu Constantin"},{"family":"Bam","given":"Kiran"},{"family":"Banach","given":"Maciej"},{"family":"Banik","given":"Rajon"},{"family":"Bardhan","given":"Mainak"},{"family":"Barqawi","given":"Hiba Jawdat"},{"family":"Barquera","given":"Simon"},{"family":"Barua","given":"Lingkan"},{"family":"Basharat","given":"Zarrin"},{"family":"Bashir","given":"Shahid"},{"family":"Bastan","given":"Mohammad-Mahdi"},{"family":"Basu","given":"Saurav"},{"family":"Bayat","given":"Reza"},{"family":"Bayih","given":"Mulat Tirfie"},{"family":"Beeraka","given":"Narasimha M"},{"family":"Begum","given":"Tahmina"},{"family":"Bello","given":"Umar Muhammad"},{"family":"Bello","given":"Abdulrahman Babatunde"},{"family":"Belo","given":"Luis"},{"family":"Bensenor","given":"Isabela M"},{"family":"Bergami","given":"Maria"},{"family":"Berhe","given":"Kidanemaryam"},{"family":"Berihun","given":"Abiye Assefa"},{"family":"Bhadoria","given":"Ajeet Singh"},{"family":"Bhagavathula","given":"Akshaya Srikanth"},{"family":"Bhala","given":"Neeraj"},{"family":"Bhalla","given":"Jaideep Singh"},{"family":"Bharadwaj","given":"Ravi"},{"family":"Bhardwaj","given":"Pankaj"},{"family":"Bhardwaj","given":"Nikha"},{"family":"Bhaskar","given":"Sonu"},{"family":"Bhat","given":"Ajay Nagesh"},{"family":"Bhattacharjee","given":"Priyadarshini"},{"family":"Bhattacharjee","given":"Shuvarthi"},{"family":"Bhatti","given":"Jasvinder Singh"},{"family":"Bhatti","given":"Gurjit Kaur"},{"family":"Bikov","given":"Andras"},{"family":"Bilgin","given":"Cem"},{"family":"Bisignano","given":"Catherine"},{"family":"Biswas","given":"Bijit"},{"family":"Bizzozero Peroni","given":"Bruno"},{"family":"Bjertness","given":"Espen"},{"family":"Bjørge","given":"Tone"},{"family":"Bolla","given":"Srinivasa Rao"},{"family":"Borhany","given":"Hamed"},{"family":"Bosoka","given":"Samuel Adolf"},{"family":"Bouaoud","given":"Souad"},{"family":"Boyko","given":"Edward J"},{"family":"Braithwaite","given":"Dejana"},{"family":"Brazo-Sayavera","given":"Javier"},{"family":"Brenner","given":"Hermann"},{"family":"Britton","given":"Gabrielle"},{"family":"Bryazka","given":"Dana"},{"family":"Bugiardini","given":"Raffaele"},{"family":"Bui","given":"Linh Phuong"},{"family":"Busch","given":"Felix"},{"family":"Bustanji","given":"Yasser"},{"family":"Butt","given":"Nadeem Shafique"},{"family":"Butt","given":"Zahid A"},{"family":"Calina","given":"Daniela"},{"family":"Campos","given":"Luciana Aparecida"},{"family":"Campos-Nonato","given":"Ismael"},{"family":"Cao","given":"Si"},{"family":"Cao","given":"Yin"},{"family":"Capodici","given":"Angelo"},{"family":"Carvalho","given":"Andre F"},{"family":"Carvalho","given":"Márcia"},{"family":"Catapano","given":"Alberico L"},{"family":"Cattafesta","given":"Monica"},{"family":"Cattaruzza","given":"Maria Sofia"},{"family":"Cegolon","given":"Luca"},{"family":"Cembranel","given":"Francieli"},{"family":"Cenko","given":"Edina"},{"family":"Cerin","given":"Ester"},{"family":"Cernigliaro","given":"Achille"},{"family":"Chadwick","given":"Joshua"},{"family":"Chakraborty","given":"Chiranjib"},{"family":"Chan","given":"Raymond N C"},{"family":"Chang","given":"Jung-Chen"},{"family":"Chattu","given":"Vijay Kumar"},{"family":"Chaudhary","given":"Anis Ahmad"},{"family":"Chaurasia","given":"Akhilanand"},{"family":"Chen","given":"Guangjin"},{"family":"Chen","given":"An-Tian"},{"family":"Chen","given":"Haowei"},{"family":"Cheng","given":"Esther T W"},{"family":"Chew","given":"Nicholas Ws"},{"family":"Chi","given":"Gerald"},{"family":"Chimoriya","given":"Ritesh"},{"family":"Ching","given":"Patrick R"},{"family":"Choi","given":"Dong-Woo"},{"family":"Chong","given":"Bryan"},{"family":"Chopra","given":"Hitesh"},{"family":"Chopra","given":"Shivani"},{"family":"Chou","given":"Hou In"},{"family":"Choudhari","given":"Sonali Gajanan"},{"family":"Chu","given":"Dinh-Toi"},{"family":"Chung","given":"Sunghyun"},{"family":"Chung","given":"Sheng-Chia"},{"family":"Chutiyami","given":"Muhammad"},{"family":"Cini","given":"Karly I"},{"family":"Cioffi","given":"Iolanda"},{"family":"Cogen","given":"Rebecca M"},{"family":"Collado-Mateo","given":"Daniel"},{"family":"Columbus","given":"Alyssa"},{"family":"Conrad","given":"Nathalie"},{"family":"Criqui","given":"Michael H"},{"family":"Cruz-Martins","given":"Natalia"},{"family":"Cummins","given":"Steven"},{"family":"D'Amico","given":"Emanuele"},{"family":"D'Anna","given":"Lucio"},{"family":"D'Oria","given":"Mario"},{"family":"Dadras","given":"Omid"},{"family":"Dai","given":"Xiaochen"},{"family":"Dalakoti","given":"Mayank"},{"family":"Dandona","given":"Rakhi"},{"family":"Dandona","given":"Lalit"},{"family":"Danpanichkul","given":"Pojsakorn"},{"family":"Darcho","given":"Samuel Demissie"},{"family":"Darvishi Cheshmeh Soltani","given":"Reza"},{"family":"Da Silva","given":"Alanna Gomes"},{"family":"Davletov","given":"Kairat"},{"family":"Delgado-Enciso","given":"Ivan"},{"family":"Denova-Gutiérrez","given":"Edgar"},{"family":"Derbew Molla","given":"Meseret"},{"family":"Dergaa","given":"Ismail"},{"family":"Desale","given":"Aragaw Tesfaw"},{"family":"Devanbu","given":"Vinoth Gnana Chellaiyan"},{"family":"Devegowda","given":"Devananda"},{"family":"Dewan","given":"Syed Masudur Rahman"},{"family":"Dhali","given":"Arkadeep"},{"family":"Dharmaratne","given":"Samath Dhamminda"},{"family":"Dhimal","given":"Meghnath"},{"family":"Dhungel","given":"Bibha"},{"family":"Diaz","given":"Daniel"},{"family":"Dinu","given":"Monica"},{"family":"Dodangeh","given":"Milad"},{"family":"Dohare","given":"Sushil"},{"family":"Dokova","given":"Klara Georgieva"},{"family":"Dolatkhah","given":"Neda"},{"family":"Do Prado","given":"Camila Bruneli"},{"family":"Dorostkar","given":"Fariba"},{"family":"Doshi","given":"Ojas Prakashbhai"},{"family":"Doshi","given":"Rajkumar Prakashbhai"},{"family":"Dowou","given":"Robert Kokou"},{"family":"Dsouza","given":"Viola Savy"},{"family":"Du","given":"Mi"},{"family":"Dumith","given":"Samuel C"},{"family":"Dumuid","given":"Dorothea"},{"family":"Duncan","given":"Bruce B"},{"family":"Dutta","given":"Sulagna"},{"family":"Dziedzic","given":"Arkadiusz Marian"},{"family":"Ebrahimi","given":"Alireza"},{"family":"Eftekhari","given":"Behrad"},{"family":"Eighaei Sedeh","given":"Ashkan"},{"family":"Ekholuenetale","given":"Michael"},{"family":"Eladl","given":"Mohamed Ahmed"},{"family":"El Arab","given":"Rabie Adel"},{"family":"El-Ashker","given":"Said"},{"family":"Elbarazi","given":"Iffat"},{"family":"El Bayoumy","given":"Ibrahim Farahat"},{"family":"Elgendy","given":"Islam Y"},{"family":"Elhadi","given":"Muhammed"},{"family":"El-Huneidi","given":"Waseem"},{"family":"El-Metwally","given":"Ashraf A"},{"family":"Elmonem","given":"Mohamed A"},{"family":"Elnaem","given":"Mohamed Hassan"},{"family":"Elsheikh","given":"Randa"},{"family":"Elsohaby","given":"Ibrahim"},{"family":"Eltaha","given":"Chadi"},{"family":"Emeto","given":"Theophilus I"},{"family":"Eslami","given":"Maysa"},{"family":"Eze","given":"Ugochukwu Anthony"},{"family":"Fadavian","given":"Heidar"},{"family":"Fagbamigbe","given":"Adeniyi Francis"},{"family":"Fakhradiyev","given":"Ildar Ravisovich"},{"family":"Faraji","given":"Seyed Nooreddin"},{"family":"Farinha","given":"Carla Sofia E Sá"},{"family":"Faris","given":"MoezAlIslam Ezzat Mahmoud"},{"family":"Farooque","given":"Umar"},{"family":"Farrokhpour","given":"Hossein"},{"family":"Fasusi","given":"Samuel Aanuoluwapo"},{"family":"Fazeli","given":"Patrick"},{"family":"Fazylov","given":"Timur"},{"family":"Feizkhah","given":"Alireza"},{"family":"Fekadu","given":"Ginenus"},{"family":"Feng","given":"Xiaoqi"},{"family":"Fernandes","given":"João C"},{"family":"Fernandez-Jimenez","given":"Rodrigo"},{"family":"Ferreira","given":"Nuno"},{"family":"Feyisa","given":"Bikila Regassa"},{"family":"Fischer","given":"Florian"},{"family":"Flood","given":"David"},{"family":"Foigt","given":"Nataliya A"},{"family":"Folayan","given":"Morenike Oluwatoyin"},{"family":"Fomenkov","given":"Artem Alekseevich"},{"family":"Foroumadi","given":"Roham"},{"family":"Fortuna Rodrigues","given":"Celia"},{"family":"Foschi","given":"Matteo"},{"family":"Fotouhi","given":"Maryam"},{"family":"Francis","given":"Kate Louise"},{"family":"Franklin","given":"Richard Charles"},{"family":"Gába","given":"Aleš"},{"family":"Gadanya","given":"Muktar A"},{"family":"Gaidhane","given":"Abhay Motiramji"},{"family":"Galali","given":"Yaseen"},{"family":"Gallus","given":"Silvano"},{"family":"Ganesan","given":"Balasankar"},{"family":"Gangachannaiah","given":"Shivaprakash"},{"family":"Gastélum Espinoza","given":"Wendy Paola"},{"family":"Gebregergis","given":"Miglas Welay"},{"family":"Gebremeskel","given":"Teferi Gebru"},{"family":"Getacher","given":"Lemma"},{"family":"Ghadirian","given":"Fataneh"},{"family":"Ghaffari Jolfayi","given":"Amir"},{"family":"Ghamari","given":"Seyyed-Hadi"},{"family":"Ghazy","given":"Ramy Mohamed"},{"family":"Gil","given":"Artyom Urievich"},{"family":"Gill","given":"Tiffany K"},{"family":"Gnedovskaya","given":"Elena V"},{"family":"Golechha","given":"Mahaveer"},{"family":"Golinelli","given":"Davide"},{"family":"Grivna","given":"Michal"},{"family":"Grover","given":"Ashna"},{"family":"Guan","given":"Zhongyang"},{"family":"Guan","given":"Shi-Yang"},{"family":"Guarducci","given":"Giovanni"},{"family":"Gubari","given":"Mohammed Ibrahim Mohialdeen"},{"family":"Guha","given":"Avirup"},{"family":"Gunawardane","given":"Damitha Asanga"},{"family":"Guo","given":"Zheng"},{"family":"Gupta","given":"Rajeev"},{"family":"Gupta","given":"Anish Kumar"},{"family":"Gupta","given":"Rahul"},{"family":"Gupta","given":"Sapna"},{"family":"Gupta","given":"Vivek Kumar"},{"family":"Gutiérrez-Murillo","given":"Roberth Steven"},{"family":"Guzman-Esquivel","given":"Jose"},{"family":"Hadi","given":"Najah R"},{"family":"Hadian","given":"Zahra"},{"family":"Hamdy","given":"Nadia M"},{"family":"Hameed","given":"Sajid"},{"family":"Hamidi","given":"Samer"},{"family":"Hamiduzzaman","given":"Mohammad"},{"family":"Hanif","given":"Asif"},{"family":"Hanifi","given":"Nasrin"},{"family":"Hankey","given":"Graeme J"},{"family":"Haq","given":"Allie"},{"family":"Harlianto","given":"Netanja I"},{"family":"Haro","given":"Josep Maria"},{"family":"Hartono","given":"Risky Kusuma"},{"family":"Hasan","given":"Faizul"},{"family":"Hashempur","given":"Mohammad Hashem"},{"family":"Hasnain","given":"Md Saquib"},{"family":"Hassan","given":"Amr"},{"family":"Hassan","given":"Nageeb"},{"family":"Hassanipour","given":"Soheil"},{"family":"Hassanzade Rad","given":"Afagh"},{"family":"Havmoeller","given":"Rasmus J"},{"family":"Hay","given":"Simon I"},{"family":"He","given":"Wen-Qiang"},{"family":"Hebert","given":"Jeffrey J"},{"family":"Heidari","given":"Golnaz"},{"family":"Hemmati","given":"Mehdi"},{"family":"Hiraike","given":"Yuta"},{"family":"Hoan","given":"Nguyen Quoc"},{"family":"Hoang","given":"Mai"},{"family":"Holla","given":"Ramesh"},{"family":"Hoogar","given":"Praveen"},{"family":"Hopkins","given":"Ashley Mark"},{"family":"Hossain","given":"Alamgir"},{"family":"Hosseinzadeh","given":"Hassan"},{"family":"Hostiuc","given":"Sorin"},{"family":"Hostiuc","given":"Mihaela"},{"family":"Htay","given":"Zin Wai"},{"family":"Hu","given":"Chengxi"},{"family":"Huang","given":"Junjie"},{"family":"Hundie","given":"Tsegaye Gebreyes"},{"family":"Husseiny","given":"Mohamed Ibrahim"},{"family":"Huynh","given":"Hong-Han"},{"family":"Iavicoli","given":"Ivo"},{"family":"Ibrayeva","given":"Anel"},{"family":"Ilesanmi","given":"Olayinka Stephen"},{"family":"Ilic","given":"Irena M"},{"family":"Ilic","given":"Milena D"},{"family":"Imam","given":"Mohammad Tarique"},{"family":"Inbaraj","given":"Leeberk Raja"},{"family":"Inok","given":"Arit"},{"family":"Irham","given":"Lalu Muhammad"},{"family":"Islam","given":"Md. Rabiul"},{"family":"Islam","given":"Sheikh Mohammed Shariful"},{"family":"Islam","given":"Rakibul M"},{"family":"Ismail","given":"Nahlah Elkudssiah"},{"family":"Iso","given":"Hiroyasu"},{"family":"Isola","given":"Gaetano"},{"family":"Ituka","given":"Mosimah Charles"},{"family":"Iwagami","given":"Masao"},{"family":"Iwu-Jaja","given":"Chinwe Juliana"},{"family":"Iyasu","given":"Assefa N"},{"family":"J","given":"Vinothini"},{"family":"Jacob","given":"Louis"},{"family":"Jaffar","given":"Shabbar"},{"family":"Jahrami","given":"Haitham"},{"family":"Jain","given":"Akhil"},{"family":"Jairoun","given":"Ammar Abdulrahman"},{"family":"Jakovljevic","given":"Mihajlo"},{"family":"Jalloh","given":"Mohamed Lamrana"},{"family":"Javaid","given":"Syed Sarmad"},{"family":"Jayapal","given":"Sathish Kumar"},{"family":"Jayarajah","given":"Umesh"},{"family":"Jayaram","given":"Shubha"},{"family":"Jebai","given":"Rime"},{"family":"Jebasingh","given":"Felix K"},{"family":"Jema","given":"Alelign Tasew"},{"family":"Jokar","given":"Mohammad"},{"family":"Jonas","given":"Jost B"},{"family":"Jose","given":"Jobinse"},{"family":"Joseph","given":"Nitin"},{"family":"Joshua","given":"Charity Ehimwenma"},{"family":"Jozwiak","given":"Jacek Jerzy"},{"family":"Jürisson","given":"Mikk"},{"family":"Kaambwa","given":"Billingsley"},{"family":"Kabir","given":"Ali"},{"family":"Kabir","given":"Zubair"},{"family":"Kakkar","given":"Ashish Kumar"},{"family":"Kalra","given":"Sanjay"},{"family":"Kamarajah","given":"Sivesh Kathir"},{"family":"Kanaan","given":"Saddam Fuad"},{"family":"Kankam","given":"Samuel Berchi"},{"family":"Kanmodi","given":"Kehinde Kazeem"},{"family":"Kapoor","given":"Neeti"},{"family":"Karajizadeh","given":"Mehrdad"},{"family":"Karakasis","given":"Paschalis"},{"family":"Karasneh","given":"Reema A"},{"family":"Karimi","given":"Yeganeh"},{"family":"Karimi Behnagh","given":"Arman"},{"family":"Kassebaum","given":"Nicholas J"},{"family":"Kauppila","given":"Joonas H"},{"family":"Kayode","given":"Gbenga A"},{"family":"Kehagias","given":"Dimitrios"},{"family":"Kerr","given":"Jessica A"},{"family":"Keshwani","given":"Ariz"},{"family":"Kesse-Guyot","given":"Emmanuelle"},{"family":"Keykhaei","given":"Mohammad"},{"family":"Khaing","given":"Inn Kynn"},{"family":"Khajuria","given":"Himanshu"},{"family":"Khalili","given":"Pantea"},{"family":"Khalilian","given":"Alireza"},{"family":"Khalis","given":"Mohamed"},{"family":"Khan","given":"Mohammad Jobair"},{"family":"Khan","given":"Maseer"},{"family":"Khan","given":"Nusrat"},{"family":"Khan","given":"Md Abdullah Saeed"},{"family":"Khan","given":"Ajmal"},{"family":"Khan","given":"Moien Ab"},{"family":"Khanmohammadi","given":"Shaghayegh"},{"family":"Khatab","given":"Khaled"},{"family":"Khatatbeh","given":"Moawiah Mohammad"},{"family":"Khayamzadeh","given":"Maryam"},{"family":"Khidri","given":"Feriha Fatima"},{"family":"Khorashadizadeh","given":"Fatemeh"},{"family":"Khosla","given":"Atulya Aman"},{"family":"Khosravi","given":"Sepehr"},{"family":"Khosrowjerdi","given":"Mahmood"},{"family":"Khubchandani","given":"Jagdish"},{"family":"Khusun","given":"Helda"},{"family":"Kim","given":"Jinho"},{"family":"Kim","given":"Kwanghyun"},{"family":"Kim","given":"Min Seo"},{"family":"Kim","given":"Yun Jin"},{"family":"Kimokoti","given":"Ruth W"},{"family":"Kisa","given":"Adnan"},{"family":"Kishore","given":"Ladli"},{"family":"Kivimäki","given":"Mika"},{"family":"Kokkorakis","given":"Michail"},{"family":"Kolahi","given":"Ali-Asghar"},{"family":"Kompani","given":"Farzad"},{"family":"Korzh","given":"Oleksii"},{"family":"Kostev","given":"Karel"},{"family":"Koulmane Laxminarayana","given":"Sindhura Lakshmi"},{"family":"Kretchy","given":"Irene Akwo"},{"family":"Krishan","given":"Kewal"},{"family":"Kua","given":"Chong-Han"},{"family":"Kuate Defo","given":"Barthelemy"},{"family":"Kulimbet","given":"Mukhtar"},{"family":"Kulkarni","given":"Vishnutheertha"},{"family":"Kumar","given":"Ashish"},{"family":"Kumar","given":"Vijay"},{"family":"Kumar","given":"G Anil"},{"family":"Kundu","given":"Satyajit"},{"family":"Kunutsor","given":"Setor K"},{"family":"Kurmi","given":"Om P"},{"family":"Kurniasari","given":"Maria Dyah"},{"family":"Kusuma","given":"Dian"},{"family":"Kytö","given":"Ville"},{"family":"Lacey","given":"Ben"},{"family":"Lahariya","given":"Chandrakant"},{"family":"Lai","given":"Daphne Teck Ching"},{"family":"Lai","given":"Hanpeng"},{"family":"Landires","given":"Iván"},{"family":"Larijani","given":"Bagher"},{"family":"Latief","given":"Kamaluddin"},{"family":"La Vecchia","given":"Carlo"},{"family":"Le","given":"Nhi Huu Hanh"},{"family":"Lee","given":"Munjae"},{"family":"Lee","given":"Sang-woong"},{"family":"Lee","given":"Wei-Chen"},{"family":"Lee","given":"Seung Won"},{"family":"Lee","given":"Paul H"},{"family":"Li","given":"Ming-Chieh"},{"family":"Li","given":"Yongze"},{"family":"Li","given":"Weilong"},{"family":"Lim","given":"Stephen S"},{"family":"Lin","given":"Queran"},{"family":"Lin","given":"Jialing"},{"family":"Lindholm","given":"Daniel"},{"family":"Lindstedt","given":"Paulina A"},{"family":"Liu","given":"Simin"},{"family":"Llanaj","given":"Erand"},{"family":"López-Gil","given":"José Francisco"},{"family":"Lorkowski","given":"Stefan"},{"family":"Lucchetti","given":"Giancarlo"},{"family":"Lugo","given":"Alessandra"},{"family":"Lutambi","given":"Angelina M"},{"family":"Lv","given":"Lei"},{"family":"Lytvyak","given":"Ellina"},{"family":"Ma","given":"Zheng Feei"},{"family":"Machoy","given":"Monika"},{"family":"Magaña Gómez","given":"Javier A"},{"family":"Maghbouli","given":"Nastaran"},{"family":"Mahalleh","given":"Mehrdad"},{"family":"Mahmood","given":"Nozad H"},{"family":"Mahmoudi","given":"Elham"},{"family":"Maiti","given":"Rituparna"},{"family":"Makris","given":"Konstantinos Christos C"},{"family":"Malhotra","given":"Kashish"},{"family":"Malik","given":"Ahmad Azam"},{"family":"Malik","given":"Iram"},{"family":"Malta","given":"Deborah Carvalho"},{"family":"Mamun","given":"Abdullah A"},{"family":"Mansourian","given":"Marjan"},{"family":"Manu","given":"Emmanuel"},{"family":"Marateb","given":"Hamid Reza"},{"family":"Marino","given":"Mirko"},{"family":"Marjani","given":"Abdoljalal"},{"family":"Martinez-Piedra","given":"Ramon"},{"family":"Martini","given":"Santi"},{"family":"Martorell","given":"Miquel"},{"family":"Marzouk","given":"Sammer"},{"family":"Masi","given":"Stefano"},{"family":"Masrouri","given":"Soroush"},{"family":"Mathangasinghe","given":"Yasith"},{"family":"Mathur","given":"Manu Raj"},{"family":"Matozinhos","given":"Fernanda Penido"},{"family":"Matthias","given":"Thushara"},{"family":"Mattiello","given":"Rita"},{"family":"Mazidi","given":"Mohsen"},{"family":"McPhail","given":"Steven M"},{"family":"Mechili","given":"Enkeleint A"},{"family":"Mehboob","given":"Riffat"},{"family":"Mehmood","given":"Asim"},{"family":"Mehndiratta","given":"Man Mohan"},{"family":"Mehrabani-Zeinabad","given":"Kamran"},{"family":"Mekene Meto","given":"Tesfahun"},{"family":"Meles","given":"Hadush Negash"},{"family":"Mendoza","given":"Walter"},{"family":"Menezes","given":"Ritesh G"},{"family":"Mengistie","given":"Emiru Ayalew"},{"family":"Meo","given":"Sultan Ayoub"},{"family":"Mestrovic","given":"Tomislav"},{"family":"Mettananda","given":"Sachith"},{"family":"Mettananda","given":"Chamila Dinushi Kukulege"},{"family":"Micheletti Gomide Nogueira De Sá","given":"Ana Carolina"},{"family":"Miller","given":"Ted R"},{"family":"Mini","given":"Gk"},{"family":"Mirrakhimov","given":"Erkin M"},{"family":"Misganaw","given":"Awoke"},{"family":"Mittal","given":"Madhukar"},{"family":"Mohamed","given":"Ahmed Ismail"},{"family":"Mohamed","given":"Mona Gamal"},{"family":"Mohamed","given":"Nouh Saad"},{"family":"Mohamed","given":"Jama"},{"family":"Mohammad","given":"Taj"},{"family":"Mohammad-Alizadeh-Charandabi","given":"Sakineh"},{"family":"Mohammadzadeh","given":"Ibrahim"},{"family":"Mohammed","given":"Shafiu"},{"family":"Mohammed","given":"Mustapha"},{"family":"Mokdad","given":"Ali H"},{"family":"Mondello","given":"Stefania"},{"family":"Moni","given":"Mohammad Ali"},{"family":"Moradi","given":"Maryam"},{"family":"Morrison","given":"Shane Douglas"},{"family":"Mossialos","given":"Elias"},{"family":"Motappa","given":"Rohith"},{"family":"Mulita","given":"Francesk"},{"family":"Mullany","given":"Erin C"},{"family":"Munkhsaikhan","given":"Yanjinlkham"},{"family":"Murillo-Zamora","given":"Efren"},{"family":"Musa","given":"Sani"},{"family":"Mustafa","given":"Ghulam"},{"family":"Muthu","given":"Sathish"},{"family":"Myung","given":"Woojae"},{"family":"Naghavi","given":"Pirouz"},{"family":"Naghavi","given":"Mohsen"},{"family":"Naik","given":"Ganesh R"},{"family":"Naik","given":"Hiten"},{"family":"Nambi","given":"Gopal"},{"family":"Nangia","given":"Vinay"},{"family":"Nansseu","given":"Jobert Richie"},{"family":"Nascimento","given":"Gustavo G"},{"family":"Nassar","given":"Mahmoud"},{"family":"Natto","given":"Zuhair S"},{"family":"Nauman","given":"Javaid"},{"family":"Naureen","given":"Zakira"},{"family":"Navaratna","given":"Samidi Nirasha Kumari"},{"family":"Nayak","given":"Biswa Prakash"},{"family":"Nayon","given":"Md Fahad Shahariar"},{"family":"Nazri-Panjaki","given":"Athare"},{"family":"Negahdary","given":"Masoud"},{"family":"Negoi","given":"Ruxandra Irina"},{"family":"Negoi","given":"Ionut"},{"family":"Nejadghaderi","given":"Seyed Aria"},{"family":"Nematollahi","given":"Soroush"},{"family":"Nepal","given":"Samata"},{"family":"Netsere","given":"Henok Biresaw"},{"family":"Ngunjiri","given":"Josephine W"},{"family":"Nguyen","given":"Cuong Tat"},{"family":"Nguyen","given":"Dang"},{"family":"Nguyen","given":"Trang"},{"family":"Nguyen","given":"Duc Hoang"},{"family":"Nguyen","given":"Phuong The"},{"family":"Niazi","given":"Robina Khan"},{"family":"Nieddu","given":"Luciano"},{"family":"Niknam","given":"Mahdieh"},{"family":"Nikoobar","given":"Ali"},{"family":"Nkeck","given":"Jan Rene"},{"family":"Nomura","given":"Shuhei"},{"family":"Noor","given":"Syed Toukir Ahmed"},{"family":"Noreen","given":"Mamoona"},{"family":"Noroozi","given":"Masoud"},{"literal":"Nawsherwan"},{"family":"Noubiap","given":"Jean Jacques"},{"family":"Nouri","given":"Mehran"},{"family":"Nri-Ezedi","given":"Chisom Adaobi"},{"family":"Nugen","given":"Fred"},{"family":"Nurrika","given":"Dieta"},{"family":"Nzoputam","given":"Ogochukwu Janet"},{"family":"O'Connell","given":"Erin M"},{"family":"Oancea","given":"Bogdan"},{"family":"Oguta","given":"James Odhiambo"},{"family":"Oh","given":"In-Hwan"},{"family":"Okati-Aliabad","given":"Hassan"},{"family":"Okekunle","given":"Akinkunmi Paul"},{"family":"Okonji","given":"Osaretin Christabel"},{"family":"Olagunju","given":"Andrew T"},{"family":"Olalusi","given":"Oladotun Victor"},{"family":"Olanrewaju","given":"Timothy Olusegun"},{"family":"Olasupo","given":"Omotola O"},{"family":"Oliveira","given":"Gláucia Maria Moraes"},{"family":"Oliveira","given":"Arão Belitardo"},{"family":"Oluwafemi","given":"Yinka Doris"},{"family":"Omar","given":"Hany A"},{"family":"Omar Bali","given":"Ahmed"},{"family":"Opitz","given":"Marcel"},{"family":"Ordak","given":"Michal"},{"family":"Ortiz","given":"Alberto"},{"family":"Osborne","given":"Augustus"},{"family":"Osman","given":"Wael M S"},{"family":"Osman","given":"Alaa A M"},{"family":"Osuagwu","given":"Uchechukwu Levi"},{"family":"Otoiu","given":"Adrian"},{"family":"Oumer","given":"Abdu"},{"family":"Ouyahia","given":"Amel"},{"family":"Owolabi","given":"Mayowa O"},{"family":"Owusu","given":"Irene Amoakoh"},{"family":"Oyebola","given":"Kolapo"},{"family":"P A","given":"Mahesh Padukudru"},{"family":"Padron-Monedero","given":"Alicia"},{"family":"Padubidri","given":"Jagadish Rao"},{"family":"Panda","given":"Sujogya Kumar"},{"family":"Panda-Jonas","given":"Songhomitra"},{"family":"Pandey","given":"Anamika"},{"family":"Pandi-Perumal","given":"Seithikurippu R"},{"family":"Pardhan","given":"Shahina"},{"family":"Parekh","given":"Utsav"},{"family":"Parija","given":"Pragyan Paramita"},{"family":"Parikh","given":"Romil R"},{"family":"Park","given":"Eun-Cheol"},{"family":"Pashaei","given":"Ava"},{"family":"Passera","given":"Roberto"},{"family":"Patel","given":"Hemal M"},{"family":"Pathan","given":"Aslam Ramjan"},{"family":"Patoulias","given":"Dimitrios"},{"family":"Patton","given":"George C"},{"family":"Paudel","given":"Susan"},{"family":"Pazoki Toroudi","given":"Hamidreza"},{"family":"Pensato","given":"Umberto"},{"family":"Peprah","given":"Prince"},{"family":"Pereira","given":"Gavin"},{"family":"Pereira","given":"Marcos"},{"family":"Perianayagam","given":"Arokiasamy"},{"family":"Perico","given":"Norberto"},{"family":"Perna","given":"Simone"},{"family":"Petcu","given":"Ionela-Roxana"},{"family":"Petermann-Rocha","given":"Fanny Emily"},{"family":"Pham","given":"Hoang Nhat"},{"family":"Polibin","given":"Roman V"},{"family":"Popovic","given":"Djordje S"},{"family":"Pourghazi","given":"Farzad"},{"family":"Pourshams","given":"Akram"},{"family":"Pradhan","given":"Jalandhar"},{"family":"Pradhan","given":"Pranil Man Singh"},{"family":"Prasad","given":"Manya"},{"family":"Prashant","given":"Akila"},{"family":"Prates","given":"Elton Junio Sady"},{"family":"Putra","given":"I Gusti Ngurah Edi"},{"family":"Puvvula","given":"Jagadeesh"},{"family":"Qattea","given":"Ibrahim"},{"family":"Qiu","given":"Jia-Yong"},{"family":"Radhakrishnan","given":"Venkatraman"},{"family":"Radojčić","given":"Maja R"},{"family":"Raggi","given":"Catalina"},{"family":"Rahman","given":"Muhammad Aziz"},{"family":"Rahman","given":"Fryad Majeed"},{"family":"Rahman","given":"Mohammad Hifz Ur"},{"family":"Rahman","given":"Mosiur"},{"family":"Rahmani","given":"Saeed"},{"family":"Rahmanian","given":"Vahid"},{"family":"Rahmawaty","given":"Setyaningrum"},{"family":"Rai","given":"Rajesh Kumar"},{"family":"Raimondo","given":"Ivano"},{"family":"Raj","given":"Jeffrey Pradeep"},{"family":"Rajput","given":"Prashant"},{"family":"Ramadan","given":"Mahmoud Mohammed"},{"family":"Ramasamy","given":"Chitra"},{"family":"Ramasamy","given":"Shakthi Kumaran"},{"family":"Ramazanu","given":"Sheena"},{"family":"Rana","given":"Kritika"},{"family":"Ranabhat","given":"Chhabi Lal"},{"family":"Rao","given":"Mithun"},{"family":"Rao","given":"Sowmya J"},{"family":"Rashedi","given":"Sina"},{"family":"Rashidi","given":"Mohammad-Mahdi"},{"family":"Rasouli-Saravani","given":"Ashkan"},{"family":"Rathish","given":"Devarajan"},{"family":"Rauniyar","given":"Santosh Kumar"},{"family":"Rautalin","given":"Ilari"},{"family":"Rawaf","given":"David Laith"},{"family":"Rawaf","given":"Salman"},{"family":"Redwan","given":"Elrashdy M. Moustafa Mohamed"},{"family":"Rege","given":"Sanika"},{"family":"Reis-Mendes","given":"Ana"},{"family":"Remuzzi","given":"Giuseppe"},{"family":"Rezaei","given":"Nazila"},{"family":"Rezaeian","given":"Mohsen"},{"family":"Rezazadeh","given":"Hossein"},{"family":"Rhee","given":"Taeho Gregory"},{"family":"Rocha-Gomes","given":"João Rocha"},{"family":"Rodrigues","given":"Mónica"},{"family":"Rodrigues Da Silva","given":"Thales Philipe"},{"family":"Rodriguez","given":"Jefferson Antonio Buendia"},{"family":"Roever","given":"Leonardo"},{"family":"Rohloff","given":"Peter"},{"family":"Romadlon","given":"Debby Syahru"},{"family":"Rony","given":"Moustaq Karim Khan"},{"family":"Roshandel","given":"Gholamreza"},{"family":"Rout","given":"Himanshu Sekhar"},{"family":"Roy","given":"Nitai"},{"family":"Rwegerera","given":"Godfrey M"},{"family":"Saad","given":"Aly M A"},{"family":"Saber-Ayad","given":"Maha Mohamed"},{"family":"Sabet","given":"Cameron John"},{"family":"Sadarangani","given":"Kabir P"},{"family":"Saddik","given":"Basema Ahmad"},{"family":"Sadeghi","given":"Masoumeh"},{"family":"Saeb","given":"Mohammad Reza"},{"family":"Saeed","given":"Umar"},{"family":"Saeedi Moghaddam","given":"Sahar"},{"family":"Safi","given":"Sher Zaman"},{"family":"Saghazadeh","given":"Amene"},{"family":"Sagoe","given":"Dominic"},{"family":"Sahebkar","given":"Amirhossein"},{"family":"Saheb Sharif-Askari","given":"Fatemeh"},{"family":"Sahoo","given":"Soumya Swaroop"},{"family":"Sajid","given":"Mirza Rizwan"},{"family":"Salaroli","given":"Luciane B"},{"family":"Saleh","given":"Mohamed A"},{"family":"Salem","given":"Marwa Rashad"},{"family":"Salimi","given":"Sohrab"},{"family":"Samodra","given":"Yoseph Leonardo"},{"family":"Samuel","given":"Vijaya Paul"},{"family":"Samy","given":"Abdallah M"},{"family":"Santhekadur","given":"Prasanna K"},{"family":"Santric-Milicevic","given":"Milena M"},{"family":"Saqib","given":"Muhammad Arif Nadeem"},{"family":"Saraswati","given":"Ushasi"},{"family":"Saravanan","given":"Aswini"},{"family":"Sari","given":"Dianis Wulan"},{"family":"Sarkar","given":"Tanmay"},{"family":"Sarmadi","given":"Mohammad"},{"family":"Sarode","given":"Sachin C"},{"family":"Sarode","given":"Gargi Sachin"},{"family":"Sassano","given":"Michele"},{"family":"Sathian","given":"Brijesh"},{"family":"Saya","given":"Ganesh Kumar"},{"family":"Schinckus","given":"Christophe"},{"family":"Schmidt","given":"Maria Inês"},{"family":"Schuermans","given":"Art"},{"family":"Schutte","given":"Aletta Elisabeth"},{"family":"Sebastian","given":"Sneha Annie"},{"family":"Selvaraj","given":"Siddharthan"},{"family":"Semreen","given":"Mohammad H"},{"family":"Sendekie","given":"Ashenafi Kibret"},{"family":"Sengupta","given":"Pallav"},{"family":"Senol","given":"Yigit Can"},{"family":"Senthilkumaran","given":"Subramanian"},{"family":"Sepanlou","given":"Sadaf G"},{"family":"Sethi","given":"Yashendra"},{"family":"Seylani","given":"Allen"},{"family":"Shafie","given":"Mahan"},{"family":"Shah","given":"Sweni"},{"family":"Shah","given":"Syed Mahboob"},{"family":"Shahid","given":"Samiah"},{"family":"Shahrahmani","given":"Fatemeh"},{"family":"Shahwan","given":"Moyad Jamal"},{"family":"Sham","given":"Sunder"},{"family":"Shamim","given":"Muhammad Aaqib"},{"family":"Shams-Beyranvand","given":"Mehran"},{"family":"Shamsi","given":"Anas"},{"family":"Shamsutdinova","given":"Alfiya"},{"family":"Shan","given":"Dan"},{"family":"Shanawaz","given":"Mohd"},{"family":"Shannawaz","given":"Mohammed"},{"family":"Sharath","given":"Medha"},{"family":"Sharfaei","given":"Sadaf"},{"family":"Sharifan","given":"Amin"},{"family":"Sharma","given":"Anupam"},{"family":"Sharma","given":"Ujjawal"},{"family":"Sharma","given":"Manoj"},{"family":"Sharma","given":"Vishal"},{"family":"Sheida","given":"Fateme"},{"family":"Sheikhy","given":"Ali"},{"family":"Shenoy","given":"Rekha Raghuveer"},{"family":"Shetty","given":"Pavanchand H"},{"family":"Shibuya","given":"Kenji"},{"family":"Shiferaw","given":"Desalegn"},{"family":"Shin","given":"Min-Jeong"},{"family":"Shiri","given":"Rahman"},{"family":"Shittu","given":"Aminu"},{"family":"Shool","given":"Sina"},{"family":"Shorofi","given":"Seyed Afshin"},{"family":"Shrestha","given":"Rajan"},{"family":"Shuval","given":"Kerem"},{"family":"Si","given":"Yafei"},{"family":"Sibuyi","given":"Nicole R S"},{"family":"Siddig","given":"Emmanuel Edwar"},{"family":"Siddiqi","given":"Ahmed Kamal"},{"family":"Sikdar","given":"Mithun"},{"family":"Silva","given":"Diego Augusto Santos"},{"family":"Silva","given":"Luís Manuel Lopes Rodrigues"},{"family":"Singh","given":"Surjit"},{"family":"Singh","given":"Jasvinder A"},{"family":"Singh","given":"Amit"},{"family":"Singh","given":"Harmanjit"},{"family":"Singh","given":"Baljinder"},{"family":"Singh","given":"Kalpana"},{"family":"Singh","given":"Puneetpal"},{"family":"Skryabin","given":"Valentin Yurievich"},{"family":"Skryabina","given":"Anna Aleksandrovna"},{"family":"Smith","given":"Amanda E"},{"family":"Smith","given":"Georgia"},{"family":"Soliman","given":"Sameh S M"},{"family":"Soraneh","given":"Soroush"},{"family":"Sorensen","given":"Reed J D"},{"family":"Spartalis","given":"Michael"},{"family":"Srichawla","given":"Bahadar S"},{"family":"Stachteas","given":"Panagiotis"},{"family":"Starodubova","given":"Antonina V"},{"family":"Straif","given":"Kurt"},{"family":"Stubbs","given":"Pete"},{"family":"Subramaniyan","given":"Vetriselvan"},{"family":"Suleiman Odidi","given":"Muritala Odidi"},{"family":"Sulkowski","given":"Aleksander"},{"family":"Sultan Meo","given":"Anusha"},{"family":"Sun","given":"Jing"},{"family":"Sun","given":"Zhong"},{"family":"Sunny","given":"Sumam"},{"family":"Swain","given":"Chandan Kumar"},{"family":"Szarpak","given":"Lukasz"},{"family":"Tabarés-Seisdedos","given":"Rafael"},{"family":"Tabatabaei","given":"Seyyed Mohammad"},{"family":"Tabatabaei","given":"Fatemeh Sadat"},{"family":"Tabatabaei Malazy","given":"Ozra"},{"family":"Tabatabai","given":"Shima"},{"family":"Tabche","given":"Celine"},{"family":"Tabish","given":"Mohammad"},{"family":"Taiba","given":"Jabeen"},{"family":"Talic","given":"Stella"},{"family":"Tampa","given":"Mircea"},{"family":"Tamuzi","given":"Jacques Lukenze"},{"family":"Tan","given":"Ker-Kan"},{"family":"Tanwar","given":"Manoj"},{"family":"Tariq","given":"Saba"},{"family":"Tat","given":"Nathan Y"},{"family":"Tavangar","given":"Seyed Mohammad"},{"family":"Temsah","given":"Reem Mohamad Hani"},{"family":"Temsah","given":"Mohamad-Hani"},{"family":"Teramoto","given":"Masayuki"},{"family":"Terefa","given":"Dufera Rikitu"},{"family":"Tewari","given":"Jay"},{"family":"Thapar","given":"Rekha"},{"family":"Ticoalu","given":"Jansje Henny Vera"},{"family":"Tiruneh","given":"Sofonyas Abebaw"},{"family":"Tiruye","given":"Tenaw Yimer"},{"family":"Titova","given":"Mariya Vladimirovna"},{"family":"Tiwari","given":"Krishna"},{"family":"Tomo","given":"Sojit"},{"family":"Tonelli","given":"Marcello"},{"family":"Touvier","given":"Mathilde"},{"family":"Tovani-Palone","given":"Marcos Roberto"},{"family":"Trabelsi","given":"Khaled"},{"family":"Tran","given":"Mai Thi Ngoc"},{"family":"Tran","given":"Thang Huu"},{"family":"Tran Minh Duc","given":"Nguyen"},{"family":"Trico","given":"Domenico"},{"family":"Trihandini","given":"Indang"},{"family":"Truyen","given":"Thien Tan Tri Tai"},{"family":"Tsatsakis","given":"Aristidis"},{"family":"Tse","given":"Gary"},{"family":"Tsegay","given":"Guesh Mebrahtom"},{"family":"Tumurkhuu","given":"Munkhtuya"},{"family":"T Y","given":"Sree Sudha"},{"family":"Tye","given":"Sok Cin"},{"family":"Tyrovolas","given":"Stefanos"},{"family":"Udoakang","given":"Aniefiok John"},{"family":"Ullah","given":"Shahid"},{"family":"Ullah","given":"Saeed"},{"family":"Umair","given":"Muhammad"},{"family":"Umar","given":"Umar Muhammad"},{"family":"Umar","given":"Lawan"},{"family":"Unim","given":"Brigid"},{"family":"Upadhya","given":"Dinesh"},{"family":"Upadhyay","given":"Era"},{"family":"Usman","given":"Jibrin Sammani"},{"family":"Ustunsoz","given":"Damla"},{"family":"Vaithinathan","given":"Asokan Govindaraj"},{"family":"Van Den Eynde","given":"Jef"},{"family":"Varghese","given":"Joe"},{"family":"Vasankari","given":"Tommi Juhani"},{"family":"Vaziri","given":"Siavash"},{"family":"Vellingiri","given":"Balachandar"},{"family":"Venketasubramanian","given":"Narayanaswamy"},{"family":"Verma","given":"Madhur"},{"family":"Verma","given":"Anjul"},{"family":"Verras","given":"Georgios-Ioannis"},{"family":"Vidale","given":"Simone"},{"family":"Villalobos-Daniel","given":"Victor E"},{"family":"Vinayak","given":"Manish"},{"family":"Vlassov","given":"Vasily"},{"family":"Vos","given":"Theo"},{"family":"Vukovic","given":"Rade"},{"family":"Wahidin","given":"Mugi"},{"family":"Wahiduzzaman","given":"Mohammad"},{"family":"Wang","given":"Yanzhong"},{"family":"Wang","given":"Shu"},{"family":"Wang","given":"Cong"},{"family":"Wang","given":"Xingxin"},{"family":"Wanjau","given":"Mary Njeri"},{"family":"Waqar","given":"Ahmed Bilal"},{"family":"Waqas","given":"Muhammad"},{"family":"Weerakoon","given":"Kosala Gayan"},{"family":"Wei","given":"Fei-Long"},{"family":"Wicaksana","given":"Anggi Lukman"},{"family":"Wickramasinghe","given":"Dakshitha Praneeth"},{"family":"Willeit","given":"Peter"},{"family":"Wojewodzic","given":"Marcin W"},{"family":"Wonde","given":"Tewodros Eshete"},{"family":"Wongsin","given":"Utoomporn"},{"family":"Xia","given":"Qing"},{"family":"Xie","given":"Wanqing"},{"family":"Xu","given":"Suowen"},{"family":"Xu","given":"Xiaoyue"},{"family":"Yamagishi","given":"Kazumasa"},{"family":"Yano","given":"Yuichiro"},{"family":"Yao","given":"Haiqiang"},{"family":"Yarahmadi","given":"Amir"},{"family":"Yaribeygi","given":"Habib"},{"family":"Yesuf","given":"Subah Abderehim"},{"family":"Yin","given":"Dehui"},{"family":"Yon","given":"Dong Keon"},{"family":"Yonemoto","given":"Naohiro"},{"family":"Yu","given":"Chuanhua"},{"family":"Yuan","given":"Chun-Wei"},{"family":"Yuce","given":"Deniz"},{"family":"Yunusa","given":"Ismaeel"},{"family":"Zaman","given":"Sojib Bin"},{"family":"Zare","given":"Iman"},{"family":"Zastrozhin","given":"Michael"},{"family":"Zeariya","given":"Mohammed G M"},{"family":"Zhang","given":"Xiaoyi"},{"family":"Zhang","given":"Liqun"},{"family":"Zhang","given":"Jingya"},{"family":"Zhang","given":"Zhiqiang"},{"family":"Zhang","given":"Casper J P"},{"family":"Zheng","given":"David X"},{"family":"Zheng","given":"Peng"},{"family":"Zhong","given":"Anthony"},{"family":"Zhong","given":"Claire Chenwen"},{"family":"Zhou","given":"Jiayan"},{"family":"Zhu","given":"Bin"},{"family":"Zhumagaliuly","given":"Abzal"},{"family":"Zielińska","given":"Magdalena"},{"family":"Zoghi","given":"Ghazal"},{"family":"Zou","given":"Zhiyong"},{"family":"Zweck","given":"Elric"},{"family":"Zyoud","given":"Sa'ed H"},{"family":"Murray","given":"Christopher J L"},{"family":"Sawyer","given":"Susan M"},{"family":"Vollset","given":"Stein Emil"}],"issued":{"date-parts":[["2025",3]]}}}],"schema":"https://github.com/citation-style-language/schema/raw/master/csl-citation.json"} </w:instrText>
      </w:r>
      <w:r w:rsidRPr="00735FCE">
        <w:fldChar w:fldCharType="separate"/>
      </w:r>
      <w:r w:rsidR="00281437" w:rsidRPr="00281437">
        <w:rPr>
          <w:vertAlign w:val="superscript"/>
        </w:rPr>
        <w:t>25</w:t>
      </w:r>
      <w:r w:rsidRPr="00735FCE">
        <w:fldChar w:fldCharType="end"/>
      </w:r>
      <w:r w:rsidRPr="00735FCE">
        <w:t>. Over the last decade, obesity prevalence has increased by 155.1% among men and 104.9% among women</w:t>
      </w:r>
      <w:r>
        <w:t xml:space="preserve"> </w:t>
      </w:r>
      <w:r w:rsidRPr="00735FCE">
        <w:fldChar w:fldCharType="begin"/>
      </w:r>
      <w:r w:rsidR="00281437">
        <w:instrText xml:space="preserve"> ADDIN ZOTERO_ITEM CSL_CITATION {"citationID":"eSUuaGLc","properties":{"formattedCitation":"\\super 25\\nosupersub{}","plainCitation":"25","noteIndex":0},"citationItems":[{"id":3099,"uris":["http://zotero.org/users/9622455/items/FR93TNFR"],"itemData":{"id":3099,"type":"article-journal","abstract":"Background Overweight and obesity is a global epidemic. Forecasting future trajectories of the epidemic is crucial for providing an evidence base for policy change. In this study, we examine the historical trends of the global, regional, and national prevalence of adult overweight and obesity from 1990 to 2021 and forecast the future trajectories to 2050.","container-title":"The Lancet","DOI":"10.1016/S0140-6736(25)00355-1","ISSN":"01406736","issue":"10481","journalAbbreviation":"The Lancet","language":"en","page":"813-838","source":"DOI.org (Crossref)","title":"Global, regional, and national prevalence of adult overweight and obesity, 1990–2021, with forecasts to 2050: a forecasting study for the Global Burden of Disease Study 2021","title-short":"Global, regional, and national prevalence of adult overweight and obesity, 1990–2021, with forecasts to 2050","volume":"405","author":[{"family":"Ng","given":"Marie"},{"family":"Gakidou","given":"Emmanuela"},{"family":"Lo","given":"Justin"},{"family":"Abate","given":"Yohannes Habtegiorgis"},{"family":"Abbafati","given":"Cristiana"},{"family":"Abbas","given":"Nasir"},{"family":"Abbasian","given":"Mohammadreza"},{"family":"Abd ElHafeez","given":"Samar"},{"family":"Abdel-Rahman","given":"Wael M"},{"family":"Abd-Elsalam","given":"Sherief"},{"family":"Abdollahi","given":"Arash"},{"family":"Abdoun","given":"Meriem"},{"family":"Abdulah","given":"Deldar Morad"},{"family":"Abdulkader","given":"Rizwan Suliankatchi"},{"family":"Abdullahi","given":"Auwal"},{"family":"Abedi","given":"Armita"},{"family":"Abeywickrama","given":"Hansani Madushika"},{"family":"Abie","given":"Alemwork"},{"family":"Aboagye","given":"Richard Gyan"},{"family":"Abohashem","given":"Shady"},{"family":"Abtahi","given":"Dariush"},{"family":"Abualruz","given":"Hasan"},{"family":"Abubakar","given":"Bilyaminu"},{"family":"Abu Farha","given":"Rana Kamal"},{"family":"Abukhadijah","given":"Hana J"},{"family":"Abu-Rmeileh","given":"Niveen Me"},{"family":"Aburuz","given":"Salahdein"},{"family":"Abu-Zaid","given":"Ahmed"},{"family":"Adams","given":"Lisa C"},{"family":"Adane","given":"Mesafint Molla"},{"family":"Addo","given":"Isaac Yeboah"},{"family":"Adedokun","given":"Kamoru Ademola"},{"family":"Adegoke","given":"Nurudeen A"},{"family":"Adepoju","given":"Abiola Victor Victor"},{"family":"Adesola","given":"Ridwan Olamilekan"},{"family":"Adeyeoluwa","given":"Temitayo Esther"},{"family":"Adiga","given":"Usha"},{"family":"Adnani","given":"Qorinah Estiningtyas Sakilah"},{"family":"Afaghi","given":"Siamak"},{"family":"Afzal","given":"Saira"},{"family":"Afzal","given":"Muhammad Sohail"},{"family":"Agampodi","given":"Thilini Chanchala"},{"family":"Aghamiri","given":"Shahin"},{"family":"Agostinis Sobrinho","given":"César"},{"family":"Agyemang-Duah","given":"Williams"},{"family":"Ahlstrom","given":"Austin J"},{"family":"Ahmad","given":"Danish"},{"family":"Ahmad","given":"Sajjad"},{"family":"Ahmad","given":"Aqeel"},{"family":"Ahmad","given":"Muayyad M"},{"family":"Ahmad","given":"Fuzail"},{"family":"Ahmad","given":"Noah"},{"family":"Ahmed","given":"Haroon"},{"family":"Ahmed","given":"Muktar Beshir"},{"family":"Ahmed","given":"Ayman"},{"family":"Ahmed","given":"Meqdad Saleh"},{"family":"Ahmed","given":"Mehrunnisha Sharif"},{"family":"Ahmed","given":"Syed Anees"},{"family":"Ajami","given":"Marjan"},{"family":"Akhtar","given":"Samina"},{"family":"Akkaif","given":"Mohammed Ahmed"},{"family":"Akrami","given":"Ashley E"},{"family":"Alalwan","given":"Tariq A"},{"family":"Al-Aly","given":"Ziyad"},{"family":"Alam","given":"Khurshid"},{"family":"Al-amer","given":"Rasmieh Mustafa"},{"family":"Alansari","given":"Amani"},{"family":"Al-Ashwal","given":"Fahmi Y"},{"family":"Albashtawy","given":"Mohammed"},{"family":"Aldhaleei","given":"Wafa A"},{"family":"Alemayehu","given":"Bezawit Abeje"},{"family":"Algammal","given":"Abdelazeem M"},{"family":"Alhabib","given":"Khalid F"},{"family":"Al Hamad","given":"Hanadi"},{"family":"Al Hasan","given":"Syed Mahfuz"},{"family":"Alhuwail","given":"Dari"},{"family":"Ali","given":"Rafat"},{"family":"Ali","given":"Abid"},{"family":"Ali","given":"Waad"},{"family":"Ali","given":"Mohammed Usman"},{"family":"Alif","given":"Sheikh Mohammad"},{"family":"Al-Jabi","given":"Samah W"},{"family":"Aljunid","given":"Syed Mohamed"},{"family":"Alkhatib","given":"Ahmad"},{"family":"Al-Marwani","given":"Sabah"},{"family":"Alomari","given":"Mahmoud A"},{"family":"Alqahtani","given":"Saleh A"},{"family":"Al-Raddadi","given":"Rajaa M Mohammad"},{"family":"Alrawashdeh","given":"Ahmad"},{"family":"Alrimawi","given":"Intima"},{"family":"Alrousan","given":"Sahel Majed"},{"family":"Alshahrani","given":"Najim Z"},{"family":"Al Ta'ani","given":"Omar"},{"family":"Al Ta'ani","given":"Zain"},{"family":"Altaany","given":"Zaid"},{"family":"Altaf","given":"Awais"},{"family":"Al Thaher","given":"Yazan"},{"family":"Alvis-Guzman","given":"Nelson"},{"family":"Al-Wardat","given":"Mohammad"},{"family":"Al-Worafi","given":"Yaser Mohammed"},{"family":"Aly","given":"Safwat"},{"family":"Aly","given":"Hany"},{"family":"Alzahrani","given":"Hosam"},{"family":"Alzoubi","given":"Abdallah"},{"family":"Alzoubi","given":"Karem H"},{"family":"Al-Zubayer","given":"Md. Akib"},{"family":"Amiri","given":"Sohrab"},{"family":"Amu","given":"Hubert"},{"family":"Amugsi","given":"Dickson A"},{"family":"Amusa","given":"Ganiyu Adeniyi"},{"family":"Ananda","given":"Roshan A"},{"family":"Ancuceanu","given":"Robert"},{"family":"Andrei","given":"Catalina Liliana"},{"family":"Anjana","given":"Ranjit Mohan"},{"family":"Ansari","given":"Sumbul"},{"family":"Ansari","given":"Mohammed Tahir"},{"family":"Antony","given":"Catherine M"},{"family":"Anuoluwa","given":"Iyadunni Adesola"},{"family":"Anuoluwa","given":"Boluwatife Stephen"},{"family":"Anvari","given":"Saeid"},{"family":"Anwar","given":"Saleha"},{"family":"Anyasodor","given":"Anayochukwu Edward"},{"family":"Apostol","given":"Geminn Louis Carace"},{"family":"Arab","given":"Juan Pablo"},{"family":"Arabloo","given":"Jalal"},{"family":"Arafat","given":"Mosab"},{"family":"Aravkin","given":"Aleksandr Y"},{"family":"Areda","given":"Demelash"},{"family":"Arifin","given":"Hidayat"},{"family":"Arkew","given":"Mesay"},{"family":"Armocida","given":"Benedetta"},{"family":"Ärnlöv","given":"Johan"},{"family":"Arooj","given":"Mahwish"},{"family":"Artamonov","given":"Anton A"},{"family":"Artanti","given":"Kurnia Dwi"},{"family":"Arumugam","given":"Ashokan"},{"family":"Asghari-Jafarabadi","given":"Mohammad"},{"family":"Ashraf","given":"Tahira"},{"family":"Asiamah-Asare","given":"Bernard Kwadwo Yeboah"},{"family":"Asrat","given":"Anemaw A"},{"family":"Astell-Burt","given":"Thomas"},{"family":"Athari","given":"Seyyed Shamsadin"},{"family":"Atorkey","given":"Prince"},{"family":"Atreya","given":"Alok"},{"family":"Aumoldaeva","given":"Zaure Maratovna"},{"family":"Awad","given":"Hamzeh"},{"family":"Awoke","given":"Mamaru Ayenew"},{"family":"Awotidebe","given":"Adedapo Wasiu"},{"family":"Aychiluhm","given":"Setognal Birara"},{"family":"Azargoonjahromi","given":"Ali"},{"family":"Azimi","given":"Amirali"},{"family":"Aziz","given":"Sadat Abdulla"},{"family":"Aziz","given":"Shahkaar"},{"family":"Azzam","given":"Ahmed Y."},{"family":"Azzolino","given":"Domenico"},{"family":"Azzopardi","given":"Peter S"},{"family":"Babashahi","given":"Mina"},{"family":"Babu","given":"Giridhara Rathnaiah"},{"family":"Badiye","given":"Ashish D"},{"family":"Bagheri","given":"Nasser"},{"family":"Bahurupi","given":"Yogesh"},{"family":"Bai","given":"Ruhai"},{"family":"Baig","given":"Atif Amin"},{"family":"Bakkannavar","given":"Shankar M"},{"family":"Balakrishnan","given":"Senthilkumar"},{"family":"Baltatu","given":"Ovidiu Constantin"},{"family":"Bam","given":"Kiran"},{"family":"Banach","given":"Maciej"},{"family":"Banik","given":"Rajon"},{"family":"Bardhan","given":"Mainak"},{"family":"Barqawi","given":"Hiba Jawdat"},{"family":"Barquera","given":"Simon"},{"family":"Barua","given":"Lingkan"},{"family":"Basharat","given":"Zarrin"},{"family":"Bashir","given":"Shahid"},{"family":"Bastan","given":"Mohammad-Mahdi"},{"family":"Basu","given":"Saurav"},{"family":"Bayat","given":"Reza"},{"family":"Bayih","given":"Mulat Tirfie"},{"family":"Beeraka","given":"Narasimha M"},{"family":"Begum","given":"Tahmina"},{"family":"Bello","given":"Umar Muhammad"},{"family":"Bello","given":"Abdulrahman Babatunde"},{"family":"Belo","given":"Luis"},{"family":"Bensenor","given":"Isabela M"},{"family":"Bergami","given":"Maria"},{"family":"Berhe","given":"Kidanemaryam"},{"family":"Berihun","given":"Abiye Assefa"},{"family":"Bhadoria","given":"Ajeet Singh"},{"family":"Bhagavathula","given":"Akshaya Srikanth"},{"family":"Bhala","given":"Neeraj"},{"family":"Bhalla","given":"Jaideep Singh"},{"family":"Bharadwaj","given":"Ravi"},{"family":"Bhardwaj","given":"Pankaj"},{"family":"Bhardwaj","given":"Nikha"},{"family":"Bhaskar","given":"Sonu"},{"family":"Bhat","given":"Ajay Nagesh"},{"family":"Bhattacharjee","given":"Priyadarshini"},{"family":"Bhattacharjee","given":"Shuvarthi"},{"family":"Bhatti","given":"Jasvinder Singh"},{"family":"Bhatti","given":"Gurjit Kaur"},{"family":"Bikov","given":"Andras"},{"family":"Bilgin","given":"Cem"},{"family":"Bisignano","given":"Catherine"},{"family":"Biswas","given":"Bijit"},{"family":"Bizzozero Peroni","given":"Bruno"},{"family":"Bjertness","given":"Espen"},{"family":"Bjørge","given":"Tone"},{"family":"Bolla","given":"Srinivasa Rao"},{"family":"Borhany","given":"Hamed"},{"family":"Bosoka","given":"Samuel Adolf"},{"family":"Bouaoud","given":"Souad"},{"family":"Boyko","given":"Edward J"},{"family":"Braithwaite","given":"Dejana"},{"family":"Brazo-Sayavera","given":"Javier"},{"family":"Brenner","given":"Hermann"},{"family":"Britton","given":"Gabrielle"},{"family":"Bryazka","given":"Dana"},{"family":"Bugiardini","given":"Raffaele"},{"family":"Bui","given":"Linh Phuong"},{"family":"Busch","given":"Felix"},{"family":"Bustanji","given":"Yasser"},{"family":"Butt","given":"Nadeem Shafique"},{"family":"Butt","given":"Zahid A"},{"family":"Calina","given":"Daniela"},{"family":"Campos","given":"Luciana Aparecida"},{"family":"Campos-Nonato","given":"Ismael"},{"family":"Cao","given":"Si"},{"family":"Cao","given":"Yin"},{"family":"Capodici","given":"Angelo"},{"family":"Carvalho","given":"Andre F"},{"family":"Carvalho","given":"Márcia"},{"family":"Catapano","given":"Alberico L"},{"family":"Cattafesta","given":"Monica"},{"family":"Cattaruzza","given":"Maria Sofia"},{"family":"Cegolon","given":"Luca"},{"family":"Cembranel","given":"Francieli"},{"family":"Cenko","given":"Edina"},{"family":"Cerin","given":"Ester"},{"family":"Cernigliaro","given":"Achille"},{"family":"Chadwick","given":"Joshua"},{"family":"Chakraborty","given":"Chiranjib"},{"family":"Chan","given":"Raymond N C"},{"family":"Chang","given":"Jung-Chen"},{"family":"Chattu","given":"Vijay Kumar"},{"family":"Chaudhary","given":"Anis Ahmad"},{"family":"Chaurasia","given":"Akhilanand"},{"family":"Chen","given":"Guangjin"},{"family":"Chen","given":"An-Tian"},{"family":"Chen","given":"Haowei"},{"family":"Cheng","given":"Esther T W"},{"family":"Chew","given":"Nicholas Ws"},{"family":"Chi","given":"Gerald"},{"family":"Chimoriya","given":"Ritesh"},{"family":"Ching","given":"Patrick R"},{"family":"Choi","given":"Dong-Woo"},{"family":"Chong","given":"Bryan"},{"family":"Chopra","given":"Hitesh"},{"family":"Chopra","given":"Shivani"},{"family":"Chou","given":"Hou In"},{"family":"Choudhari","given":"Sonali Gajanan"},{"family":"Chu","given":"Dinh-Toi"},{"family":"Chung","given":"Sunghyun"},{"family":"Chung","given":"Sheng-Chia"},{"family":"Chutiyami","given":"Muhammad"},{"family":"Cini","given":"Karly I"},{"family":"Cioffi","given":"Iolanda"},{"family":"Cogen","given":"Rebecca M"},{"family":"Collado-Mateo","given":"Daniel"},{"family":"Columbus","given":"Alyssa"},{"family":"Conrad","given":"Nathalie"},{"family":"Criqui","given":"Michael H"},{"family":"Cruz-Martins","given":"Natalia"},{"family":"Cummins","given":"Steven"},{"family":"D'Amico","given":"Emanuele"},{"family":"D'Anna","given":"Lucio"},{"family":"D'Oria","given":"Mario"},{"family":"Dadras","given":"Omid"},{"family":"Dai","given":"Xiaochen"},{"family":"Dalakoti","given":"Mayank"},{"family":"Dandona","given":"Rakhi"},{"family":"Dandona","given":"Lalit"},{"family":"Danpanichkul","given":"Pojsakorn"},{"family":"Darcho","given":"Samuel Demissie"},{"family":"Darvishi Cheshmeh Soltani","given":"Reza"},{"family":"Da Silva","given":"Alanna Gomes"},{"family":"Davletov","given":"Kairat"},{"family":"Delgado-Enciso","given":"Ivan"},{"family":"Denova-Gutiérrez","given":"Edgar"},{"family":"Derbew Molla","given":"Meseret"},{"family":"Dergaa","given":"Ismail"},{"family":"Desale","given":"Aragaw Tesfaw"},{"family":"Devanbu","given":"Vinoth Gnana Chellaiyan"},{"family":"Devegowda","given":"Devananda"},{"family":"Dewan","given":"Syed Masudur Rahman"},{"family":"Dhali","given":"Arkadeep"},{"family":"Dharmaratne","given":"Samath Dhamminda"},{"family":"Dhimal","given":"Meghnath"},{"family":"Dhungel","given":"Bibha"},{"family":"Diaz","given":"Daniel"},{"family":"Dinu","given":"Monica"},{"family":"Dodangeh","given":"Milad"},{"family":"Dohare","given":"Sushil"},{"family":"Dokova","given":"Klara Georgieva"},{"family":"Dolatkhah","given":"Neda"},{"family":"Do Prado","given":"Camila Bruneli"},{"family":"Dorostkar","given":"Fariba"},{"family":"Doshi","given":"Ojas Prakashbhai"},{"family":"Doshi","given":"Rajkumar Prakashbhai"},{"family":"Dowou","given":"Robert Kokou"},{"family":"Dsouza","given":"Viola Savy"},{"family":"Du","given":"Mi"},{"family":"Dumith","given":"Samuel C"},{"family":"Dumuid","given":"Dorothea"},{"family":"Duncan","given":"Bruce B"},{"family":"Dutta","given":"Sulagna"},{"family":"Dziedzic","given":"Arkadiusz Marian"},{"family":"Ebrahimi","given":"Alireza"},{"family":"Eftekhari","given":"Behrad"},{"family":"Eighaei Sedeh","given":"Ashkan"},{"family":"Ekholuenetale","given":"Michael"},{"family":"Eladl","given":"Mohamed Ahmed"},{"family":"El Arab","given":"Rabie Adel"},{"family":"El-Ashker","given":"Said"},{"family":"Elbarazi","given":"Iffat"},{"family":"El Bayoumy","given":"Ibrahim Farahat"},{"family":"Elgendy","given":"Islam Y"},{"family":"Elhadi","given":"Muhammed"},{"family":"El-Huneidi","given":"Waseem"},{"family":"El-Metwally","given":"Ashraf A"},{"family":"Elmonem","given":"Mohamed A"},{"family":"Elnaem","given":"Mohamed Hassan"},{"family":"Elsheikh","given":"Randa"},{"family":"Elsohaby","given":"Ibrahim"},{"family":"Eltaha","given":"Chadi"},{"family":"Emeto","given":"Theophilus I"},{"family":"Eslami","given":"Maysa"},{"family":"Eze","given":"Ugochukwu Anthony"},{"family":"Fadavian","given":"Heidar"},{"family":"Fagbamigbe","given":"Adeniyi Francis"},{"family":"Fakhradiyev","given":"Ildar Ravisovich"},{"family":"Faraji","given":"Seyed Nooreddin"},{"family":"Farinha","given":"Carla Sofia E Sá"},{"family":"Faris","given":"MoezAlIslam Ezzat Mahmoud"},{"family":"Farooque","given":"Umar"},{"family":"Farrokhpour","given":"Hossein"},{"family":"Fasusi","given":"Samuel Aanuoluwapo"},{"family":"Fazeli","given":"Patrick"},{"family":"Fazylov","given":"Timur"},{"family":"Feizkhah","given":"Alireza"},{"family":"Fekadu","given":"Ginenus"},{"family":"Feng","given":"Xiaoqi"},{"family":"Fernandes","given":"João C"},{"family":"Fernandez-Jimenez","given":"Rodrigo"},{"family":"Ferreira","given":"Nuno"},{"family":"Feyisa","given":"Bikila Regassa"},{"family":"Fischer","given":"Florian"},{"family":"Flood","given":"David"},{"family":"Foigt","given":"Nataliya A"},{"family":"Folayan","given":"Morenike Oluwatoyin"},{"family":"Fomenkov","given":"Artem Alekseevich"},{"family":"Foroumadi","given":"Roham"},{"family":"Fortuna Rodrigues","given":"Celia"},{"family":"Foschi","given":"Matteo"},{"family":"Fotouhi","given":"Maryam"},{"family":"Francis","given":"Kate Louise"},{"family":"Franklin","given":"Richard Charles"},{"family":"Gába","given":"Aleš"},{"family":"Gadanya","given":"Muktar A"},{"family":"Gaidhane","given":"Abhay Motiramji"},{"family":"Galali","given":"Yaseen"},{"family":"Gallus","given":"Silvano"},{"family":"Ganesan","given":"Balasankar"},{"family":"Gangachannaiah","given":"Shivaprakash"},{"family":"Gastélum Espinoza","given":"Wendy Paola"},{"family":"Gebregergis","given":"Miglas Welay"},{"family":"Gebremeskel","given":"Teferi Gebru"},{"family":"Getacher","given":"Lemma"},{"family":"Ghadirian","given":"Fataneh"},{"family":"Ghaffari Jolfayi","given":"Amir"},{"family":"Ghamari","given":"Seyyed-Hadi"},{"family":"Ghazy","given":"Ramy Mohamed"},{"family":"Gil","given":"Artyom Urievich"},{"family":"Gill","given":"Tiffany K"},{"family":"Gnedovskaya","given":"Elena V"},{"family":"Golechha","given":"Mahaveer"},{"family":"Golinelli","given":"Davide"},{"family":"Grivna","given":"Michal"},{"family":"Grover","given":"Ashna"},{"family":"Guan","given":"Zhongyang"},{"family":"Guan","given":"Shi-Yang"},{"family":"Guarducci","given":"Giovanni"},{"family":"Gubari","given":"Mohammed Ibrahim Mohialdeen"},{"family":"Guha","given":"Avirup"},{"family":"Gunawardane","given":"Damitha Asanga"},{"family":"Guo","given":"Zheng"},{"family":"Gupta","given":"Rajeev"},{"family":"Gupta","given":"Anish Kumar"},{"family":"Gupta","given":"Rahul"},{"family":"Gupta","given":"Sapna"},{"family":"Gupta","given":"Vivek Kumar"},{"family":"Gutiérrez-Murillo","given":"Roberth Steven"},{"family":"Guzman-Esquivel","given":"Jose"},{"family":"Hadi","given":"Najah R"},{"family":"Hadian","given":"Zahra"},{"family":"Hamdy","given":"Nadia M"},{"family":"Hameed","given":"Sajid"},{"family":"Hamidi","given":"Samer"},{"family":"Hamiduzzaman","given":"Mohammad"},{"family":"Hanif","given":"Asif"},{"family":"Hanifi","given":"Nasrin"},{"family":"Hankey","given":"Graeme J"},{"family":"Haq","given":"Allie"},{"family":"Harlianto","given":"Netanja I"},{"family":"Haro","given":"Josep Maria"},{"family":"Hartono","given":"Risky Kusuma"},{"family":"Hasan","given":"Faizul"},{"family":"Hashempur","given":"Mohammad Hashem"},{"family":"Hasnain","given":"Md Saquib"},{"family":"Hassan","given":"Amr"},{"family":"Hassan","given":"Nageeb"},{"family":"Hassanipour","given":"Soheil"},{"family":"Hassanzade Rad","given":"Afagh"},{"family":"Havmoeller","given":"Rasmus J"},{"family":"Hay","given":"Simon I"},{"family":"He","given":"Wen-Qiang"},{"family":"Hebert","given":"Jeffrey J"},{"family":"Heidari","given":"Golnaz"},{"family":"Hemmati","given":"Mehdi"},{"family":"Hiraike","given":"Yuta"},{"family":"Hoan","given":"Nguyen Quoc"},{"family":"Hoang","given":"Mai"},{"family":"Holla","given":"Ramesh"},{"family":"Hoogar","given":"Praveen"},{"family":"Hopkins","given":"Ashley Mark"},{"family":"Hossain","given":"Alamgir"},{"family":"Hosseinzadeh","given":"Hassan"},{"family":"Hostiuc","given":"Sorin"},{"family":"Hostiuc","given":"Mihaela"},{"family":"Htay","given":"Zin Wai"},{"family":"Hu","given":"Chengxi"},{"family":"Huang","given":"Junjie"},{"family":"Hundie","given":"Tsegaye Gebreyes"},{"family":"Husseiny","given":"Mohamed Ibrahim"},{"family":"Huynh","given":"Hong-Han"},{"family":"Iavicoli","given":"Ivo"},{"family":"Ibrayeva","given":"Anel"},{"family":"Ilesanmi","given":"Olayinka Stephen"},{"family":"Ilic","given":"Irena M"},{"family":"Ilic","given":"Milena D"},{"family":"Imam","given":"Mohammad Tarique"},{"family":"Inbaraj","given":"Leeberk Raja"},{"family":"Inok","given":"Arit"},{"family":"Irham","given":"Lalu Muhammad"},{"family":"Islam","given":"Md. Rabiul"},{"family":"Islam","given":"Sheikh Mohammed Shariful"},{"family":"Islam","given":"Rakibul M"},{"family":"Ismail","given":"Nahlah Elkudssiah"},{"family":"Iso","given":"Hiroyasu"},{"family":"Isola","given":"Gaetano"},{"family":"Ituka","given":"Mosimah Charles"},{"family":"Iwagami","given":"Masao"},{"family":"Iwu-Jaja","given":"Chinwe Juliana"},{"family":"Iyasu","given":"Assefa N"},{"family":"J","given":"Vinothini"},{"family":"Jacob","given":"Louis"},{"family":"Jaffar","given":"Shabbar"},{"family":"Jahrami","given":"Haitham"},{"family":"Jain","given":"Akhil"},{"family":"Jairoun","given":"Ammar Abdulrahman"},{"family":"Jakovljevic","given":"Mihajlo"},{"family":"Jalloh","given":"Mohamed Lamrana"},{"family":"Javaid","given":"Syed Sarmad"},{"family":"Jayapal","given":"Sathish Kumar"},{"family":"Jayarajah","given":"Umesh"},{"family":"Jayaram","given":"Shubha"},{"family":"Jebai","given":"Rime"},{"family":"Jebasingh","given":"Felix K"},{"family":"Jema","given":"Alelign Tasew"},{"family":"Jokar","given":"Mohammad"},{"family":"Jonas","given":"Jost B"},{"family":"Jose","given":"Jobinse"},{"family":"Joseph","given":"Nitin"},{"family":"Joshua","given":"Charity Ehimwenma"},{"family":"Jozwiak","given":"Jacek Jerzy"},{"family":"Jürisson","given":"Mikk"},{"family":"Kaambwa","given":"Billingsley"},{"family":"Kabir","given":"Ali"},{"family":"Kabir","given":"Zubair"},{"family":"Kakkar","given":"Ashish Kumar"},{"family":"Kalra","given":"Sanjay"},{"family":"Kamarajah","given":"Sivesh Kathir"},{"family":"Kanaan","given":"Saddam Fuad"},{"family":"Kankam","given":"Samuel Berchi"},{"family":"Kanmodi","given":"Kehinde Kazeem"},{"family":"Kapoor","given":"Neeti"},{"family":"Karajizadeh","given":"Mehrdad"},{"family":"Karakasis","given":"Paschalis"},{"family":"Karasneh","given":"Reema A"},{"family":"Karimi","given":"Yeganeh"},{"family":"Karimi Behnagh","given":"Arman"},{"family":"Kassebaum","given":"Nicholas J"},{"family":"Kauppila","given":"Joonas H"},{"family":"Kayode","given":"Gbenga A"},{"family":"Kehagias","given":"Dimitrios"},{"family":"Kerr","given":"Jessica A"},{"family":"Keshwani","given":"Ariz"},{"family":"Kesse-Guyot","given":"Emmanuelle"},{"family":"Keykhaei","given":"Mohammad"},{"family":"Khaing","given":"Inn Kynn"},{"family":"Khajuria","given":"Himanshu"},{"family":"Khalili","given":"Pantea"},{"family":"Khalilian","given":"Alireza"},{"family":"Khalis","given":"Mohamed"},{"family":"Khan","given":"Mohammad Jobair"},{"family":"Khan","given":"Maseer"},{"family":"Khan","given":"Nusrat"},{"family":"Khan","given":"Md Abdullah Saeed"},{"family":"Khan","given":"Ajmal"},{"family":"Khan","given":"Moien Ab"},{"family":"Khanmohammadi","given":"Shaghayegh"},{"family":"Khatab","given":"Khaled"},{"family":"Khatatbeh","given":"Moawiah Mohammad"},{"family":"Khayamzadeh","given":"Maryam"},{"family":"Khidri","given":"Feriha Fatima"},{"family":"Khorashadizadeh","given":"Fatemeh"},{"family":"Khosla","given":"Atulya Aman"},{"family":"Khosravi","given":"Sepehr"},{"family":"Khosrowjerdi","given":"Mahmood"},{"family":"Khubchandani","given":"Jagdish"},{"family":"Khusun","given":"Helda"},{"family":"Kim","given":"Jinho"},{"family":"Kim","given":"Kwanghyun"},{"family":"Kim","given":"Min Seo"},{"family":"Kim","given":"Yun Jin"},{"family":"Kimokoti","given":"Ruth W"},{"family":"Kisa","given":"Adnan"},{"family":"Kishore","given":"Ladli"},{"family":"Kivimäki","given":"Mika"},{"family":"Kokkorakis","given":"Michail"},{"family":"Kolahi","given":"Ali-Asghar"},{"family":"Kompani","given":"Farzad"},{"family":"Korzh","given":"Oleksii"},{"family":"Kostev","given":"Karel"},{"family":"Koulmane Laxminarayana","given":"Sindhura Lakshmi"},{"family":"Kretchy","given":"Irene Akwo"},{"family":"Krishan","given":"Kewal"},{"family":"Kua","given":"Chong-Han"},{"family":"Kuate Defo","given":"Barthelemy"},{"family":"Kulimbet","given":"Mukhtar"},{"family":"Kulkarni","given":"Vishnutheertha"},{"family":"Kumar","given":"Ashish"},{"family":"Kumar","given":"Vijay"},{"family":"Kumar","given":"G Anil"},{"family":"Kundu","given":"Satyajit"},{"family":"Kunutsor","given":"Setor K"},{"family":"Kurmi","given":"Om P"},{"family":"Kurniasari","given":"Maria Dyah"},{"family":"Kusuma","given":"Dian"},{"family":"Kytö","given":"Ville"},{"family":"Lacey","given":"Ben"},{"family":"Lahariya","given":"Chandrakant"},{"family":"Lai","given":"Daphne Teck Ching"},{"family":"Lai","given":"Hanpeng"},{"family":"Landires","given":"Iván"},{"family":"Larijani","given":"Bagher"},{"family":"Latief","given":"Kamaluddin"},{"family":"La Vecchia","given":"Carlo"},{"family":"Le","given":"Nhi Huu Hanh"},{"family":"Lee","given":"Munjae"},{"family":"Lee","given":"Sang-woong"},{"family":"Lee","given":"Wei-Chen"},{"family":"Lee","given":"Seung Won"},{"family":"Lee","given":"Paul H"},{"family":"Li","given":"Ming-Chieh"},{"family":"Li","given":"Yongze"},{"family":"Li","given":"Weilong"},{"family":"Lim","given":"Stephen S"},{"family":"Lin","given":"Queran"},{"family":"Lin","given":"Jialing"},{"family":"Lindholm","given":"Daniel"},{"family":"Lindstedt","given":"Paulina A"},{"family":"Liu","given":"Simin"},{"family":"Llanaj","given":"Erand"},{"family":"López-Gil","given":"José Francisco"},{"family":"Lorkowski","given":"Stefan"},{"family":"Lucchetti","given":"Giancarlo"},{"family":"Lugo","given":"Alessandra"},{"family":"Lutambi","given":"Angelina M"},{"family":"Lv","given":"Lei"},{"family":"Lytvyak","given":"Ellina"},{"family":"Ma","given":"Zheng Feei"},{"family":"Machoy","given":"Monika"},{"family":"Magaña Gómez","given":"Javier A"},{"family":"Maghbouli","given":"Nastaran"},{"family":"Mahalleh","given":"Mehrdad"},{"family":"Mahmood","given":"Nozad H"},{"family":"Mahmoudi","given":"Elham"},{"family":"Maiti","given":"Rituparna"},{"family":"Makris","given":"Konstantinos Christos C"},{"family":"Malhotra","given":"Kashish"},{"family":"Malik","given":"Ahmad Azam"},{"family":"Malik","given":"Iram"},{"family":"Malta","given":"Deborah Carvalho"},{"family":"Mamun","given":"Abdullah A"},{"family":"Mansourian","given":"Marjan"},{"family":"Manu","given":"Emmanuel"},{"family":"Marateb","given":"Hamid Reza"},{"family":"Marino","given":"Mirko"},{"family":"Marjani","given":"Abdoljalal"},{"family":"Martinez-Piedra","given":"Ramon"},{"family":"Martini","given":"Santi"},{"family":"Martorell","given":"Miquel"},{"family":"Marzouk","given":"Sammer"},{"family":"Masi","given":"Stefano"},{"family":"Masrouri","given":"Soroush"},{"family":"Mathangasinghe","given":"Yasith"},{"family":"Mathur","given":"Manu Raj"},{"family":"Matozinhos","given":"Fernanda Penido"},{"family":"Matthias","given":"Thushara"},{"family":"Mattiello","given":"Rita"},{"family":"Mazidi","given":"Mohsen"},{"family":"McPhail","given":"Steven M"},{"family":"Mechili","given":"Enkeleint A"},{"family":"Mehboob","given":"Riffat"},{"family":"Mehmood","given":"Asim"},{"family":"Mehndiratta","given":"Man Mohan"},{"family":"Mehrabani-Zeinabad","given":"Kamran"},{"family":"Mekene Meto","given":"Tesfahun"},{"family":"Meles","given":"Hadush Negash"},{"family":"Mendoza","given":"Walter"},{"family":"Menezes","given":"Ritesh G"},{"family":"Mengistie","given":"Emiru Ayalew"},{"family":"Meo","given":"Sultan Ayoub"},{"family":"Mestrovic","given":"Tomislav"},{"family":"Mettananda","given":"Sachith"},{"family":"Mettananda","given":"Chamila Dinushi Kukulege"},{"family":"Micheletti Gomide Nogueira De Sá","given":"Ana Carolina"},{"family":"Miller","given":"Ted R"},{"family":"Mini","given":"Gk"},{"family":"Mirrakhimov","given":"Erkin M"},{"family":"Misganaw","given":"Awoke"},{"family":"Mittal","given":"Madhukar"},{"family":"Mohamed","given":"Ahmed Ismail"},{"family":"Mohamed","given":"Mona Gamal"},{"family":"Mohamed","given":"Nouh Saad"},{"family":"Mohamed","given":"Jama"},{"family":"Mohammad","given":"Taj"},{"family":"Mohammad-Alizadeh-Charandabi","given":"Sakineh"},{"family":"Mohammadzadeh","given":"Ibrahim"},{"family":"Mohammed","given":"Shafiu"},{"family":"Mohammed","given":"Mustapha"},{"family":"Mokdad","given":"Ali H"},{"family":"Mondello","given":"Stefania"},{"family":"Moni","given":"Mohammad Ali"},{"family":"Moradi","given":"Maryam"},{"family":"Morrison","given":"Shane Douglas"},{"family":"Mossialos","given":"Elias"},{"family":"Motappa","given":"Rohith"},{"family":"Mulita","given":"Francesk"},{"family":"Mullany","given":"Erin C"},{"family":"Munkhsaikhan","given":"Yanjinlkham"},{"family":"Murillo-Zamora","given":"Efren"},{"family":"Musa","given":"Sani"},{"family":"Mustafa","given":"Ghulam"},{"family":"Muthu","given":"Sathish"},{"family":"Myung","given":"Woojae"},{"family":"Naghavi","given":"Pirouz"},{"family":"Naghavi","given":"Mohsen"},{"family":"Naik","given":"Ganesh R"},{"family":"Naik","given":"Hiten"},{"family":"Nambi","given":"Gopal"},{"family":"Nangia","given":"Vinay"},{"family":"Nansseu","given":"Jobert Richie"},{"family":"Nascimento","given":"Gustavo G"},{"family":"Nassar","given":"Mahmoud"},{"family":"Natto","given":"Zuhair S"},{"family":"Nauman","given":"Javaid"},{"family":"Naureen","given":"Zakira"},{"family":"Navaratna","given":"Samidi Nirasha Kumari"},{"family":"Nayak","given":"Biswa Prakash"},{"family":"Nayon","given":"Md Fahad Shahariar"},{"family":"Nazri-Panjaki","given":"Athare"},{"family":"Negahdary","given":"Masoud"},{"family":"Negoi","given":"Ruxandra Irina"},{"family":"Negoi","given":"Ionut"},{"family":"Nejadghaderi","given":"Seyed Aria"},{"family":"Nematollahi","given":"Soroush"},{"family":"Nepal","given":"Samata"},{"family":"Netsere","given":"Henok Biresaw"},{"family":"Ngunjiri","given":"Josephine W"},{"family":"Nguyen","given":"Cuong Tat"},{"family":"Nguyen","given":"Dang"},{"family":"Nguyen","given":"Trang"},{"family":"Nguyen","given":"Duc Hoang"},{"family":"Nguyen","given":"Phuong The"},{"family":"Niazi","given":"Robina Khan"},{"family":"Nieddu","given":"Luciano"},{"family":"Niknam","given":"Mahdieh"},{"family":"Nikoobar","given":"Ali"},{"family":"Nkeck","given":"Jan Rene"},{"family":"Nomura","given":"Shuhei"},{"family":"Noor","given":"Syed Toukir Ahmed"},{"family":"Noreen","given":"Mamoona"},{"family":"Noroozi","given":"Masoud"},{"literal":"Nawsherwan"},{"family":"Noubiap","given":"Jean Jacques"},{"family":"Nouri","given":"Mehran"},{"family":"Nri-Ezedi","given":"Chisom Adaobi"},{"family":"Nugen","given":"Fred"},{"family":"Nurrika","given":"Dieta"},{"family":"Nzoputam","given":"Ogochukwu Janet"},{"family":"O'Connell","given":"Erin M"},{"family":"Oancea","given":"Bogdan"},{"family":"Oguta","given":"James Odhiambo"},{"family":"Oh","given":"In-Hwan"},{"family":"Okati-Aliabad","given":"Hassan"},{"family":"Okekunle","given":"Akinkunmi Paul"},{"family":"Okonji","given":"Osaretin Christabel"},{"family":"Olagunju","given":"Andrew T"},{"family":"Olalusi","given":"Oladotun Victor"},{"family":"Olanrewaju","given":"Timothy Olusegun"},{"family":"Olasupo","given":"Omotola O"},{"family":"Oliveira","given":"Gláucia Maria Moraes"},{"family":"Oliveira","given":"Arão Belitardo"},{"family":"Oluwafemi","given":"Yinka Doris"},{"family":"Omar","given":"Hany A"},{"family":"Omar Bali","given":"Ahmed"},{"family":"Opitz","given":"Marcel"},{"family":"Ordak","given":"Michal"},{"family":"Ortiz","given":"Alberto"},{"family":"Osborne","given":"Augustus"},{"family":"Osman","given":"Wael M S"},{"family":"Osman","given":"Alaa A M"},{"family":"Osuagwu","given":"Uchechukwu Levi"},{"family":"Otoiu","given":"Adrian"},{"family":"Oumer","given":"Abdu"},{"family":"Ouyahia","given":"Amel"},{"family":"Owolabi","given":"Mayowa O"},{"family":"Owusu","given":"Irene Amoakoh"},{"family":"Oyebola","given":"Kolapo"},{"family":"P A","given":"Mahesh Padukudru"},{"family":"Padron-Monedero","given":"Alicia"},{"family":"Padubidri","given":"Jagadish Rao"},{"family":"Panda","given":"Sujogya Kumar"},{"family":"Panda-Jonas","given":"Songhomitra"},{"family":"Pandey","given":"Anamika"},{"family":"Pandi-Perumal","given":"Seithikurippu R"},{"family":"Pardhan","given":"Shahina"},{"family":"Parekh","given":"Utsav"},{"family":"Parija","given":"Pragyan Paramita"},{"family":"Parikh","given":"Romil R"},{"family":"Park","given":"Eun-Cheol"},{"family":"Pashaei","given":"Ava"},{"family":"Passera","given":"Roberto"},{"family":"Patel","given":"Hemal M"},{"family":"Pathan","given":"Aslam Ramjan"},{"family":"Patoulias","given":"Dimitrios"},{"family":"Patton","given":"George C"},{"family":"Paudel","given":"Susan"},{"family":"Pazoki Toroudi","given":"Hamidreza"},{"family":"Pensato","given":"Umberto"},{"family":"Peprah","given":"Prince"},{"family":"Pereira","given":"Gavin"},{"family":"Pereira","given":"Marcos"},{"family":"Perianayagam","given":"Arokiasamy"},{"family":"Perico","given":"Norberto"},{"family":"Perna","given":"Simone"},{"family":"Petcu","given":"Ionela-Roxana"},{"family":"Petermann-Rocha","given":"Fanny Emily"},{"family":"Pham","given":"Hoang Nhat"},{"family":"Polibin","given":"Roman V"},{"family":"Popovic","given":"Djordje S"},{"family":"Pourghazi","given":"Farzad"},{"family":"Pourshams","given":"Akram"},{"family":"Pradhan","given":"Jalandhar"},{"family":"Pradhan","given":"Pranil Man Singh"},{"family":"Prasad","given":"Manya"},{"family":"Prashant","given":"Akila"},{"family":"Prates","given":"Elton Junio Sady"},{"family":"Putra","given":"I Gusti Ngurah Edi"},{"family":"Puvvula","given":"Jagadeesh"},{"family":"Qattea","given":"Ibrahim"},{"family":"Qiu","given":"Jia-Yong"},{"family":"Radhakrishnan","given":"Venkatraman"},{"family":"Radojčić","given":"Maja R"},{"family":"Raggi","given":"Catalina"},{"family":"Rahman","given":"Muhammad Aziz"},{"family":"Rahman","given":"Fryad Majeed"},{"family":"Rahman","given":"Mohammad Hifz Ur"},{"family":"Rahman","given":"Mosiur"},{"family":"Rahmani","given":"Saeed"},{"family":"Rahmanian","given":"Vahid"},{"family":"Rahmawaty","given":"Setyaningrum"},{"family":"Rai","given":"Rajesh Kumar"},{"family":"Raimondo","given":"Ivano"},{"family":"Raj","given":"Jeffrey Pradeep"},{"family":"Rajput","given":"Prashant"},{"family":"Ramadan","given":"Mahmoud Mohammed"},{"family":"Ramasamy","given":"Chitra"},{"family":"Ramasamy","given":"Shakthi Kumaran"},{"family":"Ramazanu","given":"Sheena"},{"family":"Rana","given":"Kritika"},{"family":"Ranabhat","given":"Chhabi Lal"},{"family":"Rao","given":"Mithun"},{"family":"Rao","given":"Sowmya J"},{"family":"Rashedi","given":"Sina"},{"family":"Rashidi","given":"Mohammad-Mahdi"},{"family":"Rasouli-Saravani","given":"Ashkan"},{"family":"Rathish","given":"Devarajan"},{"family":"Rauniyar","given":"Santosh Kumar"},{"family":"Rautalin","given":"Ilari"},{"family":"Rawaf","given":"David Laith"},{"family":"Rawaf","given":"Salman"},{"family":"Redwan","given":"Elrashdy M. Moustafa Mohamed"},{"family":"Rege","given":"Sanika"},{"family":"Reis-Mendes","given":"Ana"},{"family":"Remuzzi","given":"Giuseppe"},{"family":"Rezaei","given":"Nazila"},{"family":"Rezaeian","given":"Mohsen"},{"family":"Rezazadeh","given":"Hossein"},{"family":"Rhee","given":"Taeho Gregory"},{"family":"Rocha-Gomes","given":"João Rocha"},{"family":"Rodrigues","given":"Mónica"},{"family":"Rodrigues Da Silva","given":"Thales Philipe"},{"family":"Rodriguez","given":"Jefferson Antonio Buendia"},{"family":"Roever","given":"Leonardo"},{"family":"Rohloff","given":"Peter"},{"family":"Romadlon","given":"Debby Syahru"},{"family":"Rony","given":"Moustaq Karim Khan"},{"family":"Roshandel","given":"Gholamreza"},{"family":"Rout","given":"Himanshu Sekhar"},{"family":"Roy","given":"Nitai"},{"family":"Rwegerera","given":"Godfrey M"},{"family":"Saad","given":"Aly M A"},{"family":"Saber-Ayad","given":"Maha Mohamed"},{"family":"Sabet","given":"Cameron John"},{"family":"Sadarangani","given":"Kabir P"},{"family":"Saddik","given":"Basema Ahmad"},{"family":"Sadeghi","given":"Masoumeh"},{"family":"Saeb","given":"Mohammad Reza"},{"family":"Saeed","given":"Umar"},{"family":"Saeedi Moghaddam","given":"Sahar"},{"family":"Safi","given":"Sher Zaman"},{"family":"Saghazadeh","given":"Amene"},{"family":"Sagoe","given":"Dominic"},{"family":"Sahebkar","given":"Amirhossein"},{"family":"Saheb Sharif-Askari","given":"Fatemeh"},{"family":"Sahoo","given":"Soumya Swaroop"},{"family":"Sajid","given":"Mirza Rizwan"},{"family":"Salaroli","given":"Luciane B"},{"family":"Saleh","given":"Mohamed A"},{"family":"Salem","given":"Marwa Rashad"},{"family":"Salimi","given":"Sohrab"},{"family":"Samodra","given":"Yoseph Leonardo"},{"family":"Samuel","given":"Vijaya Paul"},{"family":"Samy","given":"Abdallah M"},{"family":"Santhekadur","given":"Prasanna K"},{"family":"Santric-Milicevic","given":"Milena M"},{"family":"Saqib","given":"Muhammad Arif Nadeem"},{"family":"Saraswati","given":"Ushasi"},{"family":"Saravanan","given":"Aswini"},{"family":"Sari","given":"Dianis Wulan"},{"family":"Sarkar","given":"Tanmay"},{"family":"Sarmadi","given":"Mohammad"},{"family":"Sarode","given":"Sachin C"},{"family":"Sarode","given":"Gargi Sachin"},{"family":"Sassano","given":"Michele"},{"family":"Sathian","given":"Brijesh"},{"family":"Saya","given":"Ganesh Kumar"},{"family":"Schinckus","given":"Christophe"},{"family":"Schmidt","given":"Maria Inês"},{"family":"Schuermans","given":"Art"},{"family":"Schutte","given":"Aletta Elisabeth"},{"family":"Sebastian","given":"Sneha Annie"},{"family":"Selvaraj","given":"Siddharthan"},{"family":"Semreen","given":"Mohammad H"},{"family":"Sendekie","given":"Ashenafi Kibret"},{"family":"Sengupta","given":"Pallav"},{"family":"Senol","given":"Yigit Can"},{"family":"Senthilkumaran","given":"Subramanian"},{"family":"Sepanlou","given":"Sadaf G"},{"family":"Sethi","given":"Yashendra"},{"family":"Seylani","given":"Allen"},{"family":"Shafie","given":"Mahan"},{"family":"Shah","given":"Sweni"},{"family":"Shah","given":"Syed Mahboob"},{"family":"Shahid","given":"Samiah"},{"family":"Shahrahmani","given":"Fatemeh"},{"family":"Shahwan","given":"Moyad Jamal"},{"family":"Sham","given":"Sunder"},{"family":"Shamim","given":"Muhammad Aaqib"},{"family":"Shams-Beyranvand","given":"Mehran"},{"family":"Shamsi","given":"Anas"},{"family":"Shamsutdinova","given":"Alfiya"},{"family":"Shan","given":"Dan"},{"family":"Shanawaz","given":"Mohd"},{"family":"Shannawaz","given":"Mohammed"},{"family":"Sharath","given":"Medha"},{"family":"Sharfaei","given":"Sadaf"},{"family":"Sharifan","given":"Amin"},{"family":"Sharma","given":"Anupam"},{"family":"Sharma","given":"Ujjawal"},{"family":"Sharma","given":"Manoj"},{"family":"Sharma","given":"Vishal"},{"family":"Sheida","given":"Fateme"},{"family":"Sheikhy","given":"Ali"},{"family":"Shenoy","given":"Rekha Raghuveer"},{"family":"Shetty","given":"Pavanchand H"},{"family":"Shibuya","given":"Kenji"},{"family":"Shiferaw","given":"Desalegn"},{"family":"Shin","given":"Min-Jeong"},{"family":"Shiri","given":"Rahman"},{"family":"Shittu","given":"Aminu"},{"family":"Shool","given":"Sina"},{"family":"Shorofi","given":"Seyed Afshin"},{"family":"Shrestha","given":"Rajan"},{"family":"Shuval","given":"Kerem"},{"family":"Si","given":"Yafei"},{"family":"Sibuyi","given":"Nicole R S"},{"family":"Siddig","given":"Emmanuel Edwar"},{"family":"Siddiqi","given":"Ahmed Kamal"},{"family":"Sikdar","given":"Mithun"},{"family":"Silva","given":"Diego Augusto Santos"},{"family":"Silva","given":"Luís Manuel Lopes Rodrigues"},{"family":"Singh","given":"Surjit"},{"family":"Singh","given":"Jasvinder A"},{"family":"Singh","given":"Amit"},{"family":"Singh","given":"Harmanjit"},{"family":"Singh","given":"Baljinder"},{"family":"Singh","given":"Kalpana"},{"family":"Singh","given":"Puneetpal"},{"family":"Skryabin","given":"Valentin Yurievich"},{"family":"Skryabina","given":"Anna Aleksandrovna"},{"family":"Smith","given":"Amanda E"},{"family":"Smith","given":"Georgia"},{"family":"Soliman","given":"Sameh S M"},{"family":"Soraneh","given":"Soroush"},{"family":"Sorensen","given":"Reed J D"},{"family":"Spartalis","given":"Michael"},{"family":"Srichawla","given":"Bahadar S"},{"family":"Stachteas","given":"Panagiotis"},{"family":"Starodubova","given":"Antonina V"},{"family":"Straif","given":"Kurt"},{"family":"Stubbs","given":"Pete"},{"family":"Subramaniyan","given":"Vetriselvan"},{"family":"Suleiman Odidi","given":"Muritala Odidi"},{"family":"Sulkowski","given":"Aleksander"},{"family":"Sultan Meo","given":"Anusha"},{"family":"Sun","given":"Jing"},{"family":"Sun","given":"Zhong"},{"family":"Sunny","given":"Sumam"},{"family":"Swain","given":"Chandan Kumar"},{"family":"Szarpak","given":"Lukasz"},{"family":"Tabarés-Seisdedos","given":"Rafael"},{"family":"Tabatabaei","given":"Seyyed Mohammad"},{"family":"Tabatabaei","given":"Fatemeh Sadat"},{"family":"Tabatabaei Malazy","given":"Ozra"},{"family":"Tabatabai","given":"Shima"},{"family":"Tabche","given":"Celine"},{"family":"Tabish","given":"Mohammad"},{"family":"Taiba","given":"Jabeen"},{"family":"Talic","given":"Stella"},{"family":"Tampa","given":"Mircea"},{"family":"Tamuzi","given":"Jacques Lukenze"},{"family":"Tan","given":"Ker-Kan"},{"family":"Tanwar","given":"Manoj"},{"family":"Tariq","given":"Saba"},{"family":"Tat","given":"Nathan Y"},{"family":"Tavangar","given":"Seyed Mohammad"},{"family":"Temsah","given":"Reem Mohamad Hani"},{"family":"Temsah","given":"Mohamad-Hani"},{"family":"Teramoto","given":"Masayuki"},{"family":"Terefa","given":"Dufera Rikitu"},{"family":"Tewari","given":"Jay"},{"family":"Thapar","given":"Rekha"},{"family":"Ticoalu","given":"Jansje Henny Vera"},{"family":"Tiruneh","given":"Sofonyas Abebaw"},{"family":"Tiruye","given":"Tenaw Yimer"},{"family":"Titova","given":"Mariya Vladimirovna"},{"family":"Tiwari","given":"Krishna"},{"family":"Tomo","given":"Sojit"},{"family":"Tonelli","given":"Marcello"},{"family":"Touvier","given":"Mathilde"},{"family":"Tovani-Palone","given":"Marcos Roberto"},{"family":"Trabelsi","given":"Khaled"},{"family":"Tran","given":"Mai Thi Ngoc"},{"family":"Tran","given":"Thang Huu"},{"family":"Tran Minh Duc","given":"Nguyen"},{"family":"Trico","given":"Domenico"},{"family":"Trihandini","given":"Indang"},{"family":"Truyen","given":"Thien Tan Tri Tai"},{"family":"Tsatsakis","given":"Aristidis"},{"family":"Tse","given":"Gary"},{"family":"Tsegay","given":"Guesh Mebrahtom"},{"family":"Tumurkhuu","given":"Munkhtuya"},{"family":"T Y","given":"Sree Sudha"},{"family":"Tye","given":"Sok Cin"},{"family":"Tyrovolas","given":"Stefanos"},{"family":"Udoakang","given":"Aniefiok John"},{"family":"Ullah","given":"Shahid"},{"family":"Ullah","given":"Saeed"},{"family":"Umair","given":"Muhammad"},{"family":"Umar","given":"Umar Muhammad"},{"family":"Umar","given":"Lawan"},{"family":"Unim","given":"Brigid"},{"family":"Upadhya","given":"Dinesh"},{"family":"Upadhyay","given":"Era"},{"family":"Usman","given":"Jibrin Sammani"},{"family":"Ustunsoz","given":"Damla"},{"family":"Vaithinathan","given":"Asokan Govindaraj"},{"family":"Van Den Eynde","given":"Jef"},{"family":"Varghese","given":"Joe"},{"family":"Vasankari","given":"Tommi Juhani"},{"family":"Vaziri","given":"Siavash"},{"family":"Vellingiri","given":"Balachandar"},{"family":"Venketasubramanian","given":"Narayanaswamy"},{"family":"Verma","given":"Madhur"},{"family":"Verma","given":"Anjul"},{"family":"Verras","given":"Georgios-Ioannis"},{"family":"Vidale","given":"Simone"},{"family":"Villalobos-Daniel","given":"Victor E"},{"family":"Vinayak","given":"Manish"},{"family":"Vlassov","given":"Vasily"},{"family":"Vos","given":"Theo"},{"family":"Vukovic","given":"Rade"},{"family":"Wahidin","given":"Mugi"},{"family":"Wahiduzzaman","given":"Mohammad"},{"family":"Wang","given":"Yanzhong"},{"family":"Wang","given":"Shu"},{"family":"Wang","given":"Cong"},{"family":"Wang","given":"Xingxin"},{"family":"Wanjau","given":"Mary Njeri"},{"family":"Waqar","given":"Ahmed Bilal"},{"family":"Waqas","given":"Muhammad"},{"family":"Weerakoon","given":"Kosala Gayan"},{"family":"Wei","given":"Fei-Long"},{"family":"Wicaksana","given":"Anggi Lukman"},{"family":"Wickramasinghe","given":"Dakshitha Praneeth"},{"family":"Willeit","given":"Peter"},{"family":"Wojewodzic","given":"Marcin W"},{"family":"Wonde","given":"Tewodros Eshete"},{"family":"Wongsin","given":"Utoomporn"},{"family":"Xia","given":"Qing"},{"family":"Xie","given":"Wanqing"},{"family":"Xu","given":"Suowen"},{"family":"Xu","given":"Xiaoyue"},{"family":"Yamagishi","given":"Kazumasa"},{"family":"Yano","given":"Yuichiro"},{"family":"Yao","given":"Haiqiang"},{"family":"Yarahmadi","given":"Amir"},{"family":"Yaribeygi","given":"Habib"},{"family":"Yesuf","given":"Subah Abderehim"},{"family":"Yin","given":"Dehui"},{"family":"Yon","given":"Dong Keon"},{"family":"Yonemoto","given":"Naohiro"},{"family":"Yu","given":"Chuanhua"},{"family":"Yuan","given":"Chun-Wei"},{"family":"Yuce","given":"Deniz"},{"family":"Yunusa","given":"Ismaeel"},{"family":"Zaman","given":"Sojib Bin"},{"family":"Zare","given":"Iman"},{"family":"Zastrozhin","given":"Michael"},{"family":"Zeariya","given":"Mohammed G M"},{"family":"Zhang","given":"Xiaoyi"},{"family":"Zhang","given":"Liqun"},{"family":"Zhang","given":"Jingya"},{"family":"Zhang","given":"Zhiqiang"},{"family":"Zhang","given":"Casper J P"},{"family":"Zheng","given":"David X"},{"family":"Zheng","given":"Peng"},{"family":"Zhong","given":"Anthony"},{"family":"Zhong","given":"Claire Chenwen"},{"family":"Zhou","given":"Jiayan"},{"family":"Zhu","given":"Bin"},{"family":"Zhumagaliuly","given":"Abzal"},{"family":"Zielińska","given":"Magdalena"},{"family":"Zoghi","given":"Ghazal"},{"family":"Zou","given":"Zhiyong"},{"family":"Zweck","given":"Elric"},{"family":"Zyoud","given":"Sa'ed H"},{"family":"Murray","given":"Christopher J L"},{"family":"Sawyer","given":"Susan M"},{"family":"Vollset","given":"Stein Emil"}],"issued":{"date-parts":[["2025",3]]}}}],"schema":"https://github.com/citation-style-language/schema/raw/master/csl-citation.json"} </w:instrText>
      </w:r>
      <w:r w:rsidRPr="00735FCE">
        <w:fldChar w:fldCharType="separate"/>
      </w:r>
      <w:r w:rsidR="00281437" w:rsidRPr="00281437">
        <w:rPr>
          <w:vertAlign w:val="superscript"/>
        </w:rPr>
        <w:t>25</w:t>
      </w:r>
      <w:r w:rsidRPr="00735FCE">
        <w:fldChar w:fldCharType="end"/>
      </w:r>
      <w:r w:rsidRPr="00735FCE">
        <w:t>. However, obesity prevalence is higher in females (44%) than in males (43%) globally</w:t>
      </w:r>
      <w:r>
        <w:t xml:space="preserve"> </w:t>
      </w:r>
      <w:r w:rsidRPr="00735FCE">
        <w:fldChar w:fldCharType="begin"/>
      </w:r>
      <w:r w:rsidR="00281437">
        <w:instrText xml:space="preserve"> ADDIN ZOTERO_ITEM CSL_CITATION {"citationID":"ZGeNMOwv","properties":{"formattedCitation":"\\super 24\\nosupersub{}","plainCitation":"24","noteIndex":0},"citationItems":[{"id":3100,"uris":["http://zotero.org/users/9622455/items/829YAKYN"],"itemData":{"id":3100,"type":"webpage","title":"Obesity and overweight","URL":"https://www.who.int/news-room/fact-sheets/detail/obesity-and-overweight","accessed":{"date-parts":[["2025",5,28]]}}}],"schema":"https://github.com/citation-style-language/schema/raw/master/csl-citation.json"} </w:instrText>
      </w:r>
      <w:r w:rsidRPr="00735FCE">
        <w:fldChar w:fldCharType="separate"/>
      </w:r>
      <w:r w:rsidR="00281437" w:rsidRPr="00281437">
        <w:rPr>
          <w:vertAlign w:val="superscript"/>
        </w:rPr>
        <w:t>24</w:t>
      </w:r>
      <w:r w:rsidRPr="00735FCE">
        <w:fldChar w:fldCharType="end"/>
      </w:r>
      <w:r w:rsidRPr="00735FCE">
        <w:t xml:space="preserve">, particularly pronounced in low- and </w:t>
      </w:r>
      <w:r>
        <w:t>middle-income</w:t>
      </w:r>
      <w:r w:rsidRPr="00735FCE">
        <w:t xml:space="preserve"> countries</w:t>
      </w:r>
      <w:r>
        <w:t xml:space="preserve"> </w:t>
      </w:r>
      <w:r w:rsidRPr="00735FCE">
        <w:fldChar w:fldCharType="begin"/>
      </w:r>
      <w:r w:rsidR="00281437">
        <w:instrText xml:space="preserve"> ADDIN ZOTERO_ITEM CSL_CITATION {"citationID":"PxsBtTev","properties":{"formattedCitation":"\\super 26\\nosupersub{}","plainCitation":"26","noteIndex":0},"citationItems":[{"id":3103,"uris":["http://zotero.org/users/9622455/items/ECEYSET9"],"itemData":{"id":3103,"type":"article-journal","abstract":"We have reviewed the distinctive features of excess weight, its causes, and related prevention and management efforts, as well as data gaps and recommendations for future research in low- and middle-income countries (LMICs). Obesity is rising in every region of the world, and no country has been successful at reversing the epidemic once it has begun. In LMICs, overweight is higher in women compared with men, in urban compared with rural settings, and in older compared with younger individuals; however, the urban–rural overweight differential is shrinking in many countries. Overweight occurs alongside persistent burdens of underweight in LMICs, especially in young women. Changes in the global diet and physical activity are among the hypothesized leading contributors to obesity. Emerging risk factors include environmental contaminants, chronic psychosocial stress, neuroendocrine dysregulation, and genetic/epigenetic mechanisms. Data on effective strategies to prevent the onset of obesity in LMICs or elsewhere are limited. Expanding the research in this area is a key priority and has important possibilities for reverse innovation that may also inform interventions in high-income countries.","container-title":"Annual Review of Public Health","DOI":"10.1146/annurev-publhealth-031816-044604","ISSN":"0163-7525, 1545-2093","issue":"1","journalAbbreviation":"Annu. Rev. Public Health","language":"en","license":"https://creativecommons.org/licenses/by-sa/4.0/","page":"145-164","source":"DOI.org (Crossref)","title":"Obesity in Low- and Middle-Income Countries: Burden, Drivers, and Emerging Challenges","title-short":"Obesity in Low- and Middle-Income Countries","volume":"38","author":[{"family":"Ford","given":"Nicole D."},{"family":"Patel","given":"Shivani A."},{"family":"Narayan","given":"K.M. Venkat"}],"issued":{"date-parts":[["2017",3,20]]}}}],"schema":"https://github.com/citation-style-language/schema/raw/master/csl-citation.json"} </w:instrText>
      </w:r>
      <w:r w:rsidRPr="00735FCE">
        <w:fldChar w:fldCharType="separate"/>
      </w:r>
      <w:r w:rsidR="00281437" w:rsidRPr="00281437">
        <w:rPr>
          <w:vertAlign w:val="superscript"/>
        </w:rPr>
        <w:t>26</w:t>
      </w:r>
      <w:r w:rsidRPr="00735FCE">
        <w:fldChar w:fldCharType="end"/>
      </w:r>
      <w:r w:rsidRPr="00735FCE">
        <w:t>. For instance, in sub-Saharan Africa, the prevalence of obesity in females is over 100% higher than in males for adults aged 25–79 years</w:t>
      </w:r>
      <w:r>
        <w:t xml:space="preserve"> </w:t>
      </w:r>
      <w:r w:rsidRPr="00735FCE">
        <w:fldChar w:fldCharType="begin"/>
      </w:r>
      <w:r w:rsidR="00281437">
        <w:instrText xml:space="preserve"> ADDIN ZOTERO_ITEM CSL_CITATION {"citationID":"957wt1PH","properties":{"formattedCitation":"\\super 25\\nosupersub{}","plainCitation":"25","noteIndex":0},"citationItems":[{"id":3099,"uris":["http://zotero.org/users/9622455/items/FR93TNFR"],"itemData":{"id":3099,"type":"article-journal","abstract":"Background Overweight and obesity is a global epidemic. Forecasting future trajectories of the epidemic is crucial for providing an evidence base for policy change. In this study, we examine the historical trends of the global, regional, and national prevalence of adult overweight and obesity from 1990 to 2021 and forecast the future trajectories to 2050.","container-title":"The Lancet","DOI":"10.1016/S0140-6736(25)00355-1","ISSN":"01406736","issue":"10481","journalAbbreviation":"The Lancet","language":"en","page":"813-838","source":"DOI.org (Crossref)","title":"Global, regional, and national prevalence of adult overweight and obesity, 1990–2021, with forecasts to 2050: a forecasting study for the Global Burden of Disease Study 2021","title-short":"Global, regional, and national prevalence of adult overweight and obesity, 1990–2021, with forecasts to 2050","volume":"405","author":[{"family":"Ng","given":"Marie"},{"family":"Gakidou","given":"Emmanuela"},{"family":"Lo","given":"Justin"},{"family":"Abate","given":"Yohannes Habtegiorgis"},{"family":"Abbafati","given":"Cristiana"},{"family":"Abbas","given":"Nasir"},{"family":"Abbasian","given":"Mohammadreza"},{"family":"Abd ElHafeez","given":"Samar"},{"family":"Abdel-Rahman","given":"Wael M"},{"family":"Abd-Elsalam","given":"Sherief"},{"family":"Abdollahi","given":"Arash"},{"family":"Abdoun","given":"Meriem"},{"family":"Abdulah","given":"Deldar Morad"},{"family":"Abdulkader","given":"Rizwan Suliankatchi"},{"family":"Abdullahi","given":"Auwal"},{"family":"Abedi","given":"Armita"},{"family":"Abeywickrama","given":"Hansani Madushika"},{"family":"Abie","given":"Alemwork"},{"family":"Aboagye","given":"Richard Gyan"},{"family":"Abohashem","given":"Shady"},{"family":"Abtahi","given":"Dariush"},{"family":"Abualruz","given":"Hasan"},{"family":"Abubakar","given":"Bilyaminu"},{"family":"Abu Farha","given":"Rana Kamal"},{"family":"Abukhadijah","given":"Hana J"},{"family":"Abu-Rmeileh","given":"Niveen Me"},{"family":"Aburuz","given":"Salahdein"},{"family":"Abu-Zaid","given":"Ahmed"},{"family":"Adams","given":"Lisa C"},{"family":"Adane","given":"Mesafint Molla"},{"family":"Addo","given":"Isaac Yeboah"},{"family":"Adedokun","given":"Kamoru Ademola"},{"family":"Adegoke","given":"Nurudeen A"},{"family":"Adepoju","given":"Abiola Victor Victor"},{"family":"Adesola","given":"Ridwan Olamilekan"},{"family":"Adeyeoluwa","given":"Temitayo Esther"},{"family":"Adiga","given":"Usha"},{"family":"Adnani","given":"Qorinah Estiningtyas Sakilah"},{"family":"Afaghi","given":"Siamak"},{"family":"Afzal","given":"Saira"},{"family":"Afzal","given":"Muhammad Sohail"},{"family":"Agampodi","given":"Thilini Chanchala"},{"family":"Aghamiri","given":"Shahin"},{"family":"Agostinis Sobrinho","given":"César"},{"family":"Agyemang-Duah","given":"Williams"},{"family":"Ahlstrom","given":"Austin J"},{"family":"Ahmad","given":"Danish"},{"family":"Ahmad","given":"Sajjad"},{"family":"Ahmad","given":"Aqeel"},{"family":"Ahmad","given":"Muayyad M"},{"family":"Ahmad","given":"Fuzail"},{"family":"Ahmad","given":"Noah"},{"family":"Ahmed","given":"Haroon"},{"family":"Ahmed","given":"Muktar Beshir"},{"family":"Ahmed","given":"Ayman"},{"family":"Ahmed","given":"Meqdad Saleh"},{"family":"Ahmed","given":"Mehrunnisha Sharif"},{"family":"Ahmed","given":"Syed Anees"},{"family":"Ajami","given":"Marjan"},{"family":"Akhtar","given":"Samina"},{"family":"Akkaif","given":"Mohammed Ahmed"},{"family":"Akrami","given":"Ashley E"},{"family":"Alalwan","given":"Tariq A"},{"family":"Al-Aly","given":"Ziyad"},{"family":"Alam","given":"Khurshid"},{"family":"Al-amer","given":"Rasmieh Mustafa"},{"family":"Alansari","given":"Amani"},{"family":"Al-Ashwal","given":"Fahmi Y"},{"family":"Albashtawy","given":"Mohammed"},{"family":"Aldhaleei","given":"Wafa A"},{"family":"Alemayehu","given":"Bezawit Abeje"},{"family":"Algammal","given":"Abdelazeem M"},{"family":"Alhabib","given":"Khalid F"},{"family":"Al Hamad","given":"Hanadi"},{"family":"Al Hasan","given":"Syed Mahfuz"},{"family":"Alhuwail","given":"Dari"},{"family":"Ali","given":"Rafat"},{"family":"Ali","given":"Abid"},{"family":"Ali","given":"Waad"},{"family":"Ali","given":"Mohammed Usman"},{"family":"Alif","given":"Sheikh Mohammad"},{"family":"Al-Jabi","given":"Samah W"},{"family":"Aljunid","given":"Syed Mohamed"},{"family":"Alkhatib","given":"Ahmad"},{"family":"Al-Marwani","given":"Sabah"},{"family":"Alomari","given":"Mahmoud A"},{"family":"Alqahtani","given":"Saleh A"},{"family":"Al-Raddadi","given":"Rajaa M Mohammad"},{"family":"Alrawashdeh","given":"Ahmad"},{"family":"Alrimawi","given":"Intima"},{"family":"Alrousan","given":"Sahel Majed"},{"family":"Alshahrani","given":"Najim Z"},{"family":"Al Ta'ani","given":"Omar"},{"family":"Al Ta'ani","given":"Zain"},{"family":"Altaany","given":"Zaid"},{"family":"Altaf","given":"Awais"},{"family":"Al Thaher","given":"Yazan"},{"family":"Alvis-Guzman","given":"Nelson"},{"family":"Al-Wardat","given":"Mohammad"},{"family":"Al-Worafi","given":"Yaser Mohammed"},{"family":"Aly","given":"Safwat"},{"family":"Aly","given":"Hany"},{"family":"Alzahrani","given":"Hosam"},{"family":"Alzoubi","given":"Abdallah"},{"family":"Alzoubi","given":"Karem H"},{"family":"Al-Zubayer","given":"Md. Akib"},{"family":"Amiri","given":"Sohrab"},{"family":"Amu","given":"Hubert"},{"family":"Amugsi","given":"Dickson A"},{"family":"Amusa","given":"Ganiyu Adeniyi"},{"family":"Ananda","given":"Roshan A"},{"family":"Ancuceanu","given":"Robert"},{"family":"Andrei","given":"Catalina Liliana"},{"family":"Anjana","given":"Ranjit Mohan"},{"family":"Ansari","given":"Sumbul"},{"family":"Ansari","given":"Mohammed Tahir"},{"family":"Antony","given":"Catherine M"},{"family":"Anuoluwa","given":"Iyadunni Adesola"},{"family":"Anuoluwa","given":"Boluwatife Stephen"},{"family":"Anvari","given":"Saeid"},{"family":"Anwar","given":"Saleha"},{"family":"Anyasodor","given":"Anayochukwu Edward"},{"family":"Apostol","given":"Geminn Louis Carace"},{"family":"Arab","given":"Juan Pablo"},{"family":"Arabloo","given":"Jalal"},{"family":"Arafat","given":"Mosab"},{"family":"Aravkin","given":"Aleksandr Y"},{"family":"Areda","given":"Demelash"},{"family":"Arifin","given":"Hidayat"},{"family":"Arkew","given":"Mesay"},{"family":"Armocida","given":"Benedetta"},{"family":"Ärnlöv","given":"Johan"},{"family":"Arooj","given":"Mahwish"},{"family":"Artamonov","given":"Anton A"},{"family":"Artanti","given":"Kurnia Dwi"},{"family":"Arumugam","given":"Ashokan"},{"family":"Asghari-Jafarabadi","given":"Mohammad"},{"family":"Ashraf","given":"Tahira"},{"family":"Asiamah-Asare","given":"Bernard Kwadwo Yeboah"},{"family":"Asrat","given":"Anemaw A"},{"family":"Astell-Burt","given":"Thomas"},{"family":"Athari","given":"Seyyed Shamsadin"},{"family":"Atorkey","given":"Prince"},{"family":"Atreya","given":"Alok"},{"family":"Aumoldaeva","given":"Zaure Maratovna"},{"family":"Awad","given":"Hamzeh"},{"family":"Awoke","given":"Mamaru Ayenew"},{"family":"Awotidebe","given":"Adedapo Wasiu"},{"family":"Aychiluhm","given":"Setognal Birara"},{"family":"Azargoonjahromi","given":"Ali"},{"family":"Azimi","given":"Amirali"},{"family":"Aziz","given":"Sadat Abdulla"},{"family":"Aziz","given":"Shahkaar"},{"family":"Azzam","given":"Ahmed Y."},{"family":"Azzolino","given":"Domenico"},{"family":"Azzopardi","given":"Peter S"},{"family":"Babashahi","given":"Mina"},{"family":"Babu","given":"Giridhara Rathnaiah"},{"family":"Badiye","given":"Ashish D"},{"family":"Bagheri","given":"Nasser"},{"family":"Bahurupi","given":"Yogesh"},{"family":"Bai","given":"Ruhai"},{"family":"Baig","given":"Atif Amin"},{"family":"Bakkannavar","given":"Shankar M"},{"family":"Balakrishnan","given":"Senthilkumar"},{"family":"Baltatu","given":"Ovidiu Constantin"},{"family":"Bam","given":"Kiran"},{"family":"Banach","given":"Maciej"},{"family":"Banik","given":"Rajon"},{"family":"Bardhan","given":"Mainak"},{"family":"Barqawi","given":"Hiba Jawdat"},{"family":"Barquera","given":"Simon"},{"family":"Barua","given":"Lingkan"},{"family":"Basharat","given":"Zarrin"},{"family":"Bashir","given":"Shahid"},{"family":"Bastan","given":"Mohammad-Mahdi"},{"family":"Basu","given":"Saurav"},{"family":"Bayat","given":"Reza"},{"family":"Bayih","given":"Mulat Tirfie"},{"family":"Beeraka","given":"Narasimha M"},{"family":"Begum","given":"Tahmina"},{"family":"Bello","given":"Umar Muhammad"},{"family":"Bello","given":"Abdulrahman Babatunde"},{"family":"Belo","given":"Luis"},{"family":"Bensenor","given":"Isabela M"},{"family":"Bergami","given":"Maria"},{"family":"Berhe","given":"Kidanemaryam"},{"family":"Berihun","given":"Abiye Assefa"},{"family":"Bhadoria","given":"Ajeet Singh"},{"family":"Bhagavathula","given":"Akshaya Srikanth"},{"family":"Bhala","given":"Neeraj"},{"family":"Bhalla","given":"Jaideep Singh"},{"family":"Bharadwaj","given":"Ravi"},{"family":"Bhardwaj","given":"Pankaj"},{"family":"Bhardwaj","given":"Nikha"},{"family":"Bhaskar","given":"Sonu"},{"family":"Bhat","given":"Ajay Nagesh"},{"family":"Bhattacharjee","given":"Priyadarshini"},{"family":"Bhattacharjee","given":"Shuvarthi"},{"family":"Bhatti","given":"Jasvinder Singh"},{"family":"Bhatti","given":"Gurjit Kaur"},{"family":"Bikov","given":"Andras"},{"family":"Bilgin","given":"Cem"},{"family":"Bisignano","given":"Catherine"},{"family":"Biswas","given":"Bijit"},{"family":"Bizzozero Peroni","given":"Bruno"},{"family":"Bjertness","given":"Espen"},{"family":"Bjørge","given":"Tone"},{"family":"Bolla","given":"Srinivasa Rao"},{"family":"Borhany","given":"Hamed"},{"family":"Bosoka","given":"Samuel Adolf"},{"family":"Bouaoud","given":"Souad"},{"family":"Boyko","given":"Edward J"},{"family":"Braithwaite","given":"Dejana"},{"family":"Brazo-Sayavera","given":"Javier"},{"family":"Brenner","given":"Hermann"},{"family":"Britton","given":"Gabrielle"},{"family":"Bryazka","given":"Dana"},{"family":"Bugiardini","given":"Raffaele"},{"family":"Bui","given":"Linh Phuong"},{"family":"Busch","given":"Felix"},{"family":"Bustanji","given":"Yasser"},{"family":"Butt","given":"Nadeem Shafique"},{"family":"Butt","given":"Zahid A"},{"family":"Calina","given":"Daniela"},{"family":"Campos","given":"Luciana Aparecida"},{"family":"Campos-Nonato","given":"Ismael"},{"family":"Cao","given":"Si"},{"family":"Cao","given":"Yin"},{"family":"Capodici","given":"Angelo"},{"family":"Carvalho","given":"Andre F"},{"family":"Carvalho","given":"Márcia"},{"family":"Catapano","given":"Alberico L"},{"family":"Cattafesta","given":"Monica"},{"family":"Cattaruzza","given":"Maria Sofia"},{"family":"Cegolon","given":"Luca"},{"family":"Cembranel","given":"Francieli"},{"family":"Cenko","given":"Edina"},{"family":"Cerin","given":"Ester"},{"family":"Cernigliaro","given":"Achille"},{"family":"Chadwick","given":"Joshua"},{"family":"Chakraborty","given":"Chiranjib"},{"family":"Chan","given":"Raymond N C"},{"family":"Chang","given":"Jung-Chen"},{"family":"Chattu","given":"Vijay Kumar"},{"family":"Chaudhary","given":"Anis Ahmad"},{"family":"Chaurasia","given":"Akhilanand"},{"family":"Chen","given":"Guangjin"},{"family":"Chen","given":"An-Tian"},{"family":"Chen","given":"Haowei"},{"family":"Cheng","given":"Esther T W"},{"family":"Chew","given":"Nicholas Ws"},{"family":"Chi","given":"Gerald"},{"family":"Chimoriya","given":"Ritesh"},{"family":"Ching","given":"Patrick R"},{"family":"Choi","given":"Dong-Woo"},{"family":"Chong","given":"Bryan"},{"family":"Chopra","given":"Hitesh"},{"family":"Chopra","given":"Shivani"},{"family":"Chou","given":"Hou In"},{"family":"Choudhari","given":"Sonali Gajanan"},{"family":"Chu","given":"Dinh-Toi"},{"family":"Chung","given":"Sunghyun"},{"family":"Chung","given":"Sheng-Chia"},{"family":"Chutiyami","given":"Muhammad"},{"family":"Cini","given":"Karly I"},{"family":"Cioffi","given":"Iolanda"},{"family":"Cogen","given":"Rebecca M"},{"family":"Collado-Mateo","given":"Daniel"},{"family":"Columbus","given":"Alyssa"},{"family":"Conrad","given":"Nathalie"},{"family":"Criqui","given":"Michael H"},{"family":"Cruz-Martins","given":"Natalia"},{"family":"Cummins","given":"Steven"},{"family":"D'Amico","given":"Emanuele"},{"family":"D'Anna","given":"Lucio"},{"family":"D'Oria","given":"Mario"},{"family":"Dadras","given":"Omid"},{"family":"Dai","given":"Xiaochen"},{"family":"Dalakoti","given":"Mayank"},{"family":"Dandona","given":"Rakhi"},{"family":"Dandona","given":"Lalit"},{"family":"Danpanichkul","given":"Pojsakorn"},{"family":"Darcho","given":"Samuel Demissie"},{"family":"Darvishi Cheshmeh Soltani","given":"Reza"},{"family":"Da Silva","given":"Alanna Gomes"},{"family":"Davletov","given":"Kairat"},{"family":"Delgado-Enciso","given":"Ivan"},{"family":"Denova-Gutiérrez","given":"Edgar"},{"family":"Derbew Molla","given":"Meseret"},{"family":"Dergaa","given":"Ismail"},{"family":"Desale","given":"Aragaw Tesfaw"},{"family":"Devanbu","given":"Vinoth Gnana Chellaiyan"},{"family":"Devegowda","given":"Devananda"},{"family":"Dewan","given":"Syed Masudur Rahman"},{"family":"Dhali","given":"Arkadeep"},{"family":"Dharmaratne","given":"Samath Dhamminda"},{"family":"Dhimal","given":"Meghnath"},{"family":"Dhungel","given":"Bibha"},{"family":"Diaz","given":"Daniel"},{"family":"Dinu","given":"Monica"},{"family":"Dodangeh","given":"Milad"},{"family":"Dohare","given":"Sushil"},{"family":"Dokova","given":"Klara Georgieva"},{"family":"Dolatkhah","given":"Neda"},{"family":"Do Prado","given":"Camila Bruneli"},{"family":"Dorostkar","given":"Fariba"},{"family":"Doshi","given":"Ojas Prakashbhai"},{"family":"Doshi","given":"Rajkumar Prakashbhai"},{"family":"Dowou","given":"Robert Kokou"},{"family":"Dsouza","given":"Viola Savy"},{"family":"Du","given":"Mi"},{"family":"Dumith","given":"Samuel C"},{"family":"Dumuid","given":"Dorothea"},{"family":"Duncan","given":"Bruce B"},{"family":"Dutta","given":"Sulagna"},{"family":"Dziedzic","given":"Arkadiusz Marian"},{"family":"Ebrahimi","given":"Alireza"},{"family":"Eftekhari","given":"Behrad"},{"family":"Eighaei Sedeh","given":"Ashkan"},{"family":"Ekholuenetale","given":"Michael"},{"family":"Eladl","given":"Mohamed Ahmed"},{"family":"El Arab","given":"Rabie Adel"},{"family":"El-Ashker","given":"Said"},{"family":"Elbarazi","given":"Iffat"},{"family":"El Bayoumy","given":"Ibrahim Farahat"},{"family":"Elgendy","given":"Islam Y"},{"family":"Elhadi","given":"Muhammed"},{"family":"El-Huneidi","given":"Waseem"},{"family":"El-Metwally","given":"Ashraf A"},{"family":"Elmonem","given":"Mohamed A"},{"family":"Elnaem","given":"Mohamed Hassan"},{"family":"Elsheikh","given":"Randa"},{"family":"Elsohaby","given":"Ibrahim"},{"family":"Eltaha","given":"Chadi"},{"family":"Emeto","given":"Theophilus I"},{"family":"Eslami","given":"Maysa"},{"family":"Eze","given":"Ugochukwu Anthony"},{"family":"Fadavian","given":"Heidar"},{"family":"Fagbamigbe","given":"Adeniyi Francis"},{"family":"Fakhradiyev","given":"Ildar Ravisovich"},{"family":"Faraji","given":"Seyed Nooreddin"},{"family":"Farinha","given":"Carla Sofia E Sá"},{"family":"Faris","given":"MoezAlIslam Ezzat Mahmoud"},{"family":"Farooque","given":"Umar"},{"family":"Farrokhpour","given":"Hossein"},{"family":"Fasusi","given":"Samuel Aanuoluwapo"},{"family":"Fazeli","given":"Patrick"},{"family":"Fazylov","given":"Timur"},{"family":"Feizkhah","given":"Alireza"},{"family":"Fekadu","given":"Ginenus"},{"family":"Feng","given":"Xiaoqi"},{"family":"Fernandes","given":"João C"},{"family":"Fernandez-Jimenez","given":"Rodrigo"},{"family":"Ferreira","given":"Nuno"},{"family":"Feyisa","given":"Bikila Regassa"},{"family":"Fischer","given":"Florian"},{"family":"Flood","given":"David"},{"family":"Foigt","given":"Nataliya A"},{"family":"Folayan","given":"Morenike Oluwatoyin"},{"family":"Fomenkov","given":"Artem Alekseevich"},{"family":"Foroumadi","given":"Roham"},{"family":"Fortuna Rodrigues","given":"Celia"},{"family":"Foschi","given":"Matteo"},{"family":"Fotouhi","given":"Maryam"},{"family":"Francis","given":"Kate Louise"},{"family":"Franklin","given":"Richard Charles"},{"family":"Gába","given":"Aleš"},{"family":"Gadanya","given":"Muktar A"},{"family":"Gaidhane","given":"Abhay Motiramji"},{"family":"Galali","given":"Yaseen"},{"family":"Gallus","given":"Silvano"},{"family":"Ganesan","given":"Balasankar"},{"family":"Gangachannaiah","given":"Shivaprakash"},{"family":"Gastélum Espinoza","given":"Wendy Paola"},{"family":"Gebregergis","given":"Miglas Welay"},{"family":"Gebremeskel","given":"Teferi Gebru"},{"family":"Getacher","given":"Lemma"},{"family":"Ghadirian","given":"Fataneh"},{"family":"Ghaffari Jolfayi","given":"Amir"},{"family":"Ghamari","given":"Seyyed-Hadi"},{"family":"Ghazy","given":"Ramy Mohamed"},{"family":"Gil","given":"Artyom Urievich"},{"family":"Gill","given":"Tiffany K"},{"family":"Gnedovskaya","given":"Elena V"},{"family":"Golechha","given":"Mahaveer"},{"family":"Golinelli","given":"Davide"},{"family":"Grivna","given":"Michal"},{"family":"Grover","given":"Ashna"},{"family":"Guan","given":"Zhongyang"},{"family":"Guan","given":"Shi-Yang"},{"family":"Guarducci","given":"Giovanni"},{"family":"Gubari","given":"Mohammed Ibrahim Mohialdeen"},{"family":"Guha","given":"Avirup"},{"family":"Gunawardane","given":"Damitha Asanga"},{"family":"Guo","given":"Zheng"},{"family":"Gupta","given":"Rajeev"},{"family":"Gupta","given":"Anish Kumar"},{"family":"Gupta","given":"Rahul"},{"family":"Gupta","given":"Sapna"},{"family":"Gupta","given":"Vivek Kumar"},{"family":"Gutiérrez-Murillo","given":"Roberth Steven"},{"family":"Guzman-Esquivel","given":"Jose"},{"family":"Hadi","given":"Najah R"},{"family":"Hadian","given":"Zahra"},{"family":"Hamdy","given":"Nadia M"},{"family":"Hameed","given":"Sajid"},{"family":"Hamidi","given":"Samer"},{"family":"Hamiduzzaman","given":"Mohammad"},{"family":"Hanif","given":"Asif"},{"family":"Hanifi","given":"Nasrin"},{"family":"Hankey","given":"Graeme J"},{"family":"Haq","given":"Allie"},{"family":"Harlianto","given":"Netanja I"},{"family":"Haro","given":"Josep Maria"},{"family":"Hartono","given":"Risky Kusuma"},{"family":"Hasan","given":"Faizul"},{"family":"Hashempur","given":"Mohammad Hashem"},{"family":"Hasnain","given":"Md Saquib"},{"family":"Hassan","given":"Amr"},{"family":"Hassan","given":"Nageeb"},{"family":"Hassanipour","given":"Soheil"},{"family":"Hassanzade Rad","given":"Afagh"},{"family":"Havmoeller","given":"Rasmus J"},{"family":"Hay","given":"Simon I"},{"family":"He","given":"Wen-Qiang"},{"family":"Hebert","given":"Jeffrey J"},{"family":"Heidari","given":"Golnaz"},{"family":"Hemmati","given":"Mehdi"},{"family":"Hiraike","given":"Yuta"},{"family":"Hoan","given":"Nguyen Quoc"},{"family":"Hoang","given":"Mai"},{"family":"Holla","given":"Ramesh"},{"family":"Hoogar","given":"Praveen"},{"family":"Hopkins","given":"Ashley Mark"},{"family":"Hossain","given":"Alamgir"},{"family":"Hosseinzadeh","given":"Hassan"},{"family":"Hostiuc","given":"Sorin"},{"family":"Hostiuc","given":"Mihaela"},{"family":"Htay","given":"Zin Wai"},{"family":"Hu","given":"Chengxi"},{"family":"Huang","given":"Junjie"},{"family":"Hundie","given":"Tsegaye Gebreyes"},{"family":"Husseiny","given":"Mohamed Ibrahim"},{"family":"Huynh","given":"Hong-Han"},{"family":"Iavicoli","given":"Ivo"},{"family":"Ibrayeva","given":"Anel"},{"family":"Ilesanmi","given":"Olayinka Stephen"},{"family":"Ilic","given":"Irena M"},{"family":"Ilic","given":"Milena D"},{"family":"Imam","given":"Mohammad Tarique"},{"family":"Inbaraj","given":"Leeberk Raja"},{"family":"Inok","given":"Arit"},{"family":"Irham","given":"Lalu Muhammad"},{"family":"Islam","given":"Md. Rabiul"},{"family":"Islam","given":"Sheikh Mohammed Shariful"},{"family":"Islam","given":"Rakibul M"},{"family":"Ismail","given":"Nahlah Elkudssiah"},{"family":"Iso","given":"Hiroyasu"},{"family":"Isola","given":"Gaetano"},{"family":"Ituka","given":"Mosimah Charles"},{"family":"Iwagami","given":"Masao"},{"family":"Iwu-Jaja","given":"Chinwe Juliana"},{"family":"Iyasu","given":"Assefa N"},{"family":"J","given":"Vinothini"},{"family":"Jacob","given":"Louis"},{"family":"Jaffar","given":"Shabbar"},{"family":"Jahrami","given":"Haitham"},{"family":"Jain","given":"Akhil"},{"family":"Jairoun","given":"Ammar Abdulrahman"},{"family":"Jakovljevic","given":"Mihajlo"},{"family":"Jalloh","given":"Mohamed Lamrana"},{"family":"Javaid","given":"Syed Sarmad"},{"family":"Jayapal","given":"Sathish Kumar"},{"family":"Jayarajah","given":"Umesh"},{"family":"Jayaram","given":"Shubha"},{"family":"Jebai","given":"Rime"},{"family":"Jebasingh","given":"Felix K"},{"family":"Jema","given":"Alelign Tasew"},{"family":"Jokar","given":"Mohammad"},{"family":"Jonas","given":"Jost B"},{"family":"Jose","given":"Jobinse"},{"family":"Joseph","given":"Nitin"},{"family":"Joshua","given":"Charity Ehimwenma"},{"family":"Jozwiak","given":"Jacek Jerzy"},{"family":"Jürisson","given":"Mikk"},{"family":"Kaambwa","given":"Billingsley"},{"family":"Kabir","given":"Ali"},{"family":"Kabir","given":"Zubair"},{"family":"Kakkar","given":"Ashish Kumar"},{"family":"Kalra","given":"Sanjay"},{"family":"Kamarajah","given":"Sivesh Kathir"},{"family":"Kanaan","given":"Saddam Fuad"},{"family":"Kankam","given":"Samuel Berchi"},{"family":"Kanmodi","given":"Kehinde Kazeem"},{"family":"Kapoor","given":"Neeti"},{"family":"Karajizadeh","given":"Mehrdad"},{"family":"Karakasis","given":"Paschalis"},{"family":"Karasneh","given":"Reema A"},{"family":"Karimi","given":"Yeganeh"},{"family":"Karimi Behnagh","given":"Arman"},{"family":"Kassebaum","given":"Nicholas J"},{"family":"Kauppila","given":"Joonas H"},{"family":"Kayode","given":"Gbenga A"},{"family":"Kehagias","given":"Dimitrios"},{"family":"Kerr","given":"Jessica A"},{"family":"Keshwani","given":"Ariz"},{"family":"Kesse-Guyot","given":"Emmanuelle"},{"family":"Keykhaei","given":"Mohammad"},{"family":"Khaing","given":"Inn Kynn"},{"family":"Khajuria","given":"Himanshu"},{"family":"Khalili","given":"Pantea"},{"family":"Khalilian","given":"Alireza"},{"family":"Khalis","given":"Mohamed"},{"family":"Khan","given":"Mohammad Jobair"},{"family":"Khan","given":"Maseer"},{"family":"Khan","given":"Nusrat"},{"family":"Khan","given":"Md Abdullah Saeed"},{"family":"Khan","given":"Ajmal"},{"family":"Khan","given":"Moien Ab"},{"family":"Khanmohammadi","given":"Shaghayegh"},{"family":"Khatab","given":"Khaled"},{"family":"Khatatbeh","given":"Moawiah Mohammad"},{"family":"Khayamzadeh","given":"Maryam"},{"family":"Khidri","given":"Feriha Fatima"},{"family":"Khorashadizadeh","given":"Fatemeh"},{"family":"Khosla","given":"Atulya Aman"},{"family":"Khosravi","given":"Sepehr"},{"family":"Khosrowjerdi","given":"Mahmood"},{"family":"Khubchandani","given":"Jagdish"},{"family":"Khusun","given":"Helda"},{"family":"Kim","given":"Jinho"},{"family":"Kim","given":"Kwanghyun"},{"family":"Kim","given":"Min Seo"},{"family":"Kim","given":"Yun Jin"},{"family":"Kimokoti","given":"Ruth W"},{"family":"Kisa","given":"Adnan"},{"family":"Kishore","given":"Ladli"},{"family":"Kivimäki","given":"Mika"},{"family":"Kokkorakis","given":"Michail"},{"family":"Kolahi","given":"Ali-Asghar"},{"family":"Kompani","given":"Farzad"},{"family":"Korzh","given":"Oleksii"},{"family":"Kostev","given":"Karel"},{"family":"Koulmane Laxminarayana","given":"Sindhura Lakshmi"},{"family":"Kretchy","given":"Irene Akwo"},{"family":"Krishan","given":"Kewal"},{"family":"Kua","given":"Chong-Han"},{"family":"Kuate Defo","given":"Barthelemy"},{"family":"Kulimbet","given":"Mukhtar"},{"family":"Kulkarni","given":"Vishnutheertha"},{"family":"Kumar","given":"Ashish"},{"family":"Kumar","given":"Vijay"},{"family":"Kumar","given":"G Anil"},{"family":"Kundu","given":"Satyajit"},{"family":"Kunutsor","given":"Setor K"},{"family":"Kurmi","given":"Om P"},{"family":"Kurniasari","given":"Maria Dyah"},{"family":"Kusuma","given":"Dian"},{"family":"Kytö","given":"Ville"},{"family":"Lacey","given":"Ben"},{"family":"Lahariya","given":"Chandrakant"},{"family":"Lai","given":"Daphne Teck Ching"},{"family":"Lai","given":"Hanpeng"},{"family":"Landires","given":"Iván"},{"family":"Larijani","given":"Bagher"},{"family":"Latief","given":"Kamaluddin"},{"family":"La Vecchia","given":"Carlo"},{"family":"Le","given":"Nhi Huu Hanh"},{"family":"Lee","given":"Munjae"},{"family":"Lee","given":"Sang-woong"},{"family":"Lee","given":"Wei-Chen"},{"family":"Lee","given":"Seung Won"},{"family":"Lee","given":"Paul H"},{"family":"Li","given":"Ming-Chieh"},{"family":"Li","given":"Yongze"},{"family":"Li","given":"Weilong"},{"family":"Lim","given":"Stephen S"},{"family":"Lin","given":"Queran"},{"family":"Lin","given":"Jialing"},{"family":"Lindholm","given":"Daniel"},{"family":"Lindstedt","given":"Paulina A"},{"family":"Liu","given":"Simin"},{"family":"Llanaj","given":"Erand"},{"family":"López-Gil","given":"José Francisco"},{"family":"Lorkowski","given":"Stefan"},{"family":"Lucchetti","given":"Giancarlo"},{"family":"Lugo","given":"Alessandra"},{"family":"Lutambi","given":"Angelina M"},{"family":"Lv","given":"Lei"},{"family":"Lytvyak","given":"Ellina"},{"family":"Ma","given":"Zheng Feei"},{"family":"Machoy","given":"Monika"},{"family":"Magaña Gómez","given":"Javier A"},{"family":"Maghbouli","given":"Nastaran"},{"family":"Mahalleh","given":"Mehrdad"},{"family":"Mahmood","given":"Nozad H"},{"family":"Mahmoudi","given":"Elham"},{"family":"Maiti","given":"Rituparna"},{"family":"Makris","given":"Konstantinos Christos C"},{"family":"Malhotra","given":"Kashish"},{"family":"Malik","given":"Ahmad Azam"},{"family":"Malik","given":"Iram"},{"family":"Malta","given":"Deborah Carvalho"},{"family":"Mamun","given":"Abdullah A"},{"family":"Mansourian","given":"Marjan"},{"family":"Manu","given":"Emmanuel"},{"family":"Marateb","given":"Hamid Reza"},{"family":"Marino","given":"Mirko"},{"family":"Marjani","given":"Abdoljalal"},{"family":"Martinez-Piedra","given":"Ramon"},{"family":"Martini","given":"Santi"},{"family":"Martorell","given":"Miquel"},{"family":"Marzouk","given":"Sammer"},{"family":"Masi","given":"Stefano"},{"family":"Masrouri","given":"Soroush"},{"family":"Mathangasinghe","given":"Yasith"},{"family":"Mathur","given":"Manu Raj"},{"family":"Matozinhos","given":"Fernanda Penido"},{"family":"Matthias","given":"Thushara"},{"family":"Mattiello","given":"Rita"},{"family":"Mazidi","given":"Mohsen"},{"family":"McPhail","given":"Steven M"},{"family":"Mechili","given":"Enkeleint A"},{"family":"Mehboob","given":"Riffat"},{"family":"Mehmood","given":"Asim"},{"family":"Mehndiratta","given":"Man Mohan"},{"family":"Mehrabani-Zeinabad","given":"Kamran"},{"family":"Mekene Meto","given":"Tesfahun"},{"family":"Meles","given":"Hadush Negash"},{"family":"Mendoza","given":"Walter"},{"family":"Menezes","given":"Ritesh G"},{"family":"Mengistie","given":"Emiru Ayalew"},{"family":"Meo","given":"Sultan Ayoub"},{"family":"Mestrovic","given":"Tomislav"},{"family":"Mettananda","given":"Sachith"},{"family":"Mettananda","given":"Chamila Dinushi Kukulege"},{"family":"Micheletti Gomide Nogueira De Sá","given":"Ana Carolina"},{"family":"Miller","given":"Ted R"},{"family":"Mini","given":"Gk"},{"family":"Mirrakhimov","given":"Erkin M"},{"family":"Misganaw","given":"Awoke"},{"family":"Mittal","given":"Madhukar"},{"family":"Mohamed","given":"Ahmed Ismail"},{"family":"Mohamed","given":"Mona Gamal"},{"family":"Mohamed","given":"Nouh Saad"},{"family":"Mohamed","given":"Jama"},{"family":"Mohammad","given":"Taj"},{"family":"Mohammad-Alizadeh-Charandabi","given":"Sakineh"},{"family":"Mohammadzadeh","given":"Ibrahim"},{"family":"Mohammed","given":"Shafiu"},{"family":"Mohammed","given":"Mustapha"},{"family":"Mokdad","given":"Ali H"},{"family":"Mondello","given":"Stefania"},{"family":"Moni","given":"Mohammad Ali"},{"family":"Moradi","given":"Maryam"},{"family":"Morrison","given":"Shane Douglas"},{"family":"Mossialos","given":"Elias"},{"family":"Motappa","given":"Rohith"},{"family":"Mulita","given":"Francesk"},{"family":"Mullany","given":"Erin C"},{"family":"Munkhsaikhan","given":"Yanjinlkham"},{"family":"Murillo-Zamora","given":"Efren"},{"family":"Musa","given":"Sani"},{"family":"Mustafa","given":"Ghulam"},{"family":"Muthu","given":"Sathish"},{"family":"Myung","given":"Woojae"},{"family":"Naghavi","given":"Pirouz"},{"family":"Naghavi","given":"Mohsen"},{"family":"Naik","given":"Ganesh R"},{"family":"Naik","given":"Hiten"},{"family":"Nambi","given":"Gopal"},{"family":"Nangia","given":"Vinay"},{"family":"Nansseu","given":"Jobert Richie"},{"family":"Nascimento","given":"Gustavo G"},{"family":"Nassar","given":"Mahmoud"},{"family":"Natto","given":"Zuhair S"},{"family":"Nauman","given":"Javaid"},{"family":"Naureen","given":"Zakira"},{"family":"Navaratna","given":"Samidi Nirasha Kumari"},{"family":"Nayak","given":"Biswa Prakash"},{"family":"Nayon","given":"Md Fahad Shahariar"},{"family":"Nazri-Panjaki","given":"Athare"},{"family":"Negahdary","given":"Masoud"},{"family":"Negoi","given":"Ruxandra Irina"},{"family":"Negoi","given":"Ionut"},{"family":"Nejadghaderi","given":"Seyed Aria"},{"family":"Nematollahi","given":"Soroush"},{"family":"Nepal","given":"Samata"},{"family":"Netsere","given":"Henok Biresaw"},{"family":"Ngunjiri","given":"Josephine W"},{"family":"Nguyen","given":"Cuong Tat"},{"family":"Nguyen","given":"Dang"},{"family":"Nguyen","given":"Trang"},{"family":"Nguyen","given":"Duc Hoang"},{"family":"Nguyen","given":"Phuong The"},{"family":"Niazi","given":"Robina Khan"},{"family":"Nieddu","given":"Luciano"},{"family":"Niknam","given":"Mahdieh"},{"family":"Nikoobar","given":"Ali"},{"family":"Nkeck","given":"Jan Rene"},{"family":"Nomura","given":"Shuhei"},{"family":"Noor","given":"Syed Toukir Ahmed"},{"family":"Noreen","given":"Mamoona"},{"family":"Noroozi","given":"Masoud"},{"literal":"Nawsherwan"},{"family":"Noubiap","given":"Jean Jacques"},{"family":"Nouri","given":"Mehran"},{"family":"Nri-Ezedi","given":"Chisom Adaobi"},{"family":"Nugen","given":"Fred"},{"family":"Nurrika","given":"Dieta"},{"family":"Nzoputam","given":"Ogochukwu Janet"},{"family":"O'Connell","given":"Erin M"},{"family":"Oancea","given":"Bogdan"},{"family":"Oguta","given":"James Odhiambo"},{"family":"Oh","given":"In-Hwan"},{"family":"Okati-Aliabad","given":"Hassan"},{"family":"Okekunle","given":"Akinkunmi Paul"},{"family":"Okonji","given":"Osaretin Christabel"},{"family":"Olagunju","given":"Andrew T"},{"family":"Olalusi","given":"Oladotun Victor"},{"family":"Olanrewaju","given":"Timothy Olusegun"},{"family":"Olasupo","given":"Omotola O"},{"family":"Oliveira","given":"Gláucia Maria Moraes"},{"family":"Oliveira","given":"Arão Belitardo"},{"family":"Oluwafemi","given":"Yinka Doris"},{"family":"Omar","given":"Hany A"},{"family":"Omar Bali","given":"Ahmed"},{"family":"Opitz","given":"Marcel"},{"family":"Ordak","given":"Michal"},{"family":"Ortiz","given":"Alberto"},{"family":"Osborne","given":"Augustus"},{"family":"Osman","given":"Wael M S"},{"family":"Osman","given":"Alaa A M"},{"family":"Osuagwu","given":"Uchechukwu Levi"},{"family":"Otoiu","given":"Adrian"},{"family":"Oumer","given":"Abdu"},{"family":"Ouyahia","given":"Amel"},{"family":"Owolabi","given":"Mayowa O"},{"family":"Owusu","given":"Irene Amoakoh"},{"family":"Oyebola","given":"Kolapo"},{"family":"P A","given":"Mahesh Padukudru"},{"family":"Padron-Monedero","given":"Alicia"},{"family":"Padubidri","given":"Jagadish Rao"},{"family":"Panda","given":"Sujogya Kumar"},{"family":"Panda-Jonas","given":"Songhomitra"},{"family":"Pandey","given":"Anamika"},{"family":"Pandi-Perumal","given":"Seithikurippu R"},{"family":"Pardhan","given":"Shahina"},{"family":"Parekh","given":"Utsav"},{"family":"Parija","given":"Pragyan Paramita"},{"family":"Parikh","given":"Romil R"},{"family":"Park","given":"Eun-Cheol"},{"family":"Pashaei","given":"Ava"},{"family":"Passera","given":"Roberto"},{"family":"Patel","given":"Hemal M"},{"family":"Pathan","given":"Aslam Ramjan"},{"family":"Patoulias","given":"Dimitrios"},{"family":"Patton","given":"George C"},{"family":"Paudel","given":"Susan"},{"family":"Pazoki Toroudi","given":"Hamidreza"},{"family":"Pensato","given":"Umberto"},{"family":"Peprah","given":"Prince"},{"family":"Pereira","given":"Gavin"},{"family":"Pereira","given":"Marcos"},{"family":"Perianayagam","given":"Arokiasamy"},{"family":"Perico","given":"Norberto"},{"family":"Perna","given":"Simone"},{"family":"Petcu","given":"Ionela-Roxana"},{"family":"Petermann-Rocha","given":"Fanny Emily"},{"family":"Pham","given":"Hoang Nhat"},{"family":"Polibin","given":"Roman V"},{"family":"Popovic","given":"Djordje S"},{"family":"Pourghazi","given":"Farzad"},{"family":"Pourshams","given":"Akram"},{"family":"Pradhan","given":"Jalandhar"},{"family":"Pradhan","given":"Pranil Man Singh"},{"family":"Prasad","given":"Manya"},{"family":"Prashant","given":"Akila"},{"family":"Prates","given":"Elton Junio Sady"},{"family":"Putra","given":"I Gusti Ngurah Edi"},{"family":"Puvvula","given":"Jagadeesh"},{"family":"Qattea","given":"Ibrahim"},{"family":"Qiu","given":"Jia-Yong"},{"family":"Radhakrishnan","given":"Venkatraman"},{"family":"Radojčić","given":"Maja R"},{"family":"Raggi","given":"Catalina"},{"family":"Rahman","given":"Muhammad Aziz"},{"family":"Rahman","given":"Fryad Majeed"},{"family":"Rahman","given":"Mohammad Hifz Ur"},{"family":"Rahman","given":"Mosiur"},{"family":"Rahmani","given":"Saeed"},{"family":"Rahmanian","given":"Vahid"},{"family":"Rahmawaty","given":"Setyaningrum"},{"family":"Rai","given":"Rajesh Kumar"},{"family":"Raimondo","given":"Ivano"},{"family":"Raj","given":"Jeffrey Pradeep"},{"family":"Rajput","given":"Prashant"},{"family":"Ramadan","given":"Mahmoud Mohammed"},{"family":"Ramasamy","given":"Chitra"},{"family":"Ramasamy","given":"Shakthi Kumaran"},{"family":"Ramazanu","given":"Sheena"},{"family":"Rana","given":"Kritika"},{"family":"Ranabhat","given":"Chhabi Lal"},{"family":"Rao","given":"Mithun"},{"family":"Rao","given":"Sowmya J"},{"family":"Rashedi","given":"Sina"},{"family":"Rashidi","given":"Mohammad-Mahdi"},{"family":"Rasouli-Saravani","given":"Ashkan"},{"family":"Rathish","given":"Devarajan"},{"family":"Rauniyar","given":"Santosh Kumar"},{"family":"Rautalin","given":"Ilari"},{"family":"Rawaf","given":"David Laith"},{"family":"Rawaf","given":"Salman"},{"family":"Redwan","given":"Elrashdy M. Moustafa Mohamed"},{"family":"Rege","given":"Sanika"},{"family":"Reis-Mendes","given":"Ana"},{"family":"Remuzzi","given":"Giuseppe"},{"family":"Rezaei","given":"Nazila"},{"family":"Rezaeian","given":"Mohsen"},{"family":"Rezazadeh","given":"Hossein"},{"family":"Rhee","given":"Taeho Gregory"},{"family":"Rocha-Gomes","given":"João Rocha"},{"family":"Rodrigues","given":"Mónica"},{"family":"Rodrigues Da Silva","given":"Thales Philipe"},{"family":"Rodriguez","given":"Jefferson Antonio Buendia"},{"family":"Roever","given":"Leonardo"},{"family":"Rohloff","given":"Peter"},{"family":"Romadlon","given":"Debby Syahru"},{"family":"Rony","given":"Moustaq Karim Khan"},{"family":"Roshandel","given":"Gholamreza"},{"family":"Rout","given":"Himanshu Sekhar"},{"family":"Roy","given":"Nitai"},{"family":"Rwegerera","given":"Godfrey M"},{"family":"Saad","given":"Aly M A"},{"family":"Saber-Ayad","given":"Maha Mohamed"},{"family":"Sabet","given":"Cameron John"},{"family":"Sadarangani","given":"Kabir P"},{"family":"Saddik","given":"Basema Ahmad"},{"family":"Sadeghi","given":"Masoumeh"},{"family":"Saeb","given":"Mohammad Reza"},{"family":"Saeed","given":"Umar"},{"family":"Saeedi Moghaddam","given":"Sahar"},{"family":"Safi","given":"Sher Zaman"},{"family":"Saghazadeh","given":"Amene"},{"family":"Sagoe","given":"Dominic"},{"family":"Sahebkar","given":"Amirhossein"},{"family":"Saheb Sharif-Askari","given":"Fatemeh"},{"family":"Sahoo","given":"Soumya Swaroop"},{"family":"Sajid","given":"Mirza Rizwan"},{"family":"Salaroli","given":"Luciane B"},{"family":"Saleh","given":"Mohamed A"},{"family":"Salem","given":"Marwa Rashad"},{"family":"Salimi","given":"Sohrab"},{"family":"Samodra","given":"Yoseph Leonardo"},{"family":"Samuel","given":"Vijaya Paul"},{"family":"Samy","given":"Abdallah M"},{"family":"Santhekadur","given":"Prasanna K"},{"family":"Santric-Milicevic","given":"Milena M"},{"family":"Saqib","given":"Muhammad Arif Nadeem"},{"family":"Saraswati","given":"Ushasi"},{"family":"Saravanan","given":"Aswini"},{"family":"Sari","given":"Dianis Wulan"},{"family":"Sarkar","given":"Tanmay"},{"family":"Sarmadi","given":"Mohammad"},{"family":"Sarode","given":"Sachin C"},{"family":"Sarode","given":"Gargi Sachin"},{"family":"Sassano","given":"Michele"},{"family":"Sathian","given":"Brijesh"},{"family":"Saya","given":"Ganesh Kumar"},{"family":"Schinckus","given":"Christophe"},{"family":"Schmidt","given":"Maria Inês"},{"family":"Schuermans","given":"Art"},{"family":"Schutte","given":"Aletta Elisabeth"},{"family":"Sebastian","given":"Sneha Annie"},{"family":"Selvaraj","given":"Siddharthan"},{"family":"Semreen","given":"Mohammad H"},{"family":"Sendekie","given":"Ashenafi Kibret"},{"family":"Sengupta","given":"Pallav"},{"family":"Senol","given":"Yigit Can"},{"family":"Senthilkumaran","given":"Subramanian"},{"family":"Sepanlou","given":"Sadaf G"},{"family":"Sethi","given":"Yashendra"},{"family":"Seylani","given":"Allen"},{"family":"Shafie","given":"Mahan"},{"family":"Shah","given":"Sweni"},{"family":"Shah","given":"Syed Mahboob"},{"family":"Shahid","given":"Samiah"},{"family":"Shahrahmani","given":"Fatemeh"},{"family":"Shahwan","given":"Moyad Jamal"},{"family":"Sham","given":"Sunder"},{"family":"Shamim","given":"Muhammad Aaqib"},{"family":"Shams-Beyranvand","given":"Mehran"},{"family":"Shamsi","given":"Anas"},{"family":"Shamsutdinova","given":"Alfiya"},{"family":"Shan","given":"Dan"},{"family":"Shanawaz","given":"Mohd"},{"family":"Shannawaz","given":"Mohammed"},{"family":"Sharath","given":"Medha"},{"family":"Sharfaei","given":"Sadaf"},{"family":"Sharifan","given":"Amin"},{"family":"Sharma","given":"Anupam"},{"family":"Sharma","given":"Ujjawal"},{"family":"Sharma","given":"Manoj"},{"family":"Sharma","given":"Vishal"},{"family":"Sheida","given":"Fateme"},{"family":"Sheikhy","given":"Ali"},{"family":"Shenoy","given":"Rekha Raghuveer"},{"family":"Shetty","given":"Pavanchand H"},{"family":"Shibuya","given":"Kenji"},{"family":"Shiferaw","given":"Desalegn"},{"family":"Shin","given":"Min-Jeong"},{"family":"Shiri","given":"Rahman"},{"family":"Shittu","given":"Aminu"},{"family":"Shool","given":"Sina"},{"family":"Shorofi","given":"Seyed Afshin"},{"family":"Shrestha","given":"Rajan"},{"family":"Shuval","given":"Kerem"},{"family":"Si","given":"Yafei"},{"family":"Sibuyi","given":"Nicole R S"},{"family":"Siddig","given":"Emmanuel Edwar"},{"family":"Siddiqi","given":"Ahmed Kamal"},{"family":"Sikdar","given":"Mithun"},{"family":"Silva","given":"Diego Augusto Santos"},{"family":"Silva","given":"Luís Manuel Lopes Rodrigues"},{"family":"Singh","given":"Surjit"},{"family":"Singh","given":"Jasvinder A"},{"family":"Singh","given":"Amit"},{"family":"Singh","given":"Harmanjit"},{"family":"Singh","given":"Baljinder"},{"family":"Singh","given":"Kalpana"},{"family":"Singh","given":"Puneetpal"},{"family":"Skryabin","given":"Valentin Yurievich"},{"family":"Skryabina","given":"Anna Aleksandrovna"},{"family":"Smith","given":"Amanda E"},{"family":"Smith","given":"Georgia"},{"family":"Soliman","given":"Sameh S M"},{"family":"Soraneh","given":"Soroush"},{"family":"Sorensen","given":"Reed J D"},{"family":"Spartalis","given":"Michael"},{"family":"Srichawla","given":"Bahadar S"},{"family":"Stachteas","given":"Panagiotis"},{"family":"Starodubova","given":"Antonina V"},{"family":"Straif","given":"Kurt"},{"family":"Stubbs","given":"Pete"},{"family":"Subramaniyan","given":"Vetriselvan"},{"family":"Suleiman Odidi","given":"Muritala Odidi"},{"family":"Sulkowski","given":"Aleksander"},{"family":"Sultan Meo","given":"Anusha"},{"family":"Sun","given":"Jing"},{"family":"Sun","given":"Zhong"},{"family":"Sunny","given":"Sumam"},{"family":"Swain","given":"Chandan Kumar"},{"family":"Szarpak","given":"Lukasz"},{"family":"Tabarés-Seisdedos","given":"Rafael"},{"family":"Tabatabaei","given":"Seyyed Mohammad"},{"family":"Tabatabaei","given":"Fatemeh Sadat"},{"family":"Tabatabaei Malazy","given":"Ozra"},{"family":"Tabatabai","given":"Shima"},{"family":"Tabche","given":"Celine"},{"family":"Tabish","given":"Mohammad"},{"family":"Taiba","given":"Jabeen"},{"family":"Talic","given":"Stella"},{"family":"Tampa","given":"Mircea"},{"family":"Tamuzi","given":"Jacques Lukenze"},{"family":"Tan","given":"Ker-Kan"},{"family":"Tanwar","given":"Manoj"},{"family":"Tariq","given":"Saba"},{"family":"Tat","given":"Nathan Y"},{"family":"Tavangar","given":"Seyed Mohammad"},{"family":"Temsah","given":"Reem Mohamad Hani"},{"family":"Temsah","given":"Mohamad-Hani"},{"family":"Teramoto","given":"Masayuki"},{"family":"Terefa","given":"Dufera Rikitu"},{"family":"Tewari","given":"Jay"},{"family":"Thapar","given":"Rekha"},{"family":"Ticoalu","given":"Jansje Henny Vera"},{"family":"Tiruneh","given":"Sofonyas Abebaw"},{"family":"Tiruye","given":"Tenaw Yimer"},{"family":"Titova","given":"Mariya Vladimirovna"},{"family":"Tiwari","given":"Krishna"},{"family":"Tomo","given":"Sojit"},{"family":"Tonelli","given":"Marcello"},{"family":"Touvier","given":"Mathilde"},{"family":"Tovani-Palone","given":"Marcos Roberto"},{"family":"Trabelsi","given":"Khaled"},{"family":"Tran","given":"Mai Thi Ngoc"},{"family":"Tran","given":"Thang Huu"},{"family":"Tran Minh Duc","given":"Nguyen"},{"family":"Trico","given":"Domenico"},{"family":"Trihandini","given":"Indang"},{"family":"Truyen","given":"Thien Tan Tri Tai"},{"family":"Tsatsakis","given":"Aristidis"},{"family":"Tse","given":"Gary"},{"family":"Tsegay","given":"Guesh Mebrahtom"},{"family":"Tumurkhuu","given":"Munkhtuya"},{"family":"T Y","given":"Sree Sudha"},{"family":"Tye","given":"Sok Cin"},{"family":"Tyrovolas","given":"Stefanos"},{"family":"Udoakang","given":"Aniefiok John"},{"family":"Ullah","given":"Shahid"},{"family":"Ullah","given":"Saeed"},{"family":"Umair","given":"Muhammad"},{"family":"Umar","given":"Umar Muhammad"},{"family":"Umar","given":"Lawan"},{"family":"Unim","given":"Brigid"},{"family":"Upadhya","given":"Dinesh"},{"family":"Upadhyay","given":"Era"},{"family":"Usman","given":"Jibrin Sammani"},{"family":"Ustunsoz","given":"Damla"},{"family":"Vaithinathan","given":"Asokan Govindaraj"},{"family":"Van Den Eynde","given":"Jef"},{"family":"Varghese","given":"Joe"},{"family":"Vasankari","given":"Tommi Juhani"},{"family":"Vaziri","given":"Siavash"},{"family":"Vellingiri","given":"Balachandar"},{"family":"Venketasubramanian","given":"Narayanaswamy"},{"family":"Verma","given":"Madhur"},{"family":"Verma","given":"Anjul"},{"family":"Verras","given":"Georgios-Ioannis"},{"family":"Vidale","given":"Simone"},{"family":"Villalobos-Daniel","given":"Victor E"},{"family":"Vinayak","given":"Manish"},{"family":"Vlassov","given":"Vasily"},{"family":"Vos","given":"Theo"},{"family":"Vukovic","given":"Rade"},{"family":"Wahidin","given":"Mugi"},{"family":"Wahiduzzaman","given":"Mohammad"},{"family":"Wang","given":"Yanzhong"},{"family":"Wang","given":"Shu"},{"family":"Wang","given":"Cong"},{"family":"Wang","given":"Xingxin"},{"family":"Wanjau","given":"Mary Njeri"},{"family":"Waqar","given":"Ahmed Bilal"},{"family":"Waqas","given":"Muhammad"},{"family":"Weerakoon","given":"Kosala Gayan"},{"family":"Wei","given":"Fei-Long"},{"family":"Wicaksana","given":"Anggi Lukman"},{"family":"Wickramasinghe","given":"Dakshitha Praneeth"},{"family":"Willeit","given":"Peter"},{"family":"Wojewodzic","given":"Marcin W"},{"family":"Wonde","given":"Tewodros Eshete"},{"family":"Wongsin","given":"Utoomporn"},{"family":"Xia","given":"Qing"},{"family":"Xie","given":"Wanqing"},{"family":"Xu","given":"Suowen"},{"family":"Xu","given":"Xiaoyue"},{"family":"Yamagishi","given":"Kazumasa"},{"family":"Yano","given":"Yuichiro"},{"family":"Yao","given":"Haiqiang"},{"family":"Yarahmadi","given":"Amir"},{"family":"Yaribeygi","given":"Habib"},{"family":"Yesuf","given":"Subah Abderehim"},{"family":"Yin","given":"Dehui"},{"family":"Yon","given":"Dong Keon"},{"family":"Yonemoto","given":"Naohiro"},{"family":"Yu","given":"Chuanhua"},{"family":"Yuan","given":"Chun-Wei"},{"family":"Yuce","given":"Deniz"},{"family":"Yunusa","given":"Ismaeel"},{"family":"Zaman","given":"Sojib Bin"},{"family":"Zare","given":"Iman"},{"family":"Zastrozhin","given":"Michael"},{"family":"Zeariya","given":"Mohammed G M"},{"family":"Zhang","given":"Xiaoyi"},{"family":"Zhang","given":"Liqun"},{"family":"Zhang","given":"Jingya"},{"family":"Zhang","given":"Zhiqiang"},{"family":"Zhang","given":"Casper J P"},{"family":"Zheng","given":"David X"},{"family":"Zheng","given":"Peng"},{"family":"Zhong","given":"Anthony"},{"family":"Zhong","given":"Claire Chenwen"},{"family":"Zhou","given":"Jiayan"},{"family":"Zhu","given":"Bin"},{"family":"Zhumagaliuly","given":"Abzal"},{"family":"Zielińska","given":"Magdalena"},{"family":"Zoghi","given":"Ghazal"},{"family":"Zou","given":"Zhiyong"},{"family":"Zweck","given":"Elric"},{"family":"Zyoud","given":"Sa'ed H"},{"family":"Murray","given":"Christopher J L"},{"family":"Sawyer","given":"Susan M"},{"family":"Vollset","given":"Stein Emil"}],"issued":{"date-parts":[["2025",3]]}}}],"schema":"https://github.com/citation-style-language/schema/raw/master/csl-citation.json"} </w:instrText>
      </w:r>
      <w:r w:rsidRPr="00735FCE">
        <w:fldChar w:fldCharType="separate"/>
      </w:r>
      <w:r w:rsidR="00281437" w:rsidRPr="00281437">
        <w:rPr>
          <w:vertAlign w:val="superscript"/>
        </w:rPr>
        <w:t>25</w:t>
      </w:r>
      <w:r w:rsidRPr="00735FCE">
        <w:fldChar w:fldCharType="end"/>
      </w:r>
      <w:r w:rsidRPr="00735FCE">
        <w:t xml:space="preserve">. High-income super-regions showed the </w:t>
      </w:r>
      <w:r>
        <w:t>smallest</w:t>
      </w:r>
      <w:r w:rsidRPr="00735FCE">
        <w:t xml:space="preserve"> difference in obesity prevalence between males and females</w:t>
      </w:r>
      <w:r>
        <w:t xml:space="preserve"> </w:t>
      </w:r>
      <w:r w:rsidRPr="00735FCE">
        <w:fldChar w:fldCharType="begin"/>
      </w:r>
      <w:r w:rsidR="00281437">
        <w:instrText xml:space="preserve"> ADDIN ZOTERO_ITEM CSL_CITATION {"citationID":"aEI4Xlj4","properties":{"formattedCitation":"\\super 25\\nosupersub{}","plainCitation":"25","noteIndex":0},"citationItems":[{"id":3099,"uris":["http://zotero.org/users/9622455/items/FR93TNFR"],"itemData":{"id":3099,"type":"article-journal","abstract":"Background Overweight and obesity is a global epidemic. Forecasting future trajectories of the epidemic is crucial for providing an evidence base for policy change. In this study, we examine the historical trends of the global, regional, and national prevalence of adult overweight and obesity from 1990 to 2021 and forecast the future trajectories to 2050.","container-title":"The Lancet","DOI":"10.1016/S0140-6736(25)00355-1","ISSN":"01406736","issue":"10481","journalAbbreviation":"The Lancet","language":"en","page":"813-838","source":"DOI.org (Crossref)","title":"Global, regional, and national prevalence of adult overweight and obesity, 1990–2021, with forecasts to 2050: a forecasting study for the Global Burden of Disease Study 2021","title-short":"Global, regional, and national prevalence of adult overweight and obesity, 1990–2021, with forecasts to 2050","volume":"405","author":[{"family":"Ng","given":"Marie"},{"family":"Gakidou","given":"Emmanuela"},{"family":"Lo","given":"Justin"},{"family":"Abate","given":"Yohannes Habtegiorgis"},{"family":"Abbafati","given":"Cristiana"},{"family":"Abbas","given":"Nasir"},{"family":"Abbasian","given":"Mohammadreza"},{"family":"Abd ElHafeez","given":"Samar"},{"family":"Abdel-Rahman","given":"Wael M"},{"family":"Abd-Elsalam","given":"Sherief"},{"family":"Abdollahi","given":"Arash"},{"family":"Abdoun","given":"Meriem"},{"family":"Abdulah","given":"Deldar Morad"},{"family":"Abdulkader","given":"Rizwan Suliankatchi"},{"family":"Abdullahi","given":"Auwal"},{"family":"Abedi","given":"Armita"},{"family":"Abeywickrama","given":"Hansani Madushika"},{"family":"Abie","given":"Alemwork"},{"family":"Aboagye","given":"Richard Gyan"},{"family":"Abohashem","given":"Shady"},{"family":"Abtahi","given":"Dariush"},{"family":"Abualruz","given":"Hasan"},{"family":"Abubakar","given":"Bilyaminu"},{"family":"Abu Farha","given":"Rana Kamal"},{"family":"Abukhadijah","given":"Hana J"},{"family":"Abu-Rmeileh","given":"Niveen Me"},{"family":"Aburuz","given":"Salahdein"},{"family":"Abu-Zaid","given":"Ahmed"},{"family":"Adams","given":"Lisa C"},{"family":"Adane","given":"Mesafint Molla"},{"family":"Addo","given":"Isaac Yeboah"},{"family":"Adedokun","given":"Kamoru Ademola"},{"family":"Adegoke","given":"Nurudeen A"},{"family":"Adepoju","given":"Abiola Victor Victor"},{"family":"Adesola","given":"Ridwan Olamilekan"},{"family":"Adeyeoluwa","given":"Temitayo Esther"},{"family":"Adiga","given":"Usha"},{"family":"Adnani","given":"Qorinah Estiningtyas Sakilah"},{"family":"Afaghi","given":"Siamak"},{"family":"Afzal","given":"Saira"},{"family":"Afzal","given":"Muhammad Sohail"},{"family":"Agampodi","given":"Thilini Chanchala"},{"family":"Aghamiri","given":"Shahin"},{"family":"Agostinis Sobrinho","given":"César"},{"family":"Agyemang-Duah","given":"Williams"},{"family":"Ahlstrom","given":"Austin J"},{"family":"Ahmad","given":"Danish"},{"family":"Ahmad","given":"Sajjad"},{"family":"Ahmad","given":"Aqeel"},{"family":"Ahmad","given":"Muayyad M"},{"family":"Ahmad","given":"Fuzail"},{"family":"Ahmad","given":"Noah"},{"family":"Ahmed","given":"Haroon"},{"family":"Ahmed","given":"Muktar Beshir"},{"family":"Ahmed","given":"Ayman"},{"family":"Ahmed","given":"Meqdad Saleh"},{"family":"Ahmed","given":"Mehrunnisha Sharif"},{"family":"Ahmed","given":"Syed Anees"},{"family":"Ajami","given":"Marjan"},{"family":"Akhtar","given":"Samina"},{"family":"Akkaif","given":"Mohammed Ahmed"},{"family":"Akrami","given":"Ashley E"},{"family":"Alalwan","given":"Tariq A"},{"family":"Al-Aly","given":"Ziyad"},{"family":"Alam","given":"Khurshid"},{"family":"Al-amer","given":"Rasmieh Mustafa"},{"family":"Alansari","given":"Amani"},{"family":"Al-Ashwal","given":"Fahmi Y"},{"family":"Albashtawy","given":"Mohammed"},{"family":"Aldhaleei","given":"Wafa A"},{"family":"Alemayehu","given":"Bezawit Abeje"},{"family":"Algammal","given":"Abdelazeem M"},{"family":"Alhabib","given":"Khalid F"},{"family":"Al Hamad","given":"Hanadi"},{"family":"Al Hasan","given":"Syed Mahfuz"},{"family":"Alhuwail","given":"Dari"},{"family":"Ali","given":"Rafat"},{"family":"Ali","given":"Abid"},{"family":"Ali","given":"Waad"},{"family":"Ali","given":"Mohammed Usman"},{"family":"Alif","given":"Sheikh Mohammad"},{"family":"Al-Jabi","given":"Samah W"},{"family":"Aljunid","given":"Syed Mohamed"},{"family":"Alkhatib","given":"Ahmad"},{"family":"Al-Marwani","given":"Sabah"},{"family":"Alomari","given":"Mahmoud A"},{"family":"Alqahtani","given":"Saleh A"},{"family":"Al-Raddadi","given":"Rajaa M Mohammad"},{"family":"Alrawashdeh","given":"Ahmad"},{"family":"Alrimawi","given":"Intima"},{"family":"Alrousan","given":"Sahel Majed"},{"family":"Alshahrani","given":"Najim Z"},{"family":"Al Ta'ani","given":"Omar"},{"family":"Al Ta'ani","given":"Zain"},{"family":"Altaany","given":"Zaid"},{"family":"Altaf","given":"Awais"},{"family":"Al Thaher","given":"Yazan"},{"family":"Alvis-Guzman","given":"Nelson"},{"family":"Al-Wardat","given":"Mohammad"},{"family":"Al-Worafi","given":"Yaser Mohammed"},{"family":"Aly","given":"Safwat"},{"family":"Aly","given":"Hany"},{"family":"Alzahrani","given":"Hosam"},{"family":"Alzoubi","given":"Abdallah"},{"family":"Alzoubi","given":"Karem H"},{"family":"Al-Zubayer","given":"Md. Akib"},{"family":"Amiri","given":"Sohrab"},{"family":"Amu","given":"Hubert"},{"family":"Amugsi","given":"Dickson A"},{"family":"Amusa","given":"Ganiyu Adeniyi"},{"family":"Ananda","given":"Roshan A"},{"family":"Ancuceanu","given":"Robert"},{"family":"Andrei","given":"Catalina Liliana"},{"family":"Anjana","given":"Ranjit Mohan"},{"family":"Ansari","given":"Sumbul"},{"family":"Ansari","given":"Mohammed Tahir"},{"family":"Antony","given":"Catherine M"},{"family":"Anuoluwa","given":"Iyadunni Adesola"},{"family":"Anuoluwa","given":"Boluwatife Stephen"},{"family":"Anvari","given":"Saeid"},{"family":"Anwar","given":"Saleha"},{"family":"Anyasodor","given":"Anayochukwu Edward"},{"family":"Apostol","given":"Geminn Louis Carace"},{"family":"Arab","given":"Juan Pablo"},{"family":"Arabloo","given":"Jalal"},{"family":"Arafat","given":"Mosab"},{"family":"Aravkin","given":"Aleksandr Y"},{"family":"Areda","given":"Demelash"},{"family":"Arifin","given":"Hidayat"},{"family":"Arkew","given":"Mesay"},{"family":"Armocida","given":"Benedetta"},{"family":"Ärnlöv","given":"Johan"},{"family":"Arooj","given":"Mahwish"},{"family":"Artamonov","given":"Anton A"},{"family":"Artanti","given":"Kurnia Dwi"},{"family":"Arumugam","given":"Ashokan"},{"family":"Asghari-Jafarabadi","given":"Mohammad"},{"family":"Ashraf","given":"Tahira"},{"family":"Asiamah-Asare","given":"Bernard Kwadwo Yeboah"},{"family":"Asrat","given":"Anemaw A"},{"family":"Astell-Burt","given":"Thomas"},{"family":"Athari","given":"Seyyed Shamsadin"},{"family":"Atorkey","given":"Prince"},{"family":"Atreya","given":"Alok"},{"family":"Aumoldaeva","given":"Zaure Maratovna"},{"family":"Awad","given":"Hamzeh"},{"family":"Awoke","given":"Mamaru Ayenew"},{"family":"Awotidebe","given":"Adedapo Wasiu"},{"family":"Aychiluhm","given":"Setognal Birara"},{"family":"Azargoonjahromi","given":"Ali"},{"family":"Azimi","given":"Amirali"},{"family":"Aziz","given":"Sadat Abdulla"},{"family":"Aziz","given":"Shahkaar"},{"family":"Azzam","given":"Ahmed Y."},{"family":"Azzolino","given":"Domenico"},{"family":"Azzopardi","given":"Peter S"},{"family":"Babashahi","given":"Mina"},{"family":"Babu","given":"Giridhara Rathnaiah"},{"family":"Badiye","given":"Ashish D"},{"family":"Bagheri","given":"Nasser"},{"family":"Bahurupi","given":"Yogesh"},{"family":"Bai","given":"Ruhai"},{"family":"Baig","given":"Atif Amin"},{"family":"Bakkannavar","given":"Shankar M"},{"family":"Balakrishnan","given":"Senthilkumar"},{"family":"Baltatu","given":"Ovidiu Constantin"},{"family":"Bam","given":"Kiran"},{"family":"Banach","given":"Maciej"},{"family":"Banik","given":"Rajon"},{"family":"Bardhan","given":"Mainak"},{"family":"Barqawi","given":"Hiba Jawdat"},{"family":"Barquera","given":"Simon"},{"family":"Barua","given":"Lingkan"},{"family":"Basharat","given":"Zarrin"},{"family":"Bashir","given":"Shahid"},{"family":"Bastan","given":"Mohammad-Mahdi"},{"family":"Basu","given":"Saurav"},{"family":"Bayat","given":"Reza"},{"family":"Bayih","given":"Mulat Tirfie"},{"family":"Beeraka","given":"Narasimha M"},{"family":"Begum","given":"Tahmina"},{"family":"Bello","given":"Umar Muhammad"},{"family":"Bello","given":"Abdulrahman Babatunde"},{"family":"Belo","given":"Luis"},{"family":"Bensenor","given":"Isabela M"},{"family":"Bergami","given":"Maria"},{"family":"Berhe","given":"Kidanemaryam"},{"family":"Berihun","given":"Abiye Assefa"},{"family":"Bhadoria","given":"Ajeet Singh"},{"family":"Bhagavathula","given":"Akshaya Srikanth"},{"family":"Bhala","given":"Neeraj"},{"family":"Bhalla","given":"Jaideep Singh"},{"family":"Bharadwaj","given":"Ravi"},{"family":"Bhardwaj","given":"Pankaj"},{"family":"Bhardwaj","given":"Nikha"},{"family":"Bhaskar","given":"Sonu"},{"family":"Bhat","given":"Ajay Nagesh"},{"family":"Bhattacharjee","given":"Priyadarshini"},{"family":"Bhattacharjee","given":"Shuvarthi"},{"family":"Bhatti","given":"Jasvinder Singh"},{"family":"Bhatti","given":"Gurjit Kaur"},{"family":"Bikov","given":"Andras"},{"family":"Bilgin","given":"Cem"},{"family":"Bisignano","given":"Catherine"},{"family":"Biswas","given":"Bijit"},{"family":"Bizzozero Peroni","given":"Bruno"},{"family":"Bjertness","given":"Espen"},{"family":"Bjørge","given":"Tone"},{"family":"Bolla","given":"Srinivasa Rao"},{"family":"Borhany","given":"Hamed"},{"family":"Bosoka","given":"Samuel Adolf"},{"family":"Bouaoud","given":"Souad"},{"family":"Boyko","given":"Edward J"},{"family":"Braithwaite","given":"Dejana"},{"family":"Brazo-Sayavera","given":"Javier"},{"family":"Brenner","given":"Hermann"},{"family":"Britton","given":"Gabrielle"},{"family":"Bryazka","given":"Dana"},{"family":"Bugiardini","given":"Raffaele"},{"family":"Bui","given":"Linh Phuong"},{"family":"Busch","given":"Felix"},{"family":"Bustanji","given":"Yasser"},{"family":"Butt","given":"Nadeem Shafique"},{"family":"Butt","given":"Zahid A"},{"family":"Calina","given":"Daniela"},{"family":"Campos","given":"Luciana Aparecida"},{"family":"Campos-Nonato","given":"Ismael"},{"family":"Cao","given":"Si"},{"family":"Cao","given":"Yin"},{"family":"Capodici","given":"Angelo"},{"family":"Carvalho","given":"Andre F"},{"family":"Carvalho","given":"Márcia"},{"family":"Catapano","given":"Alberico L"},{"family":"Cattafesta","given":"Monica"},{"family":"Cattaruzza","given":"Maria Sofia"},{"family":"Cegolon","given":"Luca"},{"family":"Cembranel","given":"Francieli"},{"family":"Cenko","given":"Edina"},{"family":"Cerin","given":"Ester"},{"family":"Cernigliaro","given":"Achille"},{"family":"Chadwick","given":"Joshua"},{"family":"Chakraborty","given":"Chiranjib"},{"family":"Chan","given":"Raymond N C"},{"family":"Chang","given":"Jung-Chen"},{"family":"Chattu","given":"Vijay Kumar"},{"family":"Chaudhary","given":"Anis Ahmad"},{"family":"Chaurasia","given":"Akhilanand"},{"family":"Chen","given":"Guangjin"},{"family":"Chen","given":"An-Tian"},{"family":"Chen","given":"Haowei"},{"family":"Cheng","given":"Esther T W"},{"family":"Chew","given":"Nicholas Ws"},{"family":"Chi","given":"Gerald"},{"family":"Chimoriya","given":"Ritesh"},{"family":"Ching","given":"Patrick R"},{"family":"Choi","given":"Dong-Woo"},{"family":"Chong","given":"Bryan"},{"family":"Chopra","given":"Hitesh"},{"family":"Chopra","given":"Shivani"},{"family":"Chou","given":"Hou In"},{"family":"Choudhari","given":"Sonali Gajanan"},{"family":"Chu","given":"Dinh-Toi"},{"family":"Chung","given":"Sunghyun"},{"family":"Chung","given":"Sheng-Chia"},{"family":"Chutiyami","given":"Muhammad"},{"family":"Cini","given":"Karly I"},{"family":"Cioffi","given":"Iolanda"},{"family":"Cogen","given":"Rebecca M"},{"family":"Collado-Mateo","given":"Daniel"},{"family":"Columbus","given":"Alyssa"},{"family":"Conrad","given":"Nathalie"},{"family":"Criqui","given":"Michael H"},{"family":"Cruz-Martins","given":"Natalia"},{"family":"Cummins","given":"Steven"},{"family":"D'Amico","given":"Emanuele"},{"family":"D'Anna","given":"Lucio"},{"family":"D'Oria","given":"Mario"},{"family":"Dadras","given":"Omid"},{"family":"Dai","given":"Xiaochen"},{"family":"Dalakoti","given":"Mayank"},{"family":"Dandona","given":"Rakhi"},{"family":"Dandona","given":"Lalit"},{"family":"Danpanichkul","given":"Pojsakorn"},{"family":"Darcho","given":"Samuel Demissie"},{"family":"Darvishi Cheshmeh Soltani","given":"Reza"},{"family":"Da Silva","given":"Alanna Gomes"},{"family":"Davletov","given":"Kairat"},{"family":"Delgado-Enciso","given":"Ivan"},{"family":"Denova-Gutiérrez","given":"Edgar"},{"family":"Derbew Molla","given":"Meseret"},{"family":"Dergaa","given":"Ismail"},{"family":"Desale","given":"Aragaw Tesfaw"},{"family":"Devanbu","given":"Vinoth Gnana Chellaiyan"},{"family":"Devegowda","given":"Devananda"},{"family":"Dewan","given":"Syed Masudur Rahman"},{"family":"Dhali","given":"Arkadeep"},{"family":"Dharmaratne","given":"Samath Dhamminda"},{"family":"Dhimal","given":"Meghnath"},{"family":"Dhungel","given":"Bibha"},{"family":"Diaz","given":"Daniel"},{"family":"Dinu","given":"Monica"},{"family":"Dodangeh","given":"Milad"},{"family":"Dohare","given":"Sushil"},{"family":"Dokova","given":"Klara Georgieva"},{"family":"Dolatkhah","given":"Neda"},{"family":"Do Prado","given":"Camila Bruneli"},{"family":"Dorostkar","given":"Fariba"},{"family":"Doshi","given":"Ojas Prakashbhai"},{"family":"Doshi","given":"Rajkumar Prakashbhai"},{"family":"Dowou","given":"Robert Kokou"},{"family":"Dsouza","given":"Viola Savy"},{"family":"Du","given":"Mi"},{"family":"Dumith","given":"Samuel C"},{"family":"Dumuid","given":"Dorothea"},{"family":"Duncan","given":"Bruce B"},{"family":"Dutta","given":"Sulagna"},{"family":"Dziedzic","given":"Arkadiusz Marian"},{"family":"Ebrahimi","given":"Alireza"},{"family":"Eftekhari","given":"Behrad"},{"family":"Eighaei Sedeh","given":"Ashkan"},{"family":"Ekholuenetale","given":"Michael"},{"family":"Eladl","given":"Mohamed Ahmed"},{"family":"El Arab","given":"Rabie Adel"},{"family":"El-Ashker","given":"Said"},{"family":"Elbarazi","given":"Iffat"},{"family":"El Bayoumy","given":"Ibrahim Farahat"},{"family":"Elgendy","given":"Islam Y"},{"family":"Elhadi","given":"Muhammed"},{"family":"El-Huneidi","given":"Waseem"},{"family":"El-Metwally","given":"Ashraf A"},{"family":"Elmonem","given":"Mohamed A"},{"family":"Elnaem","given":"Mohamed Hassan"},{"family":"Elsheikh","given":"Randa"},{"family":"Elsohaby","given":"Ibrahim"},{"family":"Eltaha","given":"Chadi"},{"family":"Emeto","given":"Theophilus I"},{"family":"Eslami","given":"Maysa"},{"family":"Eze","given":"Ugochukwu Anthony"},{"family":"Fadavian","given":"Heidar"},{"family":"Fagbamigbe","given":"Adeniyi Francis"},{"family":"Fakhradiyev","given":"Ildar Ravisovich"},{"family":"Faraji","given":"Seyed Nooreddin"},{"family":"Farinha","given":"Carla Sofia E Sá"},{"family":"Faris","given":"MoezAlIslam Ezzat Mahmoud"},{"family":"Farooque","given":"Umar"},{"family":"Farrokhpour","given":"Hossein"},{"family":"Fasusi","given":"Samuel Aanuoluwapo"},{"family":"Fazeli","given":"Patrick"},{"family":"Fazylov","given":"Timur"},{"family":"Feizkhah","given":"Alireza"},{"family":"Fekadu","given":"Ginenus"},{"family":"Feng","given":"Xiaoqi"},{"family":"Fernandes","given":"João C"},{"family":"Fernandez-Jimenez","given":"Rodrigo"},{"family":"Ferreira","given":"Nuno"},{"family":"Feyisa","given":"Bikila Regassa"},{"family":"Fischer","given":"Florian"},{"family":"Flood","given":"David"},{"family":"Foigt","given":"Nataliya A"},{"family":"Folayan","given":"Morenike Oluwatoyin"},{"family":"Fomenkov","given":"Artem Alekseevich"},{"family":"Foroumadi","given":"Roham"},{"family":"Fortuna Rodrigues","given":"Celia"},{"family":"Foschi","given":"Matteo"},{"family":"Fotouhi","given":"Maryam"},{"family":"Francis","given":"Kate Louise"},{"family":"Franklin","given":"Richard Charles"},{"family":"Gába","given":"Aleš"},{"family":"Gadanya","given":"Muktar A"},{"family":"Gaidhane","given":"Abhay Motiramji"},{"family":"Galali","given":"Yaseen"},{"family":"Gallus","given":"Silvano"},{"family":"Ganesan","given":"Balasankar"},{"family":"Gangachannaiah","given":"Shivaprakash"},{"family":"Gastélum Espinoza","given":"Wendy Paola"},{"family":"Gebregergis","given":"Miglas Welay"},{"family":"Gebremeskel","given":"Teferi Gebru"},{"family":"Getacher","given":"Lemma"},{"family":"Ghadirian","given":"Fataneh"},{"family":"Ghaffari Jolfayi","given":"Amir"},{"family":"Ghamari","given":"Seyyed-Hadi"},{"family":"Ghazy","given":"Ramy Mohamed"},{"family":"Gil","given":"Artyom Urievich"},{"family":"Gill","given":"Tiffany K"},{"family":"Gnedovskaya","given":"Elena V"},{"family":"Golechha","given":"Mahaveer"},{"family":"Golinelli","given":"Davide"},{"family":"Grivna","given":"Michal"},{"family":"Grover","given":"Ashna"},{"family":"Guan","given":"Zhongyang"},{"family":"Guan","given":"Shi-Yang"},{"family":"Guarducci","given":"Giovanni"},{"family":"Gubari","given":"Mohammed Ibrahim Mohialdeen"},{"family":"Guha","given":"Avirup"},{"family":"Gunawardane","given":"Damitha Asanga"},{"family":"Guo","given":"Zheng"},{"family":"Gupta","given":"Rajeev"},{"family":"Gupta","given":"Anish Kumar"},{"family":"Gupta","given":"Rahul"},{"family":"Gupta","given":"Sapna"},{"family":"Gupta","given":"Vivek Kumar"},{"family":"Gutiérrez-Murillo","given":"Roberth Steven"},{"family":"Guzman-Esquivel","given":"Jose"},{"family":"Hadi","given":"Najah R"},{"family":"Hadian","given":"Zahra"},{"family":"Hamdy","given":"Nadia M"},{"family":"Hameed","given":"Sajid"},{"family":"Hamidi","given":"Samer"},{"family":"Hamiduzzaman","given":"Mohammad"},{"family":"Hanif","given":"Asif"},{"family":"Hanifi","given":"Nasrin"},{"family":"Hankey","given":"Graeme J"},{"family":"Haq","given":"Allie"},{"family":"Harlianto","given":"Netanja I"},{"family":"Haro","given":"Josep Maria"},{"family":"Hartono","given":"Risky Kusuma"},{"family":"Hasan","given":"Faizul"},{"family":"Hashempur","given":"Mohammad Hashem"},{"family":"Hasnain","given":"Md Saquib"},{"family":"Hassan","given":"Amr"},{"family":"Hassan","given":"Nageeb"},{"family":"Hassanipour","given":"Soheil"},{"family":"Hassanzade Rad","given":"Afagh"},{"family":"Havmoeller","given":"Rasmus J"},{"family":"Hay","given":"Simon I"},{"family":"He","given":"Wen-Qiang"},{"family":"Hebert","given":"Jeffrey J"},{"family":"Heidari","given":"Golnaz"},{"family":"Hemmati","given":"Mehdi"},{"family":"Hiraike","given":"Yuta"},{"family":"Hoan","given":"Nguyen Quoc"},{"family":"Hoang","given":"Mai"},{"family":"Holla","given":"Ramesh"},{"family":"Hoogar","given":"Praveen"},{"family":"Hopkins","given":"Ashley Mark"},{"family":"Hossain","given":"Alamgir"},{"family":"Hosseinzadeh","given":"Hassan"},{"family":"Hostiuc","given":"Sorin"},{"family":"Hostiuc","given":"Mihaela"},{"family":"Htay","given":"Zin Wai"},{"family":"Hu","given":"Chengxi"},{"family":"Huang","given":"Junjie"},{"family":"Hundie","given":"Tsegaye Gebreyes"},{"family":"Husseiny","given":"Mohamed Ibrahim"},{"family":"Huynh","given":"Hong-Han"},{"family":"Iavicoli","given":"Ivo"},{"family":"Ibrayeva","given":"Anel"},{"family":"Ilesanmi","given":"Olayinka Stephen"},{"family":"Ilic","given":"Irena M"},{"family":"Ilic","given":"Milena D"},{"family":"Imam","given":"Mohammad Tarique"},{"family":"Inbaraj","given":"Leeberk Raja"},{"family":"Inok","given":"Arit"},{"family":"Irham","given":"Lalu Muhammad"},{"family":"Islam","given":"Md. Rabiul"},{"family":"Islam","given":"Sheikh Mohammed Shariful"},{"family":"Islam","given":"Rakibul M"},{"family":"Ismail","given":"Nahlah Elkudssiah"},{"family":"Iso","given":"Hiroyasu"},{"family":"Isola","given":"Gaetano"},{"family":"Ituka","given":"Mosimah Charles"},{"family":"Iwagami","given":"Masao"},{"family":"Iwu-Jaja","given":"Chinwe Juliana"},{"family":"Iyasu","given":"Assefa N"},{"family":"J","given":"Vinothini"},{"family":"Jacob","given":"Louis"},{"family":"Jaffar","given":"Shabbar"},{"family":"Jahrami","given":"Haitham"},{"family":"Jain","given":"Akhil"},{"family":"Jairoun","given":"Ammar Abdulrahman"},{"family":"Jakovljevic","given":"Mihajlo"},{"family":"Jalloh","given":"Mohamed Lamrana"},{"family":"Javaid","given":"Syed Sarmad"},{"family":"Jayapal","given":"Sathish Kumar"},{"family":"Jayarajah","given":"Umesh"},{"family":"Jayaram","given":"Shubha"},{"family":"Jebai","given":"Rime"},{"family":"Jebasingh","given":"Felix K"},{"family":"Jema","given":"Alelign Tasew"},{"family":"Jokar","given":"Mohammad"},{"family":"Jonas","given":"Jost B"},{"family":"Jose","given":"Jobinse"},{"family":"Joseph","given":"Nitin"},{"family":"Joshua","given":"Charity Ehimwenma"},{"family":"Jozwiak","given":"Jacek Jerzy"},{"family":"Jürisson","given":"Mikk"},{"family":"Kaambwa","given":"Billingsley"},{"family":"Kabir","given":"Ali"},{"family":"Kabir","given":"Zubair"},{"family":"Kakkar","given":"Ashish Kumar"},{"family":"Kalra","given":"Sanjay"},{"family":"Kamarajah","given":"Sivesh Kathir"},{"family":"Kanaan","given":"Saddam Fuad"},{"family":"Kankam","given":"Samuel Berchi"},{"family":"Kanmodi","given":"Kehinde Kazeem"},{"family":"Kapoor","given":"Neeti"},{"family":"Karajizadeh","given":"Mehrdad"},{"family":"Karakasis","given":"Paschalis"},{"family":"Karasneh","given":"Reema A"},{"family":"Karimi","given":"Yeganeh"},{"family":"Karimi Behnagh","given":"Arman"},{"family":"Kassebaum","given":"Nicholas J"},{"family":"Kauppila","given":"Joonas H"},{"family":"Kayode","given":"Gbenga A"},{"family":"Kehagias","given":"Dimitrios"},{"family":"Kerr","given":"Jessica A"},{"family":"Keshwani","given":"Ariz"},{"family":"Kesse-Guyot","given":"Emmanuelle"},{"family":"Keykhaei","given":"Mohammad"},{"family":"Khaing","given":"Inn Kynn"},{"family":"Khajuria","given":"Himanshu"},{"family":"Khalili","given":"Pantea"},{"family":"Khalilian","given":"Alireza"},{"family":"Khalis","given":"Mohamed"},{"family":"Khan","given":"Mohammad Jobair"},{"family":"Khan","given":"Maseer"},{"family":"Khan","given":"Nusrat"},{"family":"Khan","given":"Md Abdullah Saeed"},{"family":"Khan","given":"Ajmal"},{"family":"Khan","given":"Moien Ab"},{"family":"Khanmohammadi","given":"Shaghayegh"},{"family":"Khatab","given":"Khaled"},{"family":"Khatatbeh","given":"Moawiah Mohammad"},{"family":"Khayamzadeh","given":"Maryam"},{"family":"Khidri","given":"Feriha Fatima"},{"family":"Khorashadizadeh","given":"Fatemeh"},{"family":"Khosla","given":"Atulya Aman"},{"family":"Khosravi","given":"Sepehr"},{"family":"Khosrowjerdi","given":"Mahmood"},{"family":"Khubchandani","given":"Jagdish"},{"family":"Khusun","given":"Helda"},{"family":"Kim","given":"Jinho"},{"family":"Kim","given":"Kwanghyun"},{"family":"Kim","given":"Min Seo"},{"family":"Kim","given":"Yun Jin"},{"family":"Kimokoti","given":"Ruth W"},{"family":"Kisa","given":"Adnan"},{"family":"Kishore","given":"Ladli"},{"family":"Kivimäki","given":"Mika"},{"family":"Kokkorakis","given":"Michail"},{"family":"Kolahi","given":"Ali-Asghar"},{"family":"Kompani","given":"Farzad"},{"family":"Korzh","given":"Oleksii"},{"family":"Kostev","given":"Karel"},{"family":"Koulmane Laxminarayana","given":"Sindhura Lakshmi"},{"family":"Kretchy","given":"Irene Akwo"},{"family":"Krishan","given":"Kewal"},{"family":"Kua","given":"Chong-Han"},{"family":"Kuate Defo","given":"Barthelemy"},{"family":"Kulimbet","given":"Mukhtar"},{"family":"Kulkarni","given":"Vishnutheertha"},{"family":"Kumar","given":"Ashish"},{"family":"Kumar","given":"Vijay"},{"family":"Kumar","given":"G Anil"},{"family":"Kundu","given":"Satyajit"},{"family":"Kunutsor","given":"Setor K"},{"family":"Kurmi","given":"Om P"},{"family":"Kurniasari","given":"Maria Dyah"},{"family":"Kusuma","given":"Dian"},{"family":"Kytö","given":"Ville"},{"family":"Lacey","given":"Ben"},{"family":"Lahariya","given":"Chandrakant"},{"family":"Lai","given":"Daphne Teck Ching"},{"family":"Lai","given":"Hanpeng"},{"family":"Landires","given":"Iván"},{"family":"Larijani","given":"Bagher"},{"family":"Latief","given":"Kamaluddin"},{"family":"La Vecchia","given":"Carlo"},{"family":"Le","given":"Nhi Huu Hanh"},{"family":"Lee","given":"Munjae"},{"family":"Lee","given":"Sang-woong"},{"family":"Lee","given":"Wei-Chen"},{"family":"Lee","given":"Seung Won"},{"family":"Lee","given":"Paul H"},{"family":"Li","given":"Ming-Chieh"},{"family":"Li","given":"Yongze"},{"family":"Li","given":"Weilong"},{"family":"Lim","given":"Stephen S"},{"family":"Lin","given":"Queran"},{"family":"Lin","given":"Jialing"},{"family":"Lindholm","given":"Daniel"},{"family":"Lindstedt","given":"Paulina A"},{"family":"Liu","given":"Simin"},{"family":"Llanaj","given":"Erand"},{"family":"López-Gil","given":"José Francisco"},{"family":"Lorkowski","given":"Stefan"},{"family":"Lucchetti","given":"Giancarlo"},{"family":"Lugo","given":"Alessandra"},{"family":"Lutambi","given":"Angelina M"},{"family":"Lv","given":"Lei"},{"family":"Lytvyak","given":"Ellina"},{"family":"Ma","given":"Zheng Feei"},{"family":"Machoy","given":"Monika"},{"family":"Magaña Gómez","given":"Javier A"},{"family":"Maghbouli","given":"Nastaran"},{"family":"Mahalleh","given":"Mehrdad"},{"family":"Mahmood","given":"Nozad H"},{"family":"Mahmoudi","given":"Elham"},{"family":"Maiti","given":"Rituparna"},{"family":"Makris","given":"Konstantinos Christos C"},{"family":"Malhotra","given":"Kashish"},{"family":"Malik","given":"Ahmad Azam"},{"family":"Malik","given":"Iram"},{"family":"Malta","given":"Deborah Carvalho"},{"family":"Mamun","given":"Abdullah A"},{"family":"Mansourian","given":"Marjan"},{"family":"Manu","given":"Emmanuel"},{"family":"Marateb","given":"Hamid Reza"},{"family":"Marino","given":"Mirko"},{"family":"Marjani","given":"Abdoljalal"},{"family":"Martinez-Piedra","given":"Ramon"},{"family":"Martini","given":"Santi"},{"family":"Martorell","given":"Miquel"},{"family":"Marzouk","given":"Sammer"},{"family":"Masi","given":"Stefano"},{"family":"Masrouri","given":"Soroush"},{"family":"Mathangasinghe","given":"Yasith"},{"family":"Mathur","given":"Manu Raj"},{"family":"Matozinhos","given":"Fernanda Penido"},{"family":"Matthias","given":"Thushara"},{"family":"Mattiello","given":"Rita"},{"family":"Mazidi","given":"Mohsen"},{"family":"McPhail","given":"Steven M"},{"family":"Mechili","given":"Enkeleint A"},{"family":"Mehboob","given":"Riffat"},{"family":"Mehmood","given":"Asim"},{"family":"Mehndiratta","given":"Man Mohan"},{"family":"Mehrabani-Zeinabad","given":"Kamran"},{"family":"Mekene Meto","given":"Tesfahun"},{"family":"Meles","given":"Hadush Negash"},{"family":"Mendoza","given":"Walter"},{"family":"Menezes","given":"Ritesh G"},{"family":"Mengistie","given":"Emiru Ayalew"},{"family":"Meo","given":"Sultan Ayoub"},{"family":"Mestrovic","given":"Tomislav"},{"family":"Mettananda","given":"Sachith"},{"family":"Mettananda","given":"Chamila Dinushi Kukulege"},{"family":"Micheletti Gomide Nogueira De Sá","given":"Ana Carolina"},{"family":"Miller","given":"Ted R"},{"family":"Mini","given":"Gk"},{"family":"Mirrakhimov","given":"Erkin M"},{"family":"Misganaw","given":"Awoke"},{"family":"Mittal","given":"Madhukar"},{"family":"Mohamed","given":"Ahmed Ismail"},{"family":"Mohamed","given":"Mona Gamal"},{"family":"Mohamed","given":"Nouh Saad"},{"family":"Mohamed","given":"Jama"},{"family":"Mohammad","given":"Taj"},{"family":"Mohammad-Alizadeh-Charandabi","given":"Sakineh"},{"family":"Mohammadzadeh","given":"Ibrahim"},{"family":"Mohammed","given":"Shafiu"},{"family":"Mohammed","given":"Mustapha"},{"family":"Mokdad","given":"Ali H"},{"family":"Mondello","given":"Stefania"},{"family":"Moni","given":"Mohammad Ali"},{"family":"Moradi","given":"Maryam"},{"family":"Morrison","given":"Shane Douglas"},{"family":"Mossialos","given":"Elias"},{"family":"Motappa","given":"Rohith"},{"family":"Mulita","given":"Francesk"},{"family":"Mullany","given":"Erin C"},{"family":"Munkhsaikhan","given":"Yanjinlkham"},{"family":"Murillo-Zamora","given":"Efren"},{"family":"Musa","given":"Sani"},{"family":"Mustafa","given":"Ghulam"},{"family":"Muthu","given":"Sathish"},{"family":"Myung","given":"Woojae"},{"family":"Naghavi","given":"Pirouz"},{"family":"Naghavi","given":"Mohsen"},{"family":"Naik","given":"Ganesh R"},{"family":"Naik","given":"Hiten"},{"family":"Nambi","given":"Gopal"},{"family":"Nangia","given":"Vinay"},{"family":"Nansseu","given":"Jobert Richie"},{"family":"Nascimento","given":"Gustavo G"},{"family":"Nassar","given":"Mahmoud"},{"family":"Natto","given":"Zuhair S"},{"family":"Nauman","given":"Javaid"},{"family":"Naureen","given":"Zakira"},{"family":"Navaratna","given":"Samidi Nirasha Kumari"},{"family":"Nayak","given":"Biswa Prakash"},{"family":"Nayon","given":"Md Fahad Shahariar"},{"family":"Nazri-Panjaki","given":"Athare"},{"family":"Negahdary","given":"Masoud"},{"family":"Negoi","given":"Ruxandra Irina"},{"family":"Negoi","given":"Ionut"},{"family":"Nejadghaderi","given":"Seyed Aria"},{"family":"Nematollahi","given":"Soroush"},{"family":"Nepal","given":"Samata"},{"family":"Netsere","given":"Henok Biresaw"},{"family":"Ngunjiri","given":"Josephine W"},{"family":"Nguyen","given":"Cuong Tat"},{"family":"Nguyen","given":"Dang"},{"family":"Nguyen","given":"Trang"},{"family":"Nguyen","given":"Duc Hoang"},{"family":"Nguyen","given":"Phuong The"},{"family":"Niazi","given":"Robina Khan"},{"family":"Nieddu","given":"Luciano"},{"family":"Niknam","given":"Mahdieh"},{"family":"Nikoobar","given":"Ali"},{"family":"Nkeck","given":"Jan Rene"},{"family":"Nomura","given":"Shuhei"},{"family":"Noor","given":"Syed Toukir Ahmed"},{"family":"Noreen","given":"Mamoona"},{"family":"Noroozi","given":"Masoud"},{"literal":"Nawsherwan"},{"family":"Noubiap","given":"Jean Jacques"},{"family":"Nouri","given":"Mehran"},{"family":"Nri-Ezedi","given":"Chisom Adaobi"},{"family":"Nugen","given":"Fred"},{"family":"Nurrika","given":"Dieta"},{"family":"Nzoputam","given":"Ogochukwu Janet"},{"family":"O'Connell","given":"Erin M"},{"family":"Oancea","given":"Bogdan"},{"family":"Oguta","given":"James Odhiambo"},{"family":"Oh","given":"In-Hwan"},{"family":"Okati-Aliabad","given":"Hassan"},{"family":"Okekunle","given":"Akinkunmi Paul"},{"family":"Okonji","given":"Osaretin Christabel"},{"family":"Olagunju","given":"Andrew T"},{"family":"Olalusi","given":"Oladotun Victor"},{"family":"Olanrewaju","given":"Timothy Olusegun"},{"family":"Olasupo","given":"Omotola O"},{"family":"Oliveira","given":"Gláucia Maria Moraes"},{"family":"Oliveira","given":"Arão Belitardo"},{"family":"Oluwafemi","given":"Yinka Doris"},{"family":"Omar","given":"Hany A"},{"family":"Omar Bali","given":"Ahmed"},{"family":"Opitz","given":"Marcel"},{"family":"Ordak","given":"Michal"},{"family":"Ortiz","given":"Alberto"},{"family":"Osborne","given":"Augustus"},{"family":"Osman","given":"Wael M S"},{"family":"Osman","given":"Alaa A M"},{"family":"Osuagwu","given":"Uchechukwu Levi"},{"family":"Otoiu","given":"Adrian"},{"family":"Oumer","given":"Abdu"},{"family":"Ouyahia","given":"Amel"},{"family":"Owolabi","given":"Mayowa O"},{"family":"Owusu","given":"Irene Amoakoh"},{"family":"Oyebola","given":"Kolapo"},{"family":"P A","given":"Mahesh Padukudru"},{"family":"Padron-Monedero","given":"Alicia"},{"family":"Padubidri","given":"Jagadish Rao"},{"family":"Panda","given":"Sujogya Kumar"},{"family":"Panda-Jonas","given":"Songhomitra"},{"family":"Pandey","given":"Anamika"},{"family":"Pandi-Perumal","given":"Seithikurippu R"},{"family":"Pardhan","given":"Shahina"},{"family":"Parekh","given":"Utsav"},{"family":"Parija","given":"Pragyan Paramita"},{"family":"Parikh","given":"Romil R"},{"family":"Park","given":"Eun-Cheol"},{"family":"Pashaei","given":"Ava"},{"family":"Passera","given":"Roberto"},{"family":"Patel","given":"Hemal M"},{"family":"Pathan","given":"Aslam Ramjan"},{"family":"Patoulias","given":"Dimitrios"},{"family":"Patton","given":"George C"},{"family":"Paudel","given":"Susan"},{"family":"Pazoki Toroudi","given":"Hamidreza"},{"family":"Pensato","given":"Umberto"},{"family":"Peprah","given":"Prince"},{"family":"Pereira","given":"Gavin"},{"family":"Pereira","given":"Marcos"},{"family":"Perianayagam","given":"Arokiasamy"},{"family":"Perico","given":"Norberto"},{"family":"Perna","given":"Simone"},{"family":"Petcu","given":"Ionela-Roxana"},{"family":"Petermann-Rocha","given":"Fanny Emily"},{"family":"Pham","given":"Hoang Nhat"},{"family":"Polibin","given":"Roman V"},{"family":"Popovic","given":"Djordje S"},{"family":"Pourghazi","given":"Farzad"},{"family":"Pourshams","given":"Akram"},{"family":"Pradhan","given":"Jalandhar"},{"family":"Pradhan","given":"Pranil Man Singh"},{"family":"Prasad","given":"Manya"},{"family":"Prashant","given":"Akila"},{"family":"Prates","given":"Elton Junio Sady"},{"family":"Putra","given":"I Gusti Ngurah Edi"},{"family":"Puvvula","given":"Jagadeesh"},{"family":"Qattea","given":"Ibrahim"},{"family":"Qiu","given":"Jia-Yong"},{"family":"Radhakrishnan","given":"Venkatraman"},{"family":"Radojčić","given":"Maja R"},{"family":"Raggi","given":"Catalina"},{"family":"Rahman","given":"Muhammad Aziz"},{"family":"Rahman","given":"Fryad Majeed"},{"family":"Rahman","given":"Mohammad Hifz Ur"},{"family":"Rahman","given":"Mosiur"},{"family":"Rahmani","given":"Saeed"},{"family":"Rahmanian","given":"Vahid"},{"family":"Rahmawaty","given":"Setyaningrum"},{"family":"Rai","given":"Rajesh Kumar"},{"family":"Raimondo","given":"Ivano"},{"family":"Raj","given":"Jeffrey Pradeep"},{"family":"Rajput","given":"Prashant"},{"family":"Ramadan","given":"Mahmoud Mohammed"},{"family":"Ramasamy","given":"Chitra"},{"family":"Ramasamy","given":"Shakthi Kumaran"},{"family":"Ramazanu","given":"Sheena"},{"family":"Rana","given":"Kritika"},{"family":"Ranabhat","given":"Chhabi Lal"},{"family":"Rao","given":"Mithun"},{"family":"Rao","given":"Sowmya J"},{"family":"Rashedi","given":"Sina"},{"family":"Rashidi","given":"Mohammad-Mahdi"},{"family":"Rasouli-Saravani","given":"Ashkan"},{"family":"Rathish","given":"Devarajan"},{"family":"Rauniyar","given":"Santosh Kumar"},{"family":"Rautalin","given":"Ilari"},{"family":"Rawaf","given":"David Laith"},{"family":"Rawaf","given":"Salman"},{"family":"Redwan","given":"Elrashdy M. Moustafa Mohamed"},{"family":"Rege","given":"Sanika"},{"family":"Reis-Mendes","given":"Ana"},{"family":"Remuzzi","given":"Giuseppe"},{"family":"Rezaei","given":"Nazila"},{"family":"Rezaeian","given":"Mohsen"},{"family":"Rezazadeh","given":"Hossein"},{"family":"Rhee","given":"Taeho Gregory"},{"family":"Rocha-Gomes","given":"João Rocha"},{"family":"Rodrigues","given":"Mónica"},{"family":"Rodrigues Da Silva","given":"Thales Philipe"},{"family":"Rodriguez","given":"Jefferson Antonio Buendia"},{"family":"Roever","given":"Leonardo"},{"family":"Rohloff","given":"Peter"},{"family":"Romadlon","given":"Debby Syahru"},{"family":"Rony","given":"Moustaq Karim Khan"},{"family":"Roshandel","given":"Gholamreza"},{"family":"Rout","given":"Himanshu Sekhar"},{"family":"Roy","given":"Nitai"},{"family":"Rwegerera","given":"Godfrey M"},{"family":"Saad","given":"Aly M A"},{"family":"Saber-Ayad","given":"Maha Mohamed"},{"family":"Sabet","given":"Cameron John"},{"family":"Sadarangani","given":"Kabir P"},{"family":"Saddik","given":"Basema Ahmad"},{"family":"Sadeghi","given":"Masoumeh"},{"family":"Saeb","given":"Mohammad Reza"},{"family":"Saeed","given":"Umar"},{"family":"Saeedi Moghaddam","given":"Sahar"},{"family":"Safi","given":"Sher Zaman"},{"family":"Saghazadeh","given":"Amene"},{"family":"Sagoe","given":"Dominic"},{"family":"Sahebkar","given":"Amirhossein"},{"family":"Saheb Sharif-Askari","given":"Fatemeh"},{"family":"Sahoo","given":"Soumya Swaroop"},{"family":"Sajid","given":"Mirza Rizwan"},{"family":"Salaroli","given":"Luciane B"},{"family":"Saleh","given":"Mohamed A"},{"family":"Salem","given":"Marwa Rashad"},{"family":"Salimi","given":"Sohrab"},{"family":"Samodra","given":"Yoseph Leonardo"},{"family":"Samuel","given":"Vijaya Paul"},{"family":"Samy","given":"Abdallah M"},{"family":"Santhekadur","given":"Prasanna K"},{"family":"Santric-Milicevic","given":"Milena M"},{"family":"Saqib","given":"Muhammad Arif Nadeem"},{"family":"Saraswati","given":"Ushasi"},{"family":"Saravanan","given":"Aswini"},{"family":"Sari","given":"Dianis Wulan"},{"family":"Sarkar","given":"Tanmay"},{"family":"Sarmadi","given":"Mohammad"},{"family":"Sarode","given":"Sachin C"},{"family":"Sarode","given":"Gargi Sachin"},{"family":"Sassano","given":"Michele"},{"family":"Sathian","given":"Brijesh"},{"family":"Saya","given":"Ganesh Kumar"},{"family":"Schinckus","given":"Christophe"},{"family":"Schmidt","given":"Maria Inês"},{"family":"Schuermans","given":"Art"},{"family":"Schutte","given":"Aletta Elisabeth"},{"family":"Sebastian","given":"Sneha Annie"},{"family":"Selvaraj","given":"Siddharthan"},{"family":"Semreen","given":"Mohammad H"},{"family":"Sendekie","given":"Ashenafi Kibret"},{"family":"Sengupta","given":"Pallav"},{"family":"Senol","given":"Yigit Can"},{"family":"Senthilkumaran","given":"Subramanian"},{"family":"Sepanlou","given":"Sadaf G"},{"family":"Sethi","given":"Yashendra"},{"family":"Seylani","given":"Allen"},{"family":"Shafie","given":"Mahan"},{"family":"Shah","given":"Sweni"},{"family":"Shah","given":"Syed Mahboob"},{"family":"Shahid","given":"Samiah"},{"family":"Shahrahmani","given":"Fatemeh"},{"family":"Shahwan","given":"Moyad Jamal"},{"family":"Sham","given":"Sunder"},{"family":"Shamim","given":"Muhammad Aaqib"},{"family":"Shams-Beyranvand","given":"Mehran"},{"family":"Shamsi","given":"Anas"},{"family":"Shamsutdinova","given":"Alfiya"},{"family":"Shan","given":"Dan"},{"family":"Shanawaz","given":"Mohd"},{"family":"Shannawaz","given":"Mohammed"},{"family":"Sharath","given":"Medha"},{"family":"Sharfaei","given":"Sadaf"},{"family":"Sharifan","given":"Amin"},{"family":"Sharma","given":"Anupam"},{"family":"Sharma","given":"Ujjawal"},{"family":"Sharma","given":"Manoj"},{"family":"Sharma","given":"Vishal"},{"family":"Sheida","given":"Fateme"},{"family":"Sheikhy","given":"Ali"},{"family":"Shenoy","given":"Rekha Raghuveer"},{"family":"Shetty","given":"Pavanchand H"},{"family":"Shibuya","given":"Kenji"},{"family":"Shiferaw","given":"Desalegn"},{"family":"Shin","given":"Min-Jeong"},{"family":"Shiri","given":"Rahman"},{"family":"Shittu","given":"Aminu"},{"family":"Shool","given":"Sina"},{"family":"Shorofi","given":"Seyed Afshin"},{"family":"Shrestha","given":"Rajan"},{"family":"Shuval","given":"Kerem"},{"family":"Si","given":"Yafei"},{"family":"Sibuyi","given":"Nicole R S"},{"family":"Siddig","given":"Emmanuel Edwar"},{"family":"Siddiqi","given":"Ahmed Kamal"},{"family":"Sikdar","given":"Mithun"},{"family":"Silva","given":"Diego Augusto Santos"},{"family":"Silva","given":"Luís Manuel Lopes Rodrigues"},{"family":"Singh","given":"Surjit"},{"family":"Singh","given":"Jasvinder A"},{"family":"Singh","given":"Amit"},{"family":"Singh","given":"Harmanjit"},{"family":"Singh","given":"Baljinder"},{"family":"Singh","given":"Kalpana"},{"family":"Singh","given":"Puneetpal"},{"family":"Skryabin","given":"Valentin Yurievich"},{"family":"Skryabina","given":"Anna Aleksandrovna"},{"family":"Smith","given":"Amanda E"},{"family":"Smith","given":"Georgia"},{"family":"Soliman","given":"Sameh S M"},{"family":"Soraneh","given":"Soroush"},{"family":"Sorensen","given":"Reed J D"},{"family":"Spartalis","given":"Michael"},{"family":"Srichawla","given":"Bahadar S"},{"family":"Stachteas","given":"Panagiotis"},{"family":"Starodubova","given":"Antonina V"},{"family":"Straif","given":"Kurt"},{"family":"Stubbs","given":"Pete"},{"family":"Subramaniyan","given":"Vetriselvan"},{"family":"Suleiman Odidi","given":"Muritala Odidi"},{"family":"Sulkowski","given":"Aleksander"},{"family":"Sultan Meo","given":"Anusha"},{"family":"Sun","given":"Jing"},{"family":"Sun","given":"Zhong"},{"family":"Sunny","given":"Sumam"},{"family":"Swain","given":"Chandan Kumar"},{"family":"Szarpak","given":"Lukasz"},{"family":"Tabarés-Seisdedos","given":"Rafael"},{"family":"Tabatabaei","given":"Seyyed Mohammad"},{"family":"Tabatabaei","given":"Fatemeh Sadat"},{"family":"Tabatabaei Malazy","given":"Ozra"},{"family":"Tabatabai","given":"Shima"},{"family":"Tabche","given":"Celine"},{"family":"Tabish","given":"Mohammad"},{"family":"Taiba","given":"Jabeen"},{"family":"Talic","given":"Stella"},{"family":"Tampa","given":"Mircea"},{"family":"Tamuzi","given":"Jacques Lukenze"},{"family":"Tan","given":"Ker-Kan"},{"family":"Tanwar","given":"Manoj"},{"family":"Tariq","given":"Saba"},{"family":"Tat","given":"Nathan Y"},{"family":"Tavangar","given":"Seyed Mohammad"},{"family":"Temsah","given":"Reem Mohamad Hani"},{"family":"Temsah","given":"Mohamad-Hani"},{"family":"Teramoto","given":"Masayuki"},{"family":"Terefa","given":"Dufera Rikitu"},{"family":"Tewari","given":"Jay"},{"family":"Thapar","given":"Rekha"},{"family":"Ticoalu","given":"Jansje Henny Vera"},{"family":"Tiruneh","given":"Sofonyas Abebaw"},{"family":"Tiruye","given":"Tenaw Yimer"},{"family":"Titova","given":"Mariya Vladimirovna"},{"family":"Tiwari","given":"Krishna"},{"family":"Tomo","given":"Sojit"},{"family":"Tonelli","given":"Marcello"},{"family":"Touvier","given":"Mathilde"},{"family":"Tovani-Palone","given":"Marcos Roberto"},{"family":"Trabelsi","given":"Khaled"},{"family":"Tran","given":"Mai Thi Ngoc"},{"family":"Tran","given":"Thang Huu"},{"family":"Tran Minh Duc","given":"Nguyen"},{"family":"Trico","given":"Domenico"},{"family":"Trihandini","given":"Indang"},{"family":"Truyen","given":"Thien Tan Tri Tai"},{"family":"Tsatsakis","given":"Aristidis"},{"family":"Tse","given":"Gary"},{"family":"Tsegay","given":"Guesh Mebrahtom"},{"family":"Tumurkhuu","given":"Munkhtuya"},{"family":"T Y","given":"Sree Sudha"},{"family":"Tye","given":"Sok Cin"},{"family":"Tyrovolas","given":"Stefanos"},{"family":"Udoakang","given":"Aniefiok John"},{"family":"Ullah","given":"Shahid"},{"family":"Ullah","given":"Saeed"},{"family":"Umair","given":"Muhammad"},{"family":"Umar","given":"Umar Muhammad"},{"family":"Umar","given":"Lawan"},{"family":"Unim","given":"Brigid"},{"family":"Upadhya","given":"Dinesh"},{"family":"Upadhyay","given":"Era"},{"family":"Usman","given":"Jibrin Sammani"},{"family":"Ustunsoz","given":"Damla"},{"family":"Vaithinathan","given":"Asokan Govindaraj"},{"family":"Van Den Eynde","given":"Jef"},{"family":"Varghese","given":"Joe"},{"family":"Vasankari","given":"Tommi Juhani"},{"family":"Vaziri","given":"Siavash"},{"family":"Vellingiri","given":"Balachandar"},{"family":"Venketasubramanian","given":"Narayanaswamy"},{"family":"Verma","given":"Madhur"},{"family":"Verma","given":"Anjul"},{"family":"Verras","given":"Georgios-Ioannis"},{"family":"Vidale","given":"Simone"},{"family":"Villalobos-Daniel","given":"Victor E"},{"family":"Vinayak","given":"Manish"},{"family":"Vlassov","given":"Vasily"},{"family":"Vos","given":"Theo"},{"family":"Vukovic","given":"Rade"},{"family":"Wahidin","given":"Mugi"},{"family":"Wahiduzzaman","given":"Mohammad"},{"family":"Wang","given":"Yanzhong"},{"family":"Wang","given":"Shu"},{"family":"Wang","given":"Cong"},{"family":"Wang","given":"Xingxin"},{"family":"Wanjau","given":"Mary Njeri"},{"family":"Waqar","given":"Ahmed Bilal"},{"family":"Waqas","given":"Muhammad"},{"family":"Weerakoon","given":"Kosala Gayan"},{"family":"Wei","given":"Fei-Long"},{"family":"Wicaksana","given":"Anggi Lukman"},{"family":"Wickramasinghe","given":"Dakshitha Praneeth"},{"family":"Willeit","given":"Peter"},{"family":"Wojewodzic","given":"Marcin W"},{"family":"Wonde","given":"Tewodros Eshete"},{"family":"Wongsin","given":"Utoomporn"},{"family":"Xia","given":"Qing"},{"family":"Xie","given":"Wanqing"},{"family":"Xu","given":"Suowen"},{"family":"Xu","given":"Xiaoyue"},{"family":"Yamagishi","given":"Kazumasa"},{"family":"Yano","given":"Yuichiro"},{"family":"Yao","given":"Haiqiang"},{"family":"Yarahmadi","given":"Amir"},{"family":"Yaribeygi","given":"Habib"},{"family":"Yesuf","given":"Subah Abderehim"},{"family":"Yin","given":"Dehui"},{"family":"Yon","given":"Dong Keon"},{"family":"Yonemoto","given":"Naohiro"},{"family":"Yu","given":"Chuanhua"},{"family":"Yuan","given":"Chun-Wei"},{"family":"Yuce","given":"Deniz"},{"family":"Yunusa","given":"Ismaeel"},{"family":"Zaman","given":"Sojib Bin"},{"family":"Zare","given":"Iman"},{"family":"Zastrozhin","given":"Michael"},{"family":"Zeariya","given":"Mohammed G M"},{"family":"Zhang","given":"Xiaoyi"},{"family":"Zhang","given":"Liqun"},{"family":"Zhang","given":"Jingya"},{"family":"Zhang","given":"Zhiqiang"},{"family":"Zhang","given":"Casper J P"},{"family":"Zheng","given":"David X"},{"family":"Zheng","given":"Peng"},{"family":"Zhong","given":"Anthony"},{"family":"Zhong","given":"Claire Chenwen"},{"family":"Zhou","given":"Jiayan"},{"family":"Zhu","given":"Bin"},{"family":"Zhumagaliuly","given":"Abzal"},{"family":"Zielińska","given":"Magdalena"},{"family":"Zoghi","given":"Ghazal"},{"family":"Zou","given":"Zhiyong"},{"family":"Zweck","given":"Elric"},{"family":"Zyoud","given":"Sa'ed H"},{"family":"Murray","given":"Christopher J L"},{"family":"Sawyer","given":"Susan M"},{"family":"Vollset","given":"Stein Emil"}],"issued":{"date-parts":[["2025",3]]}}}],"schema":"https://github.com/citation-style-language/schema/raw/master/csl-citation.json"} </w:instrText>
      </w:r>
      <w:r w:rsidRPr="00735FCE">
        <w:fldChar w:fldCharType="separate"/>
      </w:r>
      <w:r w:rsidR="00281437" w:rsidRPr="00281437">
        <w:rPr>
          <w:vertAlign w:val="superscript"/>
        </w:rPr>
        <w:t>25</w:t>
      </w:r>
      <w:r w:rsidRPr="00735FCE">
        <w:fldChar w:fldCharType="end"/>
      </w:r>
      <w:r w:rsidRPr="00735FCE">
        <w:t xml:space="preserve">. </w:t>
      </w:r>
    </w:p>
    <w:p w14:paraId="1138F23D" w14:textId="77777777" w:rsidR="009117C0" w:rsidRPr="00015A33" w:rsidRDefault="009117C0" w:rsidP="00847BA5">
      <w:pPr>
        <w:pStyle w:val="Heading3"/>
        <w:jc w:val="left"/>
      </w:pPr>
      <w:bookmarkStart w:id="11" w:name="_Toc200988039"/>
      <w:bookmarkStart w:id="12" w:name="_Toc201001654"/>
      <w:bookmarkStart w:id="13" w:name="_Toc204848624"/>
      <w:r w:rsidRPr="00015A33">
        <w:t xml:space="preserve">Causes of </w:t>
      </w:r>
      <w:r>
        <w:t>O</w:t>
      </w:r>
      <w:r w:rsidRPr="00015A33">
        <w:t>besity</w:t>
      </w:r>
      <w:bookmarkEnd w:id="11"/>
      <w:bookmarkEnd w:id="12"/>
      <w:bookmarkEnd w:id="13"/>
    </w:p>
    <w:p w14:paraId="50B1BE43" w14:textId="5092CF4F" w:rsidR="009117C0" w:rsidRPr="00735FCE" w:rsidRDefault="009117C0" w:rsidP="00594274">
      <w:pPr>
        <w:ind w:firstLine="720"/>
        <w:jc w:val="left"/>
        <w:rPr>
          <w:color w:val="000000" w:themeColor="text1"/>
        </w:rPr>
      </w:pPr>
      <w:r w:rsidRPr="00735FCE">
        <w:rPr>
          <w:color w:val="000000" w:themeColor="text1"/>
        </w:rPr>
        <w:t>Obesity is strongly impacted by genetic considerations such as monogenic, polygenic, and syndromic factors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{"citationID":"ZXQh2KJc","properties":{"formattedCitation":"\\super 27\\nosupersub{}","plainCitation":"27","noteIndex":0},"citationItems":[{"id":3529,"uris":["http://zotero.org/users/9622455/items/ZLHT3X3H"],"itemData":{"id":3529,"type":"chapter","abstract":"The obesity epidemic around the world affects not only adults but also children. About 50% of the time, obesity in childhood is carried into adulthood in a phenomenon known as \"tracking.\" Per the latest data from the World Health Organization, the number of overweight and obese children under five years of age is estimated to be close to 39 million. In the United States, 1 in 3 adult Americans is obese, and the Centers for Disease Control has estimated that the preval</w:instrText>
      </w:r>
      <w:r w:rsidR="00281437">
        <w:rPr>
          <w:rFonts w:hint="eastAsia"/>
          <w:color w:val="000000" w:themeColor="text1"/>
        </w:rPr>
        <w:instrText>ence of obesity among children is 19.3% per data from the year 2017-2018. By 2030 some epidemiologists suggest that 20% of the world's population will be obese, i.e., having a body mass index (BMI) of more than 30 kg/m</w:instrText>
      </w:r>
      <w:r w:rsidR="00281437">
        <w:rPr>
          <w:rFonts w:hint="eastAsia"/>
          <w:color w:val="000000" w:themeColor="text1"/>
        </w:rPr>
        <w:instrText>²</w:instrText>
      </w:r>
      <w:r w:rsidR="00281437">
        <w:rPr>
          <w:rFonts w:hint="eastAsia"/>
          <w:color w:val="000000" w:themeColor="text1"/>
        </w:rPr>
        <w:instrText xml:space="preserve"> in adults, or a BMI </w:instrText>
      </w:r>
      <w:r w:rsidR="00281437">
        <w:rPr>
          <w:rFonts w:hint="eastAsia"/>
          <w:color w:val="000000" w:themeColor="text1"/>
        </w:rPr>
        <w:instrText>≥</w:instrText>
      </w:r>
      <w:r w:rsidR="00281437">
        <w:rPr>
          <w:rFonts w:hint="eastAsia"/>
          <w:color w:val="000000" w:themeColor="text1"/>
        </w:rPr>
        <w:instrText>95th percentil</w:instrText>
      </w:r>
      <w:r w:rsidR="00281437">
        <w:rPr>
          <w:color w:val="000000" w:themeColor="text1"/>
        </w:rPr>
        <w:instrText xml:space="preserve">e for age and sex in children aged 2 to 18 years. Obesity as a disease itself is multifactorial and occurs due to complex interactions occurring between genetics and the environment. The Human Genome project was carried out between the years 1990 to 2003 to map out the human genome. Genome-Wide Association Studies (GWAS) have been ongoing since 2007 to help associate specific genetic variations with certain diseases. Around 250 genes are now associated with obesity. The FTO gene on chromosome 16 is the most important and carries the highest risk of the obesity phenotype.  The Genetic Investigation of Anthropomorphic Traits Consortium is the organization involved in furthering research in GWAS. However, genetic mutations alone cannot explain the heritability of obesity perfectly. The concept of epigenetics was introduced to help understand the heritability of obesity better. Waddington first introduced the definition of epigenetics was first introduced in the 1940s by Waddington and subsequently elaborated by Holiday in 1990. However, the modern definition of epigenetics comes from Riggs et al. in 1996. Epigenetics is defined as \"the study of mitotically heritable changes in gene expression that occur without changes in the DNA sequence.\" Epigenetic marks on the genome alter the way each gene is read to produce a distinct phenotype. This provides a better explanation of how the environment plays a significant role in affecting how genes are expressed.  Epigenome-wide Association Studies (EWAS) began in 2013 to map the epigenome and understand the varied expressions of genes in different tissues. GWAS and EWAS have heralded a new era in the study of genetics and obesity.","call-number":"NBK573068","container-title":"StatPearls","event-place":"Treasure Island (FL)","language":"eng","license":"Copyright © 2025, StatPearls Publishing LLC.","note":"PMID: 34424641","publisher":"StatPearls Publishing","publisher-place":"Treasure Island (FL)","source":"PubMed","title":"Genetics and Obesity","URL":"http://www.ncbi.nlm.nih.gov/books/NBK573068/","author":[{"family":"Tirthani","given":"Ekta"},{"family":"Said","given":"Mina S."},{"family":"Rehman","given":"Anis"}],"accessed":{"date-parts":[["2025",6,11]]},"issued":{"date-parts":[["2025"]]}}}],"schema":"https://github.com/citation-style-language/schema/raw/master/csl-citation.json"} </w:instrText>
      </w:r>
      <w:r w:rsidRPr="00735FCE">
        <w:rPr>
          <w:color w:val="000000" w:themeColor="text1"/>
        </w:rPr>
        <w:fldChar w:fldCharType="separate"/>
      </w:r>
      <w:r w:rsidR="00281437" w:rsidRPr="00281437">
        <w:rPr>
          <w:color w:val="000000"/>
          <w:vertAlign w:val="superscript"/>
        </w:rPr>
        <w:t>27</w:t>
      </w:r>
      <w:r w:rsidRPr="00735FCE">
        <w:rPr>
          <w:color w:val="000000" w:themeColor="text1"/>
        </w:rPr>
        <w:fldChar w:fldCharType="end"/>
      </w:r>
      <w:r w:rsidRPr="00735FCE">
        <w:rPr>
          <w:color w:val="000000" w:themeColor="text1"/>
        </w:rPr>
        <w:t xml:space="preserve">. Monogenic obesity is caused by </w:t>
      </w:r>
      <w:r>
        <w:rPr>
          <w:color w:val="000000" w:themeColor="text1"/>
        </w:rPr>
        <w:t>rare</w:t>
      </w:r>
      <w:r w:rsidRPr="00735FCE">
        <w:rPr>
          <w:color w:val="000000" w:themeColor="text1"/>
        </w:rPr>
        <w:t xml:space="preserve"> mutations within single genes that are </w:t>
      </w:r>
      <w:r>
        <w:rPr>
          <w:color w:val="000000" w:themeColor="text1"/>
        </w:rPr>
        <w:t>essential</w:t>
      </w:r>
      <w:r w:rsidRPr="00735FCE">
        <w:rPr>
          <w:color w:val="000000" w:themeColor="text1"/>
        </w:rPr>
        <w:t xml:space="preserve"> for controlling appetite and </w:t>
      </w:r>
      <w:r>
        <w:rPr>
          <w:color w:val="000000" w:themeColor="text1"/>
        </w:rPr>
        <w:t>regulating</w:t>
      </w:r>
      <w:r w:rsidRPr="00735FCE">
        <w:rPr>
          <w:color w:val="000000" w:themeColor="text1"/>
        </w:rPr>
        <w:t xml:space="preserve"> energy balance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{"citationID":"jishkfaZ","properties":{"formattedCitation":"\\super 28\\nosupersub{}","plainCitation":"28","noteIndex":0},"citationItems":[{"id":3532,"uris":["http://zotero.org/users/9622455/items/XJT8AA27"],"itemData":{"id":3532,"type":"article-journal","abstract":"Obesity is increasing in prevalence in the United States with over 65% of adults considered overweight and 16% of children with BMI &gt; 95 percentile. The heritability of obesity is estimated between 40 and 70%, but the genetics of obesity for most individuals are complex and involve the interaction of multiple genes and environment. There are however several syndromic and non-syndromic forms of obesity that are monogenic and oligogenic that provide insight into the underlying molecular control of food intake and the neural networks that control ingestive behavior and satiety to regulate body weight and which may interact with treatment exposures to produce or exacerbate obesity in childhood cancer survivors.","container-title":"Pediatric blood &amp; cancer","DOI":"10.1002/pbc.23372","ISSN":"1545-5009","issue":"1","journalAbbreviation":"Pediatr Blood Cancer","note":"PMID: 21994130\nPMCID: PMC3215910","page":"122-128","source":"PubMed Central","title":"An Overview of Mongenic and Syndromic Obesities in Humans","volume":"58","author":[{"family":"Chung","given":"Wendy K."}],"issued":{"date-parts":[["2012",1]]}}}],"schema":"https://github.com/citation-style-language/schema/raw/master/csl-citation.json"} </w:instrText>
      </w:r>
      <w:r w:rsidRPr="00735FCE">
        <w:rPr>
          <w:color w:val="000000" w:themeColor="text1"/>
        </w:rPr>
        <w:fldChar w:fldCharType="separate"/>
      </w:r>
      <w:r w:rsidR="00281437" w:rsidRPr="00281437">
        <w:rPr>
          <w:color w:val="000000"/>
          <w:vertAlign w:val="superscript"/>
        </w:rPr>
        <w:t>28</w:t>
      </w:r>
      <w:r w:rsidRPr="00735FCE">
        <w:rPr>
          <w:color w:val="000000" w:themeColor="text1"/>
        </w:rPr>
        <w:fldChar w:fldCharType="end"/>
      </w:r>
      <w:r w:rsidRPr="00735FCE">
        <w:rPr>
          <w:color w:val="000000" w:themeColor="text1"/>
        </w:rPr>
        <w:t xml:space="preserve">. </w:t>
      </w:r>
      <w:bookmarkStart w:id="14" w:name="_Hlk200558314"/>
      <w:r w:rsidRPr="00735FCE">
        <w:rPr>
          <w:color w:val="000000" w:themeColor="text1"/>
        </w:rPr>
        <w:t>Noteworthy mutations include t</w:t>
      </w:r>
      <w:r>
        <w:rPr>
          <w:color w:val="000000" w:themeColor="text1"/>
        </w:rPr>
        <w:t xml:space="preserve">hose in the </w:t>
      </w:r>
      <w:r w:rsidRPr="00735FCE">
        <w:rPr>
          <w:color w:val="000000" w:themeColor="text1"/>
        </w:rPr>
        <w:t xml:space="preserve">LEP, LEPR, and MC4R genes </w:t>
      </w:r>
      <w:r>
        <w:rPr>
          <w:color w:val="000000" w:themeColor="text1"/>
        </w:rPr>
        <w:t>with</w:t>
      </w:r>
      <w:r w:rsidRPr="00735FCE">
        <w:rPr>
          <w:color w:val="000000" w:themeColor="text1"/>
        </w:rPr>
        <w:t>in the leptin-melanocortin pathway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{"citationID":"sIo3DNxZ","properties":{"formattedCitation":"\\super 29\\nosupersub{}","plainCitation":"29","noteIndex":0},"citationItems":[{"id":3535,"uris":["http://zotero.org/users/9622455/items/MJ6MR9VW"],"itemData":{"id":3535,"type":"article-journal","abstract":"Objective Single gene mutations leading to severe obesity have so far been identified in 3-5% cases in European populations. However, prevalence of these pathogenic mutations has not systematically been examined in specific consanguineous populations. Here we describe the incidence of obesity-associated mutations through a step-wise sequence analysis, in a cohort of 73 Pakistani children with severe obesity from consanguineous families. Methods Initially, all subjects were screened for mutations in coding regions of leptin (LEP) and melanocortin 4 receptor (MC4R) genes by direct sequencing. Subjects negative for mutation in these genes were screened using microdroplet PCR enrichment and NGS. Genomic structural variation was assessed by genotyping. Serum leptin, insulin, and cortisol were determined by ELISA. Results Among 73 children with severe obesity (BMI SDS &gt; 3.0), we identified 22 probands and 5 relatives, carrying 10 different loss-of-function homozygous mutations in LEP, leptin receptor (LEPR), and MC4R genes, including 4 novel variants. Hypercortisolemia was significantly emphasized in LEP mutation carriers. Conclusions The prevalence of pathogenic mutations in genes known to directly influence leptin-melanocortin signaling is 30% in our cohort. The results of this study emphasize the desirability of undertaking systematic and in-depth genetic analysis of cases with severe obesity in specific consanguineous populations.","container-title":"Obesity","DOI":"10.1002/oby.21142","ISSN":"1930-739X","issue":"8","language":"en","license":"© 2015 The Obesity Society","note":"_eprint: https://onlinelibrary.wiley.com/doi/pdf/10.1002/oby.21142","page":"1687-1695","source":"Wiley Online Library","title":"Genetic variants in LEP, LEPR, and MC4R explain 30% of severe obesity in children from a consanguineous population","volume":"23","author":[{"family":"Saeed","given":"Sadia"},{"family":"Bonnefond","given":"Amélie"},{"family":"Manzoor","given":"Jaida"},{"family":"Shabir","given":"Faiza"},{"family":"Ayesha","given":"Hina"},{"family":"Philippe","given":"Julien"},{"family":"Durand","given":"Emmanuelle"},{"family":"Crouch","given":"Hutokshi"},{"family":"Sand","given":"Olivier"},{"family":"Ali","given":"Muhammad"},{"family":"Butt","given":"Taeed"},{"family":"Rathore","given":"Ahsan W."},{"family":"Falchi","given":"Mario"},{"family":"Arslan","given":"Muhammad"},{"family":"Froguel","given":"Philippe"}],"issued":{"date-parts":[["2015"]]}}}],"schema":"https://github.com/citation-style-language/schema/raw/master/csl-citation.json"} </w:instrText>
      </w:r>
      <w:r w:rsidRPr="00735FCE">
        <w:rPr>
          <w:color w:val="000000" w:themeColor="text1"/>
        </w:rPr>
        <w:fldChar w:fldCharType="separate"/>
      </w:r>
      <w:r w:rsidR="00281437" w:rsidRPr="00281437">
        <w:rPr>
          <w:color w:val="000000"/>
          <w:vertAlign w:val="superscript"/>
        </w:rPr>
        <w:t>29</w:t>
      </w:r>
      <w:r w:rsidRPr="00735FCE">
        <w:rPr>
          <w:color w:val="000000" w:themeColor="text1"/>
        </w:rPr>
        <w:fldChar w:fldCharType="end"/>
      </w:r>
      <w:r w:rsidRPr="00735FCE">
        <w:rPr>
          <w:color w:val="000000" w:themeColor="text1"/>
        </w:rPr>
        <w:t xml:space="preserve">. </w:t>
      </w:r>
      <w:bookmarkEnd w:id="14"/>
      <w:r w:rsidRPr="00735FCE">
        <w:rPr>
          <w:color w:val="000000" w:themeColor="text1"/>
        </w:rPr>
        <w:t xml:space="preserve">Those who bear these mutations usually suffer from childhood </w:t>
      </w:r>
      <w:r>
        <w:rPr>
          <w:color w:val="000000" w:themeColor="text1"/>
        </w:rPr>
        <w:t>obesity, marked</w:t>
      </w:r>
      <w:r w:rsidRPr="00735FCE">
        <w:rPr>
          <w:color w:val="000000" w:themeColor="text1"/>
        </w:rPr>
        <w:t xml:space="preserve"> by hyperphagia, and rapid weight accumulation since childhood</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{"citationID":"1BMuP1Hr","properties":{"formattedCitation":"\\super 30\\nosupersub{}","plainCitation":"30","noteIndex":0},"citationItems":[{"id":3538,"uris":["http://zotero.org/users/9622455/items/ACIMGAM9"],"itemData":{"id":3538,"type":"article-journal","abstract":"Summary\nLeptin is secreted by adipocytes in response to fat storage and binds to its receptor (LEPR), which is ubiquitously expressed throughout the body. Leptin regulates energy expenditure and is anorexigenic. In this study, we describe the clinical and hormonal findings of three siblings with a personal history of rapid weight gain during the first months of life. They had delayed puberty, high levels of FSH (15.6 ± 3.7 mUI/mL; reference: 1.5–12.4) and LH (12.3 ± 2.2 mUI/mL; reference: 1.7–8.6), normal oestradiol and total testosterone and successful fertility. None of the patients had dyslipidemia, diabetes or thyroid disease. Next-generation sequencing identified a pathogenic homozygous variant c.2357T&gt;C, p.(Leu786Pro) in LEPR. Their parents and children were heterozygous for this mutation. We compared clinical and biochemical findings of homozygous carriers with first-degree heterozygous family members and ten randomly selected patients with adult-onset morbid obesity. Homozygous carriers of the mutation had significantly higher BMI (32.2 ± 1.7 kg/m2 vs 44.5 ± 7.1 kg/m2, P = 0.023) and increased serum levels of leptin (26.3 ± 9.3 ng/mL vs 80 ± 36.4 ng/mL, P = 0.028) than their heterozygous relatives. Compared with the ten patients with adult-onset morbid obesity, serum levels of leptin were not significantly higher in homozygous carriers (53.8 ± 24.1 ng/mL vs 80 ± 36.4 ng/mL, P = 0.149), and thus serum levels of leptin were not a useful discriminative marker of LEPR mutations. We described a rare three-generation family with monogenic obesity due to a mutation in LEPR. Patients with early onset obesity should be considered for genetic screening, as the identification of mutations may allow personalized treatment options (e.g. MC4R-agonists) and targeted successful weight loss.\n\nLearning points\nnull","container-title":"Endocrinology, Diabetes &amp; Metabolism Case Reports","DOI":"10.1530/EDM-21-0124","ISSN":"2052-0573","journalAbbreviation":"Endocrinol Diabetes Metab Case Rep","note":"PMID: 36001025\nPMCID: PMC9422261","page":"21-0124","source":"PubMed Central","title":"Early onset obesity due to a mutation in the human leptin receptor gene","volume":"2022","author":[{"family":"Chaves","given":"Carolina"},{"family":"Kay","given":"Teresa"},{"family":"Anselmo","given":"João"}],"issued":{"date-parts":[["2022",5,23]]}}}],"schema":"https://github.com/citation-style-language/schema/raw/master/csl-citation.json"} </w:instrText>
      </w:r>
      <w:r w:rsidRPr="00735FCE">
        <w:rPr>
          <w:color w:val="000000" w:themeColor="text1"/>
        </w:rPr>
        <w:fldChar w:fldCharType="separate"/>
      </w:r>
      <w:r w:rsidR="00281437" w:rsidRPr="00281437">
        <w:rPr>
          <w:color w:val="000000"/>
          <w:vertAlign w:val="superscript"/>
        </w:rPr>
        <w:t>30</w:t>
      </w:r>
      <w:r w:rsidRPr="00735FCE">
        <w:rPr>
          <w:color w:val="000000" w:themeColor="text1"/>
        </w:rPr>
        <w:fldChar w:fldCharType="end"/>
      </w:r>
      <w:r w:rsidRPr="00735FCE">
        <w:rPr>
          <w:color w:val="000000" w:themeColor="text1"/>
        </w:rPr>
        <w:t>. The obesity caused by the combined impact of gene variants, most of which contribute modestly to</w:t>
      </w:r>
      <w:r>
        <w:rPr>
          <w:color w:val="000000" w:themeColor="text1"/>
        </w:rPr>
        <w:t xml:space="preserve"> the risk of</w:t>
      </w:r>
      <w:r w:rsidRPr="00735FCE">
        <w:rPr>
          <w:color w:val="000000" w:themeColor="text1"/>
        </w:rPr>
        <w:t xml:space="preserve"> obesity, is referred to as polygenic obesity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{"citationID":"rlCJpnTF","properties":{"formattedCitation":"\\super 31\\nosupersub{}","plainCitation":"31","noteIndex":0},"citationItems":[{"id":3540,"uris":["http://zotero.org/users/9622455/items/KIMTFPMK"],"itemData":{"id":3540,"type":"article-journal","abstract":"The molecular genetic analysis of obesity has led to the identification of a limited number of confirmed major genes. While such major genes have a clear influence on the development of the phenotype, the underlying mutations are however (extremely) infrequent and thus of minor clinical importance only. The genetic predisposition to obesity must thus be polygenic; a number of such variants should be found in most obese subjects; however, these variants predisposing to obesity are also found in normal weight and even lean individuals. Therefore, a polygene can only be identified and validated by statistical analyses: the appropriate gene variant (allele) occurs more frequently in obese than in non-obese subjects. Each single polygene makes only a small contribution to the development of obesity. The 103Ile allele of the Val103Ile single nucleotide polymorphism (SNP) of the melanocortin-4 receptor gene (MC4R) was the first confirmed polygenetic variant with an influence on the body mass index (BMI); the more common Val103 allele is more frequent in obese individuals. As determined in a recent, large-scaled meta-analysis the effect size of this allele on mean BMI was approximately –0.5 kg/m2. The first genome-wide association study (GWA) for obesity, based on approximately 100,000 SNPs analyzed in families of the Framingham study, revealed that a SNP in the proximity of the insulin-induced gene 2 (INSIG2) was associated with obesity. The positive result was replicated in independent samples; however, some other study groups detected no association. Currently, a meta-analysis is ongoing; its result will contribute to the evaluation of the importance of the INSIG2 polymorphism in body weight regulation. SNP alleles in intron 1 of the fat mass and obesity associated gene (FTO) confer the most relevant polygenic effect on obesity. In the first GWA for extreme early onset obesity we substantiated that variation in FTO strongly contributes to early onset obesity.","container-title":"Obesity Facts","DOI":"10.1159/000113935","ISSN":"1662-4025","issue":"1","journalAbbreviation":"Obes Facts","note":"PMID: 20054160\nPMCID: PMC6444787","page":"35-42","source":"PubMed Central","title":"Polygenic Obesity in Humans","volume":"1","author":[{"family":"Hinney","given":"Anke"},{"family":"Hebebrand","given":"Johannes"}],"issued":{"date-parts":[["2008",3]]}}}],"schema":"https://github.com/citation-style-language/schema/raw/master/csl-citation.json"} </w:instrText>
      </w:r>
      <w:r w:rsidRPr="00735FCE">
        <w:rPr>
          <w:color w:val="000000" w:themeColor="text1"/>
        </w:rPr>
        <w:fldChar w:fldCharType="separate"/>
      </w:r>
      <w:r w:rsidR="00281437" w:rsidRPr="00281437">
        <w:rPr>
          <w:color w:val="000000"/>
          <w:vertAlign w:val="superscript"/>
        </w:rPr>
        <w:t>31</w:t>
      </w:r>
      <w:r w:rsidRPr="00735FCE">
        <w:rPr>
          <w:color w:val="000000" w:themeColor="text1"/>
        </w:rPr>
        <w:fldChar w:fldCharType="end"/>
      </w:r>
      <w:r w:rsidRPr="00735FCE">
        <w:rPr>
          <w:color w:val="000000" w:themeColor="text1"/>
        </w:rPr>
        <w:t xml:space="preserve">. It is the </w:t>
      </w:r>
      <w:r>
        <w:rPr>
          <w:color w:val="000000" w:themeColor="text1"/>
        </w:rPr>
        <w:t xml:space="preserve">most prevalent </w:t>
      </w:r>
      <w:r w:rsidRPr="00735FCE">
        <w:rPr>
          <w:color w:val="000000" w:themeColor="text1"/>
        </w:rPr>
        <w:t xml:space="preserve">form of obesity among the </w:t>
      </w:r>
      <w:r>
        <w:rPr>
          <w:color w:val="000000" w:themeColor="text1"/>
        </w:rPr>
        <w:t>population</w:t>
      </w:r>
      <w:r w:rsidRPr="00735FCE">
        <w:rPr>
          <w:color w:val="000000" w:themeColor="text1"/>
        </w:rPr>
        <w:t xml:space="preserve">. Numerous gene variations that modify the risk of </w:t>
      </w:r>
      <w:r>
        <w:rPr>
          <w:color w:val="000000" w:themeColor="text1"/>
        </w:rPr>
        <w:t>increas</w:t>
      </w:r>
      <w:r w:rsidRPr="00735FCE">
        <w:rPr>
          <w:color w:val="000000" w:themeColor="text1"/>
        </w:rPr>
        <w:t xml:space="preserve">ed waist circumference </w:t>
      </w:r>
      <w:r>
        <w:rPr>
          <w:color w:val="000000" w:themeColor="text1"/>
        </w:rPr>
        <w:t>affect</w:t>
      </w:r>
      <w:r w:rsidRPr="00735FCE">
        <w:rPr>
          <w:color w:val="000000" w:themeColor="text1"/>
        </w:rPr>
        <w:t xml:space="preserve"> the average BMI of a population</w:t>
      </w:r>
      <w:r>
        <w:rPr>
          <w:color w:val="000000" w:themeColor="text1"/>
        </w:rPr>
        <w:t>,</w:t>
      </w:r>
      <w:r w:rsidRPr="00735FCE">
        <w:rPr>
          <w:color w:val="000000" w:themeColor="text1"/>
        </w:rPr>
        <w:t xml:space="preserve"> </w:t>
      </w:r>
      <w:r>
        <w:rPr>
          <w:color w:val="000000" w:themeColor="text1"/>
        </w:rPr>
        <w:t>as</w:t>
      </w:r>
      <w:r w:rsidRPr="00735FCE">
        <w:rPr>
          <w:color w:val="000000" w:themeColor="text1"/>
        </w:rPr>
        <w:t xml:space="preserve"> highlighted in studies based on the entire genome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{"citationID":"pMetEJmI","properties":{"formattedCitation":"\\super 32\\uc0\\u8211{}34\\nosupersub{}","plainCitation":"32–34","noteIndex":0},"citationItems":[{"id":3547,"uris":["http://zotero.org/users/9622455/items/H6IC2N5B"],"itemData":{"id":3547,"type":"article-journal","abstract":"BackgroundObesity is a major health problem. Although heritability is substantial, genetic mechanisms predisposing to obesity are not very well understood. We have performed a genome wide association study (GWA) for early onset (extreme) obesity.Methodology/Principal Findingsa) GWA (Genome-Wide Human SNP Array 5.0 comprising 440,794 single nucleotide polymorphisms) for early onset extreme obesity based on 487 extremely obese young German indiv</w:instrText>
      </w:r>
      <w:r w:rsidR="00281437">
        <w:rPr>
          <w:rFonts w:hint="eastAsia"/>
          <w:color w:val="000000" w:themeColor="text1"/>
        </w:rPr>
        <w:instrText xml:space="preserve">iduals and 442 healthy lean German controls; b) confirmatory analyses on 644 independent families with at least one obese offspring and both parents. We aimed to identify and subsequently confirm the 15 SNPs (minor allele frequency </w:instrText>
      </w:r>
      <w:r w:rsidR="00281437">
        <w:rPr>
          <w:rFonts w:hint="eastAsia"/>
          <w:color w:val="000000" w:themeColor="text1"/>
        </w:rPr>
        <w:instrText>≥</w:instrText>
      </w:r>
      <w:r w:rsidR="00281437">
        <w:rPr>
          <w:rFonts w:hint="eastAsia"/>
          <w:color w:val="000000" w:themeColor="text1"/>
        </w:rPr>
        <w:instrText>10%) with the lowest p</w:instrText>
      </w:r>
      <w:r w:rsidR="00281437">
        <w:rPr>
          <w:color w:val="000000" w:themeColor="text1"/>
        </w:rPr>
        <w:instrText xml:space="preserve">-values of the GWA by four genetic models: additive, recessive, dominant and allelic. Six single nucleotide polymorphisms (SNPs) in FTO (fat mass and obesity associated gene) within one linkage disequilibrium (LD) block including the GWA SNP rendering the lowest p-value (rs1121980; log-additive model: nominal p = 1.13×10−7, corrected p = 0.0494; odds ratio (OR)CT 1.67, 95% confidence interval (CI) 1.22–2.27; ORTT 2.76, 95% CI 1.88–4.03) belonged to the 15 SNPs showing the strongest evidence for association with obesity. For confirmation we genotyped 11 of these in the 644 independent families (of the six FTO SNPs we chose only two representing the LD bock). For both FTO SNPs the initial association was confirmed (both Bonferroni corrected p&lt;0.01). However, none of the nine non-FTO SNPs revealed significant transmission disequilibrium.Conclusions/SignificanceOur GWA for extreme early onset obesity substantiates that variation in FTO strongly contributes to early onset obesity. This is a further proof of concept for GWA to detect genes relevant for highly complex phenotypes. We concurrently show that nine additional SNPs with initially low p-values in the GWA were not confirmed in our family study, thus suggesting that of the best 15 SNPs in the GWA only the FTO SNPs represent true positive findings.","container-title":"PLOS ONE","DOI":"10.1371/journal.pone.0001361","ISSN":"1932-6203","issue":"12","journalAbbreviation":"PLOS ONE","language":"en","note":"publisher: Public Library of Science","page":"e1361","source":"PLoS Journals","title":"Genome Wide Association (GWA) Study for Early Onset Extreme Obesity Supports the Role of Fat Mass and Obesity Associated Gene (FTO) Variants","volume":"2","author":[{"family":"Hinney","given":"Anke"},{"family":"Nguyen","given":"Thuy Trang"},{"family":"Scherag","given":"André"},{"family":"Friedel","given":"Susann"},{"family":"Brönner","given":"Günter"},{"family":"Müller","given":"Timo Dirk"},{"family":"Grallert","given":"Harald"},{"family":"Illig","given":"Thomas"},{"family":"Wichmann","given":"H.-Erich"},{"family":"Rief","given":"Winfried"},{"family":"Schäfer","given":"Helmut"},{"family":"Hebebrand","given":"Johannes"}],"issued":{"date-parts":[["2007",12,26]]}}},{"id":3543,"uris":["http://zotero.org/users/9622455/items/UYN2795Q"],"itemData":{"id":3543,"type":"article-journal","abstract":"Recently an association was demonstrated between the single nucleotide polymorphism (SNP), rs9939609, within the FTO locus and obesity as a consequence of a genome wide association (GWA) study of type 2 diabetes in adults. We examined the effects of two perfect surrogates for this SNP plus 11 other SNPs at this locus with respect to our childhood obesity cohort, consisting of both Caucasians and African Americans (AA). Utilizing data from </w:instrText>
      </w:r>
      <w:r w:rsidR="00281437">
        <w:rPr>
          <w:rFonts w:hint="eastAsia"/>
          <w:color w:val="000000" w:themeColor="text1"/>
        </w:rPr>
        <w:instrText>our ongoing GWA study in our cohort of 418 Caucasian obese children (BMI</w:instrText>
      </w:r>
      <w:r w:rsidR="00281437">
        <w:rPr>
          <w:rFonts w:hint="eastAsia"/>
          <w:color w:val="000000" w:themeColor="text1"/>
        </w:rPr>
        <w:instrText>≥</w:instrText>
      </w:r>
      <w:r w:rsidR="00281437">
        <w:rPr>
          <w:rFonts w:hint="eastAsia"/>
          <w:color w:val="000000" w:themeColor="text1"/>
        </w:rPr>
        <w:instrText>95th percentile), 2,270 Caucasian controls (BMI&lt;95th percentile), 578 AA obese children and 1,424 AA controls, we investigated the association of the previously reported variation at</w:instrText>
      </w:r>
      <w:r w:rsidR="00281437">
        <w:rPr>
          <w:color w:val="000000" w:themeColor="text1"/>
        </w:rPr>
        <w:instrText xml:space="preserve"> the FTO locus with the childhood form of this disease in both ethnicities. The minor allele frequencies (MAF) of rs8050136 and rs3751812 (perfect surrogates for rs9939609 i.e. both r2 = 1) in the Caucasian cases were 0.448 and 0.443 respectively while they were 0.391 and 0.386 in Caucasian controls respectively, yielding for both an odds ratio (OR) of 1.27 (95% CI 1.08–1.47; P = 0.0022). Furthermore, the MAFs of rs8050136 and rs3751812 in the AA cases were 0.449 and 0.115 respectively while they were 0.436 and 0.090 in AA controls respectively, yielding an OR of 1.05 (95% CI 0.91–1.21; P = 0.49) and of 1.31 (95% CI 1.050–1.643; P = 0.017) respectively. Investigating all 13 SNPs present on the Illumina HumanHap550 BeadChip in this region of linkage disequilibrium, rs3751812 was the only SNP conferring significant risk in AA. We have therefore replicated and refined the association in an AA cohort and distilled a tag-SNP, rs3751812, which captures the ancestral origin of the actual mutation. As such, variants in the FTO gene confer a similar magnitude of risk of obesity to children as to their adult counterparts and appear to have a global impact.","container-title":"PLOS ONE","DOI":"10.1371/journal.pone.0001746","ISSN":"1932-6203","issue":"3","journalAbbreviation":"PLOS ONE","language":"en","note":"publisher: Public Library of Science","page":"e1746","source":"PLoS Journals","title":"Association Analysis of the FTO Gene with Obesity in Children of Caucasian and African Ancestry Reveals a Common Tagging SNP","volume":"3","author":[{"family":"Grant","given":"Struan F. A."},{"family":"Li","given":"Mingyao"},{"family":"Bradfield","given":"Jonathan P."},{"family":"Kim","given":"Cecilia E."},{"family":"Annaiah","given":"Kiran"},{"family":"Santa","given":"Erin"},{"family":"Glessner","given":"Joseph T."},{"family":"Casalunovo","given":"Tracy"},{"family":"Frackelton","given":"Edward C."},{"family":"Otieno","given":"F. George"},{"family":"Shaner","given":"Julie L."},{"family":"Smith","given":"Ryan M."},{"family":"Imielinski","given":"Marcin"},{"family":"Eckert","given":"Andrew W."},{"family":"Chiavacci","given":"Rosetta M."},{"family":"Berkowitz","given":"Robert I."},{"family":"Hakonarson","given":"Hakon"}],"issued":{"date-parts":[["2008",3,12]]}}},{"id":3545,"uris":["http://zotero.org/users/9622455/items/GQQ6LNW2"],"itemData":{"id":3545,"type":"article-journal","abstract":"Gudmar Thorleifsson and colleagues report results of a large-scale genome-wide association and replication study for obesity-related traits. The newly discovered loci are enriched for genes expressed in the central nervous system, and may thus contribute to weight gain by modulating food intake. Similar results are reported in a related study by Joel Hirschhorn and colleagues.","container-title":"Nature Genetics","DOI":"10.1038/ng.274","ISSN":"1546-1718","issue":"1","journalAbbreviation":"Nat Genet","language":"en","license":"2008 Springer Nature America, Inc.","note":"publisher: Nature Publishing Group","page":"18-24","source":"www.nature.com","title":"Genome-wide association yields new sequence variants at seven loci that associate with measures of obesity","volume":"41","author":[{"family":"Thorleifsson","given":"Gudmar"},{"family":"Walters","given":"G. Bragi"},{"family":"Gudbjartsson","given":"Daniel F."},{"family":"Steinthorsdottir","given":"Valgerdur"},{"family":"Sulem","given":"Patrick"},{"family":"Helgadottir","given":"Anna"},{"family":"Styrkarsdottir","given":"Unnur"},{"family":"Gretarsdottir","given":"Solveig"},{"family":"Thorlacius","given":"Steinunn"},{"family":"Jonsdottir","given":"Ingileif"},{"family":"Jonsdottir","given":"Thorbjorg"},{"family":"Olafsdottir","given":"Elinborg J."},{"family":"Olafsdottir","given":"Gudridur H."},{"family":"Jonsson","given":"Thorvaldur"},{"family":"Jonsson","given":"Frosti"},{"family":"Borch-Johnsen","given":"Knut"},{"family":"Hansen","given":"Torben"},{"family":"Andersen","given":"Gitte"},{"family":"Jorgensen","given":"Torben"},{"family":"Lauritzen","given":"Torsten"},{"family":"Aben","given":"Katja K."},{"family":"Verbeek","given":"André LM"},{"family":"Roeleveld","given":"Nel"},{"family":"Kampman","given":"Ellen"},{"family":"Yanek","given":"Lisa R."},{"family":"Becker","given":"Lewis C."},{"family":"Tryggvadottir","given":"Laufey"},{"family":"Rafnar","given":"Thorunn"},{"family":"Becker","given":"Diane M."},{"family":"Gulcher","given":"Jeffrey"},{"family":"Kiemeney","given":"Lambertus A."},{"family":"Pedersen","given":"Oluf"},{"family":"Kong","given":"Augustine"},{"family":"Thorsteinsdottir","given":"Unnur"},{"family":"Stefansson","given":"Kari"}],"issued":{"date-parts":[["2009",1]]}}}],"schema":"https://github.com/citation-style-language/schema/raw/master/csl-citation.json"} </w:instrText>
      </w:r>
      <w:r w:rsidRPr="00735FCE">
        <w:rPr>
          <w:color w:val="000000" w:themeColor="text1"/>
        </w:rPr>
        <w:fldChar w:fldCharType="separate"/>
      </w:r>
      <w:r w:rsidR="00281437" w:rsidRPr="00281437">
        <w:rPr>
          <w:color w:val="000000"/>
          <w:vertAlign w:val="superscript"/>
        </w:rPr>
        <w:t>32–34</w:t>
      </w:r>
      <w:r w:rsidRPr="00735FCE">
        <w:rPr>
          <w:color w:val="000000" w:themeColor="text1"/>
        </w:rPr>
        <w:fldChar w:fldCharType="end"/>
      </w:r>
      <w:r w:rsidRPr="00735FCE">
        <w:rPr>
          <w:color w:val="000000" w:themeColor="text1"/>
        </w:rPr>
        <w:t xml:space="preserve">. Syndromic obesity is also associated with other genetic syndromes, such as Prader-Willi and Bardet-Biedl, where obesity is one of </w:t>
      </w:r>
      <w:r>
        <w:rPr>
          <w:color w:val="000000" w:themeColor="text1"/>
        </w:rPr>
        <w:t>many</w:t>
      </w:r>
      <w:r w:rsidRPr="00735FCE">
        <w:rPr>
          <w:color w:val="000000" w:themeColor="text1"/>
        </w:rPr>
        <w:t xml:space="preserve"> clinical features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{"citationID":"0BuN06Ah","properties":{"formattedCitation":"\\super 35\\nosupersub{}","plainCitation":"35","noteIndex":0},"citationItems":[{"id":3552,"uris":["http://zotero.org/users/9622455/items/3TW5MNCG"],"itemData":{"id":3552,"type":"article-journal","abstract":"Constitutional obesity and mental retardation cooccur in several multiple congenital anomaly syndromes, including Prader–Willi syndrome, Bardet–Biedl syndrome, Cohen syndrome, Albright hereditary osteodystrophy, and Borjeson–Forssman–Lehmann syndrome as well as some rarer disorders. Although hypothalamic–pituitary axis abnormalities are thought to be a possible causative mechanism in some of these disorders, current knowledge is insufficient to explain the pathophysiologic mechanism of obesity in most multiple congenital anomaly/mental retardation syndromes. The chromosomal location of many of these syndromes is known, and studies are ongoing to identify the causative genes. Further delineation of the functions of the underlying genes will likely be instructive regarding mechanisms of appetite, satiety, and obesity in the general population. This review details current knowledge of the clinical and molecular genetic findings of multiple congenital anomaly/mental retardation syndromes associated with intrinsic obesity in an effort to delineate causative mechanisms and genetic abnormalities contributing to obesity.","container-title":"Behavior Genetics","DOI":"10.1023/A:1025683829856","ISSN":"1573-3297","issue":"4","journalAbbreviation":"Behav Genet","language":"en","page":"307-324","source":"Springer Link","title":"Prader–Willi and Other Syndromes Associated with Obesity and Mental Retardation","volume":"27","author":[{"family":"Gunay-Aygun","given":"M."},{"family":"Cassidy","given":"S. B."},{"family":"Nicholls","given":"R. D."}],"issued":{"date-parts":[["1997",7,1]]}}}],"schema":"https://github.com/citation-style-language/schema/raw/master/csl-citation.json"} </w:instrText>
      </w:r>
      <w:r w:rsidRPr="00735FCE">
        <w:rPr>
          <w:color w:val="000000" w:themeColor="text1"/>
        </w:rPr>
        <w:fldChar w:fldCharType="separate"/>
      </w:r>
      <w:r w:rsidR="00281437" w:rsidRPr="00281437">
        <w:rPr>
          <w:color w:val="000000"/>
          <w:vertAlign w:val="superscript"/>
        </w:rPr>
        <w:t>35</w:t>
      </w:r>
      <w:r w:rsidRPr="00735FCE">
        <w:rPr>
          <w:color w:val="000000" w:themeColor="text1"/>
        </w:rPr>
        <w:fldChar w:fldCharType="end"/>
      </w:r>
      <w:r w:rsidRPr="00735FCE">
        <w:rPr>
          <w:color w:val="000000" w:themeColor="text1"/>
        </w:rPr>
        <w:t xml:space="preserve">. These explain the inheritability of obesity alongside the need for thorough research </w:t>
      </w:r>
      <w:r>
        <w:rPr>
          <w:color w:val="000000" w:themeColor="text1"/>
        </w:rPr>
        <w:t>on</w:t>
      </w:r>
      <w:r w:rsidRPr="00735FCE">
        <w:rPr>
          <w:color w:val="000000" w:themeColor="text1"/>
        </w:rPr>
        <w:t xml:space="preserve"> the genetics of obesity.</w:t>
      </w:r>
    </w:p>
    <w:p w14:paraId="4DDD01B5" w14:textId="19F13BC6" w:rsidR="009117C0" w:rsidRPr="00735FCE" w:rsidRDefault="009117C0" w:rsidP="00594274">
      <w:pPr>
        <w:ind w:firstLine="720"/>
        <w:jc w:val="left"/>
        <w:rPr>
          <w:color w:val="000000" w:themeColor="text1"/>
        </w:rPr>
      </w:pPr>
      <w:r w:rsidRPr="00735FCE">
        <w:rPr>
          <w:color w:val="000000" w:themeColor="text1"/>
        </w:rPr>
        <w:lastRenderedPageBreak/>
        <w:t>Aside from heritable traits, obesity is primarily influenced by early</w:t>
      </w:r>
      <w:r>
        <w:rPr>
          <w:color w:val="000000" w:themeColor="text1"/>
        </w:rPr>
        <w:t>-</w:t>
      </w:r>
      <w:r w:rsidRPr="00735FCE">
        <w:rPr>
          <w:color w:val="000000" w:themeColor="text1"/>
        </w:rPr>
        <w:t>life exposures and epigenetic modifications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{"citationID":"hg2qSEF3","properties":{"formattedCitation":"\\super 36\\nosupersub{}","plainCitation":"36","noteIndex":0},"citationItems":[{"id":3554,"uris":["http://zotero.org/users/9622455/items/SYFRSX7J"],"itemData":{"id":3554,"type":"article-journal","abstract":"Obesity has become a global epidemic that has a negative impact on population health and the economy of nations. Genetic predispositions have been demonstrated to have a substantial role in the unbalanced energy metabolism seen in obesity. However, these genetic variations cannot entirely explain the massive growth in obesity over the last few decades. Accumulating evidence suggests that modern lifestyle characteristics such as the intake of energy-dense foods, adopting sedentary behavior, or exposure to environmental factors such as industrial endocrine disruptors all contribute to the rising obesity epidemic. Recent advances in the study of DNA and its alterations have considerably increased our understanding of the function of epigenetics in regulating energy metabolism and expenditure in obesity and metabolic diseases. These epigenetic modifications influence how DNA is transcribed without altering its sequence. They are dynamic, reflecting the interplay between the body and its surroundings. Notably, these epigenetic changes are reversible, making them appealing targets for therapeutic and corrective interventions. In this review, I discuss how these epigenetic modifications contribute to the disordered energy metabolism in obesity and to what degree lifestyle and weight reduction strategies and pharmacological drugs can restore energy balance by restoring normal epigenetic profiles.","container-title":"International Journal of Molecular Sciences","DOI":"10.3390/ijms23031341","ISSN":"1422-0067","issue":"3","journalAbbreviation":"Int J Mol Sci","note":"PMID: 35163268\nPMCID: PMC8836029","page":"1341","source":"PubMed Central","title":"An Overview of Epigenetics in Obesity: The Role of Lifestyle and Therapeutic Interventions","title-short":"An Overview of Epigenetics in Obesity","volume":"23","author":[{"family":"Mahmoud","given":"Abeer M."}],"issued":{"date-parts":[["2022",1,25]]}}}],"schema":"https://github.com/citation-style-language/schema/raw/master/csl-citation.json"} </w:instrText>
      </w:r>
      <w:r w:rsidRPr="00735FCE">
        <w:rPr>
          <w:color w:val="000000" w:themeColor="text1"/>
        </w:rPr>
        <w:fldChar w:fldCharType="separate"/>
      </w:r>
      <w:r w:rsidR="00281437" w:rsidRPr="00281437">
        <w:rPr>
          <w:color w:val="000000"/>
          <w:vertAlign w:val="superscript"/>
        </w:rPr>
        <w:t>36</w:t>
      </w:r>
      <w:r w:rsidRPr="00735FCE">
        <w:rPr>
          <w:color w:val="000000" w:themeColor="text1"/>
        </w:rPr>
        <w:fldChar w:fldCharType="end"/>
      </w:r>
      <w:r w:rsidRPr="00735FCE">
        <w:rPr>
          <w:color w:val="000000" w:themeColor="text1"/>
        </w:rPr>
        <w:t>. Metabolic pathways related to overweight or obes</w:t>
      </w:r>
      <w:r>
        <w:rPr>
          <w:color w:val="000000" w:themeColor="text1"/>
        </w:rPr>
        <w:t>ity</w:t>
      </w:r>
      <w:r w:rsidRPr="00735FCE">
        <w:rPr>
          <w:color w:val="000000" w:themeColor="text1"/>
        </w:rPr>
        <w:t xml:space="preserve"> can be influenced by DNA methylation and histone modification</w:t>
      </w:r>
      <w:r>
        <w:rPr>
          <w:color w:val="000000" w:themeColor="text1"/>
        </w:rPr>
        <w:t>,</w:t>
      </w:r>
      <w:r w:rsidRPr="00735FCE">
        <w:rPr>
          <w:color w:val="000000" w:themeColor="text1"/>
        </w:rPr>
        <w:t xml:space="preserve"> which facilitate </w:t>
      </w:r>
      <w:r>
        <w:rPr>
          <w:color w:val="000000" w:themeColor="text1"/>
        </w:rPr>
        <w:t xml:space="preserve">changes in </w:t>
      </w:r>
      <w:r w:rsidRPr="00735FCE">
        <w:rPr>
          <w:color w:val="000000" w:themeColor="text1"/>
        </w:rPr>
        <w:t>gene expression without altering the underlying DNA sequence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{"citationID":"Ht0Cg5VW","properties":{"formattedCitation":"\\super 37\\nosupersub{}","plainCitation":"37","noteIndex":0},"citationItems":[{"id":3557,"uris":["http://zotero.org/users/9622455/items/WC89FKSK"],"itemData":{"id":3557,"type":"article-journal","abstract":"Epigenetics regulates gene expression and has been confirmed to play a critical role in a variety of metabolic diseases, such as diabetes, obesity, non-alcoholic fatty liver disease (NAFLD), osteoporosis, gout, hyperthyroidism, hypothyroidism and others. The term ‘epigenetics’ was firstly proposed in 1942 and with the development of technologies, the exploration of epigenetics has made great progresses. There are four main epigenetic mechanisms, including DNA methylation, histone modification, chromatin remodelling, and noncoding RNA (ncRNA), which exert different effects on metabolic diseases. Genetic and non-genetic factors, including ageing, diet, and exercise, interact with epigenetics and jointly affect the formation of a phenotype. Understanding epigenetics could be applied to diagnosing and treating metabolic diseases in the clinic, including epigenetic biomarkers, epigenetic drugs, and epigenetic editing. In this review, we introduce the brief history of epigenetics as well as the milestone events since the proposal of the term ‘epigenetics’. Moreover, we summarise the research methods of epigenetics and introduce four main general mechanisms of epigenetic modulation. Furthermore, we summarise epigenetic mechanisms in metabolic diseases and introduce the interaction between epigenetics and genetic or non-genetic factors. Finally, we introduce the clinical trials and applications of epigenetics in metabolic diseases.","container-title":"Signal Transduction and Targeted Therapy","DOI":"10.1038/s41392-023-01333-7","ISSN":"2059-3635","issue":"1","journalAbbreviation":"Sig Transduct Target Ther","language":"en","license":"2023 The Author(s)","note":"publisher: Nature Publishing Group","page":"1-27","source":"www.nature.com","title":"Epigenetic regulation in metabolic diseases: mechanisms and advances in clinical study","title-short":"Epigenetic regulation in metabolic diseases","volume":"8","author":[{"family":"Wu","given":"Yan-Lin"},{"family":"Lin","given":"Zheng-Jun"},{"family":"Li","given":"Chang-Chun"},{"family":"Lin","given":"Xiao"},{"family":"Shan","given":"Su-Kang"},{"family":"Guo","given":"Bei"},{"family":"Zheng","given":"Ming-Hui"},{"family":"Li","given":"Fuxingzi"},{"family":"Yuan","given":"Ling-Qing"},{"family":"Li","given":"Zhi-hong"}],"issued":{"date-parts":[["2023",3,2]]}}}],"schema":"https://github.com/citation-style-language/schema/raw/master/csl-citation.json"} </w:instrText>
      </w:r>
      <w:r w:rsidRPr="00735FCE">
        <w:rPr>
          <w:color w:val="000000" w:themeColor="text1"/>
        </w:rPr>
        <w:fldChar w:fldCharType="separate"/>
      </w:r>
      <w:r w:rsidR="00281437" w:rsidRPr="00281437">
        <w:rPr>
          <w:color w:val="000000"/>
          <w:vertAlign w:val="superscript"/>
        </w:rPr>
        <w:t>37</w:t>
      </w:r>
      <w:r w:rsidRPr="00735FCE">
        <w:rPr>
          <w:color w:val="000000" w:themeColor="text1"/>
        </w:rPr>
        <w:fldChar w:fldCharType="end"/>
      </w:r>
      <w:r w:rsidRPr="00735FCE">
        <w:rPr>
          <w:color w:val="000000" w:themeColor="text1"/>
        </w:rPr>
        <w:t xml:space="preserve">. </w:t>
      </w:r>
      <w:bookmarkStart w:id="15" w:name="_Hlk200559454"/>
      <w:r w:rsidRPr="00735FCE">
        <w:rPr>
          <w:color w:val="000000" w:themeColor="text1"/>
        </w:rPr>
        <w:t xml:space="preserve">Overnutrition, smoking in pregnancy, and gestational diabetes </w:t>
      </w:r>
      <w:bookmarkEnd w:id="15"/>
      <w:r w:rsidRPr="00735FCE">
        <w:rPr>
          <w:color w:val="000000" w:themeColor="text1"/>
        </w:rPr>
        <w:t>are maternal factors known to increase the risk</w:t>
      </w:r>
      <w:r>
        <w:rPr>
          <w:color w:val="000000" w:themeColor="text1"/>
        </w:rPr>
        <w:t>s</w:t>
      </w:r>
      <w:r w:rsidRPr="00735FCE">
        <w:rPr>
          <w:color w:val="000000" w:themeColor="text1"/>
        </w:rPr>
        <w:t xml:space="preserve"> of obesity in children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{"citationID":"yIzCDDZW","properties":{"formattedCitation":"\\super 38\\nosupersub{}","plainCitation":"38","noteIndex":0},"citationItems":[{"id":3559,"uris":["http://zotero.org/users/9622455/items/KF38UPRD"],"itemData":{"id":3559,"type":"article-journal","abstract":"Background and Objectives: Childhood obesity is a global public health concern with long-term and serious health implications. An important factor for childhood obesity is maternal gestational diabetes mellitus (GDM), which in turn impacts maternal and offspring long-term health. This study aimed to investigate the associations between maternal GDM and childhood weight status and multiple anthropometric and sociodemographic factors and perinatal outcomes. Materials and Methods: A total of 5348 children aged 2–5 years old and their paired mothers took part in the study. Questionnaires were utilized to evaluate the sociodemographic factors and perinatal outcomes as well as smoking habits, educational level, economic status, age, and parity status. Children’s anthropometric parameters were measured, and maternal medical history, preterm birth records, and anthropometric measures during pregnancy were retrieved by their medical records. Results: Overall, 16.4% of the children aged at 2–5 years were overweight, and 8.2% of them were affected by obesity, leading to a total 24.6% of children with overweight/obesity. Further, 5.5% of the enrolled mothers were diagnosed with gestational diabetes mellitus. GDM doubles the probability of childhood overweight/obesity at ages 2–5 years old independently of multiple confounding factors. Pre-pregnancy overweight and obesity, older maternal age, and smoking are risk factors for GDM, while GDM additionally increases the risk of preterm birth. Children of mothers that developed GDM were at greater risk of overweight or obesity, with the association between GDM and offspring’s weight status being independent of confounding factors. Conclusions: GDM is a severe public health issue with prolonged complications for both the mother and their children. Public health approaches and programs need to promote the negative role of pre-pregnancy weight and smoking status as well as the significance of a good glycemic control throughout gestation in women of childbearing age.","container-title":"Medicina","DOI":"10.3390/medicina59030455","ISSN":"1010-660X","issue":"3","journalAbbreviation":"Medicina (Kaunas)","note":"PMID: 36984456\nPMCID: PMC10051905","page":"455","source":"PubMed Central","title":"Maternal Gestational Diabetes Is Associated with High Risk of Childhood Overweight and Obesity: A Cross-Sectional Study in Pre-School Children Aged 2–5 Years","title-short":"Maternal Gestational Diabetes Is Associated with High Risk of Childhood Overweight and Obesity","volume":"59","author":[{"family":"Mantzorou","given":"Maria"},{"family":"Papandreou","given":"Dimitrios"},{"family":"Pavlidou","given":"Eleni"},{"family":"Papadopoulou","given":"Sousana K."},{"family":"Tolia","given":"Maria"},{"family":"Mentzelou","given":"Maria"},{"family":"Poutsidi","given":"Antigoni"},{"family":"Antasouras","given":"Georgios"},{"family":"Vasios","given":"Georgios K."},{"family":"Giaginis","given":"Constantinos"}],"issued":{"date-parts":[["2023",2,24]]}}}],"schema":"https://github.com/citation-style-language/schema/raw/master/csl-citation.json"} </w:instrText>
      </w:r>
      <w:r w:rsidRPr="00735FCE">
        <w:rPr>
          <w:color w:val="000000" w:themeColor="text1"/>
        </w:rPr>
        <w:fldChar w:fldCharType="separate"/>
      </w:r>
      <w:r w:rsidR="00281437" w:rsidRPr="00281437">
        <w:rPr>
          <w:color w:val="000000"/>
          <w:vertAlign w:val="superscript"/>
        </w:rPr>
        <w:t>38</w:t>
      </w:r>
      <w:r w:rsidRPr="00735FCE">
        <w:rPr>
          <w:color w:val="000000" w:themeColor="text1"/>
        </w:rPr>
        <w:fldChar w:fldCharType="end"/>
      </w:r>
      <w:r w:rsidRPr="00735FCE">
        <w:rPr>
          <w:color w:val="000000" w:themeColor="text1"/>
        </w:rPr>
        <w:t>. These factors have the potential to cause epigenetic modifications that make children more susceptible to body weight gain and other metabolic disorders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{"citationID":"ExHVX9X2","properties":{"formattedCitation":"\\super 39\\nosupersub{}","plainCitation":"39","noteIndex":0},"citationItems":[{"id":3562,"uris":["http://zotero.org/users/9622455/items/Q3BGTPM2"],"itemData":{"id":3562,"type":"article-journal","abstract":"Background:\nFetal exposure to parental smoking may have long-term impact on the development of disease in adulthood. We examined the association of parental smoking during pregnancy with risk of gestational diabetes mellitus (GDM) in the daughter.\n, \nMethods:\nWe included 15 665 singleton pregnancies from 10 152 women in the Nurses' Health Study II cohort whose mothers participated in the Nurses’ Mothers’ Cohort Study. Data on maternal and paternal smoking during pregnancy and associated covariates were recalled by the mothers. GDM diagnosis was self-reported by the daughters and was validated by medical record review in a previous study. We used log-binomial models with generalized estimating equations to estimate relative risks (RRs) and 95% confidence intervals (CIs).\n, \nResults:\nWe observed a positive association between maternal heavy smoking during pregnancy and risk of GDM in the daughter. The multivariable-adjusted RRs (95% CIs) of GDM among women whose mothers did not smoke during pregnancy, continued smoking 1–14, 15–24, and </w:instrText>
      </w:r>
      <w:r w:rsidR="00281437">
        <w:rPr>
          <w:rFonts w:hint="eastAsia"/>
          <w:color w:val="000000" w:themeColor="text1"/>
        </w:rPr>
        <w:instrText>≥</w:instrText>
      </w:r>
      <w:r w:rsidR="00281437">
        <w:rPr>
          <w:color w:val="000000" w:themeColor="text1"/>
        </w:rPr>
        <w:instrText>25 cigarettes/day were 1.00 (reference), 1.05 (0.81–1.35), 1.27 (0.95–1.70) and 1.98 (1.18–3.30), respectively (\nP\nfor trend = 0.01). Further adjustment for the women’s perinatal variables, adult-life characteristics and body mass index during various periods of life modestly attenuated the association. No association was observed between paternal smoking during the pregnancy period and risk of GDM in the daughter.\n, \nCo</w:instrText>
      </w:r>
      <w:r w:rsidR="00281437">
        <w:rPr>
          <w:rFonts w:hint="eastAsia"/>
          <w:color w:val="000000" w:themeColor="text1"/>
        </w:rPr>
        <w:instrText>nclusions:\nMaternal heavy smoking (</w:instrText>
      </w:r>
      <w:r w:rsidR="00281437">
        <w:rPr>
          <w:rFonts w:hint="eastAsia"/>
          <w:color w:val="000000" w:themeColor="text1"/>
        </w:rPr>
        <w:instrText>≥</w:instrText>
      </w:r>
      <w:r w:rsidR="00281437">
        <w:rPr>
          <w:rFonts w:hint="eastAsia"/>
          <w:color w:val="000000" w:themeColor="text1"/>
        </w:rPr>
        <w:instrText>25 cigarettes/day) during pregnancy was associated with higher risk of gestational diabetes in the daughter. Further studies are warranted to confirm our findings and to elucidate the underlying mechanisms.","container</w:instrText>
      </w:r>
      <w:r w:rsidR="00281437">
        <w:rPr>
          <w:color w:val="000000" w:themeColor="text1"/>
        </w:rPr>
        <w:instrText xml:space="preserve">-title":"International Journal of Epidemiology","DOI":"10.1093/ije/dyv334","ISSN":"0300-5771","issue":"1","journalAbbreviation":"Int J Epidemiol","note":"PMID: 26748845\nPMCID: PMC4881834","page":"160-169","source":"PubMed Central","title":"Parental smoking during pregnancy and the risk of gestational diabetes in the daughter","volume":"45","author":[{"family":"Bao","given":"Wei"},{"family":"Michels","given":"Karin B"},{"family":"Tobias","given":"Deirdre K"},{"family":"Li","given":"Shanshan"},{"family":"Chavarro","given":"Jorge E"},{"family":"Gaskins","given":"Audrey J"},{"family":"Vaag","given":"Allan A"},{"family":"Hu","given":"Frank B"},{"family":"Zhang","given":"Cuilin"}],"issued":{"date-parts":[["2016",2]]}}}],"schema":"https://github.com/citation-style-language/schema/raw/master/csl-citation.json"} </w:instrText>
      </w:r>
      <w:r w:rsidRPr="00735FCE">
        <w:rPr>
          <w:color w:val="000000" w:themeColor="text1"/>
        </w:rPr>
        <w:fldChar w:fldCharType="separate"/>
      </w:r>
      <w:r w:rsidR="00281437" w:rsidRPr="00281437">
        <w:rPr>
          <w:color w:val="000000"/>
          <w:vertAlign w:val="superscript"/>
        </w:rPr>
        <w:t>39</w:t>
      </w:r>
      <w:r w:rsidRPr="00735FCE">
        <w:rPr>
          <w:color w:val="000000" w:themeColor="text1"/>
        </w:rPr>
        <w:fldChar w:fldCharType="end"/>
      </w:r>
      <w:r w:rsidRPr="00735FCE">
        <w:rPr>
          <w:color w:val="000000" w:themeColor="text1"/>
        </w:rPr>
        <w:t xml:space="preserve">. Subsequently, </w:t>
      </w:r>
      <w:r>
        <w:rPr>
          <w:color w:val="000000" w:themeColor="text1"/>
        </w:rPr>
        <w:t xml:space="preserve">a </w:t>
      </w:r>
      <w:r w:rsidRPr="00735FCE">
        <w:rPr>
          <w:color w:val="000000" w:themeColor="text1"/>
        </w:rPr>
        <w:t>higher risk of obesity is linked to postnatal factors</w:t>
      </w:r>
      <w:r>
        <w:rPr>
          <w:color w:val="000000" w:themeColor="text1"/>
        </w:rPr>
        <w:t>,</w:t>
      </w:r>
      <w:r w:rsidRPr="00735FCE">
        <w:rPr>
          <w:color w:val="000000" w:themeColor="text1"/>
        </w:rPr>
        <w:t xml:space="preserve"> such as rapid weight gain in infancy, short sleep duration, and early weaning from breast milk</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{"citationID":"MViGKJbB","properties":{"formattedCitation":"\\super 40\\uc0\\u8211{}42\\nosupersub{}","plainCitation":"40–42","noteIndex":0},"citationItems":[{"id":3575,"uris":["http://zotero.org/users/9622455/items/2RVC6NUX"],"itemData":{"id":3575,"type":"article-journal","abstract":"To examine the extent to which infant sleep duration is associated with overweight at age 3 years.Longitudinal survey.Multisite group practice in Massachusetts.Nine hundred fifteen children in Project Viva, a prospective cohort.At children's ages 6 months, 1 year, and 2 years, mothers reported the number of hours their children slept in a 24-hour period, from which we calculated a weighted average of daily sleep.We used multivariate regression</w:instrText>
      </w:r>
      <w:r w:rsidR="00281437">
        <w:rPr>
          <w:rFonts w:hint="eastAsia"/>
          <w:color w:val="000000" w:themeColor="text1"/>
        </w:rPr>
        <w:instrText xml:space="preserve"> analyses to predict the independent effects of sleep duration (&amp;lt; 12 h/d vs </w:instrText>
      </w:r>
      <w:r w:rsidR="00281437">
        <w:rPr>
          <w:rFonts w:hint="eastAsia"/>
          <w:color w:val="000000" w:themeColor="text1"/>
        </w:rPr>
        <w:instrText>≥</w:instrText>
      </w:r>
      <w:r w:rsidR="00281437">
        <w:rPr>
          <w:rFonts w:hint="eastAsia"/>
          <w:color w:val="000000" w:themeColor="text1"/>
        </w:rPr>
        <w:instrText> 12 h/d)\non body mass index (BMI) (calculated as the weight in kilograms divided by the height in meters squared) z score,\nthe sum of subscapular and triceps skinfold thicknesses, and overweight (BMI for age and sex </w:instrText>
      </w:r>
      <w:r w:rsidR="00281437">
        <w:rPr>
          <w:rFonts w:hint="eastAsia"/>
          <w:color w:val="000000" w:themeColor="text1"/>
        </w:rPr>
        <w:instrText>≥</w:instrText>
      </w:r>
      <w:r w:rsidR="00281437">
        <w:rPr>
          <w:rFonts w:hint="eastAsia"/>
          <w:color w:val="000000" w:themeColor="text1"/>
        </w:rPr>
        <w:instrText> 95th percentile) at age 3 years.The children's mean (SD) duration of daily sleep was 12.3 (1.1)\nhours. At age 3 years, 83 children (9%) were overweight; the mean (SD) BMI z score and sum of subscapular and tri</w:instrText>
      </w:r>
      <w:r w:rsidR="00281437">
        <w:rPr>
          <w:color w:val="000000" w:themeColor="text1"/>
        </w:rPr>
        <w:instrText>ceps skinfold thicknesses were 0.44 (1.03) and 16.66 (4.06) mm,\nrespectively. After adjusting for maternal education, income, prepregnancy BMI, marital status, smoking history, and breastfeeding duration and child's race/ethnicity, birth weight, 6-month weight-for-length z score, daily television viewing, and daily participation in active play, we found that infant sleep of less than 12 h/d was associated with a higher BMI z score (β,\n0.16; 95% confidence interval, 0.02-0.29), higher sum of subscapular and triceps skinfold thicknesses (β, 0.79 mm; 95% confidence interval, 0.18-1.40), and increased odds of overweight (odds ratio,\n2.04; 95% confidence interval, 1.07-3.91).Daily sleep duration of less than 12 hours during infancy appears to be a risk factor for overweight and adiposity in preschool-aged children.Arch Pediatr Adolesc Med. 2008;162(4):305-311--&gt;","container-title":"Archives of Pediatrics &amp; Adolescent Medicine","DOI":"10.1001/archpedi.162.4.305","ISSN":"1072-4710","issue":"4","journalAbbreviation":"Archives of Pediatrics &amp; Adolescent Medicine","page":"305-311","source":"Silverchair","title":"Short Sleep Duration in Infancy and Risk of Childhood Overweight","volume":"162","author":[{"family":"Taveras","given":"Elsie M."},{"family":"Rifas-Shiman","given":"Sheryl L."},{"family":"Oken","given":"Emily"},{"family":"Gunderson","given":"Erica P."},{"family":"Gillman","given":"Matthew W."}],"issued":{"date-parts":[["2008",4,1]]}}},{"id":3568,"uris":["http://zotero.org/users/9622455/items/S3VVTIIH"],"itemData":{"id":3568,"type":"article-journal","abstract":"CONTEXT: Mounting evidence suggests that the origins of childhood obesity and related disparities can be found as early as the \"first 1,000 days\"-the period from conception to age 2 years. The main goal of this study is to systematically review existing evidence for modifiable childhood obesity risk factors present from conception to age 2 years.\nEVIDENCE ACQUISITION: PubMed, Embase, and Web of Science were searched for studies published between January 1, 1980, and December 12, 2014, of childhood obesity risk factors present during the first 1,000 days. Prospective, original human subject, English-language research with exposure occurrence during the first 1,000 days and with the outcome of chi</w:instrText>
      </w:r>
      <w:r w:rsidR="00281437">
        <w:rPr>
          <w:rFonts w:hint="eastAsia"/>
          <w:color w:val="000000" w:themeColor="text1"/>
        </w:rPr>
        <w:instrText xml:space="preserve">ldhood overweight or obesity (BMI </w:instrText>
      </w:r>
      <w:r w:rsidR="00281437">
        <w:rPr>
          <w:rFonts w:hint="eastAsia"/>
          <w:color w:val="000000" w:themeColor="text1"/>
        </w:rPr>
        <w:instrText>≥</w:instrText>
      </w:r>
      <w:r w:rsidR="00281437">
        <w:rPr>
          <w:rFonts w:hint="eastAsia"/>
          <w:color w:val="000000" w:themeColor="text1"/>
        </w:rPr>
        <w:instrText>85th percentile for age and sex) collected between age 6 months and 18 years were analyzed between December 13, 2014, and March 15, 2015.\nEVIDENCE SYNTHESIS: Of 5,952 identified citations, 282 studies met inclusion crit</w:instrText>
      </w:r>
      <w:r w:rsidR="00281437">
        <w:rPr>
          <w:color w:val="000000" w:themeColor="text1"/>
        </w:rPr>
        <w:instrText xml:space="preserve">eria. Several risk factors during the first 1,000 days were consistently associated with later childhood obesity. These included higher maternal pre-pregnancy BMI, prenatal tobacco exposure, maternal excess gestational weight gain, high infant birth weight, and accelerated infant weight gain. Fewer studies also supported gestational diabetes, child care attendance, low strength of maternal-infant relationship, low SES, curtailed infant sleep, inappropriate bottle use, introduction of solid food intake before age 4 months, and infant antibiotic exposure as risk factors for childhood obesity.\nCONCLUSIONS: Modifiable risk factors in the first 1,000 days can inform future research and policy priorities and intervention efforts to prevent childhood obesity.","container-title":"American Journal of Preventive Medicine","DOI":"10.1016/j.amepre.2015.11.012","ISSN":"1873-2607","issue":"6","journalAbbreviation":"Am J Prev Med","language":"eng","note":"PMID: 26916261","page":"761-779","source":"PubMed","title":"Risk Factors for Childhood Obesity in the First 1,000 Days: A Systematic Review","title-short":"Risk Factors for Childhood Obesity in the First 1,000 Days","volume":"50","author":[{"family":"Woo Baidal","given":"Jennifer A."},{"family":"Locks","given":"Lindsey M."},{"family":"Cheng","given":"Erika R."},{"family":"Blake-Lamb","given":"Tiffany L."},{"family":"Perkins","given":"Meghan E."},{"family":"Taveras","given":"Elsie M."}],"issued":{"date-parts":[["2016",6]]}}},{"id":3572,"uris":["http://zotero.org/users/9622455/items/ZHBHMVMS"],"itemData":{"id":3572,"type":"article-journal","abstract":"Objective To identify risk factors in early life (up to 3 years of age) for obesity in children in the United Kingdom., Design Prospective cohort study., Setting Avon longitudinal study of parents and children, United Kingdom., Participants 8234 children in cohort aged 7 years and a subsample of 909 children (children in focus) with data on additional early growth related risk factors for obesity., Main outcome measures Obesity at age 7 years, defined as a body mass index  95th centile relative to reference data for the UK population in 1990., Results Eight of 25 putative risk factors were associated with a risk of obesity in the final models: parental obesity (both parents: adjusted odds ratio, 10.44, 95% confidence interval 5.11 to 21.32), very early (by 43 months) body mass index or adiposity rebound (15.00, 5.32 to 42.30), more than eight hours spent watching television per week at age 3 years (1.55, 1.13 to 2.12), catch-up growth (2.60, 1.09 to 6.16), standard deviation score for weight at age 8 months (3.13, 1.43 to 6.85) and 18 months (2.65, 1.25 to 5.59); weight gain in first year (1.06, 1.02 to 1.10 per 100 g increase); birth weight, per 100 g (1.05, 1.03 to 1.07); and short (&lt; 10.5 hours) sleep duration at age 3 years (1.45, 1.10 to 1.89)., Conclusion Eight factors in early life are associated with an increased risk of obesity in childhood.","container-title":"BMJ : British Medical Journal","DOI":"10.1136/bmj.38470.670903.E0","ISSN":"0959-8138","issue":"7504","journalAbbreviation":"BMJ","note":"PMID: 15908441\nPMCID: PMC558282","page":"1357","source":"PubMed Central","title":"Early life risk factors for obesity in childhood: cohort study","title-short":"Early life risk factors for obesity in childhood","volume":"330","author":[{"family":"Reilly","given":"John J"},{"family":"Armstrong","given":"Julie"},{"family":"Dorosty","given":"Ahmad R"},{"family":"Emmett","given":"Pauline M"},{"family":"Ness","given":"A"},{"family":"Rogers","given":"I"},{"family":"Steer","given":"Colin"},{"family":"Sherriff","given":"Andrea"}],"issued":{"date-parts":[["2005",6,11]]}}}],"schema":"https://github.com/citation-style-language/schema/raw/master/csl-citation.json"} </w:instrText>
      </w:r>
      <w:r w:rsidRPr="00735FCE">
        <w:rPr>
          <w:color w:val="000000" w:themeColor="text1"/>
        </w:rPr>
        <w:fldChar w:fldCharType="separate"/>
      </w:r>
      <w:r w:rsidR="00281437" w:rsidRPr="00281437">
        <w:rPr>
          <w:color w:val="000000"/>
          <w:vertAlign w:val="superscript"/>
        </w:rPr>
        <w:t>40–42</w:t>
      </w:r>
      <w:r w:rsidRPr="00735FCE">
        <w:rPr>
          <w:color w:val="000000" w:themeColor="text1"/>
        </w:rPr>
        <w:fldChar w:fldCharType="end"/>
      </w:r>
      <w:r w:rsidRPr="00735FCE">
        <w:rPr>
          <w:color w:val="000000" w:themeColor="text1"/>
        </w:rPr>
        <w:t>. It is evident from these observations that certain critical phases during early life are particularly sensitive to environmental influences and can permanently increase vulnerability to obesity later in life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{"citationID":"01KIwbPd","properties":{"formattedCitation":"\\super 43\\nosupersub{}","plainCitation":"43","noteIndex":0},"citationItems":[{"id":3578,"uris":["http://zotero.org/users/9622455/items/BCN6F4KF"],"itemData":{"id":3578,"type":"article-journal","abstract":"Childhood obesity rates have reached epidemic proportions. Excessive weight gain in infancy is associated with persistence of elevated weight status and later obesity. In this review, we make the case that weight gain in the first 6 mo is especially predictive of later obesity risk due to the metabolic programming that can occur early postpartum. The current state of knowledge regarding the biological determinants of excess infant weight gain is reviewed, with particular focus on infant feeding choice. Potential mechanisms by which different feeding approaches may program the metabolic profile of the infant, causing the link between early weight gain and later obesity are proposed. These mechanisms are likely highly complex and involve synergistic interactions between endocrine effects and factors that alter the inflammatory and oxidative stress status of the infant. Gaps in current knowledge are highlighted. These include a lack of data describing 1) what type of infant body fat distribution may impart risk and 2) how maternal metabolic dysfunction (obesity and/or diabetes) may affect milk composition and exert downstream effects on infant metabolism. Improved understanding and management of these early postnatal determinants of childhood obesity may have great impact on reducing its prevalence.","container-title":"Advances in Nutrition","DOI":"10.3945/an.112.002238","ISSN":"2161-8313","issue":"5","journalAbbreviation":"Advances in Nutrition","page":"675-686","source":"ScienceDirect","title":"Biological Determinants Linking Infant Weight Gain and Child Obesity: Current Knowledge and Future Directions","title-short":"Biological Determinants Linking Infant Weight Gain and Child Obesity","volume":"3","author":[{"family":"Young","given":"Bridget E."},{"family":"Johnson","given":"Susan L."},{"family":"Krebs","given":"Nancy F."}],"issued":{"date-parts":[["2012",9,1]]}}}],"schema":"https://github.com/citation-style-language/schema/raw/master/csl-citation.json"} </w:instrText>
      </w:r>
      <w:r w:rsidRPr="00735FCE">
        <w:rPr>
          <w:color w:val="000000" w:themeColor="text1"/>
        </w:rPr>
        <w:fldChar w:fldCharType="separate"/>
      </w:r>
      <w:r w:rsidR="00281437" w:rsidRPr="00281437">
        <w:rPr>
          <w:color w:val="000000"/>
          <w:vertAlign w:val="superscript"/>
        </w:rPr>
        <w:t>43</w:t>
      </w:r>
      <w:r w:rsidRPr="00735FCE">
        <w:rPr>
          <w:color w:val="000000" w:themeColor="text1"/>
        </w:rPr>
        <w:fldChar w:fldCharType="end"/>
      </w:r>
      <w:r w:rsidRPr="00735FCE">
        <w:rPr>
          <w:color w:val="000000" w:themeColor="text1"/>
        </w:rPr>
        <w:t>.</w:t>
      </w:r>
    </w:p>
    <w:p w14:paraId="32974FC7" w14:textId="3AD524F6" w:rsidR="009117C0" w:rsidRPr="00735FCE" w:rsidRDefault="009117C0" w:rsidP="00594274">
      <w:pPr>
        <w:ind w:firstLine="720"/>
        <w:jc w:val="left"/>
        <w:rPr>
          <w:color w:val="000000" w:themeColor="text1"/>
        </w:rPr>
      </w:pPr>
      <w:r w:rsidRPr="00735FCE">
        <w:rPr>
          <w:color w:val="000000" w:themeColor="text1"/>
        </w:rPr>
        <w:t>Lifestyle factors</w:t>
      </w:r>
      <w:r>
        <w:rPr>
          <w:color w:val="000000" w:themeColor="text1"/>
        </w:rPr>
        <w:t>,</w:t>
      </w:r>
      <w:r w:rsidRPr="00735FCE">
        <w:rPr>
          <w:color w:val="000000" w:themeColor="text1"/>
        </w:rPr>
        <w:t xml:space="preserve"> such as a sedentary lifestyle and specific eating habits</w:t>
      </w:r>
      <w:r>
        <w:rPr>
          <w:color w:val="000000" w:themeColor="text1"/>
        </w:rPr>
        <w:t>,</w:t>
      </w:r>
      <w:r w:rsidRPr="00735FCE">
        <w:rPr>
          <w:color w:val="000000" w:themeColor="text1"/>
        </w:rPr>
        <w:t xml:space="preserve"> are primary causes of obesity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{"citationID":"s0nXgqdQ","properties":{"formattedCitation":"\\super 44,45\\nosupersub{}","plainCitation":"44,45","noteIndex":0},"citationItems":[{"id":3581,"uris":["http://zotero.org/users/9622455/items/RFR3T655"],"itemData":{"id":3581,"type":"chapter","call-number":"NBK565813","collection-title":"IARC Working Group Reports","container-title":"Energy Balance and Obesity","event-place":"Lyon (FR)","ISBN":"978-92-832-2519-5","language":"eng","note":"PMID: 33534466","publisher":"International Agency for Research on Cancer","publisher-place":"Lyon (FR)","source":"PubMed","title":"Physical activity, sedentary behaviour, and obesity","URL":"http://www.ncbi.nlm.nih.gov/books/NBK565813/","author":[{"family":"Leitzmann","given":"Michael"}],"editor":[{"family":"Romieu","given":"Isabelle"},{"family":"Dossus","given":"Laure"},{"family":"Willett","given":"Walter C."}],"accessed":{"date-parts":[["2025",6,11]]},"issued":{"date-parts":[["2017"]]}}},{"id":2733,"uris":["http://zotero.org/users/9622455/items/ZFR8JWPS"],"itemData":{"id":2733,"type":"article-journal","container-title":"Nutrients","DOI":"10.3390/nu15132896","ISSN":"2072-6643","issue":"13","journalAbbreviation":"Nutrients","note":"PMID: 37447222\nPMCID: PMC10343820","page":"2896","source":"PubMed Central","title":"Overweight and Obesity: The Interplay of Eating Habits and Physical Activity","title-short":"Overweight and Obesity","volume":"15","author":[{"family":"Moschonis","given":"George"},{"family":"Trakman","given":"Gina Louise"}],"issued":{"date-parts":[["2023",6,27]]}}}],"schema":"https://github.com/citation-style-language/schema/raw/master/csl-citation.json"} </w:instrText>
      </w:r>
      <w:r w:rsidRPr="00735FCE">
        <w:rPr>
          <w:color w:val="000000" w:themeColor="text1"/>
        </w:rPr>
        <w:fldChar w:fldCharType="separate"/>
      </w:r>
      <w:r w:rsidR="00281437" w:rsidRPr="00281437">
        <w:rPr>
          <w:color w:val="000000"/>
          <w:vertAlign w:val="superscript"/>
        </w:rPr>
        <w:t>44,45</w:t>
      </w:r>
      <w:r w:rsidRPr="00735FCE">
        <w:rPr>
          <w:color w:val="000000" w:themeColor="text1"/>
        </w:rPr>
        <w:fldChar w:fldCharType="end"/>
      </w:r>
      <w:r w:rsidRPr="00735FCE">
        <w:rPr>
          <w:color w:val="000000" w:themeColor="text1"/>
        </w:rPr>
        <w:t xml:space="preserve">. Low energy expenditure </w:t>
      </w:r>
      <w:r>
        <w:rPr>
          <w:color w:val="000000" w:themeColor="text1"/>
        </w:rPr>
        <w:t xml:space="preserve">resulting from insufficient </w:t>
      </w:r>
      <w:r w:rsidRPr="00735FCE">
        <w:rPr>
          <w:color w:val="000000" w:themeColor="text1"/>
        </w:rPr>
        <w:t>physical activit</w:t>
      </w:r>
      <w:r>
        <w:rPr>
          <w:color w:val="000000" w:themeColor="text1"/>
        </w:rPr>
        <w:t>y</w:t>
      </w:r>
      <w:r w:rsidRPr="00735FCE">
        <w:rPr>
          <w:color w:val="000000" w:themeColor="text1"/>
        </w:rPr>
        <w:t xml:space="preserve"> contributes to </w:t>
      </w:r>
      <w:r>
        <w:rPr>
          <w:color w:val="000000" w:themeColor="text1"/>
        </w:rPr>
        <w:t xml:space="preserve">an </w:t>
      </w:r>
      <w:r w:rsidRPr="00735FCE">
        <w:rPr>
          <w:color w:val="000000" w:themeColor="text1"/>
        </w:rPr>
        <w:t>energy imbalance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{"citationID":"RerF1U4L","properties":{"formattedCitation":"\\super 46\\nosupersub{}","plainCitation":"46","noteIndex":0},"citationItems":[{"id":3584,"uris":["http://zotero.org/users/9622455/items/D7FYD4FP"],"itemData":{"id":3584,"type":"article-journal","abstract":"Although it is believed that physical activity, sedentary, and dietary behavior (i.e., energy balance-related behavior) may decrease the risk of burn-out, the association between both is currently not well understood. Therefore, the aim of this systematic review was to synthesize studies investigating the relationship between energy balance-related behavior and burn-out risk. A systematic literature search was conducted in four databases, resulting in 25 included studies (ten experimental and 15 observational studies). Nine out of ten experimental studies showed that exercise programs were effective in reducing burn-out risk. Fourteen out of fifteen observational studies found a negative association between physical activity and burn-out risk, whereas one study did not find a relation. Two of the 15 observational studies also showed that being more sedentary was associated with a higher burn-out risk, and two other studies found that a healthier diet was related to a lower burn-out risk. No experimental studies were found for the latter two behaviors. It can be concluded that physical activity may be effective in reducing burn-out risk. The few observational studies linking sedentary and dietary behavior with burn-out risk suggest that being more sedentary and eating less healthy are each associated with higher burn-out risk. More high-quality research is needed to unravel the causal relationship between these two behaviors and burn-out risk.","container-title":"Nutrients","DOI":"10.3390/nu12020397","ISSN":"2072-6643","issue":"2","journalAbbreviation":"Nutrients","note":"PMID: 32024269\nPMCID: PMC7071204","page":"397","source":"PubMed Central","title":"The Association between Energy Balance-Related Behavior and Burn-Out in Adults: A Systematic Review","title-short":"The Association between Energy Balance-Related Behavior and Burn-Out in Adults","volume":"12","author":[{"family":"Verhavert","given":"Yanni"},{"family":"De Martelaer","given":"Kristine"},{"family":"Van Hoof","given":"Elke"},{"family":"Van Der Linden","given":"Eline"},{"family":"Zinzen","given":"Evert"},{"family":"Deliens","given":"Tom"}],"issued":{"date-parts":[["2020",2,2]]}}}],"schema":"https://github.com/citation-style-language/schema/raw/master/csl-citation.json"} </w:instrText>
      </w:r>
      <w:r w:rsidRPr="00735FCE">
        <w:rPr>
          <w:color w:val="000000" w:themeColor="text1"/>
        </w:rPr>
        <w:fldChar w:fldCharType="separate"/>
      </w:r>
      <w:r w:rsidR="00281437" w:rsidRPr="00281437">
        <w:rPr>
          <w:color w:val="000000"/>
          <w:vertAlign w:val="superscript"/>
        </w:rPr>
        <w:t>46</w:t>
      </w:r>
      <w:r w:rsidRPr="00735FCE">
        <w:rPr>
          <w:color w:val="000000" w:themeColor="text1"/>
        </w:rPr>
        <w:fldChar w:fldCharType="end"/>
      </w:r>
      <w:r w:rsidRPr="00735FCE">
        <w:rPr>
          <w:color w:val="000000" w:themeColor="text1"/>
        </w:rPr>
        <w:t xml:space="preserve">. </w:t>
      </w:r>
      <w:r>
        <w:rPr>
          <w:color w:val="000000" w:themeColor="text1"/>
        </w:rPr>
        <w:t>Engaging in l</w:t>
      </w:r>
      <w:r w:rsidRPr="00735FCE">
        <w:rPr>
          <w:color w:val="000000" w:themeColor="text1"/>
        </w:rPr>
        <w:t>ight</w:t>
      </w:r>
      <w:r>
        <w:rPr>
          <w:color w:val="000000" w:themeColor="text1"/>
        </w:rPr>
        <w:t>-</w:t>
      </w:r>
      <w:r w:rsidRPr="00735FCE">
        <w:rPr>
          <w:color w:val="000000" w:themeColor="text1"/>
        </w:rPr>
        <w:t xml:space="preserve">intensity </w:t>
      </w:r>
      <w:r>
        <w:rPr>
          <w:color w:val="000000" w:themeColor="text1"/>
        </w:rPr>
        <w:t>physical activities, such as</w:t>
      </w:r>
      <w:r w:rsidRPr="00735FCE">
        <w:rPr>
          <w:color w:val="000000" w:themeColor="text1"/>
        </w:rPr>
        <w:t xml:space="preserve"> walking or </w:t>
      </w:r>
      <w:r>
        <w:rPr>
          <w:color w:val="000000" w:themeColor="text1"/>
        </w:rPr>
        <w:t>doing</w:t>
      </w:r>
      <w:r w:rsidRPr="00735FCE">
        <w:rPr>
          <w:color w:val="000000" w:themeColor="text1"/>
        </w:rPr>
        <w:t xml:space="preserve"> household tasks</w:t>
      </w:r>
      <w:r>
        <w:rPr>
          <w:color w:val="000000" w:themeColor="text1"/>
        </w:rPr>
        <w:t>,</w:t>
      </w:r>
      <w:r w:rsidRPr="00735FCE">
        <w:rPr>
          <w:color w:val="000000" w:themeColor="text1"/>
        </w:rPr>
        <w:t xml:space="preserve"> </w:t>
      </w:r>
      <w:r>
        <w:rPr>
          <w:color w:val="000000" w:themeColor="text1"/>
        </w:rPr>
        <w:t xml:space="preserve">contributes significantly to maintaining </w:t>
      </w:r>
      <w:r w:rsidRPr="00735FCE">
        <w:rPr>
          <w:color w:val="000000" w:themeColor="text1"/>
        </w:rPr>
        <w:t>energy balance and weight control</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{"citationID":"OzxUNfVz","properties":{"formattedCitation":"\\super 47,48\\nosupersub{}","plainCitation":"47,48","noteIndex":0},"citationItems":[{"id":3589,"uris":["http://zotero.org/users/9622455/items/F98RPCNP"],"itemData":{"id":3589,"type":"article-journal","abstract":"Increased energy expenditure (EE) is a key component in maintaining a healthy body mass. Walking and running are 2 common aerobic activities that increase EE above resting values. The purpose of this study was to compare the EE of individuals with average fitness during a walk and run for 1600 meters at 86 m·min(-1) and 160 m·min(-1), respectively. In addition, EE after the walk and run was compared. Fifteen females and 15 males (21.90 ± 2.52 y; 168.89 ± 11.20 cm; 71.01 ± 17.30 kg; 41.51 ± 6.31 ml(-1)·kg(-1)·min(-1)) volunteered to participate. Each participant completed a VO2max test. In addition, oxygen consumption was measured at rest for 10 minutes before exercise, during the walk and run, and after the walk and run for 30 minutes of recovery. EE during exercise was 372.54 ± 78.16 kilojoules for the walk and 471.03 ± 100.67 kilojoules for the run. Total EE including excess postexercise EE was 463.34 ± 80.38 kilojoules and 664.00 ± 149.66 kilojoules for the walk and run, respectively. Postexercise EE returned to resting values 10 minutes after the walk and 15 minutes after the run. Walking and running are both acceptable activities that increase EE above rest and can be performed without the expense of a health club membership and meet adequate kilojoule expenditure according to American College of Sports Medicine guidelines.","container-title":"Journal of Strength and Conditioning Research","DOI":"10.1519/JSC.0b013e31822e592c","ISSN":"1533-4287","issue":"4","journalAbbreviation":"J Strength Cond Res","language":"eng","note":"PMID: 22446673","page":"1039-1044","source":"PubMed","title":"Energy expenditure comparison between walking and running in average fitness individuals","volume":"26","author":[{"family":"Wilkin","given":"Linda D."},{"family":"Cheryl","given":"Antoinette"},{"family":"Haddock","given":"Bryan L."}],"issued":{"date-parts":[["2012",4]]}}},{"id":3587,"uris":["http://zotero.org/users/9622455/items/NF96Z3CA"],"itemData":{"id":3587,"type":"article-journal","abstract":"The energy expenditure for and heart rate responses to common household tasks were determined in 26 older (mean age 62 +/- 2 years) women with coronary artery disease (CAD). Each activity was performed at a self-determined pace for 6 or 8 minutes. The average oxygen uptake (ml/kg/min) for each task evaluated was 6.5 for washing dishes, 6.8 for ironing, 7.2 for scrubbing pans, 8.6 for unpacking groceries, 9.5 for vacuuming, 9.8 for sweeping, 10.1 for mopping, 12.0 for changing bed linens, and 12.4 for washing the floor (hands and knees). None of the subjects reported angina. Mean relative oxygen uptake (i.e., percentage of peak response with treadmill testing) ranged from 31 +/- 2% for washing dishes to 62 +/- 3% for changing the bed linens and washing the floor. Percentage of peak treadmill heart rate ranged from 62 +/- 2% for washing dishes to 73 +/- 2% for washing the floor. In 4 of the more physically demanding household activities (i.e., vacuuming, mopping, washing the floor, and changing bed linens), the responses of 10 age-matched normal women were evaluated. The absolute and relative demands of the tasks were similar between the CAD and normal groups. Results indicate that the mean energy expenditure rate of common household tasks evaluated in this study range from 2 to 4 METs, suggesting that most women with CAD who are able to achieve &gt; or = 5 METs during a treadmill exercise test without adverse signs or symptoms should be able to resume these activities.","container-title":"The American Journal of Cardiology","DOI":"10.1016/S0002-9149(99)80651-1","ISSN":"0002-9149","issue":"10","journalAbbreviation":"Am J Cardiol","language":"eng","note":"PMID: 7900658","page":"670-674","source":"PubMed","title":"Energy expenditure during household tasks in women with coronary artery disease","volume":"75","author":[{"family":"Wilke","given":"N. A."},{"family":"Sheldahl","given":"L. M."},{"family":"Dougherty","given":"S. M."},{"family":"Hanna","given":"R. D."},{"family":"Nickele","given":"G. A."},{"family":"Tristani","given":"F. E."}],"issued":{"date-parts":[["1995",4,1]]}}}],"schema":"https://github.com/citation-style-language/schema/raw/master/csl-citation.json"} </w:instrText>
      </w:r>
      <w:r w:rsidRPr="00735FCE">
        <w:rPr>
          <w:color w:val="000000" w:themeColor="text1"/>
        </w:rPr>
        <w:fldChar w:fldCharType="separate"/>
      </w:r>
      <w:r w:rsidR="00281437" w:rsidRPr="00281437">
        <w:rPr>
          <w:color w:val="000000"/>
          <w:vertAlign w:val="superscript"/>
        </w:rPr>
        <w:t>47,48</w:t>
      </w:r>
      <w:r w:rsidRPr="00735FCE">
        <w:rPr>
          <w:color w:val="000000" w:themeColor="text1"/>
        </w:rPr>
        <w:fldChar w:fldCharType="end"/>
      </w:r>
      <w:r w:rsidRPr="00735FCE">
        <w:rPr>
          <w:color w:val="000000" w:themeColor="text1"/>
        </w:rPr>
        <w:t xml:space="preserve">. </w:t>
      </w:r>
      <w:r>
        <w:rPr>
          <w:color w:val="000000" w:themeColor="text1"/>
        </w:rPr>
        <w:t>Easy a</w:t>
      </w:r>
      <w:r w:rsidRPr="00735FCE">
        <w:rPr>
          <w:color w:val="000000" w:themeColor="text1"/>
        </w:rPr>
        <w:t xml:space="preserve">ccess to </w:t>
      </w:r>
      <w:r>
        <w:rPr>
          <w:color w:val="000000" w:themeColor="text1"/>
        </w:rPr>
        <w:t>inexpensive</w:t>
      </w:r>
      <w:r w:rsidRPr="00735FCE">
        <w:rPr>
          <w:color w:val="000000" w:themeColor="text1"/>
        </w:rPr>
        <w:t>, calorie</w:t>
      </w:r>
      <w:r>
        <w:rPr>
          <w:color w:val="000000" w:themeColor="text1"/>
        </w:rPr>
        <w:t>-</w:t>
      </w:r>
      <w:r w:rsidRPr="00735FCE">
        <w:rPr>
          <w:color w:val="000000" w:themeColor="text1"/>
        </w:rPr>
        <w:t>dense foods</w:t>
      </w:r>
      <w:r>
        <w:rPr>
          <w:color w:val="000000" w:themeColor="text1"/>
        </w:rPr>
        <w:t>,</w:t>
      </w:r>
      <w:r w:rsidRPr="00735FCE">
        <w:rPr>
          <w:color w:val="000000" w:themeColor="text1"/>
        </w:rPr>
        <w:t xml:space="preserve"> coupled with incessant advertisements</w:t>
      </w:r>
      <w:r>
        <w:rPr>
          <w:color w:val="000000" w:themeColor="text1"/>
        </w:rPr>
        <w:t>,</w:t>
      </w:r>
      <w:r w:rsidRPr="00735FCE">
        <w:rPr>
          <w:color w:val="000000" w:themeColor="text1"/>
        </w:rPr>
        <w:t xml:space="preserve"> encourages unhealthy </w:t>
      </w:r>
      <w:r>
        <w:rPr>
          <w:color w:val="000000" w:themeColor="text1"/>
        </w:rPr>
        <w:t>eating</w:t>
      </w:r>
      <w:r w:rsidRPr="00735FCE">
        <w:rPr>
          <w:color w:val="000000" w:themeColor="text1"/>
        </w:rPr>
        <w:t xml:space="preserve"> habits</w:t>
      </w:r>
      <w:r>
        <w:rPr>
          <w:color w:val="000000" w:themeColor="text1"/>
        </w:rPr>
        <w:t xml:space="preserve"> and contributes</w:t>
      </w:r>
      <w:r w:rsidRPr="00735FCE">
        <w:rPr>
          <w:color w:val="000000" w:themeColor="text1"/>
        </w:rPr>
        <w:t xml:space="preserve"> to </w:t>
      </w:r>
      <w:r>
        <w:rPr>
          <w:color w:val="000000" w:themeColor="text1"/>
        </w:rPr>
        <w:t xml:space="preserve">an </w:t>
      </w:r>
      <w:r w:rsidRPr="00735FCE">
        <w:rPr>
          <w:color w:val="000000" w:themeColor="text1"/>
        </w:rPr>
        <w:t>increased consumption of</w:t>
      </w:r>
      <w:r>
        <w:rPr>
          <w:color w:val="000000" w:themeColor="text1"/>
        </w:rPr>
        <w:t xml:space="preserve"> non-nutritious, </w:t>
      </w:r>
      <w:r w:rsidRPr="00735FCE">
        <w:rPr>
          <w:color w:val="000000" w:themeColor="text1"/>
        </w:rPr>
        <w:t xml:space="preserve">calorie-rich processed </w:t>
      </w:r>
      <w:r>
        <w:rPr>
          <w:color w:val="000000" w:themeColor="text1"/>
        </w:rPr>
        <w:t>foods</w:t>
      </w:r>
      <w:r w:rsidRPr="00735FCE">
        <w:rPr>
          <w:color w:val="000000" w:themeColor="text1"/>
        </w:rPr>
        <w:t>,</w:t>
      </w:r>
      <w:r>
        <w:rPr>
          <w:color w:val="000000" w:themeColor="text1"/>
        </w:rPr>
        <w:t xml:space="preserve"> including</w:t>
      </w:r>
      <w:r w:rsidRPr="00735FCE">
        <w:rPr>
          <w:color w:val="000000" w:themeColor="text1"/>
        </w:rPr>
        <w:t xml:space="preserve"> soft drinks and snacks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{"citationID":"M8K5IBBs","properties":{"formattedCitation":"\\super 49\\nosupersub{}","plainCitation":"49","noteIndex":0},"citationItems":[{"id":3591,"uris":["http://zotero.org/users/9622455/items/L35HXCLC"],"itemData":{"id":3591,"type":"article-journal","abstract":"Adolescents are exposed to food marketing through many routes, including television, movies, videos, print media, online games, and social media. The interplay between exposure to unhealthy food advertisements and food choices by adolescents is a field of special interest given the ongoing evolution of social media trends and marketing strategies. The purpose of this review was to synthesize the scientific findings in the last five years (2017–2022) regarding the possible influence of nutrition-related advertisements through television, social media, or video games on the choice and consumption of unhealthy foods and drinks in adolescents. Nineteen studies were included in this review. Adolescents exposed to unhealthy food and beverage advertising showed high desire and intention to consume the advertised foods, as evidenced by the majority of included studies. The effects of advertisements are reinforced by peer pressure and influencers and interact with socioeconomic, biological, and environmental factors. Food marketing represents part of the obesogenic environment of the present time.","container-title":"Children","DOI":"10.3390/children10030442","ISSN":"2227-9067","issue":"3","journalAbbreviation":"Children (Basel)","note":"PMID: 36980000\nPMCID: PMC10047133","page":"442","source":"PubMed Central","title":"Food Advertisement and Dietary Choices in Adolescents: An Overview of Recent Studies","title-short":"Food Advertisement and Dietary Choices in Adolescents","volume":"10","author":[{"family":"Tsochantaridou","given":"Anastasia"},{"family":"Sergentanis","given":"Theodoros N."},{"family":"Grammatikopoulou","given":"Maria G."},{"family":"Merakou","given":"Kyriakoula"},{"family":"Vassilakou","given":"Tonia"},{"family":"Kornarou","given":"Eleni"}],"issued":{"date-parts":[["2023",2,24]]}}}],"schema":"https://github.com/citation-style-language/schema/raw/master/csl-citation.json"} </w:instrText>
      </w:r>
      <w:r w:rsidRPr="00735FCE">
        <w:rPr>
          <w:color w:val="000000" w:themeColor="text1"/>
        </w:rPr>
        <w:fldChar w:fldCharType="separate"/>
      </w:r>
      <w:r w:rsidR="00281437" w:rsidRPr="00281437">
        <w:rPr>
          <w:color w:val="000000"/>
          <w:vertAlign w:val="superscript"/>
        </w:rPr>
        <w:t>49</w:t>
      </w:r>
      <w:r w:rsidRPr="00735FCE">
        <w:rPr>
          <w:color w:val="000000" w:themeColor="text1"/>
        </w:rPr>
        <w:fldChar w:fldCharType="end"/>
      </w:r>
      <w:r w:rsidRPr="00735FCE">
        <w:rPr>
          <w:color w:val="000000" w:themeColor="text1"/>
        </w:rPr>
        <w:t>. Additionally, irregular eating schedules combined with frequent visits to fast food restaurants are linked to higher rates of obesity and BMI</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{"citationID":"wQKAPfun","properties":{"formattedCitation":"\\super 50,51\\nosupersub{}","plainCitation":"50,51","noteIndex":0},"citationItems":[{"id":3596,"uris":["http://zotero.org/users/9622455/items/BWAI5RJG"],"itemData":{"id":3596,"type":"article-journal","abstract":"Nowadays, the prevalence of both fast food consumption and overweight/obesity has been increased. This study aimed to estimate the prevalence of fast food consumption and to assess its association with abdominal and general obesity. In an analytical cross-sectional study, 300 students were selected randomly from two largest universities in Qom, center of Iran, studying in medical and basic sciences fields in 2015. Data collection was conducted by a modified version of NELSON’s fast food questionnaire and anthropometric measures including Waist-Hip Ratio (WHR) and Body Mass Index (BMI). Chi-square, independent t-test, and multivariate logistic regression were used for statistical analysis. According to our results, 72.4% (67.4% in females vs 80.7% in males) had at least one type of fast food consumption in the recent month including sandwich 44.4%, pizza 39.7%, and fried chicken 13.8%, The obesity prevalence based on BMI and WHR was 21.3% (95% CI: 19.4, 23.2%) and 33.2% (95% CI: 0.7, 35.7), respectively. Fast food consumption was related to abdominal obesity as WHR (OR: 1.46, 95% CI: 1.11, 2.26), but was not related to general obesity as BMI (OR: 0.97, 95% CI: 0.63, 1.52). The prevalence of fast food consumption and obesity/overweight in Iranian student is high. Fast food consumption was associated with abdominal obesity based WHR, but did not related to general obesity based on BMI.","container-title":"Journal of Preventive Medicine and Hygiene","DOI":"10.15167/2421-4248/jpmh2018.59.3.830","ISSN":"1121-2233","issue":"3","journalAbbreviation":"J Prev Med Hyg","note":"PMID: 30397681\nPMCID: PMC6196377","page":"E236-E240","source":"PubMed Central","title":"Fast food consumption and overweight/obesity prevalence in students and its association with general and abdominal obesity","volume":"59","author":[{"family":"MOHAMMADBEIGI","given":"A."},{"family":"ASGARIAN","given":"A."},{"family":"MOSHIR","given":"E."},{"family":"HEIDARI","given":"H."},{"family":"AFRASHTEH","given":"S."},{"family":"KHAZAEI","given":"S."},{"family":"ANSARI","given":"H."}],"issued":{"date-parts":[["2018",9,28]]}}},{"id":3594,"uris":["http://zotero.org/users/9622455/items/N5MRNIX4"],"itemData":{"id":3594,"type":"article-journal","abstract":"Obesity is characterized by an accumulation of redundant body fat linked to metabolic dysregulation and low-grade systemic inflammation. Lifestyle choices are imperative determining factors of obesity. The contemporary lifestyle is associated with behaviors that disrupt circadian rhythms, impacting metabolic homeostasis. Our animal and human studies suggest that circadian phenotypes could be related to the risk of metabolic dysregulation and obesity. The purpose of this study is to examine the role of inconsistent eating habits on body weight in adults. Individuals who presented for colon cancer screening were enrolled. Subjects received structured questionnaires to capture 7-day eating and sleeping times in a week prospectively. Bodyweight and height were extracted from medical records, and Body Mass Index (BMI) was calculated. Inconsistent eating times were defined as an average difference of &gt;2 hours between the largest meal on weekdays and weekends. Forty-nine of the 61 (80.3 %) individuals enrolled in the study completed the questionnaires. The mean age and standard deviation (SD) were 60.8 (7.9), and 27 (55.1 %) were male. Subjects with inconsistent eating times had a significantly higher BMI (33.8 ± 3.6 SD, n = 9) than subjects who did not (27.5 ± 6.5 SD, n = 40; p = 0.001). The highest BMI was observed in subjects who ate inconsistently and late (35.8 ± 4.6 SD). In this cross-sectional study, time of eating habits was associated with BMI. Controlled cohort studies are needed to determine the potential link between eating time and the risk of obesity in the long term.","container-title":"EXCLI Journal","DOI":"10.17179/excli2021-4324","ISSN":"1611-2156","journalAbbreviation":"EXCLI J","note":"PMID: 35368461\nPMCID: PMC8971321","page":"300-306","source":"PubMed Central","title":"Inconsistent eating time is associated with obesity: A prospective study","title-short":"Inconsistent eating time is associated with obesity","volume":"21","author":[{"family":"Adnan","given":"Darbaz"},{"family":"Trinh","given":"Jonathan"},{"family":"Bishehsari","given":"Faraz"}],"issued":{"date-parts":[["2022",1,14]]}}}],"schema":"https://github.com/citation-style-language/schema/raw/master/csl-citation.json"} </w:instrText>
      </w:r>
      <w:r w:rsidRPr="00735FCE">
        <w:rPr>
          <w:color w:val="000000" w:themeColor="text1"/>
        </w:rPr>
        <w:fldChar w:fldCharType="separate"/>
      </w:r>
      <w:r w:rsidR="00281437" w:rsidRPr="00281437">
        <w:rPr>
          <w:color w:val="000000"/>
          <w:vertAlign w:val="superscript"/>
        </w:rPr>
        <w:t>50,51</w:t>
      </w:r>
      <w:r w:rsidRPr="00735FCE">
        <w:rPr>
          <w:color w:val="000000" w:themeColor="text1"/>
        </w:rPr>
        <w:fldChar w:fldCharType="end"/>
      </w:r>
      <w:r w:rsidRPr="00735FCE">
        <w:rPr>
          <w:color w:val="000000" w:themeColor="text1"/>
        </w:rPr>
        <w:t>. Such lifestyle choices</w:t>
      </w:r>
      <w:r>
        <w:rPr>
          <w:color w:val="000000" w:themeColor="text1"/>
        </w:rPr>
        <w:t xml:space="preserve">, </w:t>
      </w:r>
      <w:r w:rsidRPr="00735FCE">
        <w:rPr>
          <w:color w:val="000000" w:themeColor="text1"/>
        </w:rPr>
        <w:t>alongside genetic factors</w:t>
      </w:r>
      <w:r>
        <w:rPr>
          <w:color w:val="000000" w:themeColor="text1"/>
        </w:rPr>
        <w:t>,</w:t>
      </w:r>
      <w:r w:rsidRPr="00735FCE">
        <w:rPr>
          <w:color w:val="000000" w:themeColor="text1"/>
        </w:rPr>
        <w:t xml:space="preserve"> increase </w:t>
      </w:r>
      <w:r>
        <w:rPr>
          <w:color w:val="000000" w:themeColor="text1"/>
        </w:rPr>
        <w:t xml:space="preserve">the </w:t>
      </w:r>
      <w:r w:rsidRPr="00735FCE">
        <w:rPr>
          <w:color w:val="000000" w:themeColor="text1"/>
        </w:rPr>
        <w:t>risk</w:t>
      </w:r>
      <w:r>
        <w:rPr>
          <w:color w:val="000000" w:themeColor="text1"/>
        </w:rPr>
        <w:t>s</w:t>
      </w:r>
      <w:r w:rsidRPr="00735FCE">
        <w:rPr>
          <w:color w:val="000000" w:themeColor="text1"/>
        </w:rPr>
        <w:t xml:space="preserve"> of obesity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{"citationID":"QAIXG34y","properties":{"formattedCitation":"\\super 52\\nosupersub{}","plainCitation":"52","noteIndex":0},"citationItems":[{"id":3598,"uris":["http://zotero.org/users/9622455/items/5RCPCWI3"],"itemData":{"id":3598,"type":"article-journal","abstract":"The extent to which modifiable lifestyle factors offset the determined genetic risk of obesity and obesity-related morbidities remains unknown. We explored how the interaction between genetic and lifestyle factors influences the risk of obesity and obesity-related morbidities. The polygenic score for body mass index was calculated to quantify inherited susceptibility to obesity in 338,645 UK Biobank European participants, and a composite lifestyle score was derived from five obesogenic factors (physical activity, diet, sedentary behavior, alcohol consumption, and sleep duration). We observed significant interaction between high genetic risk and poor lifestyles (pinteraction &lt; 0.001). Absolute differences in obesity risk between those who adhere to healthy lifestyles and those who do not had gradually expanded with an increase in polygenic score. Despite a high genetic risk for obesity, individuals can prevent obesity-related morbidities by adhering to a healthy lifestyle and maintaining a normal body weight. Healthy lifestyles should be promoted irrespective of genetic background.","container-title":"Cell Metabolism","DOI":"10.1016/j.cmet.2024.06.004","ISSN":"1550-4131","issue":"7","journalAbbreviation":"Cell Metabolism","page":"1494-1503.e3","source":"ScienceDirect","title":"Association of genetic risk, lifestyle, and their interaction with obesity and obesity-related morbidities","volume":"36","author":[{"family":"Kim","given":"Min Seo"},{"family":"Shim","given":"Injeong"},{"family":"Fahed","given":"Akl C."},{"family":"Do","given":"Ron"},{"family":"Park","given":"Woong-Yang"},{"family":"Natarajan","given":"Pradeep"},{"family":"Khera","given":"Amit V."},{"family":"Won","given":"Hong-Hee"}],"issued":{"date-parts":[["2024",7,2]]}}}],"schema":"https://github.com/citation-style-language/schema/raw/master/csl-citation.json"} </w:instrText>
      </w:r>
      <w:r w:rsidRPr="00735FCE">
        <w:rPr>
          <w:color w:val="000000" w:themeColor="text1"/>
        </w:rPr>
        <w:fldChar w:fldCharType="separate"/>
      </w:r>
      <w:r w:rsidR="00281437" w:rsidRPr="00281437">
        <w:rPr>
          <w:color w:val="000000"/>
          <w:vertAlign w:val="superscript"/>
        </w:rPr>
        <w:t>52</w:t>
      </w:r>
      <w:r w:rsidRPr="00735FCE">
        <w:rPr>
          <w:color w:val="000000" w:themeColor="text1"/>
        </w:rPr>
        <w:fldChar w:fldCharType="end"/>
      </w:r>
      <w:r w:rsidRPr="00735FCE">
        <w:rPr>
          <w:color w:val="000000" w:themeColor="text1"/>
        </w:rPr>
        <w:t>.</w:t>
      </w:r>
    </w:p>
    <w:p w14:paraId="71DC42A8" w14:textId="4EF301BF" w:rsidR="009117C0" w:rsidRPr="00735FCE" w:rsidRDefault="009117C0" w:rsidP="00B007DA">
      <w:pPr>
        <w:ind w:firstLine="720"/>
        <w:jc w:val="left"/>
        <w:rPr>
          <w:color w:val="000000" w:themeColor="text1"/>
        </w:rPr>
      </w:pPr>
      <w:r w:rsidRPr="00735FCE">
        <w:rPr>
          <w:color w:val="000000" w:themeColor="text1"/>
        </w:rPr>
        <w:lastRenderedPageBreak/>
        <w:t xml:space="preserve">Obesity is </w:t>
      </w:r>
      <w:r>
        <w:rPr>
          <w:color w:val="000000" w:themeColor="text1"/>
        </w:rPr>
        <w:t xml:space="preserve">also </w:t>
      </w:r>
      <w:r w:rsidRPr="00735FCE">
        <w:rPr>
          <w:color w:val="000000" w:themeColor="text1"/>
        </w:rPr>
        <w:t>a result of multiple underlying medical and psychosocial issues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{"citationID":"qRnFJcV4","properties":{"formattedCitation":"\\super 53\\nosupersub{}","plainCitation":"53","noteIndex":0},"citationItems":[{"id":3600,"uris":["http://zotero.org/users/9622455/items/UBGW87FT"],"itemData":{"id":3600,"type":"chapter","abstract":"Obesity is a medical condition characterized by the accumulation of excess body fat. It is typically the result of an imbalance between calorie intake and energy expenditure. The current recommendation to identify obesity is regarding body mass index (BMI). A person with a BMI of 30 kg/m2 or more is defined as an obese individual. Obesity is a significant health concern worldwide because it is a risk factor for many diseases like diabetes, hypertension, cardiovascular disease, and cancers. Obesity typically results from genetic changes, environmental influences, biological factors, and behavioral influences. In 2022, obesity had reached pandemic proportions, with 1 in 8 people worldwide living with the condition. The prevalence of obesity has increased significantly since 1990, more than doubling among adults and quadrupling among children and adolescents. In 2022, an estimated 2.5 billion adults aged 18 and over were overweight, with 890 million of them living with obesity. This translates to 43% of adults being overweight and 16% living with obesity. The childhood obesity crisis is also alarming. In 2022, 37 million children under 5 were overweight. The situation is even more dire for older children and adolescents aged 5-19, with over 390 million being overweight, including 160 million living with obesity.[WHO, Obesity and Overweight] Despite the escalating global prevalence of obesity, individuals grappling with this condition frequently encounter pervasive societal stigma and discrimination, precipitating a cascade of psychological challenges. These encompass diminished self-worth, distorted body perception, dissatisfaction with one's physical appearance, and a pervasive negative self-concept. This societal scrutiny often engenders profound feelings of seclusion, melancholy, and anxiety, amplifying the vulnerability to mood disorders such as depression and anxiety disorders. Furthermore, the distress stemming from these encounters may exacerbate the propensity towards developing maladaptive eating behaviors, ranging from compulsive overeating to extreme dietary constraints, as affected individuals grapple with emotional turmoil or societal pressures. Notably, obesity can function as both a catalyst and a consequence of stress as individuals contend with the complexities of managing health issues, societal norms, and personal aspirations, culminating in chronic stress and emotional upheaval. The apprehension of social judgment frequently prompts withdrawal from communal engagements, fostering a cycle of isolation and desolation. Moreover, the pervasive stigma surrounding obesity permeates various facets of life, precipitating discrimination across multiple domains, thereby further compromising mental well-being and diminishing the overall quality of life.","call-number":"NBK603747","container-title":"StatPearls","event-place":"Treasure Island (FL)","language":"eng","license":"Copyright © 2025, StatPearls Publishing LLC.","note":"PMID: 38753901","publisher":"StatPearls Publishing","publisher-place":"Treasure Island (FL)","source":"PubMed","title":"Psychological Issues Associated With Obesity","URL":"http://www.ncbi.nlm.nih.gov/books/NBK603747/","author":[{"family":"Segal","given":"Yarden"},{"family":"Gunturu","given":"Sasidhar"}],"accessed":{"date-parts":[["2025",6,11]]},"issued":{"date-parts":[["2025"]]}}}],"schema":"https://github.com/citation-style-language/schema/raw/master/csl-citation.json"} </w:instrText>
      </w:r>
      <w:r w:rsidRPr="00735FCE">
        <w:rPr>
          <w:color w:val="000000" w:themeColor="text1"/>
        </w:rPr>
        <w:fldChar w:fldCharType="separate"/>
      </w:r>
      <w:r w:rsidR="00281437" w:rsidRPr="00281437">
        <w:rPr>
          <w:color w:val="000000"/>
          <w:vertAlign w:val="superscript"/>
        </w:rPr>
        <w:t>53</w:t>
      </w:r>
      <w:r w:rsidRPr="00735FCE">
        <w:rPr>
          <w:color w:val="000000" w:themeColor="text1"/>
        </w:rPr>
        <w:fldChar w:fldCharType="end"/>
      </w:r>
      <w:r w:rsidRPr="00735FCE">
        <w:rPr>
          <w:color w:val="000000" w:themeColor="text1"/>
        </w:rPr>
        <w:t xml:space="preserve">. </w:t>
      </w:r>
      <w:bookmarkStart w:id="16" w:name="_Hlk200567360"/>
      <w:r w:rsidRPr="00735FCE">
        <w:rPr>
          <w:color w:val="000000" w:themeColor="text1"/>
        </w:rPr>
        <w:t xml:space="preserve">Primary endocrine conditions include hypothyroidism and polycystic ovary syndrome (PCOS), which cause </w:t>
      </w:r>
      <w:r>
        <w:rPr>
          <w:color w:val="000000" w:themeColor="text1"/>
        </w:rPr>
        <w:t xml:space="preserve">patients </w:t>
      </w:r>
      <w:r w:rsidRPr="00735FCE">
        <w:rPr>
          <w:color w:val="000000" w:themeColor="text1"/>
        </w:rPr>
        <w:t xml:space="preserve">to gain weight due to </w:t>
      </w:r>
      <w:r>
        <w:rPr>
          <w:color w:val="000000" w:themeColor="text1"/>
        </w:rPr>
        <w:t xml:space="preserve">an </w:t>
      </w:r>
      <w:r w:rsidRPr="00735FCE">
        <w:rPr>
          <w:color w:val="000000" w:themeColor="text1"/>
        </w:rPr>
        <w:t>imbalance in metabolism</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{"citationID":"umwZpt3o","properties":{"formattedCitation":"\\super 54,55\\nosupersub{}","plainCitation":"54,55","noteIndex":0},"citationItems":[{"id":3605,"uris":["http://zotero.org/users/9622455/items/7CA86VAV"],"itemData":{"id":3605,"type":"article-journal","abstract":"Polycystic ovary syndrome (PCOS) is a common female condition typified by reproductive, hyperandrogenic, and metabolic features. Polycystic ovary syndrome is a genetic condition, exacerbated by obesity. There is a close link between obesity and PCOS based on epidemiological data, and more recently corroborated through genetic studies. There are many mechanisms mediating the effects of weight-gain and obesity on the development of PCOS. The metabolic effects of insulin resistance and steroidogenic and reproductive effects of hyperinsulinaemia are important mechanisms. Adipokine production by subcutaneous and visceral fat appears to play a part in metabolic function. However, given the complexity of PCOS pathogenesis, it is important also to consider possible effects of PCOS on further weight-gain, or at least on hampering attempts at weight-loss and maintenance through lifestyle changes. Possible mediators of these effects include changes in energy expenditure, mental ill health, or physical inactivity. In this brief review, we discuss the main mechanisms that underlie the association between obesity and PCOS, from divergent perspectives of weight-gain contributing to development of PCOS and vice versa. We also consider novel management options for women with obesity and PCOS.","container-title":"Clinical Medicine Insights. Reproductive Health","DOI":"10.1177/1179558119874042","ISSN":"1179-5581","journalAbbreviation":"Clin Med Insights Reprod Health","note":"PMID: 31523137\nPMCID: PMC6734597","page":"1179558119874042","source":"PubMed Central","title":"Obesity and Polycystic Ovary Syndrome: Implications for Pathogenesis and Novel Management Strategies","title-short":"Obesity and Polycystic Ovary Syndrome","volume":"13","author":[{"family":"Barber","given":"Thomas M"},{"family":"Hanson","given":"Petra"},{"family":"Weickert","given":"Martin O"},{"family":"Franks","given":"Stephen"}],"issued":{"date-parts":[["2019",9,9]]}}},{"id":3603,"uris":["http://zotero.org/users/9622455/items/ZUJ9NWWF"],"itemData":{"id":3603,"type":"article-journal","abstract":"According to common perception, hypothyroidism is held responsible for obesity. However, linking them causally is controversial. Overt hypothyroidism is associated with modest weight gain, but there is a lack of clarity regarding subclinical hypothyroidism. Novel view indicates that changes in thyroid-stimulating hormone (TSH) could well be secondary to obesity. The increasing prevalence of obesity further confounds definition of normal TSH range in population studies. Thyroid autoantibody status may help in establishing the diagnosis of subclinical hypothyroidism in obesity. High leptin levels may play a role in the hyperthyrotropinemia of obesity and also increase susceptibility to thyroid autoimmunity and subsequent hypothyroidism. There is at most a modest effect of L-T4 treatment in overt hypothyroidism in inducing weight loss; benefit in subclinical hypothyroidism is not established with no data supporting thyroid hormone use in euthyroid obese patients.","container-title":"Indian Journal of Endocrinology and Metabolism","DOI":"10.4103/2230-8210.183454","ISSN":"2230-8210","issue":"4","journalAbbreviation":"Indian J Endocrinol Metab","note":"PMID: 27366725\nPMCID: PMC4911848","page":"554-557","source":"PubMed Central","title":"Hypothyroidism and obesity: An intriguing link","title-short":"Hypothyroidism and obesity","volume":"20","author":[{"family":"Sanyal","given":"Debmalya"},{"family":"Raychaudhuri","given":"Moutusi"}],"issued":{"date-parts":[["2016"]]}}}],"schema":"https://github.com/citation-style-language/schema/raw/master/csl-citation.json"} </w:instrText>
      </w:r>
      <w:r w:rsidRPr="00735FCE">
        <w:rPr>
          <w:color w:val="000000" w:themeColor="text1"/>
        </w:rPr>
        <w:fldChar w:fldCharType="separate"/>
      </w:r>
      <w:r w:rsidR="00281437" w:rsidRPr="00281437">
        <w:rPr>
          <w:color w:val="000000"/>
          <w:vertAlign w:val="superscript"/>
        </w:rPr>
        <w:t>54,55</w:t>
      </w:r>
      <w:r w:rsidRPr="00735FCE">
        <w:rPr>
          <w:color w:val="000000" w:themeColor="text1"/>
        </w:rPr>
        <w:fldChar w:fldCharType="end"/>
      </w:r>
      <w:r w:rsidRPr="00735FCE">
        <w:rPr>
          <w:color w:val="000000" w:themeColor="text1"/>
        </w:rPr>
        <w:t>. Some classes of medication, such as antipsychotics, antidepressants, and corticosteroids, have the side effects of increased appetite and weight gain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{"citationID":"xzztFcbX","properties":{"formattedCitation":"\\super 56\\uc0\\u8211{}58\\nosupersub{}","plainCitation":"56–58","noteIndex":0},"citationItems":[{"id":3608,"uris":["http://zotero.org/users/9622455/items/WBWXP9U4"],"itemData":{"id":3608,"type":"article-journal","abstract":"Antipsychotic-induced weight gain is a major management problem for clinicians. It has been shown that weight gain and obesity lead to increased cardiovascular and cerebrovascular morbidity and mortality, reduced quality of life and poor drug compliance. This narrative review discusses the propensity of various antipsychotics to cause weight gain, the pharmacologic and nonpharmacologic interventions available to counteract this effect and its impact on adherence. Most antipsychotics cause weight gain. The risk appears to be highest with olanzapine and clozapine. Weight increases rapidly in the initial period after starting antipsychotics. Patients continue to gain weight in the long term. Children appear to be particularly vulnerable to antipsychotic-induced weight gain. Tailoring antipsychotics according to the needs of the individual and close monitoring of weight and other metabolic parameters are the best preventive strategies at the outset. Switching to an agent with lesser tendency to cause weight gain is an option, but carries the risk of relapse of the illness. Nonpharmacologic interventions of dietary counseling, exercise programs and cognitive and behavioral strategies appear to be equally effective in individual and group therapy formats. Both nonpharmacologic prevention and intervention strategies have shown modest effects on weight. Multiple compounds have been investigated as add-on medications to cause weight loss. Metformin has the best evidence in this respect. Burden of side effects needs to be considered when prescribing weight loss medications. There is no strong evidence to recommend routine prescription of add-on medication for weight reduction. Heterogeneity of study methodologies and other confounders such as lifestyle, genetic and illness factors make interpretation of data difficult.","container-title":"Neuropsychiatric Disease and Treatment","DOI":"10.2147/NDT.S113099","ISSN":"1176-6328","journalAbbreviation":"Neuropsychiatr Dis Treat","note":"PMID: 28883731\nPMCID: PMC5574691","page":"2231-2241","source":"PubMed Central","title":"Antipsychotic-associated weight gain: management strategies and impact on treatment adherence","title-short":"Antipsychotic-associated weight gain","volume":"13","author":[{"family":"Dayabandara","given":"Madhubhashinee"},{"family":"Hanwella","given":"Raveen"},{"family":"Ratnatunga","given":"Suhashini"},{"family":"Seneviratne","given":"Sudarshi"},{"family":"Suraweera","given":"Chathurie"},{"family":"Silva","given":"Varuni A","non-dropping-particle":"de"}],"issued":{"date-parts":[["2017",8,22]]}}},{"id":3611,"uris":["http://zotero.org/users/9622455/items/VMVJTKVR"],"itemData":{"id":3611,"type":"article-journal","abstract":"Background:Antidepressants are among the most commonly prescribed medications, but evidence on comparative weight change for specific first-line treatments is limited.Objective:To compare weight change across common first-line antidepressant treatments by emulating a target trial.Design:Observational cohort study over 24 months.Setting:Electronic health record (EHR) data from 2010 to 2019 across 8 U.S. health systems.Participants:183 118 patients.Measurements:Prescription data determined initiation of treatment with sertraline, citalopram, escitalopram, fluoxetine, paroxetine, bupropion, duloxetine, or venlafaxine. The investigators estimated the population-level effects of initiating each treatment, relative to sertraline, on mean weight change (primary) and the probability of gaining at least 5% of baseline weight (secondary) 6 months after initiation. Inverse probability weighting of repeated outcome marginal structural models was used to account for baseline confounding and informative outcome measurement. In secondary analyses, the effects of initiating and adhering to each treatment protocol were estimated.Results:Compared with that for sertraline, estimated 6-month weight gain was higher for escitalopram (difference, 0.41 kg [95% CI, 0.31 to 0.52 kg]), paroxetine (difference, 0.37 kg [CI, 0.20 to 0.54 kg]), duloxetine (difference, 0.34 kg [CI, 0.22 to 0.44 kg]), venlafaxine (difference, 0.17 kg [CI, 0.03 to 0.31 kg]), and citalopram (difference, 0.12 kg [CI, 0.02 to 0.23 kg]); similar for fluoxetine (difference, −0.07 kg [CI, −0.19 to 0.04 kg]); and lower for bupropion (difference, −0.22 kg [CI, −0.33 to −0.12 kg]). Escitalopram, paroxetine, and duloxetine were associated with 10% to 15% higher risk for gaining at least 5% of baseline weight, whereas bupropion was associated with 15% reduced risk. When the effects of initiation and adherence were estimated, associations were stronger but had wider CIs. Six-month adherence ranged from 28% (duloxetine) to 41% (bupropion).Limitation:No data on medication dispensing, low medication adherence, incomplete data on adherence, and incomplete data on weight measures across time points.Conclusion:Small differences in mean weight change were found between 8 first-line antidepressants, with bupropion consistently showing the least weight gain, although adherence to medications over follow-up was low. Clinicians could consider potential weight gain when initiating antidepressant treatment.Primary Funding Source:National Institutes of Health.","container-title":"Annals of Internal Medicine","DOI":"10.7326/M23-2742","ISSN":"0003-4819","issue":"8","journalAbbreviation":"Ann Intern Med","note":"publisher: American College of Physicians","page":"993-1003","source":"acpjournals.org (Atypon)","title":"Medication-Induced Weight Change Across Common Antidepressant Treatments","volume":"177","author":[{"family":"Petimar","given":"Joshua"},{"family":"Young","given":"Jessica G."},{"family":"Yu","given":"Han"},{"family":"Rifas-Shiman","given":"Sheryl L."},{"family":"Daley","given":"Matthew F."},{"family":"Heerman","given":"William J."},{"family":"Janicke","given":"David M."},{"family":"Jones","given":"W. Schuyler"},{"family":"Lewis","given":"Kristina H."},{"family":"Lin","given":"Pi-I D."},{"family":"Prentice","given":"Carly"},{"family":"Merriman","given":"John W."},{"family":"Toh","given":"Sengwee"},{"family":"Block","given":"Jason P."}],"issued":{"date-parts":[["2024",8,20]]}}},{"id":3612,"uris":["http://zotero.org/users/9622455/items/ZRHHIFPL"],"itemData":{"id":3612,"type":"article-journal","abstract":"Background. \n          Weight gain is a known complication of corticosteroid maintenance therapy. The purpose of the present study was to compare patterns of weight gain under chronic corticosteroid therapy (CCST) with that observed under early (i.e., within 7 days posttransplant) corticosteroid withdrawal (CSWD) in renal-transplant recipients.\n          Methods. \n          Renal-transplant recipients who underwent early CSWD under four prospective, institutional review board-approved clinical trials were compared with a historic control group of patients receiving maintenance CCST.\n          Results. \n          One hundred sixty-nine patients with early CSWD were compared with 132 patients who received CCST. Mean population weight gain was significantly higher in CCST patients at 3, 6, and 12 months posttransplant. Race influenced weight gain because white CSWD patients demonstrated greater reductions in weight gain compared with African-American patients. Sex also influenced weight gain: women demonstrated a greater benefit from CSWD than did men. Corticosteroid rejection therapy in CSWD patients completely restored weight gain because these patients showed weight gains similar to the CCST group. Finally, pretransplant body mass index (BMI) also influenced weight gain because patients who were overweight (BMI 25–30) or obese (BMI&gt;30) demonstrated a greater reduction in weight gain with CSWD than did patients of normal weight (BMI&lt;25).\n          Conclusions. \n          Early CSWD minimizes weight gain in renal-transplant recipients. Women, whites, and patients with high pretransplant BMI had greater reductions in weight gain with early CSWD.","container-title":"Transplantation","DOI":"10.1097/01.TP.0000164290.17030.BC","ISSN":"0041-1337","issue":"1","language":"en-US","page":"26","source":"journals.lww.com","title":"Body Weight Alterations Under Early Corticosteroid Withdrawal and Chronic Corticosteroid Therapy with Modern Immunosuppression","volume":"80","author":[{"family":"Rogers","given":"Christin C."},{"family":"Alloway","given":"Rita R."},{"family":"Buell","given":"Joseph F."},{"family":"Boardman","given":"Robyn"},{"family":"Alexander","given":"J. Wesley"},{"family":"Cardi","given":"Michael"},{"family":"Roy-Chaudhury","given":"Prabir"},{"family":"First","given":"M. Roy"},{"family":"Succop","given":"Paul"},{"family":"Munda","given":"Rino"},{"family":"Woodle","given":"E. Steve"}],"issued":{"date-parts":[["2005",7,15]]}}}],"schema":"https://github.com/citation-style-language/schema/raw/master/csl-citation.json"} </w:instrText>
      </w:r>
      <w:r w:rsidRPr="00735FCE">
        <w:rPr>
          <w:color w:val="000000" w:themeColor="text1"/>
        </w:rPr>
        <w:fldChar w:fldCharType="separate"/>
      </w:r>
      <w:r w:rsidR="00281437" w:rsidRPr="00281437">
        <w:rPr>
          <w:color w:val="000000"/>
          <w:vertAlign w:val="superscript"/>
        </w:rPr>
        <w:t>56–58</w:t>
      </w:r>
      <w:r w:rsidRPr="00735FCE">
        <w:rPr>
          <w:color w:val="000000" w:themeColor="text1"/>
        </w:rPr>
        <w:fldChar w:fldCharType="end"/>
      </w:r>
      <w:r w:rsidRPr="00735FCE">
        <w:rPr>
          <w:color w:val="000000" w:themeColor="text1"/>
        </w:rPr>
        <w:t>. Chronic psychosocial stressors</w:t>
      </w:r>
      <w:r>
        <w:rPr>
          <w:color w:val="000000" w:themeColor="text1"/>
        </w:rPr>
        <w:t>, such as</w:t>
      </w:r>
      <w:r w:rsidRPr="00735FCE">
        <w:rPr>
          <w:color w:val="000000" w:themeColor="text1"/>
        </w:rPr>
        <w:t xml:space="preserve"> chronic stress, clinical depression, and low socioeconomic status</w:t>
      </w:r>
      <w:r>
        <w:rPr>
          <w:color w:val="000000" w:themeColor="text1"/>
        </w:rPr>
        <w:t>,</w:t>
      </w:r>
      <w:r w:rsidRPr="00735FCE">
        <w:rPr>
          <w:color w:val="000000" w:themeColor="text1"/>
        </w:rPr>
        <w:t xml:space="preserve"> impact diet and nutrition profoundly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{"citationID":"2ZtzJP7F","properties":{"formattedCitation":"\\super 59\\uc0\\u8211{}61\\nosupersub{}","plainCitation":"59–61","noteIndex":0},"citationItems":[{"id":3614,"uris":["http://zotero.org/users/9622455/items/GVLH7T4X"],"itemData":{"id":3614,"type":"article-journal","abstract":"Introduction: There has long been an interest in the effects of diet on mental health, and the interaction of the two with stress; however, the nature of these relationships is not well understood. Although associations between diet, obesity and the related metabolic syndrome (MetS), stress, and mental disorders exist, causal pathways have not been established. Methods: We reviewed the literature on the relationship between diet, stress, obesity and psychiatric disorders related to stress. Results: Diet and obesity can affect mood through direct effects, or stress-related mental disorders could lead to changes in diet habits that affect weight. Alternatively, common factors such as stress or predisposition could lead to both obesity and stress-related mental disorders, such as depression and posttraumatic stress disorder (PTSD). Specific aspects of diet can lead to acute changes in mood as well as stimulate inflammation, which has led to efforts to assess polyunsaturated fats (PUFA) as a treatment for depression. Bidirectional relationships between these different factors are also likely. Finally, there has been increased attention recently on the relationship between the gut and the brain, with the realization that the gut microbiome has an influence on brain function and probably also mood and behavior, introducing another way diet can influence mental health and disorders. Brain areas and neurotransmitters and neuropeptides that are involved in both mood and appetite likely play a role in mediating this relationship. Conclusions: Understanding the relationship between diet, stress and mood and behavior could have important implications for the treatment of both stress-related mental disorders and obesity.","container-title":"Nutrients","DOI":"10.3390/nu12082428","ISSN":"2072-6643","issue":"8","journalAbbreviation":"Nutrients","note":"PMID: 32823562\nPMCID: PMC7468813","page":"2428","source":"PubMed Central","title":"Diet, Stress and Mental Health","volume":"12","author":[{"family":"Bremner","given":"J. Douglas"},{"family":"Moazzami","given":"Kasra"},{"family":"Wittbrodt","given":"Matthew T."},{"family":"Nye","given":"Jonathon A."},{"family":"Lima","given":"Bruno B."},{"family":"Gillespie","given":"Charles F."},{"family":"Rapaport","given":"Mark H."},{"family":"Pearce","given":"Bradley D."},{"family":"Shah","given":"Amit J."},{"family":"Vaccarino","given":"Viola"}],"issued":{"date-parts":[["2020",8,13]]}}},{"id":3617,"uris":["http://zotero.org/users/9622455/items/8K9LDSJT"],"itemData":{"id":3617,"type":"article-journal","abstract":"Depression being the psychiatric condition with the highest societal costs in industrialized nations, it is necessary to collect research information on the role of nutrition in depression in order to provide recommendations and guide future health treatment. Observance of healthy dietary practices has been linked to decreased depression symptoms; however, it is unknown whether this is attributable to some or all of the components., The aim of this study was to conduct a systematic review of observational and systematic studies analyzing the association between dietary habits and depression in adolescents, adults, and older people. A variety of noncommunicable chronic illnesses and deaths have been linked to dietary and other lifestyle factors such as physical inactivity, cigarette use, and alcohol use. , Several studies have found that older people are more likely to be malnourished and depressed, which can hurt their overall health and well-being. Early in life, proper nutrition is suggested as a factor that may have a significant impact on one's mental health. It is critical to identify changes in primary care practices in order to improve the quality of life and prevent complications., The systematic review included papers presenting human studies and published in English until January 2021, analyzing the association between dietary habits and mental health, while we studied a group of people of mixed ages. We included three systematic reviews, three cross-sectional studies, two cohorts, and one meta-analysis. According to the findings of our systematic review of observational studies, observational evidence suggests that both following a healthy diet, in particular incorporating vegetables and fruits, and avoiding a pro-inflammatory diet like junk foods, fast foods, and high meat intake may lower the risk of developing depressive symptoms or clinical depression. As a result, we recommend that the relationship between diet and depression should be investigated in prospective cohorts and randomized controlled studies that are well-designed and have more conclusive evidence regarding dietary involvement and depression.","container-title":"Cureus","DOI":"10.7759/cureus.32359","ISSN":"2168-8184","issue":"12","journalAbbreviation":"Cureus","note":"PMID: 36632273\nPMCID: PMC9828042","page":"e32359","source":"PubMed Central","title":"Association Between Dietary Habits and Depression: A Systematic Review","title-short":"Association Between Dietary Habits and Depression","volume":"14","author":[{"family":"Selvaraj","given":"Ramaneshwar"},{"family":"Selvamani","given":"Tharun Yadhav"},{"family":"Zahra","given":"Anam"},{"family":"Malla","given":"Jyothirmai"},{"family":"Dhanoa","given":"Ravneet K"},{"family":"Venugopal","given":"Sathish"},{"family":"Shoukrie","given":"Shoukrie I"},{"family":"Hamouda","given":"Ranim K"},{"family":"Hamid","given":"Pousette"}]}},{"id":3620,"uris":["http://zotero.org/users/9622455/items/NGIAPGVA"],"itemData":{"id":3620,"type":"article-journal","abstract":"Investigations of the contribution of food costs to socioeconomic inequalities in diet quality may have been limited by the use of estimated (vs. actual) food expenditures, not accounting for where individuals shop, and possible reverse mediation between food expenditures and healthiness of food choices. This study aimed to explore the extent to which food expenditure mediates socioeconomic inequalities in the healthiness of household food choices. Observational panel data on take-home food and beverage purchases, including expenditure, throughout 2010 were obtained for 24,879 UK households stratified by occupational social class. Purchases of (1) fruit and vegetables and (2) less-healthy foods/beverages indicated healthiness of choices. Supermarket choice was determined by whether households ever visited market-defined high-price and/or low-price supermarkets. Results showed that higher occupational social class was significantly associated with greater food expenditure, which was in turn associated with healthier purchasing. In mediation analyses, 63% of the socioeconomic differences in choices of less-healthy foods/beverages were mediated by expenditure, and 36% for fruit and vegetables, but these figures were reduced to 53% and 31% respectively when controlling for supermarket choice. However, reverse mediation analyses were also significant, suggesting that 10% of socioeconomic inequalities in expenditure were mediated by healthiness of choices. Findings suggest that lower food expenditure is likely to be a key contributor to less-healthy food choices among lower socioeconomic groups. However, the potential influence of cost may have been overestimated previously if studies did not account for supermarket choice or explore possible reverse mediation between expenditure and healthiness of choices., •Large dataset linking detailed food expenditure data with healthiness of choices.•Lower food expenditure mediates less-healthy choices for lower SES groups.•Reverse mediation was also observed, however; albeit to a smaller degree.•The potential influence of cost may have been overestimated previously.","container-title":"Preventive Medicine","DOI":"10.1016/j.ypmed.2016.04.012","ISSN":"0091-7435","journalAbbreviation":"Prev Med","note":"PMID: 27095324\nPMCID: PMC4910945","page":"203-209","source":"PubMed Central","title":"Socioeconomic inequalities in the healthiness of food choices: Exploring the contributions of food expenditures","title-short":"Socioeconomic inequalities in the healthiness of food choices","volume":"88","author":[{"family":"Pechey","given":"Rachel"},{"family":"Monsivais","given":"Pablo"}],"issued":{"date-parts":[["2016",7]]}}}],"schema":"https://github.com/citation-style-language/schema/raw/master/csl-citation.json"} </w:instrText>
      </w:r>
      <w:r w:rsidRPr="00735FCE">
        <w:rPr>
          <w:color w:val="000000" w:themeColor="text1"/>
        </w:rPr>
        <w:fldChar w:fldCharType="separate"/>
      </w:r>
      <w:r w:rsidR="00281437" w:rsidRPr="00281437">
        <w:rPr>
          <w:color w:val="000000"/>
          <w:vertAlign w:val="superscript"/>
        </w:rPr>
        <w:t>59–61</w:t>
      </w:r>
      <w:r w:rsidRPr="00735FCE">
        <w:rPr>
          <w:color w:val="000000" w:themeColor="text1"/>
        </w:rPr>
        <w:fldChar w:fldCharType="end"/>
      </w:r>
      <w:r w:rsidRPr="00735FCE">
        <w:rPr>
          <w:color w:val="000000" w:themeColor="text1"/>
        </w:rPr>
        <w:t xml:space="preserve">. Stress eating is associated with increased consumption of </w:t>
      </w:r>
      <w:r>
        <w:rPr>
          <w:color w:val="000000" w:themeColor="text1"/>
        </w:rPr>
        <w:t>calorie-dense</w:t>
      </w:r>
      <w:r w:rsidRPr="00735FCE">
        <w:rPr>
          <w:color w:val="000000" w:themeColor="text1"/>
        </w:rPr>
        <w:t xml:space="preserve"> foods high in </w:t>
      </w:r>
      <w:r>
        <w:rPr>
          <w:color w:val="000000" w:themeColor="text1"/>
        </w:rPr>
        <w:t>fat</w:t>
      </w:r>
      <w:r w:rsidRPr="00735FCE">
        <w:rPr>
          <w:color w:val="000000" w:themeColor="text1"/>
        </w:rPr>
        <w:t>s and sugars</w:t>
      </w:r>
      <w:r>
        <w:rPr>
          <w:color w:val="000000" w:themeColor="text1"/>
        </w:rPr>
        <w:t>,</w:t>
      </w:r>
      <w:r w:rsidRPr="00735FCE">
        <w:rPr>
          <w:color w:val="000000" w:themeColor="text1"/>
        </w:rPr>
        <w:t xml:space="preserve"> and </w:t>
      </w:r>
      <w:r>
        <w:rPr>
          <w:color w:val="000000" w:themeColor="text1"/>
        </w:rPr>
        <w:t xml:space="preserve">it </w:t>
      </w:r>
      <w:r w:rsidRPr="00735FCE">
        <w:rPr>
          <w:color w:val="000000" w:themeColor="text1"/>
        </w:rPr>
        <w:t xml:space="preserve">is a </w:t>
      </w:r>
      <w:r>
        <w:rPr>
          <w:color w:val="000000" w:themeColor="text1"/>
        </w:rPr>
        <w:t xml:space="preserve">common </w:t>
      </w:r>
      <w:r w:rsidRPr="00735FCE">
        <w:rPr>
          <w:color w:val="000000" w:themeColor="text1"/>
        </w:rPr>
        <w:t>coping mechanism</w:t>
      </w:r>
      <w:r>
        <w:rPr>
          <w:color w:val="000000" w:themeColor="text1"/>
        </w:rPr>
        <w:t xml:space="preserve"> </w:t>
      </w:r>
      <w:r w:rsidRPr="00735FCE">
        <w:rPr>
          <w:color w:val="000000" w:themeColor="text1"/>
        </w:rPr>
        <w:t xml:space="preserve">to </w:t>
      </w:r>
      <w:r>
        <w:rPr>
          <w:color w:val="000000" w:themeColor="text1"/>
        </w:rPr>
        <w:t xml:space="preserve">manage </w:t>
      </w:r>
      <w:r w:rsidRPr="00735FCE">
        <w:rPr>
          <w:color w:val="000000" w:themeColor="text1"/>
        </w:rPr>
        <w:t xml:space="preserve">emotional </w:t>
      </w:r>
      <w:r>
        <w:rPr>
          <w:color w:val="000000" w:themeColor="text1"/>
        </w:rPr>
        <w:t>distress,</w:t>
      </w:r>
      <w:r w:rsidRPr="00735FCE">
        <w:rPr>
          <w:color w:val="000000" w:themeColor="text1"/>
        </w:rPr>
        <w:t xml:space="preserve"> resulting in more weight gain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{"citationID":"jAldqda1","properties":{"formattedCitation":"\\super 62\\uc0\\u8211{}64\\nosupersub{}","plainCitation":"62–64","noteIndex":0},"citationItems":[{"id":3629,"uris":["http://zotero.org/users/9622455/items/FNNACS8X"],"itemData":{"id":3629,"type":"article-journal","abstract":"Objective \n          This study investigated experimentally whether acute stress alters food choice during a meal. The study was designed to test claims of selective effects of stress on appetite for specific sensory and nutritional categories of food and interactions with eating attitudes.\n          Methods \n          Sixty-eight healthy men and women volunteered for a study on “the effects of hunger on physiology, performance, and mood.” Eating attitudes and food preferences were measured on entry to the study. The stressed group prepared a 4-minute speech, expecting it to be filmed and assessed after a midday meal, although in fact speeches were not performed. The ad libitum meal included sweet, salty, or bland high- and low-fat foods. The control group listened to a passage of neutral text before eating the meal. Blood pressure, heart rate, mood, and hunger were measured at baseline and after the 10-minute preparatory period, when appetite for 34 foods and food intake were recorded.\n          Results \n          Increases in blood pressure and changes in mood confirmed the effectiveness of the stressor. Stress did not alter overall intake, nor intake of, or appetite for the six food categories. However, stressed emotional eaters ate more sweet high-fat foods and a more energy-dense meal than unstressed and nonemotional eaters. Dietary restraint did not significantly affect appetitive responses to stress.\n          Conclusions \n          Increased eating of sweet fatty foods by emotional eaters during stress, found here in a laboratory setting, may underlie the previously reported finding that dietary restraint or female gender predicts stress-induced eating. Stress may compromise the health of susceptible individuals through deleterious stress-related changes in food choice.","container-title":"Biopsychosocial Science and Medicine","ISSN":"2998-8748","issue":"6","language":"en-US","page":"853","source":"journals.lww.com","title":"Stress and Food Choice: A Laboratory Study","title-short":"Stress and Food Choice","volume":"62","author":[{"family":"Oliver","given":"Georgina"},{"family":"Wardle","given":"Jane"},{"family":"Gibson","given":"E. Leigh"}],"issued":{"date-parts":[["2000",11]]}}},{"id":3625,"uris":["http://zotero.org/users/9622455/items/NMI9AUBX"],"itemData":{"id":3625,"type":"article-journal","abstract":"To date, there are few known predictors of stress-induced eating. The purpose of this study was to identify whether physiological and psychological variables are related to eating after stress. Specifically, we hypothesized that high cortisol reactivity in response to stress may lead to eating after stress, given the relations between cortisol with both psychological stress and mechanisms affecting hunger. To test this, we exposed fifty-nine healthy pre-menopausal women to both a stress session and a control session on different days. High cortisol reactors consumed more calories on the stress day compared to low reactors, but ate similar amounts on the control day. In terms of taste preferences, high reactors ate significantly more sweet food across days. Increases in negative mood in response to the stressors were also significantly related to greater food consumption. These results suggest that psychophysiological response to stress may influence subsequent eating behavior. Over time, these alterations could impact both weight and health.","container-title":"Psychoneuroendocrinology","DOI":"10.1016/S0306-4530(00)00035-4","ISSN":"0306-4530","issue":"1","journalAbbreviation":"Psychoneuroendocrinology","page":"37-49","source":"ScienceDirect","title":"Stress may add bite to appetite in women: a laboratory study of stress-induced cortisol and eating behavior","title-short":"Stress may add bite to appetite in women","volume":"26","author":[{"family":"Epel","given":"Elissa"},{"family":"Lapidus","given":"Rachel"},{"family":"McEwen","given":"Bruce"},{"family":"Brownell","given":"Kelly"}],"issued":{"date-parts":[["2001",1,1]]}}},{"id":3623,"uris":["http://zotero.org/users/9622455/items/LWAQZ5A2"],"itemData":{"id":3623,"type":"article-journal","abstract":"Two studies investigate the effect of stress on food choice. Experiment 1 demonstrates experimentally that stress causes changes in food choice away from healthy low fat foods (grapes) to less healthy high fat foods (M&amp;Ms), confirming previous survey research. Experiment 2, a survey study, finds that more females than males report increasing food consumption when stressed. A much larger percentage of those who report increasing their food consumption when stressed (71%) are restrained eaters (i.e., dieters) than are people who undereat or who do not change the amount they eat when stressed (35%). The foods that they report overeating when stressed are foods they normally avoid for weight-loss or health reasons (i.e., highly caloric high fat snack foods). They report eating these foods to feel better. Both studies show that stress not only increases consumption in certain individuals but also shifts their food choice from lower fat to higher fat foods.","container-title":"Physiology &amp; Behavior","DOI":"10.1016/j.physbeh.2006.01.014","ISSN":"0031-9384","issue":"4","journalAbbreviation":"Physiology &amp; Behavior","page":"789-793","source":"ScienceDirect","title":"Food selection changes under stress","volume":"87","author":[{"family":"Zellner","given":"Debra A."},{"family":"Loaiza","given":"Susan"},{"family":"Gonzalez","given":"Zuleyma"},{"family":"Pita","given":"Jaclyn"},{"family":"Morales","given":"Janira"},{"family":"Pecora","given":"Deanna"},{"family":"Wolf","given":"Amanda"}],"issued":{"date-parts":[["2006",4,15]]}}}],"schema":"https://github.com/citation-style-language/schema/raw/master/csl-citation.json"} </w:instrText>
      </w:r>
      <w:r w:rsidRPr="00735FCE">
        <w:rPr>
          <w:color w:val="000000" w:themeColor="text1"/>
        </w:rPr>
        <w:fldChar w:fldCharType="separate"/>
      </w:r>
      <w:r w:rsidR="00281437" w:rsidRPr="00281437">
        <w:rPr>
          <w:color w:val="000000"/>
          <w:vertAlign w:val="superscript"/>
        </w:rPr>
        <w:t>62–64</w:t>
      </w:r>
      <w:r w:rsidRPr="00735FCE">
        <w:rPr>
          <w:color w:val="000000" w:themeColor="text1"/>
        </w:rPr>
        <w:fldChar w:fldCharType="end"/>
      </w:r>
      <w:r w:rsidRPr="00735FCE">
        <w:rPr>
          <w:color w:val="000000" w:themeColor="text1"/>
        </w:rPr>
        <w:t xml:space="preserve">. Also, lacking access to healthy and nutritious foods, </w:t>
      </w:r>
      <w:r>
        <w:rPr>
          <w:color w:val="000000" w:themeColor="text1"/>
        </w:rPr>
        <w:t xml:space="preserve">and </w:t>
      </w:r>
      <w:r w:rsidRPr="00735FCE">
        <w:rPr>
          <w:color w:val="000000" w:themeColor="text1"/>
        </w:rPr>
        <w:t xml:space="preserve">limited appropriate healthcare and recreational facilities greatly </w:t>
      </w:r>
      <w:r>
        <w:rPr>
          <w:color w:val="000000" w:themeColor="text1"/>
        </w:rPr>
        <w:t>lead</w:t>
      </w:r>
      <w:r w:rsidRPr="00735FCE">
        <w:rPr>
          <w:color w:val="000000" w:themeColor="text1"/>
        </w:rPr>
        <w:t xml:space="preserve"> to obesity in the impoverished communities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{"citationID":"hSyLR2bs","properties":{"formattedCitation":"\\super 65\\nosupersub{}","plainCitation":"65","noteIndex":0},"citationItems":[{"id":3631,"uris":["http://zotero.org/users/9622455/items/RI3X5HKP"],"itemData":{"id":3631,"type":"article-journal","abstract":"Obesity is considered a 21st-century epidemic and it is a metabolic risk factor for Non-Communicable Diseases such as cardiovascular diseases, type 2 diabetes, metabolic syndrome, hypertension, some types of cancer, among others. Thus, its prevention and treatment are important public health concerns. Obesity within the context of food insecurity adds an additional layer of complexity to the current obesity epidemic. Efficient policies and interventions ought to take into consideration the effects of food insecurity on the risks of developing obesity among food insecure households. This review aims to analyze the recent available evidence around the obesity – food insecurity paradox. Most of the literature has consistently shown that there is a significant association between food insecurity and obesity, specifically in women of high-income countries. However, mechanisms explaining the paradox are still lacking. Even though researchers have tried to analyze the issue using different individual and societal variables, these studies have failed to explain the mediatory mechanisms of the food insecurity–obesity relationship since the proposed mechanisms usually lack strength or are purely theoretical. The research focus should shift from cross-sectional models to other research designs that allow the exploration of pathways and mechanisms underlying the food insecurity and obesity relationship, such as longitudinal studies, which will hopefully lead to consecutive research testing the effectiveness of different approaches and scale up such interventions into diverse contexts among those affected by obesity and the different degrees of food insecurity.","container-title":"Frontiers in Nutrition","DOI":"10.3389/fnut.2022.1012734","ISSN":"2296-861X","journalAbbreviation":"Front Nutr","note":"PMID: 36225872\nPMCID: PMC9549066","page":"1012734","source":"PubMed Central","title":"Food insecurity as a risk factor for obesity: A review","title-short":"Food insecurity as a risk factor for obesity","volume":"9","author":[{"family":"Carvajal-Aldaz","given":"Diana"},{"family":"Cucalon","given":"Gabriela"},{"family":"Ordonez","given":"Carlos"}],"issued":{"date-parts":[["2022",9,26]]}}}],"schema":"https://github.com/citation-style-language/schema/raw/master/csl-citation.json"} </w:instrText>
      </w:r>
      <w:r w:rsidRPr="00735FCE">
        <w:rPr>
          <w:color w:val="000000" w:themeColor="text1"/>
        </w:rPr>
        <w:fldChar w:fldCharType="separate"/>
      </w:r>
      <w:r w:rsidR="00281437" w:rsidRPr="00281437">
        <w:rPr>
          <w:color w:val="000000"/>
          <w:vertAlign w:val="superscript"/>
        </w:rPr>
        <w:t>65</w:t>
      </w:r>
      <w:r w:rsidRPr="00735FCE">
        <w:rPr>
          <w:color w:val="000000" w:themeColor="text1"/>
        </w:rPr>
        <w:fldChar w:fldCharType="end"/>
      </w:r>
      <w:r w:rsidRPr="00735FCE">
        <w:rPr>
          <w:color w:val="000000" w:themeColor="text1"/>
        </w:rPr>
        <w:t>.</w:t>
      </w:r>
    </w:p>
    <w:bookmarkEnd w:id="16"/>
    <w:p w14:paraId="29F61E2B" w14:textId="4C43A21D" w:rsidR="009117C0" w:rsidRPr="00735FCE" w:rsidRDefault="009117C0" w:rsidP="00B007DA">
      <w:pPr>
        <w:ind w:firstLine="720"/>
        <w:jc w:val="left"/>
        <w:rPr>
          <w:color w:val="000000" w:themeColor="text1"/>
        </w:rPr>
      </w:pPr>
      <w:r w:rsidRPr="00735FCE">
        <w:rPr>
          <w:color w:val="000000" w:themeColor="text1"/>
        </w:rPr>
        <w:t xml:space="preserve">In addition,  gut microbiota </w:t>
      </w:r>
      <w:r>
        <w:rPr>
          <w:color w:val="000000" w:themeColor="text1"/>
        </w:rPr>
        <w:t>influence</w:t>
      </w:r>
      <w:r w:rsidRPr="00735FCE">
        <w:rPr>
          <w:color w:val="000000" w:themeColor="text1"/>
        </w:rPr>
        <w:t>s obesity by regulating host energy metabolism, nutrient absorption, and inflammation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{"citationID":"3vG9MoDZ","properties":{"formattedCitation":"\\super 66\\nosupersub{}","plainCitation":"66","noteIndex":0},"citationItems":[{"id":3634,"uris":["http://zotero.org/users/9622455/items/CIRG8QK8"],"itemData":{"id":3634,"type":"article-journal","abstract":"The human body is inhabited by numerous bacteria, fungi, and viruses, and each part has a unique microbial community structure. The gastrointestinal tract harbors approximately 100 trillion strains comprising more than 1000 bacterial species that maintain symbiotic relationships with the host. The gut microbiota consists mainly of the phyla Firmicutes, Bacteroidetes, Proteobacteria, and Actinobacteria. Of these, Firmicutes and Bacteroidetes constitute 70–90% of the total abundance. Gut microbiota utilize nutrients ingested by the host, interact with other bacterial species, and help maintain healthy homeostasis in the host. In recent years, it has become increasingly clear that a breakdown of the microbial structure and its functions, known as dysbiosis, is associated with the development of allergies, autoimmune diseases, cancers, and arteriosclerosis, among others. Metabolic diseases, such as obesity and diabetes, also have a causal relationship with dysbiosis. The present review provides a brief overview of the general roles of the gut microbiota and their relationship with metabolic disorders.","DOI":"10.1530/JOE-22-0111","language":"en","note":"section: Journal of Endocrinology","source":"joe.bioscientifica.com","title":"The gut microbiome: a core regulator of metabolism","title-short":"The gut microbiome","URL":"https://joe.bioscientifica.com/view/journals/joe/256/3/JOE-22-0111.xml","author":[{"family":"Fujisaka","given":"Shiho"},{"family":"Watanabe","given":"Yoshiyuki"},{"family":"Tobe","given":"Kazuyuki"}],"accessed":{"date-parts":[["2025",6,11]]},"issued":{"date-parts":[["2023",3,1]]}}}],"schema":"https://github.com/citation-style-language/schema/raw/master/csl-citation.json"} </w:instrText>
      </w:r>
      <w:r w:rsidRPr="00735FCE">
        <w:rPr>
          <w:color w:val="000000" w:themeColor="text1"/>
        </w:rPr>
        <w:fldChar w:fldCharType="separate"/>
      </w:r>
      <w:r w:rsidR="00281437" w:rsidRPr="00281437">
        <w:rPr>
          <w:color w:val="000000"/>
          <w:vertAlign w:val="superscript"/>
        </w:rPr>
        <w:t>66</w:t>
      </w:r>
      <w:r w:rsidRPr="00735FCE">
        <w:rPr>
          <w:color w:val="000000" w:themeColor="text1"/>
        </w:rPr>
        <w:fldChar w:fldCharType="end"/>
      </w:r>
      <w:r w:rsidRPr="00735FCE">
        <w:rPr>
          <w:color w:val="000000" w:themeColor="text1"/>
        </w:rPr>
        <w:t xml:space="preserve">. </w:t>
      </w:r>
      <w:bookmarkStart w:id="17" w:name="_Hlk200568564"/>
      <w:r w:rsidRPr="00735FCE">
        <w:rPr>
          <w:color w:val="000000" w:themeColor="text1"/>
        </w:rPr>
        <w:t xml:space="preserve">Studies on germ-free mice </w:t>
      </w:r>
      <w:r>
        <w:rPr>
          <w:color w:val="000000" w:themeColor="text1"/>
        </w:rPr>
        <w:t xml:space="preserve">have </w:t>
      </w:r>
      <w:r w:rsidRPr="00735FCE">
        <w:rPr>
          <w:color w:val="000000" w:themeColor="text1"/>
        </w:rPr>
        <w:t xml:space="preserve">found that </w:t>
      </w:r>
      <w:r>
        <w:rPr>
          <w:color w:val="000000" w:themeColor="text1"/>
        </w:rPr>
        <w:t>adiposity</w:t>
      </w:r>
      <w:r w:rsidRPr="00735FCE">
        <w:rPr>
          <w:color w:val="000000" w:themeColor="text1"/>
        </w:rPr>
        <w:t xml:space="preserve"> </w:t>
      </w:r>
      <w:r>
        <w:rPr>
          <w:color w:val="000000" w:themeColor="text1"/>
        </w:rPr>
        <w:t>increases</w:t>
      </w:r>
      <w:r w:rsidRPr="00735FCE">
        <w:rPr>
          <w:color w:val="000000" w:themeColor="text1"/>
        </w:rPr>
        <w:t xml:space="preserve"> when </w:t>
      </w:r>
      <w:r>
        <w:rPr>
          <w:color w:val="000000" w:themeColor="text1"/>
        </w:rPr>
        <w:t xml:space="preserve">these mice are </w:t>
      </w:r>
      <w:r w:rsidRPr="00735FCE">
        <w:rPr>
          <w:color w:val="000000" w:themeColor="text1"/>
        </w:rPr>
        <w:t xml:space="preserve">colonized with the gut microbes </w:t>
      </w:r>
      <w:r>
        <w:rPr>
          <w:color w:val="000000" w:themeColor="text1"/>
        </w:rPr>
        <w:t>from</w:t>
      </w:r>
      <w:r w:rsidRPr="00735FCE">
        <w:rPr>
          <w:color w:val="000000" w:themeColor="text1"/>
        </w:rPr>
        <w:t xml:space="preserve"> obese animals, suggesting a role for microbiota in fat storage</w:t>
      </w:r>
      <w:r>
        <w:rPr>
          <w:color w:val="000000" w:themeColor="text1"/>
        </w:rPr>
        <w:t>,</w:t>
      </w:r>
      <w:r w:rsidRPr="00735FCE">
        <w:rPr>
          <w:color w:val="000000" w:themeColor="text1"/>
        </w:rPr>
        <w:t xml:space="preserve"> regardless of calorie consumption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{"citationID":"fJd2VpJ9","properties":{"formattedCitation":"\\super 67,68\\nosupersub{}","plainCitation":"67,68","noteIndex":0},"citationItems":[{"id":3638,"uris":["http://zotero.org/users/9622455/items/XLEUGR5S"],"itemData":{"id":3638,"type":"article-journal","abstract":"The worldwide obesity epidemic is stimulating efforts to identify host and environmental factors that affect energy balance. Comparisons of the distal gut microbiota of genetically obese mice and their lean littermates, as well as those of obese and lean human volunteers have revealed that obesity is associated with changes in the relative abundance of the two dominant bacterial divisions, the Bacteroidetes and the Firmicutes. Here we demonstrate through metagenomic and biochemical analyses that these changes affect the metabolic potential of the mouse gut microbiota. Our results indicate that the obese microbiome has an increased capacity to harvest energy from the diet. Furthermore, this trait is transmissible: colonization of germ-free mice with an ‘obese microbiota’ results in a significantly greater increase in total body fat than colonization with a ‘lean microbiota’. These results identify the gut microbiota as an additional contributing factor to the pathophysiology of obesity.","container-title":"Nature","DOI":"10.1038/nature05414","ISSN":"1476-4687","issue":"7122","language":"en","license":"2006 Springer Nature Limited","note":"publisher: Nature Publishing Group","page":"1027-1031","source":"www.nature.com","title":"An obesity-associated gut microbiome with increased capacity for energy harvest","volume":"444","author":[{"family":"Turnbaugh","given":"Peter J."},{"family":"Ley","given":"Ruth E."},{"family":"Mahowald","given":"Michael A."},{"family":"Magrini","given":"Vincent"},{"family":"Mardis","given":"Elaine R."},{"family":"Gordon","given":"Jeffrey I."}],"issued":{"date-parts":[["2006",12]]}}},{"id":3636,"uris":["http://zotero.org/users/9622455/items/L882WF4J"],"itemData":{"id":3636,"type":"article-journal","abstract":"New therapeutic targets for noncognitive reductions in energy intake, absorption, or storage are crucial given the worldwide epidemic of obesity. The gut microbial community (microbiota) is essential for processing dietary polysaccharides. We found that conventionalization of adult germ-free (GF) C57BL/6 mice with a normal microbiota harvested from the distal intestine (cecum) of conventionally raised animals produces a 60% increase in body fat content and insulin resistance within 14 days despite reduced food intake. Studies of GF and conventionalized mice revealed that the microbiota promotes absorption of monosaccharides from the gut lumen, with resulting induction of de novo hepatic lipogenesis. Fasting-induced adipocyte factor (Fiaf), a member of the angiopoietin-like family of proteins, is selectively suppressed in the intestinal epithelium of normal mice by conventionalization. Analysis of GF and conventionalized, normal and Fiaf knockout mice established that Fiaf is a circulating lipoprotein lipase inhibitor and that its suppression is essential for the microbiota-induced deposition of triglycerides in adipocytes. Studies of Rag1-/- animals indicate that these host responses do not require mature lymphocytes. Our findings suggest that the gut microbiota is an important environmental factor that affects energy harvest from the diet and energy storage in the host.","container-title":"Proceedings of the National Academy of Sciences","DOI":"10.1073/pnas.0407076101","issue":"44","note":"publisher: Proceedings of the National Academy of Sciences","page":"15718-15723","source":"pnas.org (Atypon)","title":"The gut microbiota as an environmental factor that regulates fat storage","volume":"101","author":[{"family":"Bäckhed","given":"Fredrik"},{"family":"Ding","given":"Hao"},{"family":"Wang","given":"Ting"},{"family":"Hooper","given":"Lora V."},{"family":"Koh","given":"Gou Young"},{"family":"Nagy","given":"Andras"},{"family":"Semenkovich","given":"Clay F."},{"family":"Gordon","given":"Jeffrey I."}],"issued":{"date-parts":[["2004",11,2]]}}}],"schema":"https://github.com/citation-style-language/schema/raw/master/csl-citation.json"} </w:instrText>
      </w:r>
      <w:r w:rsidRPr="00735FCE">
        <w:rPr>
          <w:color w:val="000000" w:themeColor="text1"/>
        </w:rPr>
        <w:fldChar w:fldCharType="separate"/>
      </w:r>
      <w:r w:rsidR="00281437" w:rsidRPr="00281437">
        <w:rPr>
          <w:color w:val="000000"/>
          <w:vertAlign w:val="superscript"/>
        </w:rPr>
        <w:t>67,68</w:t>
      </w:r>
      <w:r w:rsidRPr="00735FCE">
        <w:rPr>
          <w:color w:val="000000" w:themeColor="text1"/>
        </w:rPr>
        <w:fldChar w:fldCharType="end"/>
      </w:r>
      <w:r w:rsidRPr="00735FCE">
        <w:rPr>
          <w:color w:val="000000" w:themeColor="text1"/>
        </w:rPr>
        <w:t xml:space="preserve">. Another well-documented observation is that the increased </w:t>
      </w:r>
      <w:r w:rsidRPr="00735FCE">
        <w:rPr>
          <w:i/>
          <w:iCs/>
          <w:color w:val="000000" w:themeColor="text1"/>
        </w:rPr>
        <w:t>Prevotella</w:t>
      </w:r>
      <w:r w:rsidRPr="00735FCE">
        <w:rPr>
          <w:color w:val="000000" w:themeColor="text1"/>
        </w:rPr>
        <w:t>-to-</w:t>
      </w:r>
      <w:r w:rsidRPr="00735FCE">
        <w:rPr>
          <w:i/>
          <w:iCs/>
          <w:color w:val="000000" w:themeColor="text1"/>
        </w:rPr>
        <w:t>Bacteroides</w:t>
      </w:r>
      <w:r w:rsidRPr="00735FCE">
        <w:rPr>
          <w:color w:val="000000" w:themeColor="text1"/>
        </w:rPr>
        <w:t xml:space="preserve"> ratio is associated with greater energy extraction from food during obesity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{"citationID":"ft3NtUGj","properties":{"formattedCitation":"\\super 67\\nosupersub{}","plainCitation":"67","noteIndex":0},"citationItems":[{"id":3638,"uris":["http://zotero.org/users/9622455/items/XLEUGR5S"],"itemData":{"id":3638,"type":"article-journal","abstract":"The worldwide obesity epidemic is stimulating efforts to identify host and environmental factors that affect energy balance. Comparisons of the distal gut microbiota of genetically obese mice and their lean littermates, as well as those of obese and lean human volunteers have revealed that obesity is associated with changes in the relative abundance of the two dominant bacterial divisions, the Bacteroidetes and the Firmicutes. Here we demonstrate through metagenomic and biochemical analyses that these changes affect the metabolic potential of the mouse gut microbiota. Our results indicate that the obese microbiome has an increased capacity to harvest energy from the diet. Furthermore, this trait is transmissible: colonization of germ-free mice with an ‘obese microbiota’ results in a significantly greater increase in total body fat than colonization with a ‘lean microbiota’. These results identify the gut microbiota as an additional contributing factor to the pathophysiology of obesity.","container-title":"Nature","DOI":"10.1038/nature05414","ISSN":"1476-4687","issue":"7122","language":"en","license":"2006 Springer Nature Limited","note":"publisher: Nature Publishing Group","page":"1027-1031","source":"www.nature.com","title":"An obesity-associated gut microbiome with increased capacity for energy harvest","volume":"444","author":[{"family":"Turnbaugh","given":"Peter J."},{"family":"Ley","given":"Ruth E."},{"family":"Mahowald","given":"Michael A."},{"family":"Magrini","given":"Vincent"},{"family":"Mardis","given":"Elaine R."},{"family":"Gordon","given":"Jeffrey I."}],"issued":{"date-parts":[["2006",12]]}}}],"schema":"https://github.com/citation-style-language/schema/raw/master/csl-citation.json"} </w:instrText>
      </w:r>
      <w:r w:rsidRPr="00735FCE">
        <w:rPr>
          <w:color w:val="000000" w:themeColor="text1"/>
        </w:rPr>
        <w:fldChar w:fldCharType="separate"/>
      </w:r>
      <w:r w:rsidR="00281437" w:rsidRPr="00281437">
        <w:rPr>
          <w:color w:val="000000"/>
          <w:vertAlign w:val="superscript"/>
        </w:rPr>
        <w:t>67</w:t>
      </w:r>
      <w:r w:rsidRPr="00735FCE">
        <w:rPr>
          <w:color w:val="000000" w:themeColor="text1"/>
        </w:rPr>
        <w:fldChar w:fldCharType="end"/>
      </w:r>
      <w:r w:rsidRPr="00735FCE">
        <w:rPr>
          <w:color w:val="000000" w:themeColor="text1"/>
        </w:rPr>
        <w:t xml:space="preserve">. In addition, the bacterial fermentation of dietary fibers into </w:t>
      </w:r>
      <w:r>
        <w:rPr>
          <w:color w:val="000000" w:themeColor="text1"/>
        </w:rPr>
        <w:t>short-chain fatty acids (</w:t>
      </w:r>
      <w:r w:rsidRPr="00735FCE">
        <w:rPr>
          <w:color w:val="000000" w:themeColor="text1"/>
        </w:rPr>
        <w:t>SCFAs</w:t>
      </w:r>
      <w:r>
        <w:rPr>
          <w:color w:val="000000" w:themeColor="text1"/>
        </w:rPr>
        <w:t>)</w:t>
      </w:r>
      <w:r w:rsidRPr="00735FCE">
        <w:rPr>
          <w:color w:val="000000" w:themeColor="text1"/>
        </w:rPr>
        <w:t xml:space="preserve"> increases the release of gut hormones</w:t>
      </w:r>
      <w:r>
        <w:rPr>
          <w:color w:val="000000" w:themeColor="text1"/>
        </w:rPr>
        <w:t>,</w:t>
      </w:r>
      <w:r w:rsidRPr="00735FCE">
        <w:rPr>
          <w:color w:val="000000" w:themeColor="text1"/>
        </w:rPr>
        <w:t xml:space="preserve"> such as </w:t>
      </w:r>
      <w:r>
        <w:rPr>
          <w:color w:val="000000" w:themeColor="text1"/>
        </w:rPr>
        <w:t>glucagon-like peptide-1 (</w:t>
      </w:r>
      <w:r w:rsidRPr="00735FCE">
        <w:rPr>
          <w:color w:val="000000" w:themeColor="text1"/>
        </w:rPr>
        <w:t>GLP</w:t>
      </w:r>
      <w:r>
        <w:rPr>
          <w:color w:val="000000" w:themeColor="text1"/>
        </w:rPr>
        <w:t>-</w:t>
      </w:r>
      <w:r w:rsidRPr="00735FCE">
        <w:rPr>
          <w:color w:val="000000" w:themeColor="text1"/>
        </w:rPr>
        <w:t>1</w:t>
      </w:r>
      <w:r>
        <w:rPr>
          <w:color w:val="000000" w:themeColor="text1"/>
        </w:rPr>
        <w:t>)</w:t>
      </w:r>
      <w:r w:rsidRPr="00735FCE">
        <w:rPr>
          <w:color w:val="000000" w:themeColor="text1"/>
        </w:rPr>
        <w:t xml:space="preserve"> and </w:t>
      </w:r>
      <w:r>
        <w:rPr>
          <w:color w:val="000000" w:themeColor="text1"/>
        </w:rPr>
        <w:t>peptide YY (</w:t>
      </w:r>
      <w:r w:rsidRPr="00735FCE">
        <w:rPr>
          <w:color w:val="000000" w:themeColor="text1"/>
        </w:rPr>
        <w:t>PYY</w:t>
      </w:r>
      <w:r>
        <w:rPr>
          <w:color w:val="000000" w:themeColor="text1"/>
        </w:rPr>
        <w:t>),</w:t>
      </w:r>
      <w:r w:rsidRPr="00735FCE">
        <w:rPr>
          <w:color w:val="000000" w:themeColor="text1"/>
        </w:rPr>
        <w:t xml:space="preserve"> </w:t>
      </w:r>
      <w:r>
        <w:rPr>
          <w:color w:val="000000" w:themeColor="text1"/>
        </w:rPr>
        <w:t>which</w:t>
      </w:r>
      <w:r w:rsidRPr="00735FCE">
        <w:rPr>
          <w:color w:val="000000" w:themeColor="text1"/>
        </w:rPr>
        <w:t xml:space="preserve"> suppress appetite and increase insulin responsiveness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{"citationID":"HG4XFWX4","properties":{"formattedCitation":"\\super 69,70\\nosupersub{}","plainCitation":"69,70","noteIndex":0},"citationItems":[{"id":3640,"uris":["http://zotero.org/users/9622455/items/72LZ65B9"],"itemData":{"id":3640,"type":"article-journal","abstract":"Interest in how the gut microbiome can influence the metabolic state of the host has recently heightened. One postulated link is bacterial fermentation of “indigestible” prebiotics to short-chain fatty acids (SCFAs), which in turn modulate the release of gut hormones controlling insulin release and appetite. We show here that SCFAs trigger secretion of the incretin hormone glucagon-like peptide (GLP)-1 from mixed colonic cultures in vitro. Quantitative PCR revealed enriched expression of the SCFA receptors ffar2 (grp43) and ffar3 (gpr41) in GLP-1–secreting L cells, and consistent with the reported coupling of GPR43 to Gq signaling pathways, SCFAs raised cytosolic Ca2+ in L cells in primary culture. Mice lacking ffar2 or ffar3 exhibited reduced SCFA-triggered GLP-1 secretion in vitro and in vivo and a parallel impairment of glucose tolerance. These results highlight SCFAs and their receptors as potential targets for the treatment of diabetes.","container-title":"Diabetes","DOI":"10.2337/db11-1019","ISSN":"0012-1797","issue":"2","journalAbbreviation":"Diabetes","note":"PMID: 22190648\nPMCID: PMC3266401","page":"364-371","source":"PubMed Central","title":"Short-Chain Fatty Acids Stimulate Glucagon-Like Peptide-1 Secretion via the G-Protein–Coupled Receptor FFAR2","volume":"61","author":[{"family":"Tolhurst","given":"Gwen"},{"family":"Heffron","given":"Helen"},{"family":"Lam","given":"Yu Shan"},{"family":"Parker","given":"Helen E."},{"family":"Habib","given":"Abdella M."},{"family":"Diakogiannaki","given":"Eleftheria"},{"family":"Cameron","given":"Jennifer"},{"family":"Grosse","given":"Johannes"},{"family":"Reimann","given":"Frank"},{"family":"Gribble","given":"Fiona M."}],"issued":{"date-parts":[["2012",2]]}}},{"id":3643,"uris":["http://zotero.org/users/9622455/items/WNKGUWAI"],"itemData":{"id":3643,"type":"article-journal","abstract":"The gut hormones peptide YY (PYY) and glucagon-like peptide 1 (GLP-1) acutely suppress appetite. The short chain fatty acid (SCFA) receptor, free fatty acid receptor 2 (FFA2) is present on colonic enteroendocrine L cells, and a role has been suggested for SCFAs in appetite regulation. Here, we characterise the in vitro and in vivo effects of colonic propionate on PYY and GLP-1 release in rodents, and investigate the role of FFA2 in mediating these effects using FFA2 knockout mice.","container-title":"International Journal of Obesity","DOI":"10.1038/ijo.2014.153","ISSN":"1476-5497","issue":"3","journalAbbreviation":"Int J Obes","language":"en","license":"2015 The Author(s)","note":"publisher: Nature Publishing Group","page":"424-429","source":"www.nature.com","title":"The short chain fatty acid propionate stimulates GLP-1 and PYY secretion via free fatty acid receptor 2 in rodents","volume":"39","author":[{"family":"Psichas","given":"A."},{"family":"Sleeth","given":"M. L."},{"family":"Murphy","given":"K. G."},{"family":"Brooks","given":"L."},{"family":"Bewick","given":"G. A."},{"family":"Hanyaloglu","given":"A. C."},{"family":"Ghatei","given":"M. A."},{"family":"Bloom","given":"S. R."},{"family":"Frost","given":"G."}],"issued":{"date-parts":[["2015",3]]}}}],"schema":"https://github.com/citation-style-language/schema/raw/master/csl-citation.json"} </w:instrText>
      </w:r>
      <w:r w:rsidRPr="00735FCE">
        <w:rPr>
          <w:color w:val="000000" w:themeColor="text1"/>
        </w:rPr>
        <w:fldChar w:fldCharType="separate"/>
      </w:r>
      <w:r w:rsidR="00281437" w:rsidRPr="00281437">
        <w:rPr>
          <w:color w:val="000000"/>
          <w:vertAlign w:val="superscript"/>
        </w:rPr>
        <w:t>69,70</w:t>
      </w:r>
      <w:r w:rsidRPr="00735FCE">
        <w:rPr>
          <w:color w:val="000000" w:themeColor="text1"/>
        </w:rPr>
        <w:fldChar w:fldCharType="end"/>
      </w:r>
      <w:r w:rsidRPr="00735FCE">
        <w:rPr>
          <w:color w:val="000000" w:themeColor="text1"/>
        </w:rPr>
        <w:t>. However, an altered gut barrier can allow lipopolysaccharides (LPS) to enter the circulation</w:t>
      </w:r>
      <w:r>
        <w:rPr>
          <w:color w:val="000000" w:themeColor="text1"/>
        </w:rPr>
        <w:t>,</w:t>
      </w:r>
      <w:r w:rsidRPr="00735FCE">
        <w:rPr>
          <w:color w:val="000000" w:themeColor="text1"/>
        </w:rPr>
        <w:t xml:space="preserve"> leading to low-grade inflammation, insulin resistance, and subsequent weight gain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{"citationID":"b9C9dJ2D","properties":{"formattedCitation":"\\super 71\\nosupersub{}","plainCitation":"71","noteIndex":0},"citationItems":[{"id":3648,"uris":["http://zotero.org/users/9622455/items/AYKIMSWN"],"itemData":{"id":3648,"type":"article-journal","abstract":"Diabetes and obesity are two metabolic diseases characterized by insulin resistance and a low-grade inflammation. Seeking an inflammatory factor causative of the onset of insulin resistance, obesity, and diabetes, we have identified bacterial lipopolysaccharide (LPS) as a triggering factor. We found that normal endotoxemia increased or decreased during the fed or fasted state, respectively, on a nutritional basis and that a 4-week high-fat diet chronically increased plasma LPS concentration two to three times, a threshold that we have defined as metabolic endotoxemia. Importantly, a high-fat diet increased the proportion of an LPS-containing microbiota in the gut. When metabolic endotoxemia was induced for 4 weeks in mice through continuous subcutaneous infusion of LPS, fasted glycemia and insulinemia and whole-body, liver, and adipose tissue weight gain were increased to a similar extent as in high-fat–fed mice. In addition, adipose tissue F4/80-positive cells and markers of inflammation, and liver triglyceride content, were increased. Furthermore, liver, but not whole-body, insulin resistance was detected in LPS-infused mice. CD14 mutant mice resisted most of the LPS and high-fat diet–induced features of metabolic diseases. This new finding demonstrates that metabolic endotoxemia dysregulates the inflammatory tone and triggers body weight gain and diabetes. We conclude that the LPS/CD14 system sets the tone of insulin sensitivity and the onset of diabetes and obesity. Lowering plasma LPS concentration could be a potent strategy for the control of metabolic diseases.","container-title":"Diabetes","DOI":"10.2337/db06-1491","ISSN":"0012-1797, 1939-327X","issue":"7","language":"en","page":"1761-1772","source":"DOI.org (Crossref)","title":"Metabolic Endotoxemia Initiates Obesity and Insulin Resistance","volume":"56","author":[{"family":"Cani","given":"Patrice D."},{"family":"Amar","given":"Jacques"},{"family":"Iglesias","given":"Miguel Angel"},{"family":"Poggi","given":"Marjorie"},{"family":"Knauf","given":"Claude"},{"family":"Bastelica","given":"Delphine"},{"family":"Neyrinck","given":"Audrey M."},{"family":"Fava","given":"Francesca"},{"family":"Tuohy","given":"Kieran M."},{"family":"Chabo","given":"Chantal"},{"family":"Waget","given":"Aurélie"},{"family":"Delmée","given":"Evelyne"},{"family":"Cousin","given":"Béatrice"},{"family":"Sulpice","given":"Thierry"},{"family":"Chamontin","given":"Bernard"},{"family":"Ferrières","given":"Jean"},{"family":"Tanti","given":"Jean-François"},{"family":"Gibson","given":"Glenn R."},{"family":"Casteilla","given":"Louis"},{"family":"Delzenne","given":"Nathalie M."},{"family":"Alessi","given":"Marie Christine"},{"family":"Burcelin","given":"Rémy"}],"issued":{"date-parts":[["2007",7,1]]}}}],"schema":"https://github.com/citation-style-language/schema/raw/master/csl-citation.json"} </w:instrText>
      </w:r>
      <w:r w:rsidRPr="00735FCE">
        <w:rPr>
          <w:color w:val="000000" w:themeColor="text1"/>
        </w:rPr>
        <w:fldChar w:fldCharType="separate"/>
      </w:r>
      <w:r w:rsidR="00281437" w:rsidRPr="00281437">
        <w:rPr>
          <w:color w:val="000000"/>
          <w:vertAlign w:val="superscript"/>
        </w:rPr>
        <w:t>71</w:t>
      </w:r>
      <w:r w:rsidRPr="00735FCE">
        <w:rPr>
          <w:color w:val="000000" w:themeColor="text1"/>
        </w:rPr>
        <w:fldChar w:fldCharType="end"/>
      </w:r>
      <w:r w:rsidRPr="00735FCE">
        <w:rPr>
          <w:color w:val="000000" w:themeColor="text1"/>
        </w:rPr>
        <w:t xml:space="preserve">. The multifaceted interactions underscore an important role that </w:t>
      </w:r>
      <w:r>
        <w:rPr>
          <w:color w:val="000000" w:themeColor="text1"/>
        </w:rPr>
        <w:t xml:space="preserve">the </w:t>
      </w:r>
      <w:r w:rsidRPr="00735FCE">
        <w:rPr>
          <w:color w:val="000000" w:themeColor="text1"/>
        </w:rPr>
        <w:t>gut microbiome plays in the development of obesity.</w:t>
      </w:r>
    </w:p>
    <w:bookmarkEnd w:id="17"/>
    <w:p w14:paraId="61F02A44" w14:textId="0CB8D187" w:rsidR="009117C0" w:rsidRPr="00735FCE" w:rsidRDefault="009117C0" w:rsidP="00B007DA">
      <w:pPr>
        <w:ind w:firstLine="720"/>
        <w:jc w:val="left"/>
        <w:rPr>
          <w:color w:val="000000" w:themeColor="text1"/>
        </w:rPr>
      </w:pPr>
      <w:r w:rsidRPr="00735FCE">
        <w:rPr>
          <w:color w:val="000000" w:themeColor="text1"/>
        </w:rPr>
        <w:lastRenderedPageBreak/>
        <w:t xml:space="preserve">Environmental exposure to chemicals plays a significant role in the development of obesity through the action of </w:t>
      </w:r>
      <w:r>
        <w:rPr>
          <w:color w:val="000000" w:themeColor="text1"/>
        </w:rPr>
        <w:t>endocrine-disrupting</w:t>
      </w:r>
      <w:r w:rsidRPr="00735FCE">
        <w:rPr>
          <w:color w:val="000000" w:themeColor="text1"/>
        </w:rPr>
        <w:t xml:space="preserve"> chemicals (EDCs) and obesogens, which may enhance preadipocyte recruitment and maturation, </w:t>
      </w:r>
      <w:r>
        <w:rPr>
          <w:color w:val="000000" w:themeColor="text1"/>
        </w:rPr>
        <w:t>leading to</w:t>
      </w:r>
      <w:r w:rsidRPr="00735FCE">
        <w:rPr>
          <w:color w:val="000000" w:themeColor="text1"/>
        </w:rPr>
        <w:t xml:space="preserve"> </w:t>
      </w:r>
      <w:r>
        <w:rPr>
          <w:color w:val="000000" w:themeColor="text1"/>
        </w:rPr>
        <w:t>h</w:t>
      </w:r>
      <w:r w:rsidRPr="008A142C">
        <w:rPr>
          <w:color w:val="000000" w:themeColor="text1"/>
        </w:rPr>
        <w:t>yperplasia</w:t>
      </w:r>
      <w:r>
        <w:rPr>
          <w:color w:val="000000" w:themeColor="text1"/>
        </w:rPr>
        <w:t xml:space="preserve"> </w:t>
      </w:r>
      <w:r w:rsidRPr="00735FCE">
        <w:rPr>
          <w:color w:val="000000" w:themeColor="text1"/>
        </w:rPr>
        <w:t>and hypertrophy</w:t>
      </w:r>
      <w:r>
        <w:rPr>
          <w:color w:val="000000" w:themeColor="text1"/>
        </w:rPr>
        <w:t xml:space="preserve"> of </w:t>
      </w:r>
      <w:r w:rsidRPr="00735FCE">
        <w:rPr>
          <w:color w:val="000000" w:themeColor="text1"/>
        </w:rPr>
        <w:t>white adipose tissue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{"citationID":"wyxfpM9b","properties":{"formattedCitation":"\\super 72,73\\nosupersub{}","plainCitation":"72,73","noteIndex":0},"citationItems":[{"id":3652,"uris":["http://zotero.org/users/9622455/items/RUNCJMJX"],"itemData":{"id":3652,"type":"article-journal","abstract":"The prevalence of obesity has reached epidemic proportions worldwide, posing a significant public health concern due to its association with various chronic diseases and healthcare costs. In addition to traditional risk factors such as diet and physical activity, emerging evidence suggests that environmental pollutants, termed obesogens, may contribute to the obesity epidemic. Obesogens are endocrine-disrupting chemicals (EDCs) that can alter lipid homeostasis, promote adipogenesis, and disrupt metabolic regulation, leading to increased adiposity and obesity risk. This review explores available data from human studies published in the last decade, along with the mechanisms underlying obesogenic action, including their effects on adipocyte differentiation, adipose tissue development, and metabolic regulation. Overall, 75 studies were analyzed. Early-life exposure during critical developmental windows has been shown to increase obesity risk later in life, potentially through epigenetic modifications and transgenerational effects. Epidemiological studies provide evidence of associations between prenatal or early-life exposure and increased obesity risk in offspring. Additionally, study found more consistent associations between exposure to some EDCs (including phthalates, parabens, and bisphenols) and obesity or metabolic outcomes in children and women, while results for other chemicals (i.e. PFAS and organochlorine pesticides) were more heterogeneous, especially in adolescents and adults. Key findings indicate consistent associations between phthalate exposure and obesity in children, with mixed results for adults. Future research should focus on elucidating the full spectrum of obesogens, their mechanisms of action, and their implications for obesity risk across generations. This knowledge will inform preventive strategies and public health interventions aimed at addressing the obesity epidemic and its associated health burden.","container-title":"Ecotoxicology and Environmental Safety","DOI":"10.1016/j.ecoenv.2025.118401","ISSN":"0147-6513","journalAbbreviation":"Ecotoxicology and Environmental Safety","page":"118401","source":"ScienceDirect","title":"Understanding the role of endocrine disrupting chemicals as environmental obesogens in the obesity epidemic: A comprehensive overview of epidemiological studies between 2014 and 2024","title-short":"Understanding the role of endocrine disrupting chemicals as environmental obesogens in the obesity epidemic","volume":"299","author":[{"family":"Jaskulak","given":"Marta"},{"family":"Zimowska","given":"Malwina"},{"family":"Rolbiecka","given":"Marta"},{"family":"Zorena","given":"Katarzyna"}],"issued":{"date-parts":[["2025",7,1]]}}},{"id":3649,"uris":["http://zotero.org/users/9622455/items/AD3KGSB9"],"itemData":{"id":3649,"type":"article-journal","abstract":"The incidence of obesity has reached an all-time high, and this increase is observed worldwide. There is a growing need to understand all the factors that contribute to obesity to effectively treat and prevent it and associated comorbidities. The obesogen hypothesis proposes that there are chemicals in our environment termed obesogens that can affect individual susceptibility to obesity and thus help explain the recent large increases in obesity. This review discusses current advances in our understanding of how obesogens act to affect health and obesity susceptibility. Newly discovered obesogens and potential obesogens are discussed, together with future directions for research that may help to reduce the impact of these pervasive chemicals.","container-title":"Endocrinology","DOI":"10.1210/endocr/bqaa024","ISSN":"0013-7227","issue":"3","journalAbbreviation":"Endocrinology","note":"PMID: 32067051\nPMCID: PMC7060764","page":"bqaa024","source":"PubMed Central","title":"Environmental Obesogens and Their Impact on Susceptibility to Obesity: New Mechanisms and Chemicals","title-short":"Environmental Obesogens and Their Impact on Susceptibility to Obesity","volume":"161","author":[{"family":"Egusquiza","given":"Riann Jenay"},{"family":"Blumberg","given":"Bruce"}],"issued":{"date-parts":[["2020",2,18]]}}}],"schema":"https://github.com/citation-style-language/schema/raw/master/csl-citation.json"} </w:instrText>
      </w:r>
      <w:r w:rsidRPr="00735FCE">
        <w:rPr>
          <w:color w:val="000000" w:themeColor="text1"/>
        </w:rPr>
        <w:fldChar w:fldCharType="separate"/>
      </w:r>
      <w:r w:rsidR="00281437" w:rsidRPr="00281437">
        <w:rPr>
          <w:color w:val="000000"/>
          <w:vertAlign w:val="superscript"/>
        </w:rPr>
        <w:t>72,73</w:t>
      </w:r>
      <w:r w:rsidRPr="00735FCE">
        <w:rPr>
          <w:color w:val="000000" w:themeColor="text1"/>
        </w:rPr>
        <w:fldChar w:fldCharType="end"/>
      </w:r>
      <w:r w:rsidRPr="00735FCE">
        <w:rPr>
          <w:color w:val="000000" w:themeColor="text1"/>
        </w:rPr>
        <w:t>. Obesogens</w:t>
      </w:r>
      <w:r>
        <w:rPr>
          <w:color w:val="000000" w:themeColor="text1"/>
        </w:rPr>
        <w:t>,</w:t>
      </w:r>
      <w:r w:rsidRPr="00735FCE">
        <w:rPr>
          <w:color w:val="000000" w:themeColor="text1"/>
        </w:rPr>
        <w:t xml:space="preserve"> such as </w:t>
      </w:r>
      <w:r>
        <w:rPr>
          <w:color w:val="000000" w:themeColor="text1"/>
        </w:rPr>
        <w:t>b</w:t>
      </w:r>
      <w:r w:rsidRPr="00735FCE">
        <w:rPr>
          <w:color w:val="000000" w:themeColor="text1"/>
        </w:rPr>
        <w:t>isphenol A (BPA), phthalates, and polychlorinated biphenyls (PCBs)</w:t>
      </w:r>
      <w:r>
        <w:rPr>
          <w:color w:val="000000" w:themeColor="text1"/>
        </w:rPr>
        <w:t>,</w:t>
      </w:r>
      <w:r w:rsidRPr="00735FCE">
        <w:rPr>
          <w:color w:val="000000" w:themeColor="text1"/>
        </w:rPr>
        <w:t xml:space="preserve"> act through a medley of mechanisms, including receptor-mediated ones, like peroxisome proliferator-activated receptor gamma (PPAR</w:t>
      </w:r>
      <w:r w:rsidRPr="00735FCE">
        <w:rPr>
          <w:color w:val="000000" w:themeColor="text1"/>
        </w:rPr>
        <w:sym w:font="Symbol" w:char="F067"/>
      </w:r>
      <w:r w:rsidRPr="00735FCE">
        <w:rPr>
          <w:color w:val="000000" w:themeColor="text1"/>
        </w:rPr>
        <w:t>) activation, insulin resistance in skeletal muscle, and enhanced lipogenic activity in the liver as well as adipose tissues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{"citationID":"9xLTeKAd","properties":{"formattedCitation":"\\super 74\\uc0\\u8211{}76\\nosupersub{}","plainCitation":"74–76","noteIndex":0},"citationItems":[{"id":3654,"uris":["http://zotero.org/users/9622455/items/B96A2TB7"],"itemData":{"id":3654,"type":"article-journal","abstract":"Obesity and obesity-related disorders, such as type 2 diabetes, hypertension, and cardiovascular disease, are epidemic in Western countries, particularly the United States. The conventional wisdom holds that obesity is primarily the result of a positive energy balance, i.e. too many calories in and too few calories burned. Although it is self-evident that fat cannot be accumulated without a higher caloric intake than expenditure, recent research in a number of laboratories suggests the existence of chemicals that alter regulation of energy balance to favor weight gain and obesity. These obesogens derail the homeostatic mechanisms important for weight control, such that exposed individuals are predisposed to weight gain, despite normal diet and exercise. This review considers the evidence for obesogens, how they might act, and where future research is needed to clarify their relative contribution to the obesity epidemic., Obesogens are chemicals that derail the body’s homeostatic weight control mechanisms, predisposing exposed individuals to weight gain despite normal diet and exercise.","container-title":"Molecular Endocrinology","DOI":"10.1210/me.2008-0485","ISSN":"0888-8809","issue":"8","journalAbbreviation":"Mol Endocrinol","note":"PMID: 19372238\nPMCID: PMC2718750","page":"1127-1134","source":"PubMed Central","title":"Minireview: The Case for Obesogens","title-short":"Minireview","volume":"23","author":[{"family":"Grün","given":"Felix"},{"family":"Blumberg","given":"Bruce"}],"issued":{"date-parts":[["2009",8]]}}},{"id":3657,"uris":["http://zotero.org/users/9622455/items/9GHG6AY9"],"itemData":{"id":3657,"type":"article-journal","abstract":"There is increasing evidence for the role of environmental endocrine disrupting contaminants, coined obesogens, in exacerbating the rising obesity epidemic. Obesogens can be found in everyday items ranging from pesticides to food packaging. Although research shows that obesogens can have effects on adipocyte size, phenotype, metabolic activity, and hormone levels, much remains unknown about these chemicals. This review will discuss what is currently known about the mechanisms of obesogens, including expression of the PPARs, hormone interference, and inflammation. Strategies for identifying obesogenic chemicals and their mechanisms through chemical characteristics and model systems will also be discussed. Ultimately, research should focus on improving models to discern precise mechanisms of obesogenic action and to test therapeutics targeting these mechanisms.","container-title":"BMC Biomedical Engineering","DOI":"10.1186/s42490-020-00040-6","ISSN":"2524-4426","journalAbbreviation":"BMC Biomed Eng","note":"PMID: 32903358\nPMCID: PMC7422567","page":"6","source":"PubMed Central","title":"Mechanisms of action, chemical characteristics, and model systems of obesogens","volume":"2","author":[{"family":"Griffin","given":"Mallory D."},{"family":"Pereira","given":"Sean R."},{"family":"DeBari","given":"Megan K."},{"family":"Abbott","given":"Rosalyn D."}],"issued":{"date-parts":[["2020",4,30]]}}},{"id":3660,"uris":["http://zotero.org/users/9622455/items/DK32MGGJ"],"itemData":{"id":3660,"type":"article-journal","abstract":"BPA is one of the most common endocrine disruptors that is widely being manufactured daily nationwide. Although scientific evidence supports claims of negative effects of BPA on humans, there is also evidence suggesting that a low level of BPA is safe. However, numerous in vivo trials contraindicate with this claim and there is a high possibility of BPA exposure could lead to obesity. It has been speculated that this does not stop with the exposed subjects only, but may also cause transgenerational effects. Direct disruption of endocrine regulation, neuroimmune and signaling pathways, as well as gut microbiata, has been identified to be interrupted by BPA exposure, leading to overweight or obesity. In these instances, cardiovascular complications are one of the primary notable clinical signs. In regard to this claim, this review paper discusses the role of BPA on obesity in the perspective of endocrine disruptions and possible cardiovascular complications that may arise due to BPA. Thus, the aim of this review is to outline the changes in gut microbiota and neuroimmune or signaling mechanisms involved in obesity in relation to BPA. To identify potentially relevant articles, a depth search was done on the databases Nature, PubMed, Wiley Online Library, and Medline &amp; Ovid from the past 5 years. According to Boolean operator guideline, selected keywords such as (1) BPA OR environmental chemical AND fat OR LDL OR obese AND transgenerational effects or phenocopy (2) Endocrine disruptors OR chemical AND lipodystrophy AND phenocopy (3) Lipid profile OR weight changes AND cardiovascular effect (4) BPA AND neuroimmune OR gene signaling, were used as search terms. Upon screening, 11 articles were finalized to be further reviewed and data extraction tables containing information on (1) the type of animal model (2) duration and dosage of BPA exposure (3) changes in the lipid profile or weight (4) genes, signaling mechanism, or any neuroimmune signal involved, and (5) transgenerational effects were created. In toto, the study indicates there are high chances of BPA exposure affecting lipid profile and gene associated with lipolysis, leading to obesity. Therefore, this scoping review recapitulates the possible effects of BPA that may lead to obesity with the evidence of current in vivo trials. The biomarkers, safety concerns, recommended dosage, and the impact of COVID-19 on BPA are also briefly described.","container-title":"International Journal of Molecular Sciences","DOI":"10.3390/ijms23062969","ISSN":"1422-0067","issue":"6","journalAbbreviation":"Int J Mol Sci","note":"PMID: 35328389\nPMCID: PMC8949383","page":"2969","source":"PubMed Central","title":"Bisphenol A (BPA) Leading to Obesity and Cardiovascular Complications: A Compilation of Current In Vivo Study","title-short":"Bisphenol A (BPA) Leading to Obesity and Cardiovascular Complications","volume":"23","author":[{"family":"Naomi","given":"Ruth"},{"family":"Yazid","given":"Muhammad Dain"},{"family":"Bahari","given":"Hasnah"},{"family":"Keong","given":"Yong Yoke"},{"family":"Rajandram","given":"Retnagowri"},{"family":"Embong","given":"Hashim"},{"family":"Teoh","given":"Soo Huat"},{"family":"Halim","given":"Shariff"},{"family":"Othman","given":"Fezah"}],"issued":{"date-parts":[["2022",3,9]]}}}],"schema":"https://github.com/citation-style-language/schema/raw/master/csl-citation.json"} </w:instrText>
      </w:r>
      <w:r w:rsidRPr="00735FCE">
        <w:rPr>
          <w:color w:val="000000" w:themeColor="text1"/>
        </w:rPr>
        <w:fldChar w:fldCharType="separate"/>
      </w:r>
      <w:r w:rsidR="00281437" w:rsidRPr="00281437">
        <w:rPr>
          <w:color w:val="000000"/>
          <w:vertAlign w:val="superscript"/>
        </w:rPr>
        <w:t>74–76</w:t>
      </w:r>
      <w:r w:rsidRPr="00735FCE">
        <w:rPr>
          <w:color w:val="000000" w:themeColor="text1"/>
        </w:rPr>
        <w:fldChar w:fldCharType="end"/>
      </w:r>
      <w:r w:rsidRPr="00735FCE">
        <w:rPr>
          <w:color w:val="000000" w:themeColor="text1"/>
        </w:rPr>
        <w:t>. During critical development windows</w:t>
      </w:r>
      <w:r>
        <w:rPr>
          <w:color w:val="000000" w:themeColor="text1"/>
        </w:rPr>
        <w:t>,</w:t>
      </w:r>
      <w:r w:rsidRPr="00735FCE">
        <w:rPr>
          <w:color w:val="000000" w:themeColor="text1"/>
        </w:rPr>
        <w:t xml:space="preserve"> such as pregnancy and early childhood, exposure to environmental contaminants is especially </w:t>
      </w:r>
      <w:r>
        <w:rPr>
          <w:color w:val="000000" w:themeColor="text1"/>
        </w:rPr>
        <w:t>detrimental,</w:t>
      </w:r>
      <w:r w:rsidRPr="00735FCE">
        <w:rPr>
          <w:color w:val="000000" w:themeColor="text1"/>
        </w:rPr>
        <w:t xml:space="preserve"> </w:t>
      </w:r>
      <w:r>
        <w:rPr>
          <w:color w:val="000000" w:themeColor="text1"/>
        </w:rPr>
        <w:t>as</w:t>
      </w:r>
      <w:r w:rsidRPr="00735FCE">
        <w:rPr>
          <w:color w:val="000000" w:themeColor="text1"/>
        </w:rPr>
        <w:t xml:space="preserve"> it may result in epigenetic reprogramming and subsequent modifications to metabolic pathways, thus increasing the risk</w:t>
      </w:r>
      <w:r>
        <w:rPr>
          <w:color w:val="000000" w:themeColor="text1"/>
        </w:rPr>
        <w:t>s</w:t>
      </w:r>
      <w:r w:rsidRPr="00735FCE">
        <w:rPr>
          <w:color w:val="000000" w:themeColor="text1"/>
        </w:rPr>
        <w:t xml:space="preserve"> of obesity throughout the lifespan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{"citationID":"xTMfiPbS","properties":{"formattedCitation":"\\super 77\\uc0\\u8211{}79\\nosupersub{}","plainCitation":"77–79","noteIndex":0},"citationItems":[{"id":3671,"uris":["http://zotero.org/users/9622455/items/9MERY5UL"],"itemData":{"id":3671,"type":"article-journal","abstract":"Childhood obesity is a global health concern that has its origins before birth. Although genetics plays a crucial role, increasing evidence suggests that epigenetic modifications during fetal life could also influence its incidence. In this model, during the fetal period, interactions between genetic makeup, intrauterine factors, and environmental conditions, increase the risk of childhood obesity. This is in accordance with the Developmental Origins of Health and Disease (DOHaD) hypothesis, in which specific intrauterine environments can have long-lasting effects on the immune system’s essential functions during crucial stages of fetal growth, resulting in permanent changes to the immune function of the offspring. Consequently, dysfunction can consequently make the offspring more prone to inflammatory and immune-related disorders later in life. In this review, we examine how maternal inflammation could influence the risk of childhood obesity. We propose that during pregnancy, modification of the expression of critical genes in metabolic and signaling pathways, such as the kynurenine (Kyn) pathway, occurs due to increased levels of maternal inflammation. We also propose that such expression differences are mediated by epigenetic changes. Furthermore, we also hypothesize that the Kyn pathway produces metabolites that have immunoregulatory effects and may play a crucial role in regulating inflammation during pregnancy. As a result, interventions aimed at improving maternal inflammation may be able to help alleviate the risk of childhood obesity.","container-title":"International Journal of Obesity (2005)","DOI":"10.1038/s41366-024-01647-8","ISSN":"0307-0565","issue":"1","journalAbbreviation":"Int J Obes (Lond)","note":"PMID: 39424650\nPMCID: PMC11683004","page":"49-53","source":"PubMed Central","title":"Epigenetic programming of obesity in early life through modulation of the kynurenine pathway","volume":"49","author":[{"family":"Gharipour","given":"Mojgan"},{"family":"Craig","given":"Jeffrey M."},{"family":"Stephenson","given":"Garth"}],"issued":{"date-parts":[["2025"]]}}},{"id":3665,"uris":["http://zotero.org/users/9622455/items/TQ8JT766"],"itemData":{"id":3665,"type":"article-journal","abstract":"Background:\nChildren are susceptible to environmental contaminants and are at risk of developing diseases, more so if the exposure begins at an early age. Epidemiological studies have postulated the hypothesis of the fetal origin of disease, which is mediated by epigenetic changes. Epigenetic marks are inheritable; they modulate the gene expression and can affect human health due to the presence of environmental factors.\n\nObjective:\nThis review focuses on DNA-methylation and its association with environmental-related diseases in children.\n\nMethods:\nA search for studies related to DNA-methylation in children by pre- or post-natal environmental exposures was conducted, and those studies with appropriate designs and statistical analyses and evaluations of the exposure were selected.\n\nFindings:\nPrenatal and early life environmental factors, from diet to exposure to pollutants, have been associated with epigenetic changes, specifically DNA-methylation. Thus, maternal nutrition and smoking and exposure to air particulate matter, polycyclic aromatic hydrocarbons, arsenic, heavy metals, persistent organic pollutants, and some endocrine disrupters during pregnancy have been associated with genomic and gene-specific newborns’ DNA-methylation changes that have shown in some cases sex-specific patterns. In addition, these maternal factors may deregulate the placental DNA-methylation balance and could induce a fetal reprogramming and later-in-life diseases.\n\nConclusions:\nExposure to environmental pollutants during prenatal and early life can trigger epigenetic imbalances and eventually the development of diseases in children. The integration of epigenetic data should be considered in future risk assessments.","container-title":"Annals of Global Health","DOI":"10.29024/aogh.909","ISSN":"2214-9996","issue":"2","journalAbbreviation":"Ann Glob Health","note":"PMID: 30873799\nPMCID: PMC6748183","page":"212-224","source":"PubMed Central","title":"Environmental Epigenetic Changes, as Risk Factors for the Development of Diseases in Children: A Systematic Review","title-short":"Environmental Epigenetic Changes, as Risk Factors for the Development of Diseases in Children","volume":"84","author":[{"family":"Alvarado-Cruz","given":"Isabel"},{"family":"Alegría-Torres","given":"Jorge A."},{"family":"Montes-Castro","given":"Nereida"},{"family":"Jiménez-Garza","given":"Octavio"},{"family":"Quintanilla-Vega","given":"Betzabet"}]}},{"id":3668,"uris":["http://zotero.org/users/9622455/items/MJNG6UV3"],"itemData":{"id":3668,"type":"article-journal","abstract":"It is thought that germ cells and preimplantation embryos during development are most susceptible to endogenous and exogenous environmental factors because the epigenome in those cells is undergoing dramatic elimination and reconstruction. Exposure to environmental factors such as nutrition, climate, stress, pathogens, toxins, and even social behavior during gametogenesis and early embryogenesis has been shown to influence disease susceptibility in the offspring. Early-life epigenetic modifications, which determine the expression of genetic information stored in the genome, are viewed as one of the general mechanisms linking prenatal exposure and phenotypic changes later in life. From atmospheric pollution, endocrine-disrupting chemicals to heavy metals, research increasingly suggests that environmental pollutions have already produced significant consequences on human health. Moreover, mounting evidence now links such pollution to relevant modification in the epigenome. The epigenetics diet, referring to a class of bioactive dietary compounds such as isothiocyanates in broccoli, genistein in soybean, resveratrol in grape, epigallocatechin-3-gallate in green tea, and ascorbic acid in fruits, has been shown to modify the epigenome leading to beneficial health outcomes. This review will primarily focus on the causes and consequences of prenatal environment pollution exposure on the epigenome, and the potential protective role of the epigenetics diet, which could play a central role in neutralizing epigenomic aberrations against environmental pollutions.","container-title":"Clinical Epigenetics","DOI":"10.1186/s13148-019-0659-4","ISSN":"1868-7075","journalAbbreviation":"Clin Epigenetics","note":"PMID: 31097039\nPMCID: PMC6524340","page":"82","source":"PubMed Central","title":"Prenatal epigenetics diets play protective roles against environmental pollution","volume":"11","author":[{"family":"Li","given":"Shizhao"},{"family":"Chen","given":"Min"},{"family":"Li","given":"Yuanyuan"},{"family":"Tollefsbol","given":"Trygve O."}],"issued":{"date-parts":[["2019",5,16]]}}}],"schema":"https://github.com/citation-style-language/schema/raw/master/csl-citation.json"} </w:instrText>
      </w:r>
      <w:r w:rsidRPr="00735FCE">
        <w:rPr>
          <w:color w:val="000000" w:themeColor="text1"/>
        </w:rPr>
        <w:fldChar w:fldCharType="separate"/>
      </w:r>
      <w:r w:rsidR="00281437" w:rsidRPr="00281437">
        <w:rPr>
          <w:color w:val="000000"/>
          <w:vertAlign w:val="superscript"/>
        </w:rPr>
        <w:t>77–79</w:t>
      </w:r>
      <w:r w:rsidRPr="00735FCE">
        <w:rPr>
          <w:color w:val="000000" w:themeColor="text1"/>
        </w:rPr>
        <w:fldChar w:fldCharType="end"/>
      </w:r>
      <w:r w:rsidRPr="00735FCE">
        <w:rPr>
          <w:color w:val="000000" w:themeColor="text1"/>
        </w:rPr>
        <w:t>. Moreover, obesogens</w:t>
      </w:r>
      <w:r>
        <w:rPr>
          <w:color w:val="000000" w:themeColor="text1"/>
        </w:rPr>
        <w:t xml:space="preserve"> have been</w:t>
      </w:r>
      <w:r w:rsidRPr="00735FCE">
        <w:rPr>
          <w:color w:val="000000" w:themeColor="text1"/>
        </w:rPr>
        <w:t xml:space="preserve"> shown to disrupt circadian rhythm, increase inflammation, and elevate oxidative stress in adipose tissue, further exacerbating already altered metabolism with obesity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{"citationID":"ONZgFNaH","properties":{"formattedCitation":"\\super 80,81\\nosupersub{}","plainCitation":"80,81","noteIndex":0},"citationItems":[{"id":3676,"uris":["http://zotero.org/users/9622455/items/BQRFWSR6"],"itemData":{"id":3676,"type":"article-journal","abstract":"Despite varied treatment, mitigation, and prevention efforts, the global prevalence and severity of obesity continue to worsen. Here we propose a combined model of obesity, a unifying paradigm that links four general models: the energy balance model (EBM), based on calories as the driver of weight gain; the carbohydrate-insulin model (CIM), based on insulin as a driver of energy storage; the oxidation-reduction model (REDOX), based on reactive oxygen species (ROS) as a driver of altered metabolic signaling; and the obesogens model (OBS), which proposes that environmental chemicals interfere with hormonal signaling leading to adiposity. We propose a combined OBS/REDOX model in which environmental chemicals (in air, food, food packaging, and household products) generate false autocrine and endocrine metabolic signals, including ROS, that subvert standard regulatory energy mechanisms, increase basal and stimulated insulin secretion, disrupt energy efficiency, and influence appetite and energy expenditure leading to weight gain. This combined model incorporates the data supporting the EBM and CIM models, thus creating one integrated model that covers significant aspects of all the mechanisms potentially contributing to the obesity pandemic. Importantly, the OBS/REDOX model provides a rationale and approach for future preventative efforts based on environmental chemical exposure reduction.","container-title":"International Journal of Obesity","DOI":"10.1038/s41366-024-01460-3","ISSN":"1476-5497","issue":"4","journalAbbreviation":"Int J Obes","language":"en","license":"2024 The Author(s)","note":"publisher: Nature Publishing Group","page":"449-460","source":"www.nature.com","title":"Obesogens: a unifying theory for the global rise in obesity","title-short":"Obesogens","volume":"48","author":[{"family":"Heindel","given":"Jerrold J."},{"family":"Lustig","given":"Robert H."},{"family":"Howard","given":"Sarah"},{"family":"Corkey","given":"Barbara E."}],"issued":{"date-parts":[["2024",4]]}}},{"id":3674,"uris":["http://zotero.org/users/9622455/items/4IKFKLQQ"],"itemData":{"id":3674,"type":"article-journal","abstract":"Su-Jin Han, Seung-Hwan Lee. J Obes Metab Syndr 2021;30:93-103. https://doi.org/10.7570/jomes21004","container-title":"Journal of Obesity &amp; Metabolic Syndrome","DOI":"10.7570/jomes21004","issue":"2","language":"en","note":"publisher: Korean Society for the Study of Obesity","page":"93-103","source":"www.jomes.org","title":"Nontraditional Risk Factors for Obesity in Modern Society","volume":"30","author":[{"family":"Han","given":"Su-Jin"},{"family":"Lee","given":"Seung-Hwan"}],"issued":{"date-parts":[["2021",6,30]]}}}],"schema":"https://github.com/citation-style-language/schema/raw/master/csl-citation.json"} </w:instrText>
      </w:r>
      <w:r w:rsidRPr="00735FCE">
        <w:rPr>
          <w:color w:val="000000" w:themeColor="text1"/>
        </w:rPr>
        <w:fldChar w:fldCharType="separate"/>
      </w:r>
      <w:r w:rsidR="00281437" w:rsidRPr="00281437">
        <w:rPr>
          <w:color w:val="000000"/>
          <w:vertAlign w:val="superscript"/>
        </w:rPr>
        <w:t>80,81</w:t>
      </w:r>
      <w:r w:rsidRPr="00735FCE">
        <w:rPr>
          <w:color w:val="000000" w:themeColor="text1"/>
        </w:rPr>
        <w:fldChar w:fldCharType="end"/>
      </w:r>
      <w:r w:rsidRPr="00735FCE">
        <w:rPr>
          <w:color w:val="000000" w:themeColor="text1"/>
        </w:rPr>
        <w:t>.</w:t>
      </w:r>
    </w:p>
    <w:p w14:paraId="559259F4" w14:textId="77777777" w:rsidR="009117C0" w:rsidRPr="00735FCE" w:rsidRDefault="009117C0" w:rsidP="00847BA5">
      <w:pPr>
        <w:pStyle w:val="Heading3"/>
        <w:jc w:val="left"/>
      </w:pPr>
      <w:bookmarkStart w:id="18" w:name="_Toc200988040"/>
      <w:bookmarkStart w:id="19" w:name="_Toc201001655"/>
      <w:bookmarkStart w:id="20" w:name="_Toc204848625"/>
      <w:r w:rsidRPr="00735FCE">
        <w:t xml:space="preserve">Metabolic </w:t>
      </w:r>
      <w:r>
        <w:t>D</w:t>
      </w:r>
      <w:r w:rsidRPr="00735FCE">
        <w:t xml:space="preserve">ysfunction </w:t>
      </w:r>
      <w:r>
        <w:t>A</w:t>
      </w:r>
      <w:r w:rsidRPr="00735FCE">
        <w:t xml:space="preserve">ssociated with </w:t>
      </w:r>
      <w:r>
        <w:t>O</w:t>
      </w:r>
      <w:r w:rsidRPr="00735FCE">
        <w:t>besity</w:t>
      </w:r>
      <w:bookmarkEnd w:id="18"/>
      <w:bookmarkEnd w:id="19"/>
      <w:bookmarkEnd w:id="20"/>
    </w:p>
    <w:p w14:paraId="6A91CB04" w14:textId="60F82DF1" w:rsidR="009117C0" w:rsidRPr="00735FCE" w:rsidRDefault="009117C0" w:rsidP="00B007DA">
      <w:pPr>
        <w:ind w:firstLine="720"/>
        <w:jc w:val="left"/>
        <w:rPr>
          <w:color w:val="000000" w:themeColor="text1"/>
        </w:rPr>
      </w:pPr>
      <w:r w:rsidRPr="00735FCE">
        <w:rPr>
          <w:color w:val="000000" w:themeColor="text1"/>
        </w:rPr>
        <w:t xml:space="preserve">Obesity is recognized as a chronic </w:t>
      </w:r>
      <w:r>
        <w:rPr>
          <w:color w:val="000000" w:themeColor="text1"/>
        </w:rPr>
        <w:t>condition, which</w:t>
      </w:r>
      <w:r w:rsidRPr="00735FCE">
        <w:rPr>
          <w:color w:val="000000" w:themeColor="text1"/>
        </w:rPr>
        <w:t xml:space="preserve"> markedly disrupts homeostasis</w:t>
      </w:r>
      <w:r>
        <w:rPr>
          <w:color w:val="000000" w:themeColor="text1"/>
        </w:rPr>
        <w:t xml:space="preserve"> and</w:t>
      </w:r>
      <w:r w:rsidRPr="00735FCE">
        <w:rPr>
          <w:color w:val="000000" w:themeColor="text1"/>
        </w:rPr>
        <w:t xml:space="preserve"> directly </w:t>
      </w:r>
      <w:r>
        <w:rPr>
          <w:color w:val="000000" w:themeColor="text1"/>
        </w:rPr>
        <w:t>or</w:t>
      </w:r>
      <w:r w:rsidRPr="00735FCE">
        <w:rPr>
          <w:color w:val="000000" w:themeColor="text1"/>
        </w:rPr>
        <w:t xml:space="preserve"> indirectly </w:t>
      </w:r>
      <w:r>
        <w:rPr>
          <w:color w:val="000000" w:themeColor="text1"/>
        </w:rPr>
        <w:t>causes</w:t>
      </w:r>
      <w:r w:rsidRPr="00735FCE">
        <w:rPr>
          <w:color w:val="000000" w:themeColor="text1"/>
        </w:rPr>
        <w:t xml:space="preserve"> a myriad of dysfunctions and chronic diseases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{"citationID":"fvKwxqAl","properties":{"formattedCitation":"\\super 82\\nosupersub{}","plainCitation":"82","noteIndex":0},"citationItems":[{"id":3678,"uris":["http://zotero.org/users/9622455/items/ALY5CZ5C"],"itemData":{"id":3678,"type":"article-journal","abstract":"Obesity is now recognized as a multifaceted chronic disease that is intricately linked to metabolic, biochemical, and psychosocial dysfunction. In this article, we review the epidemiology of obesity, current understanding of its physiopathology, and the recommended staging system used to approach it as a chronic disease, and we include an overview of its health implications.","container-title":"Methodist DeBakey Cardiovascular Journal","DOI":"10.14797/mdcvj.1515","ISSN":"1947-6094","issue":"2","journalAbbreviation":"Methodist Debakey Cardiovasc J","note":"PMID: 39990758\nPMCID: PMC11843931","page":"4-13","source":"PubMed Central","title":"Obesity as a Disease: A Primer on Clinical and Physiological Insights","title-short":"Obesity as a Disease","volume":"21","author":[{"family":"Shah","given":"Aayush"},{"family":"Davarci","given":"Orhun"},{"family":"Chaftari","given":"Peter"},{"family":"Avenatti","given":"Eleonora"}]}}],"schema":"https://github.com/citation-style-language/schema/raw/master/csl-citation.json"} </w:instrText>
      </w:r>
      <w:r w:rsidRPr="00735FCE">
        <w:rPr>
          <w:color w:val="000000" w:themeColor="text1"/>
        </w:rPr>
        <w:fldChar w:fldCharType="separate"/>
      </w:r>
      <w:r w:rsidR="00281437" w:rsidRPr="00281437">
        <w:rPr>
          <w:color w:val="000000"/>
          <w:vertAlign w:val="superscript"/>
        </w:rPr>
        <w:t>82</w:t>
      </w:r>
      <w:r w:rsidRPr="00735FCE">
        <w:rPr>
          <w:color w:val="000000" w:themeColor="text1"/>
        </w:rPr>
        <w:fldChar w:fldCharType="end"/>
      </w:r>
      <w:r w:rsidRPr="00735FCE">
        <w:rPr>
          <w:color w:val="000000" w:themeColor="text1"/>
        </w:rPr>
        <w:t xml:space="preserve">. It is directly associated with the development of insulin resistance, a hallmark of </w:t>
      </w:r>
      <w:r>
        <w:rPr>
          <w:color w:val="000000" w:themeColor="text1"/>
        </w:rPr>
        <w:t xml:space="preserve">T2DM </w:t>
      </w:r>
      <w:r w:rsidRPr="00735FCE">
        <w:rPr>
          <w:color w:val="000000" w:themeColor="text1"/>
        </w:rPr>
        <w:fldChar w:fldCharType="begin"/>
      </w:r>
      <w:r w:rsidR="00281437">
        <w:rPr>
          <w:color w:val="000000" w:themeColor="text1"/>
        </w:rPr>
        <w:instrText xml:space="preserve"> ADDIN ZOTERO_ITEM CSL_CITATION {"citationID":"ZoIPM47t","properties":{"formattedCitation":"\\super 83\\nosupersub{}","plainCitation":"83","noteIndex":0},"citationItems":[{"id":3680,"uris":["http://zotero.org/users/9622455/items/NDK9IZZS"],"itemData":{"id":3680,"type":"article-journal","abstract":"Obesity or excessive weight gain is identified as the most important and significant risk factor in the development and progression of type 2 diabetes mellitus (DM) in all age groups. It has reached pandemic dimensions, making the treatment of obesity crucial in the prevention and management of type 2 DM worldwide. Multiple clinical studies have demonstrated that moderate and sustained weight loss can improve blood glucose levels, insulin action and reduce the need for diabetic medications. A combined approach of diet, exercise and lifestyle modifications can successfully reduce obesity and subsequently ameliorate the ill effects and deadly complications of DM. This approach also helps largely in the prevention, control and remission of DM. Obesity and DM are chronic diseases that are increasing globally, requiring new approaches to manage and prevent diabetes in obese individuals. Therefore, it is essential to understand the mechanistic link between the two and design a comprehensive approach to increase life expectancy and improve the quality of life in patients with type 2 DM and obesity. This literature review provides explicit information on the clinical definitions of obesity and type 2 DM, the incidence and prevalence of type 2 DM in obese individuals, the indispensable role of obesity in the pathophysiology of type 2 DM and their mechanistic link. It also discusses clinical studies and outlines the recent management approaches for the treatment of these associated conditions. Additionally, in vivo studies on obesity and type 2 DM are discussed here as they pave the way for more rigorous development of therapeutic approaches.","container-title":"International Journal of Molecular Sciences","DOI":"10.3390/ijms25031882","ISSN":"1422-0067","issue":"3","language":"en","license":"http://creativecommons.org/licenses/by/3.0/","note":"number: 3\npublisher: Multidisciplinary Digital Publishing Institute","page":"1882","source":"www.mdpi.com","title":"The Role of Obesity in Type 2 Diabetes Mellitus—An Overview","volume":"25","author":[{"family":"Chandrasekaran","given":"Preethi"},{"family":"Weiskirchen","given":"Ralf"}],"issued":{"date-parts":[["2024",1]]}}}],"schema":"https://github.com/citation-style-language/schema/raw/master/csl-citation.json"} </w:instrText>
      </w:r>
      <w:r w:rsidRPr="00735FCE">
        <w:rPr>
          <w:color w:val="000000" w:themeColor="text1"/>
        </w:rPr>
        <w:fldChar w:fldCharType="separate"/>
      </w:r>
      <w:r w:rsidR="00281437" w:rsidRPr="00281437">
        <w:rPr>
          <w:color w:val="000000"/>
          <w:vertAlign w:val="superscript"/>
        </w:rPr>
        <w:t>83</w:t>
      </w:r>
      <w:r w:rsidRPr="00735FCE">
        <w:rPr>
          <w:color w:val="000000" w:themeColor="text1"/>
        </w:rPr>
        <w:fldChar w:fldCharType="end"/>
      </w:r>
      <w:r w:rsidRPr="00735FCE">
        <w:rPr>
          <w:color w:val="000000" w:themeColor="text1"/>
        </w:rPr>
        <w:t>. It also further exacerbates non-alcoholic fatty liver disease (NAFLD) through inflammation, adipokine imbalance, and lipid accumulation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{"citationID":"6GghXqhT","properties":{"formattedCitation":"\\super 84\\nosupersub{}","plainCitation":"84","noteIndex":0},"citationItems":[{"id":3682,"uris":["http://zotero.org/users/9622455/items/29NNBBN8"],"itemData":{"id":3682,"type":"article-journal","abstract":"Accumulating evidence links obesity with low-grade inflammation which may originate from adipose tissue that secretes a plethora of pro- and anti-inflammatory cytokines termed adipokines. Adiponectin and leptin have evolved as crucial signals in many obesity-related pathologies including non-alcoholic fatty liver disease (NAFLD). Whereas adiponectin deficiency might be critically involved in the pro-inflammatory state associated with obesity and related disorders, overproduction of leptin, a rather pro-inflammatory mediator, is considered of equal relevance. An imbalanced adipokine profile in obesity consecutively contributes to metabolic inflammation in NAFLD, which is associated with a substantial risk for developing hepatocellular carcinoma (HCC) also in the non-cirrhotic stage of disease. Both adiponectin and leptin have been related to liver tumorigenesis especially in preclinical models. This review covers recent advances in our understanding of some adipokines in NAFLD and associated HCC.","container-title":"International Journal of Molecular Sciences","DOI":"10.3390/ijms18081649","ISSN":"1422-0067","issue":"8","journalAbbreviation":"Int J Mol Sci","note":"PMID: 28758929\nPMCID: PMC5578039","page":"1649","source":"PubMed Central","title":"Adipokines and Non-Alcoholic Fatty Liver Disease: Multiple Interactions","title-short":"Adipokines and Non-Alcoholic Fatty Liver Disease","volume":"18","author":[{"family":"Adolph","given":"Timon E."},{"family":"Grander","given":"Christoph"},{"family":"Grabherr","given":"Felix"},{"family":"Tilg","given":"Herbert"}],"issued":{"date-parts":[["2017",7,29]]}}}],"schema":"https://github.com/citation-style-language/schema/raw/master/csl-citation.json"} </w:instrText>
      </w:r>
      <w:r w:rsidRPr="00735FCE">
        <w:rPr>
          <w:color w:val="000000" w:themeColor="text1"/>
        </w:rPr>
        <w:fldChar w:fldCharType="separate"/>
      </w:r>
      <w:r w:rsidR="00281437" w:rsidRPr="00281437">
        <w:rPr>
          <w:color w:val="000000"/>
          <w:vertAlign w:val="superscript"/>
        </w:rPr>
        <w:t>84</w:t>
      </w:r>
      <w:r w:rsidRPr="00735FCE">
        <w:rPr>
          <w:color w:val="000000" w:themeColor="text1"/>
        </w:rPr>
        <w:fldChar w:fldCharType="end"/>
      </w:r>
      <w:r w:rsidRPr="00735FCE">
        <w:rPr>
          <w:color w:val="000000" w:themeColor="text1"/>
        </w:rPr>
        <w:t xml:space="preserve">. Prolonged obesity triggers chronic inflammation, </w:t>
      </w:r>
      <w:r>
        <w:rPr>
          <w:color w:val="000000" w:themeColor="text1"/>
        </w:rPr>
        <w:t>characteriz</w:t>
      </w:r>
      <w:r w:rsidRPr="00735FCE">
        <w:rPr>
          <w:color w:val="000000" w:themeColor="text1"/>
        </w:rPr>
        <w:t xml:space="preserve">ed by </w:t>
      </w:r>
      <w:r>
        <w:rPr>
          <w:color w:val="000000" w:themeColor="text1"/>
        </w:rPr>
        <w:t xml:space="preserve">the </w:t>
      </w:r>
      <w:r w:rsidRPr="00735FCE">
        <w:rPr>
          <w:color w:val="000000" w:themeColor="text1"/>
        </w:rPr>
        <w:t xml:space="preserve">augmented release of </w:t>
      </w:r>
      <w:r>
        <w:rPr>
          <w:color w:val="000000" w:themeColor="text1"/>
        </w:rPr>
        <w:t>pro-inflammatory</w:t>
      </w:r>
      <w:r w:rsidRPr="00735FCE">
        <w:rPr>
          <w:color w:val="000000" w:themeColor="text1"/>
        </w:rPr>
        <w:t xml:space="preserve"> cytokines</w:t>
      </w:r>
      <w:r>
        <w:rPr>
          <w:color w:val="000000" w:themeColor="text1"/>
        </w:rPr>
        <w:t>,</w:t>
      </w:r>
      <w:r w:rsidRPr="00735FCE">
        <w:rPr>
          <w:color w:val="000000" w:themeColor="text1"/>
        </w:rPr>
        <w:t xml:space="preserve"> </w:t>
      </w:r>
      <w:r>
        <w:rPr>
          <w:color w:val="000000" w:themeColor="text1"/>
        </w:rPr>
        <w:t>such as</w:t>
      </w:r>
      <w:r w:rsidRPr="00735FCE">
        <w:rPr>
          <w:color w:val="000000" w:themeColor="text1"/>
        </w:rPr>
        <w:t xml:space="preserve"> tumor necrosis factor α (TNF-α) and interleukin 6 (IL-6), which accelerates endothelial dysfunction, atherogenesis, and significantly exacerbates cardiovascular diseases (CVD)</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{"citationID":"9Gr6o85d","properties":{"formattedCitation":"\\super 85,86\\nosupersub{}","plainCitation":"85,86","noteIndex":0},"citationItems":[{"id":3688,"uris":["http://zotero.org/users/9622455/items/EPA86W78"],"itemData":{"id":3688,"type":"article-journal","abstract":"Overweight and obesity are key risk factors of cardiovascular disease (CVD). Obesity is currently presented as a pro-inflammatory state with an expansion in the outflow of inflammatory cytokines, such as interleukin-6 (IL-6) and tumor necrosis factor-alpha (TNF-α), alongside the expanded emission of leptin. The present review aimed to evaluate the relationship between obesity and inflammation and their impacts on the development of cardiovascular disease. A literature search was conducted by employing three academic databases, namely PubMed (Medline), Scopus (EMBASE), and the Cumulative Index to Nursing and Allied Health Literature (CINAHL). The search presented 786 items, and by inclusion and exclusion filterers, 59 works were considered for final review. The Newcastle–Ottawa Scale (NOS) method was adopted to conduct quality assessment; 19 papers were further selected based on the quality score. Obesity-related inflammation leads to a low-grade inflammatory state in organisms by upregulating pro-inflammatory markers and downregulating anti-inflammatory cytokines, thereby contributing to cardiovascular disease pathogenesis. Because of inflammatory and infectious symptoms, adipocytes appear to instigate articulation and discharge a few intense stage reactants and carriers of inflammation. Obesity and inflammatory markers are strongly associated, and are important factors in the development of CVD. Hence, weight management can help prevent cardiovascular risks and poor outcomes by inhibiting inflammatory mechanisms.","container-title":"International Journal of Molecular Sciences","DOI":"10.3390/ijms22094798","ISSN":"1422-0067","issue":"9","language":"en","license":"http://creativecommons.org/licenses/by/3.0/","note":"number: 9\npublisher: Multidisciplinary Digital Publishing Institute","page":"4798","source":"www.mdpi.com","title":"Impact of Obesity-Induced Inflammation on Cardiovascular Diseases (CVD)","volume":"22","author":[{"family":"Battineni","given":"Gopi"},{"family":"Sagaro","given":"Getu Gamo"},{"family":"Chintalapudi","given":"Nalini"},{"family":"Amenta","given":"Francesco"},{"family":"Tomassoni","given":"Daniele"},{"family":"Tayebati","given":"Seyed Khosrow"}],"issued":{"date-parts":[["2021",1]]}}},{"id":2844,"uris":["http://zotero.org/users/9622455/items/LE73698M"],"itemData":{"id":2844,"type":"article-journal","abstract":"Obesity is causally linked with the development of cardiovascular disorders. Accumulating evidence indicates that cardiovascular disease is the “collateral damage” of obesity-driven adipose tissue dysfunction that promotes a chronic inflammatory state within the organism. Adipose tissues secrete bioactive substances, referred to as adipokines, which largely function as modulators of inflammation. The microenvironment of adipose tissue will affect the adipokine secretome, having actions on remote tissues. Obesity typically leads to the upregulation of pro-inflammatory adipokines and the downregulation of anti-inflammatory adipokines, thereby contributing to the pathogenesis of cardiovascular diseases. In this review, we focus on the microenvironment of adipose tissue and how it influences cardiovascular disorders, including atherosclerosis and ischemic heart diseases, through the systemic actions of adipokines.","container-title":"Circulation research","DOI":"10.1161/CIRCRESAHA.115.306885","ISSN":"0009-7330","issue":"11","journalAbbreviation":"Circ Res","note":"PMID: 27230642\nPMCID: PMC4887147","page":"1786-1807","source":"PubMed Central","title":"Obesity-induced Changes in Adipose Tissue Microenvironment and Their Impact on Cardiovascular Disease","volume":"118","author":[{"family":"Fuster","given":"Jose J."},{"family":"Ouchi","given":"Noriyuki"},{"family":"Gokce","given":"Noyan"},{"family":"Walsh","given":"Kenneth"}],"issued":{"date-parts":[["2016",5,27]]}}}],"schema":"https://github.com/citation-style-language/schema/raw/master/csl-citation.json"} </w:instrText>
      </w:r>
      <w:r w:rsidRPr="00735FCE">
        <w:rPr>
          <w:color w:val="000000" w:themeColor="text1"/>
        </w:rPr>
        <w:fldChar w:fldCharType="separate"/>
      </w:r>
      <w:r w:rsidR="00281437" w:rsidRPr="00281437">
        <w:rPr>
          <w:color w:val="000000"/>
          <w:vertAlign w:val="superscript"/>
        </w:rPr>
        <w:t>85,86</w:t>
      </w:r>
      <w:r w:rsidRPr="00735FCE">
        <w:rPr>
          <w:color w:val="000000" w:themeColor="text1"/>
        </w:rPr>
        <w:fldChar w:fldCharType="end"/>
      </w:r>
      <w:r w:rsidRPr="00735FCE">
        <w:rPr>
          <w:color w:val="000000" w:themeColor="text1"/>
        </w:rPr>
        <w:t xml:space="preserve">. These </w:t>
      </w:r>
      <w:r w:rsidRPr="00735FCE">
        <w:rPr>
          <w:color w:val="000000" w:themeColor="text1"/>
        </w:rPr>
        <w:lastRenderedPageBreak/>
        <w:t>inflammatory activities also contribute to kidney</w:t>
      </w:r>
      <w:r>
        <w:rPr>
          <w:color w:val="000000" w:themeColor="text1"/>
        </w:rPr>
        <w:t xml:space="preserve"> injury</w:t>
      </w:r>
      <w:r w:rsidRPr="00735FCE">
        <w:rPr>
          <w:color w:val="000000" w:themeColor="text1"/>
        </w:rPr>
        <w:t xml:space="preserve"> via modifying renal hemodynamics</w:t>
      </w:r>
      <w:r>
        <w:rPr>
          <w:color w:val="000000" w:themeColor="text1"/>
        </w:rPr>
        <w:t>,</w:t>
      </w:r>
      <w:r w:rsidRPr="00735FCE">
        <w:rPr>
          <w:color w:val="000000" w:themeColor="text1"/>
        </w:rPr>
        <w:t xml:space="preserve"> causing glomerular damage</w:t>
      </w:r>
      <w:r>
        <w:rPr>
          <w:color w:val="000000" w:themeColor="text1"/>
        </w:rPr>
        <w:t xml:space="preserve"> and progression</w:t>
      </w:r>
      <w:r w:rsidRPr="00735FCE">
        <w:rPr>
          <w:color w:val="000000" w:themeColor="text1"/>
        </w:rPr>
        <w:t xml:space="preserve"> </w:t>
      </w:r>
      <w:r>
        <w:rPr>
          <w:color w:val="000000" w:themeColor="text1"/>
        </w:rPr>
        <w:t xml:space="preserve">to </w:t>
      </w:r>
      <w:r w:rsidRPr="00735FCE">
        <w:rPr>
          <w:color w:val="000000" w:themeColor="text1"/>
        </w:rPr>
        <w:t>the chronic stage of kidney disease (CKD)</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{"citationID":"Msseyn9B","properties":{"formattedCitation":"\\super 87,88\\nosupersub{}","plainCitation":"87,88","noteIndex":0},"citationItems":[{"id":3692,"uris":["http://zotero.org/users/9622455/items/E5QCRSTV"],"itemData":{"id":3692,"type":"article-journal","abstract":"Obesity is the epidemic of our era and its incidence is supposed to increase by more than 30% by 2030. It is commonly defined as a chronic and metabolic disease with an excessive accumulation of body fat in relation to fat-free mass, both in terms of quantity and distribution at specific points on the body. The effects of obesity have an important impact on different clinical areas, particularly endocrinology, cardiology, and nephrology. Indeed, increased rates of obesity have been associated with increased risk of cardiovascular disease (CVD), cancer, type 2 diabetes (T2D), dyslipidemia, hypertension, renal diseases, and neurocognitive impairment. Obesity-related chronic kidney disease (CKD) has been ascribed to intrarenal fat accumulation along the proximal tubule, glomeruli, renal sinus, and around the kidney capsule, and to hemodynamic changes with hyperfiltration, albuminuria, and impaired glomerular filtration rate. In addition, hypertension, dyslipidemia, and diabetes, which arise as a consequence of overweight, contribute to amplifying renal dysfunction in both the native and transplanted kidney. Overall, several mechanisms are closely related to the onset and progression of CKD in the general population, including changes in renal hemodynamics, neurohumoral pathways, renal adiposity, local and systemic inflammation, dysbiosis of microbiota, insulin resistance, and fibrotic process. Unfortunately, there are no clinical practice guidelines for the management of patients with obesity-related CKD. Therefore, dietary management is based on the clinical practice guidelines for the nutritional care of adults with CKD, developed and published by the National Kidney Foundation, Kidney Disease Outcome Quality Initiative and common recommendations for the healthy population. Optimal nutritional management of these patients should follow the guidelines of the Mediterranean diet, which is known to be associated with a lower incidence of CVD and beneficial effects on chronic diseases such as diabetes, obesity, and cognitive health. Mediterranean-style diets are often unsuccessful in promoting efficient weight loss, especially in patients with altered glucose metabolism. For this purpose, this review also discusses the use of non-classical weight loss approaches in CKD, including intermittent fasting and ketogenic diet to contrast the onset and progression of obesity-related CKD.","container-title":"Frontiers in Nutrition","DOI":"10.3389/fnut.2022.925619","ISSN":"2296-861X","journalAbbreviation":"Front Nutr","note":"PMID: 35811945\nPMCID: PMC9263700","page":"925619","source":"PubMed Central","title":"Obesity-Related Chronic Kidney Disease: Principal Mechanisms and New Approaches in Nutritional Management","title-short":"Obesity-Related Chronic Kidney Disease","volume":"9","author":[{"family":"Stasi","given":"Alessandra"},{"family":"Cosola","given":"Carmela"},{"family":"Caggiano","given":"Gianvito"},{"family":"Cimmarusti","given":"Maria Teresa"},{"family":"Palieri","given":"Rita"},{"family":"Acquaviva","given":"Paola Maria"},{"family":"Rana","given":"Gloria"},{"family":"Gesualdo","given":"Loreto"}],"issued":{"date-parts":[["2022",6,24]]}}},{"id":3690,"uris":["http://zotero.org/users/9622455/items/HWRNFJRN"],"itemData":{"id":3690,"type":"article-journal","abstract":"Despite recent advances in the management of chronic kidney disease (CKD), morbidity and mortality rates in these patients remain high. Although pressure-mediated injury is a well-recognized mechanism of disease progression in CKD, emerging data indicate that an intermediate phenotype involving chronic inflammation, oxidative stress, hypoxia, senescence, and mitochondrial dysfunction plays a key role in the etiology, progression, and pathophysiology of CKD. A variety of factors promote chronic inflammation in CKD, including oxidative stress and the adoption of a proinflammatory phenotype by resident kidney cells. Regulation of proinflammatory and anti-inflammatory factors through NF-κB– and nuclear factor, erythroid 2 like 2 (Nrf2)–mediated gene transcription, respectively, plays a critical role in the glomerular and tubular cell response to kidney injury. Chronic inflammation contributes to the decline in glomerular filtration rate (GFR) in CKD. Whereas the role of chronic inflammation in diabetic kidney disease (DKD) has been well-elucidated, there is now substantial evidence indicating unresolved inflammatory processes lead to fibrosis and eventual end-stage kidney disease (ESKD) in several other diseases, such as Alport syndrome, autosomal-dominant polycystic kidney disease (ADPKD), IgA nephropathy (IgAN), and focal segmental glomerulosclerosis (FSGS). In this review, we aim to clarify the mechanisms of chronic inflammation in the pathophysiology and disease progression across the spectrum of kidney diseases, with a focus on Nrf2.","container-title":"Kidney International Reports","DOI":"10.1016/j.ekir.2021.04.023","ISSN":"2468-0249","issue":"7","journalAbbreviation":"Kidney Int Rep","note":"PMID: 34307974\nPMCID: PMC8258499","page":"1775-1787","source":"PubMed Central","title":"Chronic Inflammation in Chronic Kidney Disease Progression: Role of Nrf2","title-short":"Chronic Inflammation in Chronic Kidney Disease Progression","volume":"6","author":[{"family":"Stenvinkel","given":"Peter"},{"family":"Chertow","given":"Glenn M."},{"family":"Devarajan","given":"Prasad"},{"family":"Levin","given":"Adeera"},{"family":"Andreoli","given":"Sharon P."},{"family":"Bangalore","given":"Sripal"},{"family":"Warady","given":"Bradley A."}],"issued":{"date-parts":[["2021",5,4]]}}}],"schema":"https://github.com/citation-style-language/schema/raw/master/csl-citation.json"} </w:instrText>
      </w:r>
      <w:r w:rsidRPr="00735FCE">
        <w:rPr>
          <w:color w:val="000000" w:themeColor="text1"/>
        </w:rPr>
        <w:fldChar w:fldCharType="separate"/>
      </w:r>
      <w:r w:rsidR="00281437" w:rsidRPr="00281437">
        <w:rPr>
          <w:color w:val="000000"/>
          <w:vertAlign w:val="superscript"/>
        </w:rPr>
        <w:t>87,88</w:t>
      </w:r>
      <w:r w:rsidRPr="00735FCE">
        <w:rPr>
          <w:color w:val="000000" w:themeColor="text1"/>
        </w:rPr>
        <w:fldChar w:fldCharType="end"/>
      </w:r>
      <w:r w:rsidRPr="00735FCE">
        <w:rPr>
          <w:color w:val="000000" w:themeColor="text1"/>
        </w:rPr>
        <w:t xml:space="preserve">. Apart from these repercussions, obesity is </w:t>
      </w:r>
      <w:r>
        <w:rPr>
          <w:color w:val="000000" w:themeColor="text1"/>
        </w:rPr>
        <w:t>known to increase</w:t>
      </w:r>
      <w:r w:rsidRPr="00735FCE">
        <w:rPr>
          <w:color w:val="000000" w:themeColor="text1"/>
        </w:rPr>
        <w:t xml:space="preserve"> risk</w:t>
      </w:r>
      <w:r>
        <w:rPr>
          <w:color w:val="000000" w:themeColor="text1"/>
        </w:rPr>
        <w:t>s</w:t>
      </w:r>
      <w:r w:rsidRPr="00735FCE">
        <w:rPr>
          <w:color w:val="000000" w:themeColor="text1"/>
        </w:rPr>
        <w:t xml:space="preserve"> of </w:t>
      </w:r>
      <w:r>
        <w:rPr>
          <w:color w:val="000000" w:themeColor="text1"/>
        </w:rPr>
        <w:t xml:space="preserve">developing </w:t>
      </w:r>
      <w:r w:rsidRPr="00735FCE">
        <w:rPr>
          <w:color w:val="000000" w:themeColor="text1"/>
        </w:rPr>
        <w:t>some cancers, such as hepatocellular carcinoma and breast cancer, which is attributed to insulin resistance, inflammation of adipose tissues, and increased secretion of tumor-promoting substances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{"citationID":"ZIe5E6wb","properties":{"formattedCitation":"\\super 89\\uc0\\u8211{}91\\nosupersub{}","plainCitation":"89–91","noteIndex":0},"citationItems":[{"id":3702,"uris":["http://zotero.org/users/9622455/items/I32EC4QC"],"itemData":{"id":3702,"type":"article-journal","abstract":"Purpose\nThere is growing evidence that inflammation is a central and reversible mechanism through which obesity promotes cancer risk and progression.\n\nMethods\nWe review recent findings regarding obesity-associated alterations in the microenvironment and the local and systemic mechanisms through which these changes support tumor growth.\n\nResults\nLocally, hyperadiposity is associated with altered adipose tissue function, adipocyte death, and chronic low-grade inflammation. Most individuals who are obese harbor inflamed adipose tissue, which resembles chronically injured tissue, with immune cell infiltration and remodeling. Within this distinctly altered local environment, several pathophysiologic changes are found that may promote breast and other cancers. Consistently, adipose tissue inflammation is associated with a worse prognosis in patients with breast and tongue cancers. Systemically, the metabolic syndrome, including dyslipidemia and insulin resistance, occurs in the setting of adipose inflammation and operates in concert with local mechanisms to sustain the inflamed microenvironment and promote tumor growth. Importantly, adipose inflammation and its protumor consequences can be found in some individuals who are not considered to be obese or overweight by body mass index.\n\nConclusion\nThe tumor-promoting effects of obesity occur at the local level via adipose inflammation and associated alterations in the microenvironment, as well as systemically via circulating metabolic and inflammatory mediators associated with adipose inflammation. Accurately characterizing the obese state and identifying patients at increased risk for cancer development and progression will likely require more precise assessments than body mass index alone. Biomarkers of adipose tissue inflammation would help to identify high-risk populations. Moreover, adipose inflammation is a reversible process and represents a novel therapeutic target that warrants further study to break the obesity-cancer link.","container-title":"Journal of Clinical Oncology","DOI":"10.1200/JCO.2016.67.4283","ISSN":"0732-183X","issue":"35","journalAbbreviation":"J Clin Oncol","note":"PMID: 27903155\nPMCID: PMC5562428","page":"4270-4276","source":"PubMed Central","title":"Obesity and Cancer Mechanisms: Tumor Microenvironment and Inflammation","title-short":"Obesity and Cancer Mechanisms","volume":"34","author":[{"family":"Iyengar","given":"Neil M."},{"family":"Gucalp","given":"Ayca"},{"family":"Dannenberg","given":"Andrew J."},{"family":"Hudis","given":"Clifford A."}],"issued":{"date-parts":[["2016",12,10]]}}},{"id":3699,"uris":["http://zotero.org/users/9622455/items/5VUZ4KT8"],"itemData":{"id":3699,"type":"article-journal","abstract":"Obesity is associated with increased risk and poor prognosis of many types of cancers. Several obesity-related host factors involved in systemic metabolism can influence tumor initiation, progression, and/or response to therapy, and these have been implicated as key contributors to the complex effects of obesity on cancer incidence and outcomes. Such host factors include systemic metabolic regulators including insulin, insulin-like growth factor 1, adipokines, inflammation-related molecules, and steroid hormones, as well as the cellular and structural components of the tumor microenvironment, particularly adipose tissue. These secreted and structural host factors are extrinsic to, and interact with, the intrinsic metabolic characteristics of cancer cells to influence their growth and spread. This review will focus on the interplay of these tumor cell–intrinsic and extrinsic factors in the context of energy balance, with the objective of identifying new intervention targets for preventing obesity-associated cancer.","container-title":"Frontiers in Oncology","DOI":"10.3389/fonc.2017.00216","ISSN":"2234-943X","journalAbbreviation":"Front Oncol","note":"PMID: 28959684\nPMCID: PMC5604081","page":"216","source":"PubMed Central","title":"Obesity and Cancer Metabolism: A Perspective on Interacting Tumor–Intrinsic and Extrinsic Factors","title-short":"Obesity and Cancer Metabolism","volume":"7","author":[{"family":"Doerstling","given":"Steven S."},{"family":"O’Flanagan","given":"Ciara H."},{"family":"Hursting","given":"Stephen D."}],"issued":{"date-parts":[["2017",9,14]]}}},{"id":3696,"uris":["http://zotero.org/users/9622455/items/75WLFGRP"],"itemData":{"id":3696,"type":"article-journal","abstract":"Obesity is associated with an increased risk of estrogen receptor-positive breast cancer in postmenopausal women and a worse prognosis for all major breast cancer subtypes regardless of menopausal status. While the link between obesity and the pathogenesis of breast cancer is clear, the molecular mechanism of this association is not completely understood due to the complexity of both obesity and breast cancer. The aim of this review is to highlight the association between obesity and breast cancer and discuss the literature, which indicates that this association is due to chronic adipose tissue inflammation. We will discuss the epidemiological data for the association between breast cancer incidence and progression as well as the potential molecular mechanisms for this association. We will focus on the role of inflammation within the adipose tissue during the pathogenesis of breast cancer. A better understanding of how obesity and adipose tissue inflammation affects the pathogenesis of breast cancer will lead to new strategies to reduce breast cancer risk and improve patient outcomes for obese patients.","container-title":"Cancers","DOI":"10.3390/cancers12061686","ISSN":"2072-6694","issue":"6","journalAbbreviation":"Cancers (Basel)","note":"PMID: 32630445\nPMCID: PMC7352736","page":"1686","source":"PubMed Central","title":"Obesity and Breast Cancer: A Case of Inflamed Adipose Tissue","title-short":"Obesity and Breast Cancer","volume":"12","author":[{"family":"Kolb","given":"Ryan"},{"family":"Zhang","given":"Weizhou"}],"issued":{"date-parts":[["2020",6,25]]}}}],"schema":"https://github.com/citation-style-language/schema/raw/master/csl-citation.json"} </w:instrText>
      </w:r>
      <w:r w:rsidRPr="00735FCE">
        <w:rPr>
          <w:color w:val="000000" w:themeColor="text1"/>
        </w:rPr>
        <w:fldChar w:fldCharType="separate"/>
      </w:r>
      <w:r w:rsidR="00281437" w:rsidRPr="00281437">
        <w:rPr>
          <w:color w:val="000000"/>
          <w:vertAlign w:val="superscript"/>
        </w:rPr>
        <w:t>89–91</w:t>
      </w:r>
      <w:r w:rsidRPr="00735FCE">
        <w:rPr>
          <w:color w:val="000000" w:themeColor="text1"/>
        </w:rPr>
        <w:fldChar w:fldCharType="end"/>
      </w:r>
      <w:r w:rsidRPr="00735FCE">
        <w:rPr>
          <w:color w:val="000000" w:themeColor="text1"/>
        </w:rPr>
        <w:t>. Accordingly, the diverse effects of obesity on various pathways contribute to the development of chronic diseases that are indicative of partial metabolic failure.</w:t>
      </w:r>
    </w:p>
    <w:p w14:paraId="76264F70" w14:textId="00EB3AA5" w:rsidR="009117C0" w:rsidRPr="00735FCE" w:rsidRDefault="009117C0" w:rsidP="00B007DA">
      <w:pPr>
        <w:ind w:firstLine="720"/>
        <w:jc w:val="left"/>
        <w:rPr>
          <w:color w:val="000000" w:themeColor="text1"/>
        </w:rPr>
      </w:pPr>
      <w:r w:rsidRPr="00735FCE">
        <w:rPr>
          <w:color w:val="000000" w:themeColor="text1"/>
        </w:rPr>
        <w:t>T2DM is directly related to excess body weight through insulin resistance and β-cell failure through numerous pathways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{"citationID":"5JAWRbb5","properties":{"formattedCitation":"\\super 92,93\\nosupersub{}","plainCitation":"92,93","noteIndex":0},"citationItems":[{"id":3708,"uris":["http://zotero.org/users/9622455/items/T3BYSYBD"],"itemData":{"id":3708,"type":"article-journal","abstract":"Type 2 diabetes (T2DM) is characterized by insulin resistance and beta-cell dysfunction. Although insulin resistance is assumed to be a main pathophysiological feature of the development of T2DM, recent studies have revealed that a deficit of functional beta-cell mass is an essential factor for the pathophysiology of T2DM. Pancreatic fat contents increase with obesity and are suggested to cause beta-cell dysfunction. Since the beta-cell dysfunction induced by obesity or progressive decline with disease duration results in a worsening glycemic control, and treatment failure, preserving beta-cell mass is an important treatment strategy for T2DM. In this mini-review, we summarize the current knowledge on beta-cell mass, beta-cell function, and pancreas fat in obesity and T2DM, and we discuss treatment strategies for T2DM in relation to beta-cell preservation.","container-title":"Nutrients","DOI":"10.3390/nu12123846","ISSN":"2072-6643","issue":"12","journalAbbreviation":"Nutrients","note":"PMID: 33339276\nPMCID: PMC7766247","page":"3846","source":"PubMed Central","title":"Beta-Cell Mass in Obesity and Type 2 Diabetes, and Its Relation to Pancreas Fat: A Mini-Review","title-short":"Beta-Cell Mass in Obesity and Type 2 Diabetes, and Its Relation to Pancreas Fat","volume":"12","author":[{"family":"Inaishi","given":"Jun"},{"family":"Saisho","given":"Yoshifumi"}],"issued":{"date-parts":[["2020",12,16]]}}},{"id":3705,"uris":["http://zotero.org/users/9622455/items/URS988JH"],"itemData":{"id":3705,"type":"article-journal","abstract":"The prevalence of obesity and diabetes mellitus (DM) has been consistently increasing worldwide. Sharing powerful genetic and environmental features in their pathogenesis, obesity amplifies the impact of genetic susceptibility and environmental factors on DM. The ectopic expansion of adipose tissue and excessive accumulation of certain nutrients and metabolites sabotage the metabolic balance via insulin resistance, dysfunctional autophagy, and microbiome-gut-brain axis, further exacerbating the dysregulation of immunometabolism through low-grade systemic inflammation, leading to an accelerated loss of functional β-cells and gradual elevation of blood glucose. Given these intricate connections, most available treatments of obesity and type 2 DM (T2DM) have a mutual effect on each other. For example, anti-obesity drugs can be anti-diabetic to some extent, and some anti-diabetic medicines, in contrast, have been shown to increase body weight, such as insulin. Meanwhile, surgical procedures, especially bariatric surgery, are more effective for both obesity and T2DM. Besides guaranteeing the availability and accessibility of all the available diagnostic and therapeutic tools, more clinical and experimental investigations on the pathogenesis of these two diseases are warranted to improve the efficacy and safety of the available and newly developed treatments.","container-title":"Frontiers in Endocrinology","DOI":"10.3389/fendo.2023.1161521","ISSN":"1664-2392","journalAbbreviation":"Front Endocrinol (Lausanne)","note":"PMID: 37152942\nPMCID: PMC10161731","page":"1161521","source":"PubMed Central","title":"Obesity and type 2 diabetes mellitus: connections in epidemiology, pathogenesis, and treatments","title-short":"Obesity and type 2 diabetes mellitus","volume":"14","author":[{"family":"Ruze","given":"Rexiati"},{"family":"Liu","given":"Tiantong"},{"family":"Zou","given":"Xi"},{"family":"Song","given":"Jianlu"},{"family":"Chen","given":"Yuan"},{"family":"Xu","given":"Ruiyuan"},{"family":"Yin","given":"Xinpeng"},{"family":"Xu","given":"Qiang"}],"issued":{"date-parts":[["2023",4,21]]}}}],"schema":"https://github.com/citation-style-language/schema/raw/master/csl-citation.json"} </w:instrText>
      </w:r>
      <w:r w:rsidRPr="00735FCE">
        <w:rPr>
          <w:color w:val="000000" w:themeColor="text1"/>
        </w:rPr>
        <w:fldChar w:fldCharType="separate"/>
      </w:r>
      <w:r w:rsidR="00281437" w:rsidRPr="00281437">
        <w:rPr>
          <w:color w:val="000000"/>
          <w:vertAlign w:val="superscript"/>
        </w:rPr>
        <w:t>92,93</w:t>
      </w:r>
      <w:r w:rsidRPr="00735FCE">
        <w:rPr>
          <w:color w:val="000000" w:themeColor="text1"/>
        </w:rPr>
        <w:fldChar w:fldCharType="end"/>
      </w:r>
      <w:r w:rsidRPr="00735FCE">
        <w:rPr>
          <w:color w:val="000000" w:themeColor="text1"/>
        </w:rPr>
        <w:t xml:space="preserve">. The chronic, low-grade inflammation resulting from obesity due to the excessive deposition of fat as adipose tissue is characterized by the secretion of </w:t>
      </w:r>
      <w:r>
        <w:rPr>
          <w:color w:val="000000" w:themeColor="text1"/>
        </w:rPr>
        <w:t>pro-inflammatory</w:t>
      </w:r>
      <w:r w:rsidRPr="00735FCE">
        <w:rPr>
          <w:color w:val="000000" w:themeColor="text1"/>
        </w:rPr>
        <w:t xml:space="preserve"> cytokines such as tumor necrosis </w:t>
      </w:r>
      <w:r>
        <w:rPr>
          <w:color w:val="000000" w:themeColor="text1"/>
        </w:rPr>
        <w:t>factor-alpha</w:t>
      </w:r>
      <w:r w:rsidRPr="00735FCE">
        <w:rPr>
          <w:color w:val="000000" w:themeColor="text1"/>
        </w:rPr>
        <w:t xml:space="preserve"> (TNF</w:t>
      </w:r>
      <w:r>
        <w:rPr>
          <w:color w:val="000000" w:themeColor="text1"/>
        </w:rPr>
        <w:t>-</w:t>
      </w:r>
      <w:r w:rsidRPr="00735FCE">
        <w:rPr>
          <w:color w:val="000000" w:themeColor="text1"/>
        </w:rPr>
        <w:t>α), interleukin 1 beta (IL</w:t>
      </w:r>
      <w:r>
        <w:rPr>
          <w:color w:val="000000" w:themeColor="text1"/>
        </w:rPr>
        <w:t>-</w:t>
      </w:r>
      <w:r w:rsidRPr="00735FCE">
        <w:rPr>
          <w:color w:val="000000" w:themeColor="text1"/>
        </w:rPr>
        <w:t>1β), monocyte chemoattractant protein</w:t>
      </w:r>
      <w:r>
        <w:rPr>
          <w:color w:val="000000" w:themeColor="text1"/>
        </w:rPr>
        <w:t xml:space="preserve"> 1</w:t>
      </w:r>
      <w:r w:rsidRPr="00735FCE">
        <w:rPr>
          <w:color w:val="000000" w:themeColor="text1"/>
        </w:rPr>
        <w:t xml:space="preserve"> (MCP-1), and IL-6 by adipocytes and macrophages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{"citationID":"1VpCQwd2","properties":{"formattedCitation":"\\super 94,95\\nosupersub{}","plainCitation":"94,95","noteIndex":0},"citationItems":[{"id":3716,"uris":["http://zotero.org/users/9622455/items/RI3BKR98"],"itemData":{"id":3716,"type":"article-journal","abstract":"CTRP1, a member of the CTRP superfamily, consists of an N-terminal signal peptide sequence followed by a variable region, a collagen repeat domain, and a C-terminal globular domain. CTRP1 is expressed at high levels in adipose tissues of LPS-stimulated Sprague-Dawley rats. The LPS-induced increase in CTRP1 gene expression was found to be mediated by TNF-α and IL-1β. Also, a high level of expression of CTRP1 mRNA was observed in adipose tissues of Zucker diabetic fatty (fa/fa) rats, compared to Sprague-Dawley rats in the absence of LPS stimulation. These findings indicate that CTRP1 expression may be associated with a low-grade chronic inflammation status in adipose tissues.","container-title":"FEBS Letters","DOI":"10.1016/j.febslet.2006.06.034","ISSN":"1873-3468","issue":"16","language":"en","license":"FEBS Letters 580 (2006) 1873-3468 © 2015 Federation of European Biochemical Societies","note":"_eprint: https://febs.onlinelibrary.wiley.com/doi/pdf/10.1016/j.febslet.2006.06.034","page":"3953-3960","source":"Wiley Online Library","title":"Tumor necrosis factor-α and interleukin-1β increases CTRP1 expression in adipose tissue","volume":"580","author":[{"family":"Kim","given":"Kun-yong"},{"family":"Kim","given":"Hwa Young"},{"family":"Kim","given":"Jae Hyeong"},{"family":"Lee","given":"Chul-Ho"},{"family":"Kim","given":"Do-Hyung"},{"family":"Lee","given":"Young Ho"},{"family":"Han","given":"Seung Hyun"},{"family":"Lim","given":"Jong-Seok"},{"family":"Cho","given":"Dae Ho"},{"family":"Lee","given":"Myeong-Sok"},{"family":"Yoon","given":"Sukjoon"},{"family":"Kim","given":"Keun Il"},{"family":"Yoon","given":"Do-Young"},{"family":"Yang","given":"Young"}],"issued":{"date-parts":[["2006"]]}}},{"id":2796,"uris":["http://zotero.org/users/9622455/items/DU4N97NE"],"itemData":{"id":2796,"type":"article-journal","abstract":"Obesity is a state of low-grade chronic inflammation that causes multiple metabolic diseases. During obesity, signalling via cytokines of the TNF family mediate cell death and inflammation within the adipose tissue, eventually resulting in lipid spill-over, glucotoxicity and insulin resistance. These events ultimately lead to ectopic lipid deposition, glucose intolerance and other metabolic complications with life-threatening consequences. Here we review the literature on how inflammatory responses affect metabolic processes such as energy homeostasis and insulin signalling. This review mainly focuses on the role of cell death in the adipose tissue as a key player in metabolic inflammation.","container-title":"Cell Death &amp; Differentiation","DOI":"10.1038/s41418-022-01062-4","ISSN":"1476-5403","issue":"2","journalAbbreviation":"Cell Death Differ","language":"en","license":"2022 The Author(s)","note":"publisher: Nature Publishing Group","page":"279-292","source":"www.nature.com","title":"Cell death and inflammation during obesity: “Know my methods, WAT(son)”","title-short":"Cell death and inflammation during obesity","volume":"30","author":[{"family":"Hildebrandt","given":"Ximena"},{"family":"Ibrahim","given":"Mohamed"},{"family":"Peltzer","given":"Nieves"}],"issued":{"date-parts":[["2023",2]]}}}],"schema":"https://github.com/citation-style-language/schema/raw/master/csl-citation.json"} </w:instrText>
      </w:r>
      <w:r w:rsidRPr="00735FCE">
        <w:rPr>
          <w:color w:val="000000" w:themeColor="text1"/>
        </w:rPr>
        <w:fldChar w:fldCharType="separate"/>
      </w:r>
      <w:r w:rsidR="00281437" w:rsidRPr="00281437">
        <w:rPr>
          <w:color w:val="000000"/>
          <w:vertAlign w:val="superscript"/>
        </w:rPr>
        <w:t>94,95</w:t>
      </w:r>
      <w:r w:rsidRPr="00735FCE">
        <w:rPr>
          <w:color w:val="000000" w:themeColor="text1"/>
        </w:rPr>
        <w:fldChar w:fldCharType="end"/>
      </w:r>
      <w:r w:rsidRPr="00735FCE">
        <w:rPr>
          <w:color w:val="000000" w:themeColor="text1"/>
        </w:rPr>
        <w:t>. The activation of these cytokines triggers inflammatory signaling pathways such as c-Jun N-terminal kinase (JNK)</w:t>
      </w:r>
      <w:r>
        <w:rPr>
          <w:color w:val="000000" w:themeColor="text1"/>
        </w:rPr>
        <w:t>,</w:t>
      </w:r>
      <w:r w:rsidRPr="00735FCE">
        <w:rPr>
          <w:color w:val="000000" w:themeColor="text1"/>
        </w:rPr>
        <w:t xml:space="preserve"> which disrupts insulin signaling </w:t>
      </w:r>
      <w:r>
        <w:rPr>
          <w:color w:val="000000" w:themeColor="text1"/>
        </w:rPr>
        <w:t>by</w:t>
      </w:r>
      <w:r w:rsidRPr="00735FCE">
        <w:rPr>
          <w:color w:val="000000" w:themeColor="text1"/>
        </w:rPr>
        <w:t xml:space="preserve"> serine phosphorylation of insulin receptor substrates (IRS1 and IRS2) and inhibits </w:t>
      </w:r>
      <w:r>
        <w:rPr>
          <w:color w:val="000000" w:themeColor="text1"/>
        </w:rPr>
        <w:t>insulin-driven</w:t>
      </w:r>
      <w:r w:rsidRPr="00735FCE">
        <w:rPr>
          <w:color w:val="000000" w:themeColor="text1"/>
        </w:rPr>
        <w:t xml:space="preserve"> glucose </w:t>
      </w:r>
      <w:r>
        <w:rPr>
          <w:color w:val="000000" w:themeColor="text1"/>
        </w:rPr>
        <w:t>uptake</w:t>
      </w:r>
      <w:r w:rsidRPr="00735FCE">
        <w:rPr>
          <w:color w:val="000000" w:themeColor="text1"/>
        </w:rPr>
        <w:t xml:space="preserve"> in peripheral tissues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{"citationID":"oUNUotDV","properties":{"formattedCitation":"\\super 96,97\\nosupersub{}","plainCitation":"96,97","noteIndex":0},"citationItems":[{"id":3725,"uris":["http://zotero.org/users/9622455/items/GQUMRNHA"],"itemData":{"id":3725,"type":"article-journal","abstract":"&lt;p&gt;Serine phosphorylation of insulin receptor substrate-1 (IRS-1) inhibits insulin signal transduction in a variety of cell backgrounds, which might contribute to peripheral insulin resistance. However, because of the large number of potential phosphorylation sites, the mechanism of inhibition has been difficult to determine. One serine residue located near the phosphotyrosine-binding (PTB) domain in IRS-1 (Ser&lt;sup&gt;307&lt;/sup&gt;in rat IRS-1 or Ser&lt;sup&gt;312&lt;/sup&gt; in human IRS-1) is phosphorylated via several mechanisms, including insulin-stimulated kinases or stress-activated kinases like JNK1. During a yeast tri-hybrid assay, phosphorylation of Ser&lt;sup&gt;307&lt;/sup&gt; by JNK1 disrupted the interaction between the catalytic domain of the insulin receptor and the PTB domain of IRS-1. In 32D myeloid progenitor cells, phosphorylation of Ser&lt;sup&gt;307&lt;/sup&gt; inhibited insulin stimulation of the phosphatidylinositol 3-kinase and MAPK cascades. These results suggest that inhibition of PTB domain function in IRS-1 by phosphorylation of Ser&lt;sup&gt;307&lt;/sup&gt; (Ser&lt;sup&gt;312&lt;/sup&gt; in human IRS-1) might be a general mechanism to regulate insulin signaling.&lt;/p&gt;","container-title":"Journal of Biological Chemistry","DOI":"10.1074/jbc.M101521200","ISSN":"0021-9258, 1083-351X","issue":"2","journalAbbreviation":"Journal of Biological Chemistry","language":"English","note":"publisher: Elsevier","page":"1531-1537","source":"www.jbc.org","title":"Phosphorylation of Ser307 in Insulin Receptor Substrate-1 Blocks Interactions with the Insulin Receptor and Inhibits Insulin Action *","volume":"277","author":[{"family":"Aguirre","given":"Vincent"},{"family":"Werner","given":"Eric D."},{"family":"Giraud","given":"Jodel"},{"family":"Lee","given":"Yong Hee"},{"family":"Shoelson","given":"Steve E."},{"family":"White","given":"Morris F."}],"issued":{"date-parts":[["2002",1,11]]}}},{"id":3722,"uris":["http://zotero.org/users/9622455/items/TNC5I9SM"],"itemData":{"id":3722,"type":"article-journal","abstract":"&lt;p&gt;Activation of the c-Jun N-terminal kinase (JNK) by proinflammatory cytokines inhibits insulin signaling, at least in part, by stimulating phosphorylation of rat/mouse insulin receptor substrate 1 (Irs1) at Ser&lt;sup&gt;307&lt;/sup&gt;(Ser&lt;sup&gt;312&lt;/sup&gt; in human IRS1). Here we show that JNK mediated feedback inhibition of the insulin signal in mouse embryo fibroblasts, 3T3-L1 adipocytes, and 32D&lt;sup&gt;IR&lt;/sup&gt; cells. Insulin stimulation of JNK activity required phosphatidylinositol 3-kinase and Grb2 signaling. Moreover, activation of JNK by insulin was inhibited by a cell-permeable peptide that disrupted the interaction of JNK with cellular proteins. However, the direct binding of JNK to Irs1 was not required for its activation by insulin, whereas direct binding was required for Ser&lt;sup&gt;307&lt;/sup&gt; phosphorylation of Irs1. Insulin-stimulated Ser&lt;sup&gt;307&lt;/sup&gt; phosphorylation was reduced 80% in cells lacking JNK1 and JNK2 or in cells expressing a mutant Irs1 protein lacking the JNK binding site. Reduced Ser&lt;sup&gt;307&lt;/sup&gt;phosphorylation was directly related to increased insulin-stimulated tyrosine phosphorylation, Akt phosphorylation, and glucose uptake. These results support the hypothesis that JNK is a negative feedback regulator of insulin action by phosphorylating Ser&lt;sup&gt;307&lt;/sup&gt; in Irs1.&lt;/p&gt;","container-title":"Journal of Biological Chemistry","DOI":"10.1074/jbc.M208359200","ISSN":"0021-9258, 1083-351X","issue":"5","journalAbbreviation":"Journal of Biological Chemistry","language":"English","note":"publisher: Elsevier\nPMID: 12417588","page":"2896-2902","source":"www.jbc.org","title":"c-Jun N-terminal Kinase (JNK) Mediates Feedback Inhibition of the Insulin Signaling Cascade *","volume":"278","author":[{"family":"Lee","given":"Yong Hee"},{"family":"Giraud","given":"Jodel"},{"family":"Davis","given":"Roger J."},{"family":"White","given":"Morris F."}],"issued":{"date-parts":[["2003",1,31]]}}}],"schema":"https://github.com/citation-style-language/schema/raw/master/csl-citation.json"} </w:instrText>
      </w:r>
      <w:r w:rsidRPr="00735FCE">
        <w:rPr>
          <w:color w:val="000000" w:themeColor="text1"/>
        </w:rPr>
        <w:fldChar w:fldCharType="separate"/>
      </w:r>
      <w:r w:rsidR="00281437" w:rsidRPr="00281437">
        <w:rPr>
          <w:color w:val="000000"/>
          <w:vertAlign w:val="superscript"/>
        </w:rPr>
        <w:t>96,97</w:t>
      </w:r>
      <w:r w:rsidRPr="00735FCE">
        <w:rPr>
          <w:color w:val="000000" w:themeColor="text1"/>
        </w:rPr>
        <w:fldChar w:fldCharType="end"/>
      </w:r>
      <w:r w:rsidRPr="00735FCE">
        <w:rPr>
          <w:color w:val="000000" w:themeColor="text1"/>
        </w:rPr>
        <w:t>. Additionally, the expression of suppressor of cytokine signaling (SOCS) proteins is upregulated in obesity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{"citationID":"JQZbmBEj","properties":{"formattedCitation":"\\super 98\\nosupersub{}","plainCitation":"98","noteIndex":0},"citationItems":[{"id":3727,"uris":["http://zotero.org/users/9622455/items/H7G5QE7B"],"itemData":{"id":3727,"type":"article-journal","abstract":"&lt;p&gt;SOCS (suppressor of cytokine signaling) proteins are inhibitors of cytokine signaling involved in negative feedback loops. We have recently shown that insulin increases SOCS-3 mRNA expression in 3T3-L1 adipocytes. When expressed, SOCS-3 binds to phosphorylated Tyr&lt;sup&gt;960&lt;/sup&gt; of the insulin receptor and prevents Stat 5B activation by insulin. Here we show that in COS-7 cells SOCS-3 decreases insulin-induced insulin receptor substrate 1 (IRS-1) tyrosine phosphorylation and its association with p85, a regulatory subunit of phosphatidylinositol-3 kinase. This mechanism points to a function of SOCS-3 in insulin resistance. Interestingly, SOCS-3 expression was found to be increased in the adipose tissue of obese mice, but not in the liver and muscle of these animals. Two polypeptides known to be elevated during obesity, insulin and tumor necrosis factor-α (TNF-α), induce SOCS-3 mRNA expression in mice. Insulin induces a transient expression of SOCS-3 in the liver, muscle, and the white adipose tissue (WAT). Strikingly, TNF-α induced a sustained SOCS-3 expression, essentially in the WAT. Moreover, transgenic ob/ob mice lacking both TNF receptors have a pronounced decrease in SOCS-3 expression in the WAT compared with ob/ob mice, providing genetic evidence for a function of this cytokine in obesity-induced SOCS-3 expression. As SOCS-3 appears as a TNF-α target gene that is elevated during obesity, and as SOCS-3 antagonizes insulin-induced IRS-1 tyrosine phosphorylation, we suggest that it is a player in the development of insulin resistance.&lt;/p&gt;","container-title":"Journal of Biological Chemistry","DOI":"10.1074/jbc.M104602200","ISSN":"0021-9258, 1083-351X","issue":"51","journalAbbreviation":"Journal of Biological Chemistry","language":"English","note":"publisher: Elsevier","page":"47944-47949","source":"www.jbc.org","title":"SOCS-3 Inhibits Insulin Signaling and Is Up-regulated in Response to Tumor Necrosis Factor-α in the Adipose Tissue of Obese Mice *","volume":"276","author":[{"family":"Emanuelli","given":"Brice"},{"family":"Peraldi","given":"Pascal"},{"family":"Filloux","given":"Chantal"},{"family":"Chavey","given":"Carine"},{"family":"Freidinger","given":"Kathryn"},{"family":"Hilton","given":"Douglas J."},{"family":"Hotamisligil","given":"Gökhan S."},{"family":"Obberghen","given":"Emmanuel Van"}],"issued":{"date-parts":[["2001",12,21]]}}}],"schema":"https://github.com/citation-style-language/schema/raw/master/csl-citation.json"} </w:instrText>
      </w:r>
      <w:r w:rsidRPr="00735FCE">
        <w:rPr>
          <w:color w:val="000000" w:themeColor="text1"/>
        </w:rPr>
        <w:fldChar w:fldCharType="separate"/>
      </w:r>
      <w:r w:rsidR="00281437" w:rsidRPr="00281437">
        <w:rPr>
          <w:color w:val="000000"/>
          <w:vertAlign w:val="superscript"/>
        </w:rPr>
        <w:t>98</w:t>
      </w:r>
      <w:r w:rsidRPr="00735FCE">
        <w:rPr>
          <w:color w:val="000000" w:themeColor="text1"/>
        </w:rPr>
        <w:fldChar w:fldCharType="end"/>
      </w:r>
      <w:r w:rsidRPr="00735FCE">
        <w:rPr>
          <w:color w:val="000000" w:themeColor="text1"/>
        </w:rPr>
        <w:t>. SOCS proteins would further inhibit insulin signaling by binding directly to IRS1 and IRS2</w:t>
      </w:r>
      <w:r>
        <w:rPr>
          <w:color w:val="000000" w:themeColor="text1"/>
        </w:rPr>
        <w:t>, leading to their</w:t>
      </w:r>
      <w:r w:rsidRPr="00735FCE">
        <w:rPr>
          <w:color w:val="000000" w:themeColor="text1"/>
        </w:rPr>
        <w:t xml:space="preserve"> degradation and preventing the tyrosine phosphorylation of these two proteins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{"citationID":"wfEzUOca","properties":{"formattedCitation":"\\super 98,99\\nosupersub{}","plainCitation":"98,99","noteIndex":0},"citationItems":[{"id":3727,"uris":["http://zotero.org/users/9622455/items/H7G5QE7B"],"itemData":{"id":3727,"type":"article-journal","abstract":"&lt;p&gt;SOCS (suppressor of cytokine signaling) proteins are inhibitors of cytokine signaling involved in negative feedback loops. We have recently shown that insulin increases SOCS-3 mRNA expression in 3T3-L1 adipocytes. When expressed, SOCS-3 binds to phosphorylated Tyr&lt;sup&gt;960&lt;/sup&gt; of the insulin receptor and prevents Stat 5B activation by insulin. Here we show that in COS-7 cells SOCS-3 decreases insulin-induced insulin receptor substrate 1 (IRS-1) tyrosine phosphorylation and its association with p85, a regulatory subunit of phosphatidylinositol-3 kinase. This mechanism points to a function of SOCS-3 in insulin resistance. Interestingly, SOCS-3 expression was found to be increased in the adipose tissue of obese mice, but not in the liver and muscle of these animals. Two polypeptides known to be elevated during obesity, insulin and tumor necrosis factor-α (TNF-α), induce SOCS-3 mRNA expression in mice. Insulin induces a transient expression of SOCS-3 in the liver, muscle, and the white adipose tissue (WAT). Strikingly, TNF-α induced a sustained SOCS-3 expression, essentially in the WAT. Moreover, transgenic ob/ob mice lacking both TNF receptors have a pronounced decrease in SOCS-3 expression in the WAT compared with ob/ob mice, providing genetic evidence for a function of this cytokine in obesity-induced SOCS-3 expression. As SOCS-3 appears as a TNF-α target gene that is elevated during obesity, and as SOCS-3 antagonizes insulin-induced IRS-1 tyrosine phosphorylation, we suggest that it is a player in the development of insulin resistance.&lt;/p&gt;","container-title":"Journal of Biological Chemistry","DOI":"10.1074/jbc.M104602200","ISSN":"0021-9258, 1083-351X","issue":"51","journalAbbreviation":"Journal of Biological Chemistry","language":"English","note":"publisher: Elsevier","page":"47944-47949","source":"www.jbc.org","title":"SOCS-3 Inhibits Insulin Signaling and Is Up-regulated in Response to Tumor Necrosis Factor-α in the Adipose Tissue of Obese Mice *","volume":"276","author":[{"family":"Emanuelli","given":"Brice"},{"family":"Peraldi","given":"Pascal"},{"family":"Filloux","given":"Chantal"},{"family":"Chavey","given":"Carine"},{"family":"Freidinger","given":"Kathryn"},{"family":"Hilton","given":"Douglas J."},{"family":"Hotamisligil","given":"Gökhan S."},{"family":"Obberghen","given":"Emmanuel Van"}],"issued":{"date-parts":[["2001",12,21]]}}},{"id":3732,"uris":["http://zotero.org/users/9622455/items/PW57QIT2"],"itemData":{"id":3732,"type":"article-journal","abstract":"Insulin resistance is a pathophysiological component of type 2 diabetes and obesity and also occurs in states of stress, infection, and inflammation associated with an upregulation of cytokines. Here we show that in both obesity and lipopolysaccharide (LPS)-induced endotoxemia there is an increase in suppressor of cytokine signaling (SOCS) proteins, SOCS-1 and SOCS-3, in liver, muscle, and, to a lesser extent, fat. In concordance with these increases by LPS, tyrosine phosphorylation of the insulin receptor (IR) is partially impaired and phosphorylation of the insulin receptor substrate (IRS) proteins is almost completely suppressed. Direct overexpression of SOCS-3 in liver by adenoviral-mediated gene transfer markedly decreases tyrosine phosphorylation of both IRS-1 and IRS-2, while SOCS-1 overexpression preferentially inhibits IRS-2 phosphorylation. Neither affects IR phosphorylation, although both SOCS-1 and SOCS-3 bind to the insulin receptor in vivo in an insulin-dependent fashion. Experiments with cultured cells expressing mutant insulin receptors reveal that SOCS-3 binds to Tyr960 of IR, a key residue for the recognition of IRS-1 and IRS-2, whereas SOCS-1 binds to the domain in the catalytic loop essential for IRS-2 recognition in vitro. Moreover, overexpression of either SOCS-1 or SOCS-3 attenuates insulin-induced glycogen synthesis in L6 myotubes and activation of glucose uptake in 3T3L1 adipocytes. By contrast, a reduction of SOCS-1 or SOCS-3 by antisense treatment partially restores tumor necrosis factor alpha-induced downregulation of tyrosine phosphorylation of IRS proteins in 3T3L1 adipocytes. These data indicate that SOCS-1 and SOCS-3 act as negative regulators in insulin signaling and serve as one of the missing links between insulin resistance and cytokine signaling.","container-title":"Molecular and Cellular Biology","DOI":"10.1128/MCB.24.12.5434-5446.2004","ISSN":"null","issue":"12","note":"publisher: Taylor &amp; Francis\n_eprint: https://doi.org/10.1128/MCB.24.12.5434-5446.2004\nPMID: 15169905","page":"5434-5446","source":"Taylor and Francis+NEJM","title":"Suppressor of Cytokine Signaling 1 (SOCS-1) and SOCS-3 Cause Insulin Resistance through Inhibition of Tyrosine Phosphorylation of Insulin Receptor Substrate Proteins by Discrete Mechanisms","volume":"24","author":[{"family":"Ueki","given":"Kohjiro"},{"family":"","given":"Kondo ,Tatsuya"},{"family":"Kahn","given":"C. Ronald","non-dropping-particle":"and"}],"issued":{"date-parts":[["2004",6,1]]}}}],"schema":"https://github.com/citation-style-language/schema/raw/master/csl-citation.json"} </w:instrText>
      </w:r>
      <w:r w:rsidRPr="00735FCE">
        <w:rPr>
          <w:color w:val="000000" w:themeColor="text1"/>
        </w:rPr>
        <w:fldChar w:fldCharType="separate"/>
      </w:r>
      <w:r w:rsidR="00281437" w:rsidRPr="00281437">
        <w:rPr>
          <w:color w:val="000000"/>
          <w:vertAlign w:val="superscript"/>
        </w:rPr>
        <w:t>98,99</w:t>
      </w:r>
      <w:r w:rsidRPr="00735FCE">
        <w:rPr>
          <w:color w:val="000000" w:themeColor="text1"/>
        </w:rPr>
        <w:fldChar w:fldCharType="end"/>
      </w:r>
      <w:r w:rsidRPr="00735FCE">
        <w:rPr>
          <w:color w:val="000000" w:themeColor="text1"/>
        </w:rPr>
        <w:t xml:space="preserve">. Moreover, adipose tissue dysfunction also contributes to the disturbed lipid balance by significantly increasing lipolysis and </w:t>
      </w:r>
      <w:r>
        <w:rPr>
          <w:color w:val="000000" w:themeColor="text1"/>
        </w:rPr>
        <w:t xml:space="preserve">the release of </w:t>
      </w:r>
      <w:r w:rsidRPr="00735FCE">
        <w:rPr>
          <w:color w:val="000000" w:themeColor="text1"/>
        </w:rPr>
        <w:t>free fatty acids</w:t>
      </w:r>
      <w:r>
        <w:rPr>
          <w:color w:val="000000" w:themeColor="text1"/>
        </w:rPr>
        <w:t>, which</w:t>
      </w:r>
      <w:r w:rsidRPr="00735FCE">
        <w:rPr>
          <w:color w:val="000000" w:themeColor="text1"/>
        </w:rPr>
        <w:t xml:space="preserve"> promote</w:t>
      </w:r>
      <w:r>
        <w:rPr>
          <w:color w:val="000000" w:themeColor="text1"/>
        </w:rPr>
        <w:t>s</w:t>
      </w:r>
      <w:r w:rsidRPr="00735FCE">
        <w:rPr>
          <w:color w:val="000000" w:themeColor="text1"/>
        </w:rPr>
        <w:t xml:space="preserve"> ectopic fat deposition in the liver and muscle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{"citationID":"ypoHRztm","properties":{"formattedCitation":"\\super 100,101\\nosupersub{}","plainCitation":"100,101","noteIndex":0},"citationItems":[{"id":3737,"uris":["http://zotero.org/users/9622455/items/YKGIQ8HT"],"itemData":{"id":3737,"type":"article-journal","abstract":"Obesity significantly increases the risk of developing type 2 diabetes, hypertension, coronary heart disease, stroke, fatty liver disease, dementia, obstructive sleep apnea and several types of cancer. Adipocyte and adipose tissue dysfunction represent primary defects in obesity and may link obesity to metabolic and cardiovascular diseases. Adipose tissue (AT) dysfunction manifests by a proinflammatory adipokine secretion pattern that mediate auto/paracrine and endocrine communication and by inflammatory cell infiltration, particularly in intra-abdominal fat. Impaired AT function is caused by the interaction of genetic, behavioral and environmental factors which lead to adipocyte hypertrophy, ectopic fat accumulation, hypoxia, AT stresses, impaired AT mitochondrial function and inflammatory processes within adipose tissue. Recently, increased autophagy has been linked to obesity and AT dysfunction and may represent a mechanism to compensate for AT stresses. A better understanding of mechanisms causing or maintaining AT dysfunction may provide new therapeutic strategies in the treatment of obesity-induced metabolic diseases.","collection-title":"Complications of Obesity","container-title":"Best Practice &amp; Research Clinical Endocrinology &amp; Metabolism","DOI":"10.1016/j.beem.2013.02.005","ISSN":"1521-690X","issue":"2","journalAbbreviation":"Best Practice &amp; Research Clinical Endocrinology &amp; Metabolism","page":"163-177","source":"ScienceDirect","title":"Adipose tissue dysfunction contributes to obesity related metabolic diseases","volume":"27","author":[{"family":"Blüher","given":"Matthias"}],"issued":{"date-parts":[["2013",4,1]]}}},{"id":3734,"uris":["http://zotero.org/users/9622455/items/WYKIHAE4"],"itemData":{"id":3734,"type":"chapter","abstract":"Severe obesity represents a major risk factor for the development of type 2 diabetes mellitus (T2DM). Due to the strong association of obesity and diabetes, the term “diabesity” was coined, suggesting a causal pathophysiological link between both phenomena. The majority of individuals with T2DM are obese, highlighting the pivotal role of increased adiposity as a risk factor for diabetes. However, only a relatively small fraction of obese individuals will develop T2DM. On a population level, the link between obesity and its secondary complications is well described. However, the molecular mechanisms underlying these complications are still poorly understood. Three main hypotheses have been developed in recent years to bridge the gap between epidemiology and pathobiochemistry: (1) The “inflammation hypothesis” asserts that obesity represents a state of chronic inflammation where inflammatory molecules produced by infiltrating macrophages in adipose tissue exert pathological changes in insulin-sensitive tissues and β-cells. (2) The “lipid overflow hypothesis” predicts that obesity may result in increased ectopic lipid stores due to the limited capacity of adipose tissue to properly store fat in obese subjects. Potentially harmful lipid components and metabolites may exert cytotoxic effects on peripheral cells. (3) The “adipokine hypothesis” refers to the principal feature of white adipose cells to function as an endocrine organ, and to secrete a variety of hormones with auto- and paracrine function. Expanding fat stores can cause dysfunctional secretion of such endocrine factors, thereby resulting in metabolic impairment of insulin target tissues and eventually failure of insulin producing β-cells. For complete coverage of all related areas of Endocrinology, please visit our on-line FREE web-text, WWW.ENDOTEXT.ORG.","call-number":"NBK279051","container-title":"Endotext","event-place":"South Dartmouth (MA)","language":"eng","license":"Copyright © 2000-2025, MDText.com, Inc.","note":"PMID: 25905279","publisher":"MDText.com, Inc.","publisher-place":"South Dartmouth (MA)","source":"PubMed","title":"Molecular links between Obesity and Diabetes: “Diabesity”","title-short":"Molecular links between Obesity and Diabetes","URL":"http://www.ncbi.nlm.nih.gov/books/NBK279051/","author":[{"family":"Chadt","given":"Alexandra"},{"family":"Scherneck","given":"Stephan"},{"family":"Joost","given":"Hans-Georg"},{"family":"Al-Hasani","given":"Hadi"}],"editor":[{"family":"Feingold","given":"Kenneth R."},{"family":"Ahmed","given":"S. Faisal"},{"family":"Anawalt","given":"Bradley"},{"family":"Blackman","given":"Marc R."},{"family":"Boyce","given":"Alison"},{"family":"Chrousos","given":"George"},{"family":"Corpas","given":"Emiliano"},{"family":"Herder","given":"Wouter W.","non-dropping-particle":"de"},{"family":"Dhatariya","given":"Ketan"},{"family":"Dungan","given":"Kathleen"},{"family":"Hofland","given":"Johannes"},{"family":"Kalra","given":"Sanjay"},{"family":"Kaltsas","given":"Gregory"},{"family":"Kapoor","given":"Nitin"},{"family":"Koch","given":"Christian"},{"family":"Kopp","given":"Peter"},{"family":"Korbonits","given":"Márta"},{"family":"Kovacs","given":"Christopher S."},{"family":"Kuohung","given":"Wendy"},{"family":"Laferrère","given":"Blandine"},{"family":"Levy","given":"Miles"},{"family":"McGee","given":"Elizabeth A."},{"family":"McLachlan","given":"Robert"},{"family":"Muzumdar","given":"Radhika"},{"family":"Purnell","given":"Jonathan"},{"family":"Rey","given":"Rodolfo"},{"family":"Sahay","given":"Rakesh"},{"family":"Shah","given":"Amy S."},{"family":"Singer","given":"Frederick"},{"family":"Sperling","given":"Mark A."},{"family":"Stratakis","given":"Constantine A."},{"family":"Trence","given":"Dace L."},{"family":"Wilson","given":"Don P."}],"accessed":{"date-parts":[["2025",6,11]]},"issued":{"date-parts":[["2000"]]}}}],"schema":"https://github.com/citation-style-language/schema/raw/master/csl-citation.json"} </w:instrText>
      </w:r>
      <w:r w:rsidRPr="00735FCE">
        <w:rPr>
          <w:color w:val="000000" w:themeColor="text1"/>
        </w:rPr>
        <w:fldChar w:fldCharType="separate"/>
      </w:r>
      <w:r w:rsidR="00281437" w:rsidRPr="00281437">
        <w:rPr>
          <w:color w:val="000000"/>
          <w:vertAlign w:val="superscript"/>
        </w:rPr>
        <w:t>100,101</w:t>
      </w:r>
      <w:r w:rsidRPr="00735FCE">
        <w:rPr>
          <w:color w:val="000000" w:themeColor="text1"/>
        </w:rPr>
        <w:fldChar w:fldCharType="end"/>
      </w:r>
      <w:r w:rsidRPr="00735FCE">
        <w:rPr>
          <w:color w:val="000000" w:themeColor="text1"/>
        </w:rPr>
        <w:t>.</w:t>
      </w:r>
    </w:p>
    <w:p w14:paraId="36C2669C" w14:textId="2756ABB3" w:rsidR="009117C0" w:rsidRPr="00735FCE" w:rsidRDefault="009117C0" w:rsidP="00B007DA">
      <w:pPr>
        <w:ind w:firstLine="720"/>
        <w:jc w:val="left"/>
        <w:rPr>
          <w:color w:val="000000" w:themeColor="text1"/>
        </w:rPr>
      </w:pPr>
      <w:r w:rsidRPr="00735FCE">
        <w:rPr>
          <w:color w:val="000000" w:themeColor="text1"/>
        </w:rPr>
        <w:lastRenderedPageBreak/>
        <w:t xml:space="preserve">Mitochondrial dysfunction and endoplasmic reticulum (ER) stress are also critical to the development of </w:t>
      </w:r>
      <w:r>
        <w:rPr>
          <w:color w:val="000000" w:themeColor="text1"/>
        </w:rPr>
        <w:t>obesity-related</w:t>
      </w:r>
      <w:r w:rsidRPr="00735FCE">
        <w:rPr>
          <w:color w:val="000000" w:themeColor="text1"/>
        </w:rPr>
        <w:t xml:space="preserve"> metabolic disorders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{"citationID":"sLBlsmT9","properties":{"formattedCitation":"\\super 102\\nosupersub{}","plainCitation":"102","noteIndex":0},"citationItems":[{"id":3739,"uris":["http://zotero.org/users/9622455/items/GKBVWM2J"],"itemData":{"id":3739,"type":"article-journal","abstract":"The Endoplasmic Reticulum (ER) is most notable for its central roles in calcium ion storage, lipid biosynthesis, and protein sorting and processing. By virtue of its extensive membrane contact sites that connect the ER to most other organelles and to the plasma membrane, the ER can also regulate diverse cellular processes including inflammatory and insulin signaling, nutrient metabolism, and cell proliferation and death via a signaling pathway called the unfolded protein response (UPR). Chronic UPR activation has been observed in liver and/or adipose tissue of dietary and genetic murine models of obesity, and in human obesity and non-alcoholic fatty liver disease (NAFLD). Activation of the UPR in obesity and obesity-related disorders likely has two origins. One linked to classic ER stress involving the ER lumen and one linked to alterations to the ER membrane environment. This review discusses both of these origins and also considers the role of post-translational protein modifications, such as acetylation and palmitoylation, and ER-mitochondrial interactions to obesity-mediated impairments in the ER and activation of the UPR.","container-title":"Metabolism: clinical and experimental","DOI":"10.1016/j.metabol.2016.05.002","ISSN":"0026-0495","issue":"9","journalAbbreviation":"Metabolism","note":"PMID: 27506731\nPMCID: PMC4980576","page":"1238-1246","source":"PubMed Central","title":"Endoplasmic Reticulum Stress in Obesity and Obesity-Related Disorders: An Expanded View","title-short":"Endoplasmic Reticulum Stress in Obesity and Obesity-Related Disorders","volume":"65","author":[{"family":"Pagliassotti","given":"M.J."},{"family":"Kim","given":"P. Y."},{"family":"Estrada","given":"A.L."},{"family":"Stewart","given":"C.M."},{"family":"Gentile","given":"C.L."}],"issued":{"date-parts":[["2016",9]]}}}],"schema":"https://github.com/citation-style-language/schema/raw/master/csl-citation.json"} </w:instrText>
      </w:r>
      <w:r w:rsidRPr="00735FCE">
        <w:rPr>
          <w:color w:val="000000" w:themeColor="text1"/>
        </w:rPr>
        <w:fldChar w:fldCharType="separate"/>
      </w:r>
      <w:r w:rsidR="00281437" w:rsidRPr="00281437">
        <w:rPr>
          <w:color w:val="000000"/>
          <w:vertAlign w:val="superscript"/>
        </w:rPr>
        <w:t>102</w:t>
      </w:r>
      <w:r w:rsidRPr="00735FCE">
        <w:rPr>
          <w:color w:val="000000" w:themeColor="text1"/>
        </w:rPr>
        <w:fldChar w:fldCharType="end"/>
      </w:r>
      <w:r w:rsidRPr="00735FCE">
        <w:rPr>
          <w:color w:val="000000" w:themeColor="text1"/>
        </w:rPr>
        <w:t>. In obesity, adipose tissue undergoes mitochondrial dysfunction, result</w:t>
      </w:r>
      <w:r>
        <w:rPr>
          <w:color w:val="000000" w:themeColor="text1"/>
        </w:rPr>
        <w:t>ing</w:t>
      </w:r>
      <w:r w:rsidRPr="00735FCE">
        <w:rPr>
          <w:color w:val="000000" w:themeColor="text1"/>
        </w:rPr>
        <w:t xml:space="preserve"> in a decline </w:t>
      </w:r>
      <w:r>
        <w:rPr>
          <w:color w:val="000000" w:themeColor="text1"/>
        </w:rPr>
        <w:t xml:space="preserve">in </w:t>
      </w:r>
      <w:r w:rsidRPr="00735FCE">
        <w:rPr>
          <w:color w:val="000000" w:themeColor="text1"/>
        </w:rPr>
        <w:t xml:space="preserve">oxidative phosphorylation and an increase in the generation of reactive oxygen species, </w:t>
      </w:r>
      <w:r>
        <w:rPr>
          <w:color w:val="000000" w:themeColor="text1"/>
        </w:rPr>
        <w:t xml:space="preserve">which </w:t>
      </w:r>
      <w:r w:rsidRPr="00735FCE">
        <w:rPr>
          <w:color w:val="000000" w:themeColor="text1"/>
        </w:rPr>
        <w:t>further induc</w:t>
      </w:r>
      <w:r>
        <w:rPr>
          <w:color w:val="000000" w:themeColor="text1"/>
        </w:rPr>
        <w:t>es</w:t>
      </w:r>
      <w:r w:rsidRPr="00735FCE">
        <w:rPr>
          <w:color w:val="000000" w:themeColor="text1"/>
        </w:rPr>
        <w:t xml:space="preserve"> oxidative stress and </w:t>
      </w:r>
      <w:r>
        <w:rPr>
          <w:color w:val="000000" w:themeColor="text1"/>
        </w:rPr>
        <w:t xml:space="preserve">disrupts the </w:t>
      </w:r>
      <w:r w:rsidRPr="00735FCE">
        <w:rPr>
          <w:color w:val="000000" w:themeColor="text1"/>
        </w:rPr>
        <w:t xml:space="preserve">insulin signaling pathway </w:t>
      </w:r>
      <w:r w:rsidRPr="00735FCE">
        <w:rPr>
          <w:color w:val="000000" w:themeColor="text1"/>
        </w:rPr>
        <w:fldChar w:fldCharType="begin"/>
      </w:r>
      <w:r w:rsidR="00281437">
        <w:rPr>
          <w:color w:val="000000" w:themeColor="text1"/>
        </w:rPr>
        <w:instrText xml:space="preserve"> ADDIN ZOTERO_ITEM CSL_CITATION {"citationID":"UwleKt6e","properties":{"formattedCitation":"\\super 103\\uc0\\u8211{}105\\nosupersub{}","plainCitation":"103–105","noteIndex":0},"citationItems":[{"id":3749,"uris":["http://zotero.org/users/9622455/items/T7CMWEVS"],"itemData":{"id":3749,"type":"article-journal","abstract":"Oxidative stress has been implicated as a contributor to both the onset and the progression of diabetes and its associated complications. Some of the consequences of an oxidative environment are the development of insulin resistance, β-cell dysfunction, impaired glucose tolerance, and mitochondrial dysfunction, which can lead ultimately to the diabetic disease state. Experimental and clinical data suggest an inverse association between insulin sensitivity and ROS levels. Oxidative stress can arise from a number of different sources, whether disease state or lifestyle change, including episodes of ketosis, sleep restriction, and excessive nutrient intake. Oxidative stress activates a series of stress pathways involving a family of serine/threonine kinases which in turn have a negative effect on insulin signaling. More experimental evidence is needed to pinpoint the mechanisms contributing to insulin resistance in both type 1 diabetics and non-diabetic individuals. Oxidative stress can be reduced by controlling hyperglycemia and calorie intake. Overall, this review outlines various mechanisms that lead to the development of oxidative stress. Intervention and therapy that alters or disrupts these mechanisms may serve to reduce the risk of insulin resistance and the development of diabetes.","container-title":"Free radical biology &amp; medicine","DOI":"10.1016/j.freeradbiomed.2010.12.006","ISSN":"0891-5849","issue":"5","journalAbbreviation":"Free Radic Biol Med","note":"PMID: 21163346\nPMCID: PMC3557825","page":"567-575","source":"PubMed Central","title":"OXIDATIVE STRESS, INSULIN SIGNALING AND DIABETES","volume":"50","author":[{"family":"Rains","given":"Justin L."},{"family":"Jain","given":"Sushil K."}],"issued":{"date-parts":[["2011",3,1]]}}},{"id":3745,"uris":["http://zotero.org/users/9622455/items/VA4W3KM4"],"itemData":{"id":3745,"type":"article-journal","abstract":"Mitochondrial dysfunction is a characteristic trait of human and rodent obesity, insulin resistance and fatty liver disease. Here we show that high-fat diet (HFD) feeding causes mitochondrial fragmentation in inguinal white adipocytes from male mice, leading to reduced oxidative capacity by a process dependent on the small GTPase RalA. RalA expression and activity are increased in white adipocytes after HFD. Targeted deletion of RalA in white adipocytes prevents fragmentation of mitochondria and diminishes HFD-induced weight gain by increasing fatty acid oxidation. Mechanistically, RalA increases fission in adipocytes by reversing the inhibitory Ser637 phosphorylation of the fission protein Drp1, leading to more mitochondrial fragmentation. Adipose tissue expression of the human homolog of Drp1, DNM1L, is positively correlated with obesity and insulin resistance. Thus, chronic activation of RalA plays a key role in repressing energy expenditure in obese adipose tissue by shifting the balance of mitochondrial dynamics toward excessive fission, contributing to weight gain and metabolic dysfunction.","container-title":"Nature Metabolism","DOI":"10.1038/s42255-024-00978-0","ISSN":"2522-5812","issue":"2","journalAbbreviation":"Nat Metab","language":"en","license":"2024 The Author(s)","note":"publisher: Nature Publishing Group","page":"273-289","source":"www.nature.com","title":"Obesity causes mitochondrial fragmentation and dysfunction in white adipocytes due to RalA activation","volume":"6","author":[{"family":"Xia","given":"Wenmin"},{"family":"Veeragandham","given":"Preethi"},{"family":"Cao","given":"Yu"},{"family":"Xu","given":"Yayun"},{"family":"Rhyne","given":"Torrey E."},{"family":"Qian","given":"Jiaxin"},{"family":"Hung","given":"Chao-Wei"},{"family":"Zhao","given":"Peng"},{"family":"Jones","given":"Ying"},{"family":"Gao","given":"Hui"},{"family":"Liddle","given":"Christopher"},{"family":"Yu","given":"Ruth T."},{"family":"Downes","given":"Michael"},{"family":"Evans","given":"Ronald M."},{"family":"Rydén","given":"Mikael"},{"family":"Wabitsch","given":"Martin"},{"family":"Wang","given":"Zichen"},{"family":"Hakozaki","given":"Hiroyuki"},{"family":"Schöneberg","given":"Johannes"},{"family":"Reilly","given":"Shannon M."},{"family":"Huang","given":"Jianfeng"},{"family":"Saltiel","given":"Alan R."}],"issued":{"date-parts":[["2024",2]]}}},{"id":3742,"uris":["http://zotero.org/users/9622455/items/I7A2NT6S"],"itemData":{"id":3742,"type":"article-journal","abstract":"Adipose tissue (AT) storage capacity is central in the maintenance of whole-body homeostasis, especially in obesity states. However, sustained nutrients overflow may dysregulate this function resulting in adipocytes hypertrophy, AT hypoxia, inflammation and oxidative stress. Systemic inflammation may also contribute to the disruption of AT redox equilibrium. AT and systemic oxidative stress have been involved in the development of obesity-associated insulin resistance (IR) and type 2 diabetes (T2D) through several mechanisms. Interestingly, fat accumulation, body fat distribution and the degree of how adiposity translates into cardio-metabolic diseases differ between ethnicities. Populations of African ancestry have a higher prevalence of obesity and higher T2D risk than populations of European ancestry, mainly driven by higher rates among African women. Considering the reported ethnic-specific differences in AT distribution and function and higher levels of systemic oxidative stress markers, oxidative stress is a potential contributor to the higher susceptibility for metabolic diseases in African women. This review summarizes existing evidence supporting this hypothesis while acknowledging a lack of data on AT oxidative stress in relation to IR in Africans, and the potential influence of other ethnicity-related modulators (e.g., genetic-environment interplay, socioeconomic factors) for consideration in future studies with different ethnicities.","container-title":"Antioxidants","DOI":"10.3390/antiox10040622","ISSN":"2076-3921","issue":"4","journalAbbreviation":"Antioxidants (Basel)","note":"PMID: 33921645\nPMCID: PMC8073769","page":"622","source":"PubMed Central","title":"Contribution of Adipose Tissue Oxidative Stress to Obesity-Associated Diabetes Risk and Ethnic Differences: Focus on Women of African Ancestry","title-short":"Contribution of Adipose Tissue Oxidative Stress to Obesity-Associated Diabetes Risk and Ethnic Differences","volume":"10","author":[{"family":"Nono Nankam","given":"Pamela A."},{"family":"Nguelefack","given":"Télesphore B."},{"family":"Goedecke","given":"Julia H."},{"family":"Blüher","given":"Matthias"}],"issued":{"date-parts":[["2021",4,19]]}}}],"schema":"https://github.com/citation-style-language/schema/raw/master/csl-citation.json"} </w:instrText>
      </w:r>
      <w:r w:rsidRPr="00735FCE">
        <w:rPr>
          <w:color w:val="000000" w:themeColor="text1"/>
        </w:rPr>
        <w:fldChar w:fldCharType="separate"/>
      </w:r>
      <w:r w:rsidR="00281437" w:rsidRPr="00281437">
        <w:rPr>
          <w:color w:val="000000"/>
          <w:vertAlign w:val="superscript"/>
        </w:rPr>
        <w:t>103–105</w:t>
      </w:r>
      <w:r w:rsidRPr="00735FCE">
        <w:rPr>
          <w:color w:val="000000" w:themeColor="text1"/>
        </w:rPr>
        <w:fldChar w:fldCharType="end"/>
      </w:r>
      <w:r w:rsidRPr="00735FCE">
        <w:rPr>
          <w:color w:val="000000" w:themeColor="text1"/>
        </w:rPr>
        <w:t xml:space="preserve">. Simultaneously, hypertrophic adipocyte ER stress activates unfolded protein response (UPR) and </w:t>
      </w:r>
      <w:r>
        <w:rPr>
          <w:color w:val="000000" w:themeColor="text1"/>
        </w:rPr>
        <w:t>pro-inflammatory</w:t>
      </w:r>
      <w:r w:rsidRPr="00735FCE">
        <w:rPr>
          <w:color w:val="000000" w:themeColor="text1"/>
        </w:rPr>
        <w:t xml:space="preserve"> responses, further impairing insulin signaling and enhancing lipotoxicity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{"citationID":"ODT79jLr","properties":{"formattedCitation":"\\super 106\\uc0\\u8211{}108\\nosupersub{}","plainCitation":"106–108","noteIndex":0},"citationItems":[{"id":3758,"uris":["http://zotero.org/users/9622455/items/7MNLPLMV"],"itemData":{"id":3758,"type":"article-journal","abstract":"Free fatty acids (FFA) cause apoptosis of pancreatic β-cells and might contribute to β-cell loss in type 2 diabetes via the induction of endoplasmic reticulum (ER) stress. We studied here the molecular mechanisms implicated in FFA-induced ER stress initiation and apoptosis in INS-1E cells, FACS-purified primary β-cells and human islets exposed to oleate and/or palmitate. Treatment with saturated and/or unsaturated FFA led to differential ER stress signaling. Palmitate induced more apoptosis and markedly activated the IRE1, PERK and ATF6 pathways, owing to a sustained depletion of ER Ca2+ stores, whereas the unsaturated FFA oleate led to milder PERK and IRE1 activation and comparable ATF6 signaling. Non-metabolizable methyl-FFA analogs induced neither ER stress nor β-cell apoptosis. The FFA-induced ER stress response was not modified by high glucose concentrations, suggesting that ER stress in primary β-cells is primarily lipotoxic, and not glucolipotoxic. Palmitate, but not oleate, activated JNK. JNK inhibitors reduced palmitate-mediated AP-1 activation and apoptosis. Blocking the transcription factor CHOP delayed palmitate-induced β-cell apoptosis. In conclusion, saturated FFA induce ER stress via ER Ca2+ depletion. The IRE1 and resulting JNK activation contribute to β-cell apoptosis. PERK activation by palmitate also contributes to β-cell apoptosis via CHOP.","container-title":"Journal of Cell Science","DOI":"10.1242/jcs.026062","ISSN":"0021-9533","issue":"14","journalAbbreviation":"Journal of Cell Science","page":"2308-2318","source":"Silverchair","title":"Initiation and execution of lipotoxic ER stress in pancreatic β-cells","volume":"121","author":[{"family":"Cunha","given":"Daniel A."},{"family":"Hekerman","given":"Paul"},{"family":"Ladrière","given":"Laurence"},{"family":"Bazarra-Castro","given":"Angie"},{"family":"Ortis","given":"Fernanda"},{"family":"Wakeham","given":"Marion C."},{"family":"Moore","given":"Fabrice"},{"family":"Rasschaert","given":"Joanne"},{"family":"Cardozo","given":"Alessandra K."},{"family":"Bellomo","given":"Elisa"},{"family":"Overbergh","given":"Lutgart"},{"family":"Mathieu","given":"Chantal"},{"family":"Lupi","given":"Roberto"},{"family":"Hai","given":"Tsonwin"},{"family":"Herchuelz","given":"Andre"},{"family":"Marchetti","given":"Piero"},{"family":"Rutter","given":"Guy A."},{"family":"Eizirik","given":"Décio L."},{"family":"Cnop","given":"Miriam"}],"issued":{"date-parts":[["2008",7,15]]}}},{"id":3755,"uris":["http://zotero.org/users/9622455/items/4HTJZ43L"],"itemData":{"id":3755,"type":"article-journal","abstract":"The UPR (unfolded protein response) or ER (endoplasmic reticulum) stress response was first described 20 years ago. The field of ER stress has expanded tremendously since, moving from basic biology in yeast to human neurodegenerative, inflammatory, cardiovascular and neoplastic diseases. The ER stress response has also been implicated in diabetes development, affecting both insulin production by pancreatic β-cells and insulin sensitivity in peripheral tissues. In the present mini-review, we focus on recent progress in the field of ER stress in pancreatic β-cells. Recent advances in the understanding of lipotoxic ER stress and β-cell recovery from ER stress are discussed.","container-title":"Biochemical Society Transactions","DOI":"10.1042/BST0360909","ISSN":"0300-5127","issue":"5","journalAbbreviation":"Biochemical Society Transactions","page":"909-915","source":"Silverchair","title":"An update on lipotoxic endoplasmic reticulum stress in pancreatic β-cells","volume":"36","author":[{"family":"Cnop","given":"Miriam"},{"family":"Igoillo-Esteve","given":"Mariana"},{"family":"Cunha","given":"Daniel A."},{"family":"Ladrière","given":"Laurence"},{"family":"Eizirik","given":"Décio L."}],"issued":{"date-parts":[["2008",9,19]]}}},{"id":3752,"uris":["http://zotero.org/users/9622455/items/PEIHRJ6E"],"itemData":{"id":3752,"type":"article-journal","abstract":"A high caloric intake, rich in saturated fats, greatly contributes to the development of obesity, which is the leading risk factor for type 2 diabetes (T2D). A persistent caloric surplus increases plasma levels of fatty acids (FAs), especially saturated ones, which were shown to negatively impact pancreatic β-cell function and survival in a process called lipotoxicity. Lipotoxicity in β-cells activates different stress pathways, culminating in β-cells dysfunction and death. Among all stresses, endoplasmic reticulum (ER) stress and oxidative stress have been shown to be strongly correlated. One main source of oxidative stress in pancreatic β-cells appears to be the reactive oxygen species producer NADPH oxidase (NOX) enzyme, which has a role in the glucose-stimulated insulin secretion and in the β-cell demise during both T1 and T2D. In this review, we focus on the acute and chronic effects of FAs and the lipotoxicity-induced β-cell failure during T2D development, with special emphasis on the oxidative stress induced by NOX, the ER stress, and the crosstalk between NOX and ER stress.","container-title":"Cells","DOI":"10.3390/cells10123328","ISSN":"2073-4409","issue":"12","journalAbbreviation":"Cells","note":"PMID: 34943836\nPMCID: PMC8699655","page":"3328","source":"PubMed Central","title":"Lipotoxicity and β-Cell Failure in Type 2 Diabetes: Oxidative Stress Linked to NADPH Oxidase and ER Stress","title-short":"Lipotoxicity and β-Cell Failure in Type 2 Diabetes","volume":"10","author":[{"family":"Vilas-Boas","given":"Eloisa Aparecida"},{"family":"Almeida","given":"Davidson Correa"},{"family":"Roma","given":"Leticia Prates"},{"family":"Ortis","given":"Fernanda"},{"family":"Carpinelli","given":"Angelo Rafael"}],"issued":{"date-parts":[["2021",11,26]]}}}],"schema":"https://github.com/citation-style-language/schema/raw/master/csl-citation.json"} </w:instrText>
      </w:r>
      <w:r w:rsidRPr="00735FCE">
        <w:rPr>
          <w:color w:val="000000" w:themeColor="text1"/>
        </w:rPr>
        <w:fldChar w:fldCharType="separate"/>
      </w:r>
      <w:r w:rsidR="00281437" w:rsidRPr="00281437">
        <w:rPr>
          <w:color w:val="000000"/>
          <w:vertAlign w:val="superscript"/>
        </w:rPr>
        <w:t>106–108</w:t>
      </w:r>
      <w:r w:rsidRPr="00735FCE">
        <w:rPr>
          <w:color w:val="000000" w:themeColor="text1"/>
        </w:rPr>
        <w:fldChar w:fldCharType="end"/>
      </w:r>
      <w:r w:rsidRPr="00735FCE">
        <w:rPr>
          <w:color w:val="000000" w:themeColor="text1"/>
        </w:rPr>
        <w:t xml:space="preserve">. Inflammation, oxidative stress, and organelle dysfunction </w:t>
      </w:r>
      <w:r>
        <w:rPr>
          <w:color w:val="000000" w:themeColor="text1"/>
        </w:rPr>
        <w:t xml:space="preserve">collectively </w:t>
      </w:r>
      <w:r w:rsidRPr="00735FCE">
        <w:rPr>
          <w:color w:val="000000" w:themeColor="text1"/>
        </w:rPr>
        <w:t>lead to metabolic imbalances</w:t>
      </w:r>
      <w:r>
        <w:rPr>
          <w:color w:val="000000" w:themeColor="text1"/>
        </w:rPr>
        <w:t xml:space="preserve">, which </w:t>
      </w:r>
      <w:r w:rsidRPr="00735FCE">
        <w:rPr>
          <w:color w:val="000000" w:themeColor="text1"/>
        </w:rPr>
        <w:t xml:space="preserve">ultimately </w:t>
      </w:r>
      <w:r>
        <w:rPr>
          <w:color w:val="000000" w:themeColor="text1"/>
        </w:rPr>
        <w:t>contribute</w:t>
      </w:r>
      <w:r w:rsidRPr="00735FCE">
        <w:rPr>
          <w:color w:val="000000" w:themeColor="text1"/>
        </w:rPr>
        <w:t xml:space="preserve"> to </w:t>
      </w:r>
      <w:r>
        <w:rPr>
          <w:color w:val="000000" w:themeColor="text1"/>
        </w:rPr>
        <w:t xml:space="preserve">T2DM </w:t>
      </w:r>
      <w:r w:rsidRPr="00735FCE">
        <w:rPr>
          <w:color w:val="000000" w:themeColor="text1"/>
        </w:rPr>
        <w:fldChar w:fldCharType="begin"/>
      </w:r>
      <w:r w:rsidR="00281437">
        <w:rPr>
          <w:color w:val="000000" w:themeColor="text1"/>
        </w:rPr>
        <w:instrText xml:space="preserve"> ADDIN ZOTERO_ITEM CSL_CITATION {"citationID":"gGkRsEiZ","properties":{"formattedCitation":"\\super 109\\nosupersub{}","plainCitation":"109","noteIndex":0},"citationItems":[{"id":3761,"uris":["http://zotero.org/users/9622455/items/8HQGEFBF"],"itemData":{"id":3761,"type":"article-journal","abstract":"Type II diabetes mellitus (T2DM) is a metabolic disorder that poses a serious health concern worldwide due to its rising prevalence. Hypertension (HT) is a frequent comorbidity of T2DM, with the co-occurrence of both conditions increasing the risk of diabetes-associated complications. Inflammation and oxidative stress (OS) have been identified as leading factors in the development and progression of both T2DM and HT. However, OS and inflammation processes associated with these two comorbidities are not fully understood. This study aimed to explore changes in the levels of plasma and urinary inflammatory and OS biomarkers, along with mitochondrial OS biomarkers connected to mitochondrial dysfunction (MitD). These markers may provide a more comprehensive perspective associated with disease progression from no diabetes, and prediabetes, to T2DM coexisting with HT in a cohort of patients attending a diabetes health clinic in Australia. Three-hundred and eighty-four participants were divided into four groups according to disease status: 210 healthy controls, 55 prediabetic patients, 32 T2DM, and 87 patients with T2DM and HT (T2DM+HT). For the transition from prediabetes to T2DM, interleukin-10 (IL-10), C-reactive protein (CRP), 8-hydroxy-2’-deoxyguanosine (8-OHdG), humanin (HN), and p66Shc were the most discriminatory biomarkers, generally displaying elevated levels of inflammation and OS in T2DM, in addition to disrupted mitochondrial function as revealed by p66Shc and HN. Disease progression from T2DM to T2DM+HT indicated lower levels of inflammation and OS as revealed through IL-10, interleukin-6 (IL-6), interleukin-1</w:instrText>
      </w:r>
      <w:r w:rsidR="00281437">
        <w:rPr>
          <w:color w:val="000000" w:themeColor="text1"/>
        </w:rPr>
        <w:instrText> (IL-1</w:instrText>
      </w:r>
      <w:r w:rsidR="00281437">
        <w:rPr>
          <w:color w:val="000000" w:themeColor="text1"/>
        </w:rPr>
        <w:instrText xml:space="preserve">), 8-OHdG and GSSG levels, most likely due to antihypertensive medication use in the T2DM+HT patient group. The results also indicated better mitochondrial function in this group as shown through higher HN and lower p66Shc levels, which can also be attributed to medication use. However, monocyte chemoattractant protein-1 (MCP-1) levels appeared to be independent of medication, providing an effective biomarker even in the presence of medication use. The results of this study suggest that a more comprehensive review of inflammation and OS biomarkers is more effective in discriminating between the stages of T2DM progression in the presence or absence of HT.","container-title":"Frontiers in Endocrinology","DOI":"10.3389/fendo.2023.1173402","ISSN":"1664-2392","journalAbbreviation":"Front. Endocrinol.","language":"English","note":"publisher: Frontiers","source":"Frontiers","title":"Inflammation, oxidative stress and mitochondrial dysfunction in the progression of type II diabetes mellitus with coexisting hypertension","URL":"https://www.frontiersin.org/journals/endocrinology/articles/10.3389/fendo.2023.1173402/full","volume":"14","author":[{"family":"Yousef","given":"Hibba"},{"family":"Khandoker","given":"Ahsan H."},{"family":"Feng","given":"Samuel F."},{"family":"Helf","given":"Charlotte"},{"family":"Jelinek","given":"Herbert F."}],"accessed":{"date-parts":[["2025",6,11]]},"issued":{"date-parts":[["2023",6,13]]}}}],"schema":"https://github.com/citation-style-language/schema/raw/master/csl-citation.json"} </w:instrText>
      </w:r>
      <w:r w:rsidRPr="00735FCE">
        <w:rPr>
          <w:color w:val="000000" w:themeColor="text1"/>
        </w:rPr>
        <w:fldChar w:fldCharType="separate"/>
      </w:r>
      <w:r w:rsidR="00281437" w:rsidRPr="00281437">
        <w:rPr>
          <w:color w:val="000000"/>
          <w:vertAlign w:val="superscript"/>
        </w:rPr>
        <w:t>109</w:t>
      </w:r>
      <w:r w:rsidRPr="00735FCE">
        <w:rPr>
          <w:color w:val="000000" w:themeColor="text1"/>
        </w:rPr>
        <w:fldChar w:fldCharType="end"/>
      </w:r>
      <w:r w:rsidRPr="00735FCE">
        <w:rPr>
          <w:color w:val="000000" w:themeColor="text1"/>
        </w:rPr>
        <w:t>.</w:t>
      </w:r>
    </w:p>
    <w:p w14:paraId="5AE7504D" w14:textId="77777777" w:rsidR="009117C0" w:rsidRPr="00735FCE" w:rsidRDefault="009117C0" w:rsidP="00847BA5">
      <w:pPr>
        <w:pStyle w:val="Heading3"/>
        <w:jc w:val="left"/>
      </w:pPr>
      <w:bookmarkStart w:id="21" w:name="_Toc200988041"/>
      <w:bookmarkStart w:id="22" w:name="_Toc201001656"/>
      <w:bookmarkStart w:id="23" w:name="_Toc204848626"/>
      <w:r>
        <w:t>Sex Differences</w:t>
      </w:r>
      <w:r w:rsidRPr="00735FCE">
        <w:t xml:space="preserve"> in </w:t>
      </w:r>
      <w:r>
        <w:t>O</w:t>
      </w:r>
      <w:r w:rsidRPr="00735FCE">
        <w:t>besity</w:t>
      </w:r>
      <w:bookmarkEnd w:id="21"/>
      <w:bookmarkEnd w:id="22"/>
      <w:bookmarkEnd w:id="23"/>
    </w:p>
    <w:p w14:paraId="77008DCF" w14:textId="7DDEA743" w:rsidR="009117C0" w:rsidRPr="00735FCE" w:rsidRDefault="009117C0" w:rsidP="00B007DA">
      <w:pPr>
        <w:ind w:firstLine="720"/>
        <w:jc w:val="left"/>
        <w:rPr>
          <w:color w:val="000000" w:themeColor="text1"/>
        </w:rPr>
      </w:pPr>
      <w:r w:rsidRPr="00735FCE">
        <w:rPr>
          <w:color w:val="000000" w:themeColor="text1"/>
        </w:rPr>
        <w:t xml:space="preserve">Sex differences </w:t>
      </w:r>
      <w:r>
        <w:rPr>
          <w:color w:val="000000" w:themeColor="text1"/>
        </w:rPr>
        <w:t>in</w:t>
      </w:r>
      <w:r w:rsidRPr="00735FCE">
        <w:rPr>
          <w:color w:val="000000" w:themeColor="text1"/>
        </w:rPr>
        <w:t xml:space="preserve"> </w:t>
      </w:r>
      <w:r>
        <w:rPr>
          <w:color w:val="000000" w:themeColor="text1"/>
        </w:rPr>
        <w:t xml:space="preserve">the </w:t>
      </w:r>
      <w:r w:rsidRPr="00735FCE">
        <w:rPr>
          <w:color w:val="000000" w:themeColor="text1"/>
        </w:rPr>
        <w:t>biology of adipose tissue and energy metabolism help explain why women and men experience obesity and its complications differently</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{"citationID":"LiGNJdWn","properties":{"formattedCitation":"\\super 110\\nosupersub{}","plainCitation":"110","noteIndex":0},"citationItems":[{"id":3763,"uris":["http://zotero.org/users/9622455/items/ELH83HEP"],"itemData":{"id":3763,"type":"article-journal","abstract":"The prevalence of obesity has reached epidemic proportion with enormous costs in both human lives and healthcare dollars spent. Obesity-related metabolic disorders are much lower in premenopausal women than men; however, there is a dramatic increase following menopause in women. The health risks associated with obesity vary depending on the location of adipose tissue. Adipose tissue distributed in the abdominal visceral carry a much greater risk for metabolic disorders than does adipose tissue distributed subcutaneously. There are distinct sex-dependent differences in the regional fat distribution, women carry more fat subcutaneously whereas men carry more fat viscerally. Males and females differ with respect to their regulation of energy homeostasis. Peripheral adiposity hormones such as leptin and insulin as well as sex hormones directly influence energy balance. Sexual dimorphisms in energy balance, body fat distribution, and the role sex hormones have in mediating these differences are the focus of this review.","container-title":"Frontiers in neuroendocrinology","DOI":"10.1016/j.yfrne.2009.03.004","ISSN":"0091-3022","issue":"3","journalAbbreviation":"Front Neuroendocrinol","note":"PMID: 19341761\nPMCID: PMC4517605","page":"396-404","source":"PubMed Central","title":"Sexual Differences in the Control of Energy Homeostasis","volume":"30","author":[{"family":"Shi","given":"Haifei"},{"family":"Seeley","given":"Randy J."},{"family":"Clegg","given":"Deborah J."}],"issued":{"date-parts":[["2009",8]]}}}],"schema":"https://github.com/citation-style-language/schema/raw/master/csl-citation.json"} </w:instrText>
      </w:r>
      <w:r w:rsidRPr="00735FCE">
        <w:rPr>
          <w:color w:val="000000" w:themeColor="text1"/>
        </w:rPr>
        <w:fldChar w:fldCharType="separate"/>
      </w:r>
      <w:r w:rsidR="00281437" w:rsidRPr="00281437">
        <w:rPr>
          <w:color w:val="000000"/>
          <w:vertAlign w:val="superscript"/>
        </w:rPr>
        <w:t>110</w:t>
      </w:r>
      <w:r w:rsidRPr="00735FCE">
        <w:rPr>
          <w:color w:val="000000" w:themeColor="text1"/>
        </w:rPr>
        <w:fldChar w:fldCharType="end"/>
      </w:r>
      <w:r w:rsidRPr="00735FCE">
        <w:rPr>
          <w:color w:val="000000" w:themeColor="text1"/>
        </w:rPr>
        <w:t>. Generally, females have a greater percentage of total body fat compared to males at the same BMI level, with greater subcutaneous adipose tissue (SAT) deposition in the gluteofemoral region</w:t>
      </w:r>
      <w:r>
        <w:rPr>
          <w:color w:val="000000" w:themeColor="text1"/>
        </w:rPr>
        <w:t>. In contrast, men</w:t>
      </w:r>
      <w:r w:rsidRPr="00735FCE">
        <w:rPr>
          <w:color w:val="000000" w:themeColor="text1"/>
        </w:rPr>
        <w:t xml:space="preserve"> tend to have greater visceral adipose tissue (VAT) deposition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{"citationID":"9Yu6n8iC","properties":{"formattedCitation":"\\super 111,112\\nosupersub{}","plainCitation":"111,112","noteIndex":0},"citationItems":[{"id":3769,"uris":["http://zotero.org/users/9622455/items/97PF3MKX"],"itemData":{"id":3769,"type":"article-journal","abstract":"Women generally have a higher percentage of body fat than men. Also, women store more fat in the gluteal-femoral region, whereas men store more fat in the visceral (abdominal) depot. This review focuses on differences in regional fatty acid storage, mobilization and oxidation that may contribute to gender-related differences in body fat distribution. There are pronounced regional differences in the regulation of regional fatty acid metabolism between men and women. Firstly, there is evidence that in vivo, catecholamine mediated leg free fatty acid release is lower in women than in men, whereas free fatty acid release from the upper body depots is comparable. These data correspond to in-vitro adipose tissue biopsy data, which indicate a more pronounced difference in catecholamine mediated lipolysis between upper body and lower body fat depots in women than in men. Secondly, free fatty acid release by the upper body subcutaneous fat depots is higher in men than in women, indicating a higher resistance to the antilipolytic effect of meal ingestion in the upper body fat depots in men. Thirdly, there are indications that basal fat oxidation (adjusted for fat free mass) is lower in females as compared to males, thereby contributing to a higher fat storage in women. Finally, postprandial fat storage may be higher in subcutaneous adipose tissue in women than in men, whereas storage in visceral adipose tissue has been hypothesized to be higher in men. All the above differences may play a role in the variation in net regional fat storage between men and women, but the number of in-vivo studies on gender-related differences in fatty acid metabolism is very limited and most findings require confirmation. Furthermore, there is abundant evidence that the proportion of energy derived from fat during exercise is higher in women than in men. With respect to total body fat, this finding seems counterintuitive, as percentage body fat is increased in women. Further studies are necessary to investigate the significance of differences in exercise-induced fat oxidation on 24-h fat balance.","container-title":"Current Opinion in Clinical Nutrition &amp; Metabolic Care","ISSN":"1363-1950","issue":"6","language":"en-US","page":"499","source":"journals.lww.com","title":"Gender differences in fat metabolism","volume":"4","author":[{"family":"Blaak","given":"Ellen"}],"issued":{"date-parts":[["2001",11]]}}},{"id":3766,"uris":["http://zotero.org/users/9622455/items/IL58LGEB"],"itemData":{"id":3766,"type":"article-journal","abstract":"Obesity increases the risks of developing cardiovascular and metabolic diseases and degrades quality of life, ultimately increasing the risk of death. However, not all forms of obesity are equally dangerous: some individuals, despite higher percentages of body fat, are at less risk for certain chronic obesity-related complications. Many open questions remain about why this occurs. Data suggest that the physical location of fat and the overall health of fat dramatically influence disease risk; for example, higher concentrations of visceral relative to subcutaneous adipose tissue are associated with greater metabolic risks. As such, understanding the determinants of the location and health of adipose tissue can provide insight about the pathological consequences of obesity and can begin to outline targets for novel therapeutic approaches to combat the obesity epidemic. Although age and sex hormones clearly play roles in fat distribution and location, much remains unknown about gene regulation at the level of adipose tissue or how genetic variants regulate fat distribution. In this review, we discuss what is known about the determinants of body fat distribution, and we highlight the important roles of sex hormones, aging, and genetic variation in the determination of body fat distribution and its contribution to obesity-related comorbidities.","container-title":"Journal of Lipid Research","DOI":"10.1194/jlr.R086975","ISSN":"0022-2275","issue":"10","journalAbbreviation":"J Lipid Res","note":"PMID: 30097511\nPMCID: PMC6795075","page":"1710-1719","source":"PubMed Central","title":"Determinants of body fat distribution in humans may provide insight about obesity-related health risks","volume":"60","author":[{"family":"Frank","given":"Aaron P."},{"family":"Souza Santos","given":"Roberta","non-dropping-particle":"de"},{"family":"Palmer","given":"Biff F."},{"family":"Clegg","given":"Deborah J."}],"issued":{"date-parts":[["2019",10]]}}}],"schema":"https://github.com/citation-style-language/schema/raw/master/csl-citation.json"} </w:instrText>
      </w:r>
      <w:r w:rsidRPr="00735FCE">
        <w:rPr>
          <w:color w:val="000000" w:themeColor="text1"/>
        </w:rPr>
        <w:fldChar w:fldCharType="separate"/>
      </w:r>
      <w:r w:rsidR="00281437" w:rsidRPr="00281437">
        <w:rPr>
          <w:color w:val="000000"/>
          <w:vertAlign w:val="superscript"/>
        </w:rPr>
        <w:t>111,112</w:t>
      </w:r>
      <w:r w:rsidRPr="00735FCE">
        <w:rPr>
          <w:color w:val="000000" w:themeColor="text1"/>
        </w:rPr>
        <w:fldChar w:fldCharType="end"/>
      </w:r>
      <w:r w:rsidRPr="00735FCE">
        <w:rPr>
          <w:color w:val="000000" w:themeColor="text1"/>
        </w:rPr>
        <w:t xml:space="preserve">. Differences in fat distribution between males and females are </w:t>
      </w:r>
      <w:r>
        <w:rPr>
          <w:color w:val="000000" w:themeColor="text1"/>
        </w:rPr>
        <w:t>the result</w:t>
      </w:r>
      <w:r w:rsidRPr="00735FCE">
        <w:rPr>
          <w:color w:val="000000" w:themeColor="text1"/>
        </w:rPr>
        <w:t xml:space="preserve"> of differences in lipoprotein lipase (LPL) activity and adrenergic receptor expression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{"citationID":"wk7tmA93","properties":{"formattedCitation":"\\super 113,114\\nosupersub{}","plainCitation":"113,114","noteIndex":0},"citationItems":[{"id":3773,"uris":["http://zotero.org/users/9622455/items/N858VL3P"],"itemData":{"id":3773,"type":"article-journal","abstract":"This review focuses on the human genetics, epidemiology, and molecular pathophysiology of sex differences in central obesity, adipose distribution, and related cardiometabolic disorders. Distribution of fat is important for cardiometabolic health, with peripheral fat depots having a protective effect and central visceral fat depots conferring a detrimental effect on health. There are important sex differences in fat distribution that are masked when studying body mass index as a measure of obesity. From epidemiological, murine, and in vitro studies, several mechanisms have been proposed to explain the sex differences in adipose distribution, including sex hormonal effects, cell-intrinsic properties, and the microenvironment in fat depots. More recently, human genetics have revealed hundreds of loci for central obesity providing disruptive opportunities for mechanistic discoveries and clinical translation. A striking feature is that over one-third of these loci have reproducible but poorly understood sexual dimorphic associations with central obesity, most having stronger effects in women. Understanding the genetic and molecular mechanisms of adipose distribution and its sexual dimorphism in humans provides a unique opportunity to promote the use of precision medicine for early identification of at-risk individuals, and the development of novel therapeutic strategies for central obesity and related cardiometabolic disorders.","container-title":"Arteriosclerosis, Thrombosis, and Vascular Biology","DOI":"10.1161/ATVBAHA.119.313154","issue":"1","note":"publisher: American Heart Association","page":"45-60","source":"ahajournals.org (Atypon)","title":"Sex Differences in Genomic Drivers of Adipose Distribution and Related Cardiometabolic Disorders","volume":"40","author":[{"family":"Lumish","given":"Heidi S."},{"family":"O’Reilly","given":"Marcella"},{"family":"Reilly","given":"Muredach P."}],"issued":{"date-parts":[["2020",1]]}}},{"id":3771,"uris":["http://zotero.org/users/9622455/items/8YRD3THE"],"itemData":{"id":3771,"type":"article-journal","abstract":"Objective: To determine whether gender differences exist in lipoprotein lipase (LPL) activity in response to exercise and/or insulin. Exercise and insulin are known modulators of LPL activity in men, but this is less clear in women. LPL activity may predict propensity for obesity; therefore, understanding its modulators is of considerable importance. Research Methods and Procedures: Gender differences in skeletal muscle and adipose tissue LPL activity were determined after a single bout of exercise followed by a hyperinsulinemic/euglycemic clamp and compared with an identical rest day in healthy lean men (n = 10) and women (n = 10). Muscle and adipose tissue biopsies were obtained pre- (post-exercise vs. rest) and post-clamp. Results: Basal levels of muscle and adipose tissue LPL activity were not different between men and women. There was, however, a significant gender by day interaction for muscle LPL activity (p = 0.023) and adipose tissue LPL activity (p = 0.013). In muscle, this was because of a significant increase in LPL activity on the exercise vs. rest day in men (p &lt; 0.001) but not women. Adipose tissue LPL activity also increased significantly in men on the exercise day relative to rest day (p = 0.04) but decreased in women (p = 0.10). The hyperinulinemic/euglycemic clamp had no independent effect on tissue LPL activity, in either gender, after rest or exercise. Discussion: In the 3 to 4 hours after exercise, muscle and adipose tissue LPL activity increased significantly in men, whereas LPL activity remained unchanged in women.","container-title":"Obesity Research","DOI":"10.1038/oby.2004.31","ISSN":"1550-8528","issue":"2","language":"en","license":"2004 North American Association for the Study of Obesity (NAASO)","note":"_eprint: https://onlinelibrary.wiley.com/doi/pdf/10.1038/oby.2004.31","page":"241-249","source":"Wiley Online Library","title":"Gender Differences in Lipoprotein Lipase Activity after Acute Exercise","volume":"12","author":[{"family":"Perreault","given":"Leigh"},{"family":"Lavely","given":"Jennifer M."},{"family":"Kittelson","given":"John M."},{"family":"Horton","given":"Tracy J."}],"issued":{"date-parts":[["2004"]]}}}],"schema":"https://github.com/citation-style-language/schema/raw/master/csl-citation.json"} </w:instrText>
      </w:r>
      <w:r w:rsidRPr="00735FCE">
        <w:rPr>
          <w:color w:val="000000" w:themeColor="text1"/>
        </w:rPr>
        <w:fldChar w:fldCharType="separate"/>
      </w:r>
      <w:r w:rsidR="00281437" w:rsidRPr="00281437">
        <w:rPr>
          <w:color w:val="000000"/>
          <w:vertAlign w:val="superscript"/>
        </w:rPr>
        <w:t>113,114</w:t>
      </w:r>
      <w:r w:rsidRPr="00735FCE">
        <w:rPr>
          <w:color w:val="000000" w:themeColor="text1"/>
        </w:rPr>
        <w:fldChar w:fldCharType="end"/>
      </w:r>
      <w:r w:rsidRPr="00735FCE">
        <w:rPr>
          <w:color w:val="000000" w:themeColor="text1"/>
        </w:rPr>
        <w:t xml:space="preserve">. In premenopausal women, there is greater LPL activity in SAT compared to VAT, which promotes </w:t>
      </w:r>
      <w:r>
        <w:rPr>
          <w:color w:val="000000" w:themeColor="text1"/>
        </w:rPr>
        <w:t>triglyceride</w:t>
      </w:r>
      <w:r w:rsidRPr="00735FCE">
        <w:rPr>
          <w:color w:val="000000" w:themeColor="text1"/>
        </w:rPr>
        <w:t xml:space="preserve"> uptake and fat storage in the gluteofemoral and subcutaneous region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{"citationID":"eBQeP58x","properties":{"formattedCitation":"\\super 115\\uc0\\u8211{}117\\nosupersub{}","plainCitation":"115–117","noteIndex":0},"citationItems":[{"id":3782,"uris":["http://zotero.org/users/9622455/items/V4WX9NK4"],"itemData":{"id":3782,"type":"article-journal","abstract":"We performed a cross-sectional study using whole-body computerized tomographic (CT) scans in order to clarify age-related changes in whole-body fat distribution in both genders. The subjects were 66 men and 96 women, whose body mass index (BMI) was over 25 kg/m2. CT scans were performed at seven levels (head, fore-arms, upper arms, chest, abdomen, thighs and calves), and the fat volumes of the segments were calculated from the cross-sectional areas of the fat tissues. After calibrating to the total fat volumes, the relationship between age and the relative segmental fat volumes was analysed. In both genders, the relative intra-abdominal visceral fat volume increased and that of the legs decreased with age. The relative abdominal subcutaneous fat volume decreased with age only in male subjects. The increase in the relative visceral fat volume with age was about 2.6 times larger in males than in pre-menopausal females, while post-menopausal females showed the same increase as male subjects. These data suggest that there is a definite gender difference in the age-related changes in whole-body fat distribution, especially in the abdominal fat tissues. In addition, the accumulation of visceral fat is markedly accelerated by menopause in women.","container-title":"International journal of obesity and related metabolic disorders","issue":"4","journalAbbreviation":"Int J Obes Relat Metab Disord","language":"eng","note":"PMID: 8044194","page":"207-202","source":"Europe PMC","title":"Sexual dimorphism of age-related changes in whole-body fat distribution in the obese","volume":"18","author":[{"family":"Kotani","given":"K"},{"family":"Tokunaga","given":"K"},{"family":"Fujioka","given":"S"},{"family":"Kobatake","given":"T"},{"family":"Keno","given":"Y"},{"family":"Yoshida","given":"S"},{"family":"Shimomura","given":"I"},{"family":"Tarui","given":"S"},{"family":"Matsuzawa","given":"Y"}],"issued":{"date-parts":[["1994",4,1]]}}},{"id":3776,"uris":["http://zotero.org/users/9622455/items/RRGB9LTK"],"itemData":{"id":3776,"type":"article-journal","abstract":"The recently cloned adipose tissue hormone leptin has been proposed to be involved in the neuroendocrine regulation of adiposity and its metabolic sequelae. Visceral fat is known to predict reduced insulin sensitivity and associated adverse metabolic profiles. In this study, we report the first evaluation of the relationships between leptin levels and total body fat, visceral fat, and insulin sensitivity in a cohort of premenopausal African-American women. Thirty-four subjects were analyzed for total fat mass and visceral fat by dual-energy X-ray absorptiometry and computerized axial tomography, respectively. Insulin sensitivity (SI) was assessed using Bergman's minimal model. Results showed that fasting leptin levels strongly correlated with total body fat mass (r = 0.797, P &amp;lt; 0.001). Correlations of leptin with visceral fat (r = 0.54, P &amp;lt; 0.001) and SI (r = −0.419, P = 0.02) were dependent on total body fat. In conclusion, leptin levels reflect total body fat mass, and although visceral fat is known to predict reduced insulin sensitivity independently, leptin did not. Our data thus suggest that diverse mechanisms are responsible for the regulation of total body versus visceral fat distribution, with its metabolic and health risks.","container-title":"Diabetes","DOI":"10.2337/diab.45.11.1635","ISSN":"0012-1797","issue":"11","journalAbbreviation":"Diabetes","page":"1635-1637","source":"Silverchair","title":"Leptin: A Significant Indicator of Total Body Fat but Not of Visceral Fat and Insulin Insensitivity in African-American Women","title-short":"Leptin","volume":"45","author":[{"family":"Dua","given":"Arnavaz"},{"family":"Hennes","given":"Magda I"},{"family":"Hoffmann","given":"Raymond G"},{"family":"Maas","given":"Diana L"},{"family":"Krakower","given":"Glenn R"},{"family":"Sonnenberg","given":"Gabriele E"},{"family":"Kissebah","given":"Ahmed H"}],"issued":{"date-parts":[["1996",11,1]]}}},{"id":3779,"uris":["http://zotero.org/users/9622455/items/ZSW76BGF"],"itemData":{"id":3779,"type":"article-journal","abstract":"Leptin, the product of the human homologue of the ob gene, which is defective in the obese (ob/ob) mouse, may be a humoral regulator of human adiposity. Plasma leptin concentrations were measured by RIA in 19 normal weight [body mass index (BMI) = 24.5 +/- 0.6 kg/m2] and 19 overweight to obese (BMI = 34.7 +/- 1.2 kg/m2) nondiabetic postmenopausal women on sequential controlled weight-maintaining diets containing 31%, 23%, and 14% of energy as fat, each for 4-6 weeks. Thereafter, the subjects ate a very low fat diet (&amp;lt; 15%) ad libitum; plasma leptin and insulin concentrations, BMI, percent body fat (%BF), and resting energy expenditure were determined after 6 and 8 months. Absolute and adiposity-corrected plasma leptin levels were higher in overweight/obese women (37.7 +/- 3.5 ng/mL; 1.01 +/- 0.07 ng.mL-1.%BF-1) than in normal weight women (16.9 +/- 2.2 ng/mL; 0.57 +/- 0.06 ng.mL-1.%BF-1, both P &amp;lt; 0.005 vs. obese), but were not different between the 31%, 23%, and 14% fat diets when body weight was stable. Plasma leptin was highly correlated with BMI (r = 0.81, P &amp;lt; 0.0001), %BF (r = 0.80, P &amp;lt; 0.0001), and fasting plasma insulin (r = 0.61, P &amp;lt; 0.0001). After 8 months on the ad libitum low fat diet, the women had lost an average of 6.9 +/- 1.0% of body mass (-2.0 +/- 0.3 kg/m2, P &amp;lt; 0.0001). In 15 subjects who lost more than 7% of body mass (-12.3 +/- 1.0%), plasma leptin concentrations decreased (-9.6 +/- 1.9 ng/mL, P &amp;lt; 0.0005), and the decrease of plasma leptin per change of adiposity (delta leptin/delta %BF) was greater in overweight/obese women (3.6 +/- 0.5) than in normal weight women (0.9 +/- 0.4, P &amp;lt; 0.01 vs. obese). In 18 other subjects who lost less than 7% of body mass (-2.7 +/- 0.6%), plasma leptin was unchanged (+1.4 +/- 1.4 ng/mL). Overall, the change of plasma leptin was significantly correlated with change of BMI (r = 0.43, P &amp;lt; 0.02), the change of %BF (r = 0.49, P &amp;lt; 0.005), the change of resting energy expenditure (r = 0.40, P &amp;lt; 0.02), and with the change of plasma insulin independently of changes of body adiposity (r = 0.45, P &amp;lt; 0.01). We conclude that plasma leptin concentrations are: 1) not affected by dietary fat content per se; 2) highly correlated with BMI, %BF, and plasma insulin in both overweight/obese and normal weight women; 3) decreased in parallel with plasma insulin after sustained weight loss; and 4) decreased more in overweight/obese than in normal weight women.","container-title":"The Journal of Clinical Endocrinology &amp; Metabolism","DOI":"10.1210/jcem.81.12.8954050","ISSN":"0021-972X","issue":"12","journalAbbreviation":"The Journal of Clinical Endocrinology &amp; Metabolism","page":"4406-4413","source":"Silverchair","title":"Relationship of plasma leptin to plasma insulin and adiposity in normal weight and overweight women: effects of dietary fat content and sustained weight loss","title-short":"Relationship of plasma leptin to plasma insulin and adiposity in normal weight and overweight women","volume":"81","author":[{"family":"Havel","given":"P J"},{"family":"Kasim-Karakas","given":"S"},{"family":"Mueller","given":"W"},{"family":"Johnson","given":"P R"},{"family":"Gingerich","given":"R L"},{"family":"Stern","given":"J S"}],"issued":{"date-parts":[["1996",12,1]]}}}],"schema":"https://github.com/citation-style-language/schema/raw/master/csl-citation.json"} </w:instrText>
      </w:r>
      <w:r w:rsidRPr="00735FCE">
        <w:rPr>
          <w:color w:val="000000" w:themeColor="text1"/>
        </w:rPr>
        <w:fldChar w:fldCharType="separate"/>
      </w:r>
      <w:r w:rsidR="00281437" w:rsidRPr="00281437">
        <w:rPr>
          <w:color w:val="000000"/>
          <w:vertAlign w:val="superscript"/>
        </w:rPr>
        <w:t>115–117</w:t>
      </w:r>
      <w:r w:rsidRPr="00735FCE">
        <w:rPr>
          <w:color w:val="000000" w:themeColor="text1"/>
        </w:rPr>
        <w:fldChar w:fldCharType="end"/>
      </w:r>
      <w:r w:rsidRPr="00735FCE">
        <w:rPr>
          <w:color w:val="000000" w:themeColor="text1"/>
        </w:rPr>
        <w:t>. In men, abdominal fat tissue tends to accumulate more fat as LPL activity increase</w:t>
      </w:r>
      <w:r>
        <w:rPr>
          <w:color w:val="000000" w:themeColor="text1"/>
        </w:rPr>
        <w:t>s</w:t>
      </w:r>
      <w:r w:rsidRPr="00735FCE">
        <w:rPr>
          <w:color w:val="000000" w:themeColor="text1"/>
        </w:rPr>
        <w:t xml:space="preserve"> in visceral fat</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{"citationID":"4IFTlM2o","properties":{"formattedCitation":"\\super 118\\nosupersub{}","plainCitation":"118","noteIndex":0},"citationItems":[{"id":3783,"uris":["http://zotero.org/users/9622455/items/LSLRRR79"],"itemData":{"id":3783,"type":"article-journal","abstract":"Men have a higher tendency to accumulate abdominal visceral fat compared to pre-menopausal women. The accumulation of abdominal visceral fat in men, which is a strong independent predictor of mortality, is mainly due to the higher dietary fat uptake by their abdominal visceral fat. Since dietary fat is absorbed by the enterocytes and transported to the circulation in the forms of chylomicrons and very low density lipoproteins (VLDLs), it is crucial to understand how these lipoproteins are different between men and women. The chylomicrons in men are generally bigger in size and more in quantity than those in women. During the postprandial state, these chylomicrons congest the lamina propria and the low-pressure lymphatics. In this paper, we propose that this congestion predisposes the chylomicron triglycerides to hydrolysis by lipoprotein lipase (LPL). The liberated fatty acids are then stored by the nearby abdominal visceral adipocytes, leading to the accumulation of abdominal visceral fat. These mechanisms perhaps explain why men, through their bigger and higher production of chylomicrons, are more likely to accumulate abdominal visceral fat than pre-menopausal women. This accumulation eventually leads to belly enlargement, which confers men their apple-shaped body.","container-title":"Frontiers in Physiology","DOI":"10.3389/fphys.2019.01486","ISSN":"1664-042X","journalAbbreviation":"Front Physiol","note":"PMID: 31866877\nPMCID: PMC6906176","page":"1486","source":"PubMed Central","title":"Why Do Men Accumulate Abdominal Visceral Fat?","volume":"10","author":[{"family":"Nauli","given":"Andromeda M."},{"family":"Matin","given":"Sahar"}],"issued":{"date-parts":[["2019",12,5]]}}}],"schema":"https://github.com/citation-style-language/schema/raw/master/csl-citation.json"} </w:instrText>
      </w:r>
      <w:r w:rsidRPr="00735FCE">
        <w:rPr>
          <w:color w:val="000000" w:themeColor="text1"/>
        </w:rPr>
        <w:fldChar w:fldCharType="separate"/>
      </w:r>
      <w:r w:rsidR="00281437" w:rsidRPr="00281437">
        <w:rPr>
          <w:color w:val="000000"/>
          <w:vertAlign w:val="superscript"/>
        </w:rPr>
        <w:t>118</w:t>
      </w:r>
      <w:r w:rsidRPr="00735FCE">
        <w:rPr>
          <w:color w:val="000000" w:themeColor="text1"/>
        </w:rPr>
        <w:fldChar w:fldCharType="end"/>
      </w:r>
      <w:r w:rsidRPr="00735FCE">
        <w:rPr>
          <w:color w:val="000000" w:themeColor="text1"/>
        </w:rPr>
        <w:t xml:space="preserve">. In addition, premenopausal women have a greater proportion of α2-adrenergic receptors </w:t>
      </w:r>
      <w:r>
        <w:rPr>
          <w:color w:val="000000" w:themeColor="text1"/>
        </w:rPr>
        <w:t>compared</w:t>
      </w:r>
      <w:r w:rsidRPr="00735FCE">
        <w:rPr>
          <w:color w:val="000000" w:themeColor="text1"/>
        </w:rPr>
        <w:t xml:space="preserve"> to β1</w:t>
      </w:r>
      <w:r>
        <w:rPr>
          <w:color w:val="000000" w:themeColor="text1"/>
        </w:rPr>
        <w:t xml:space="preserve"> and </w:t>
      </w:r>
      <w:r w:rsidRPr="00735FCE">
        <w:rPr>
          <w:color w:val="000000" w:themeColor="text1"/>
        </w:rPr>
        <w:t>β2 adrenergic receptors in SAT</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{"citationID":"XCoAKdQb","properties":{"formattedCitation":"\\super 119,120\\nosupersub{}","plainCitation":"119,120","noteIndex":0},"citationItems":[{"id":3791,"uris":["http://zotero.org/users/9622455/items/MMVIKYDN"],"itemData":{"id":3791,"type":"article-journal","abstract":"The adrenergic system plays an active role in modulating synaptic transmission in hypothalamic neurocircuitry. While α2-adrenergic receptors are widely distributed in various organs and are involved in various physiological functions, their specific role in the regulation of energy metabolism in the brain remains incompletely understood. Herein, we investigated the functions of α2-adrenergic receptors in the hypothalamus on energy metabolism in mice. Our study confirmed the expression of α2-adrenergic receptors in hypothalamic dopaminergic neurons and assessed metabolic phenotypes, including food intake and energy expenditure, after treatment with guanabenz, an α2-adrenergic receptor agonist. Guanabenz treatment significantly increased food intake (0.25 ± 0.03 g vs. 0.98 ± 0.05 g, p &lt; 0.001) and body weight (−0.1 ± 0.04 g vs. 0.33 ± 0.03 g, p &lt; 0.001) within 6 h post-treatment. Furthermore, guanabenz markedly elevated energy expenditure parameters, including respiratory exchange ratio (RER, 1.017 ± 0.007 vs. 1.113 ± 0.03, p &lt; 0.01) and carbon dioxide production (1.512 ± 0.018 mL/min vs. 1.635 ± 0.036 mL/min, p &lt; 0.05), compared to vehicle-treated controls. Furthermore, using chemogenetic techniques, we demonstrated that the altered metabolic phenotypes induced by guanabenz treatment were effectively reversed by inhibiting the activity of dopaminergic neurons in the hypothalamic arcuate nucleus (ARC) using a chemogenetic technique. Our findings suggest functional connectivity between hypothalamic α2-adrenergic receptor signals and dopaminergic neurons in metabolic controls.","container-title":"International Journal of Molecular Sciences","DOI":"10.3390/ijms26083590","ISSN":"1422-0067","issue":"8","language":"en","license":"http://creativecommons.org/licenses/by/3.0/","note":"number: 8\npublisher: Multidisciplinary Digital Publishing Institute","page":"3590","source":"www.mdpi.com","title":"α2-Adrenergic Receptors in Hypothalamic Dopaminergic Neurons: Impact on Food Intake and Energy Expenditure","title-short":"α2-Adrenergic Receptors in Hypothalamic Dopaminergic Neurons","volume":"26","author":[{"family":"Park","given":"Byong Seo"},{"family":"Yang","given":"Hye Rim"},{"family":"Kang","given":"Hara"},{"family":"Kim","given":"Kwang Kon"},{"family":"Kim","given":"Yang Tae"},{"family":"Yang","given":"Sunggu"},{"family":"Kim","given":"Jae Geun"}],"issued":{"date-parts":[["2025",1]]}}},{"id":3786,"uris":["http://zotero.org/users/9622455/items/GI4ZYDEU"],"itemData":{"id":3786,"type":"article-journal","abstract":"Estrogen seems to promote and maintain the typical female type of fat distribution that is characterized by accumulation of adipose tissue, especially in the sc fat depot, with only modest accumulation of adipose tissue intraabdominally. However, it is completely unknown how estrogen controls the fat accumulation.We studied the effects of estradiol in vivo and in vitro on human adipose tissue metabolism and found that estradiol directly increases the number of antilipolytic α2A-adrenergic receptors in sc adipocytes. The increased number of α2A-adrenergic receptors caused an attenuated lipolytic response of epinephrine in sc adipocytes; in contrast, no effect of estrogen on α2A-adrenergic receptor mRNA expression was observed in adipocytes from the intraabdominal fat depot.These findings show that estrogen lowers the lipolytic response in sc fat depot by increasing the number of antilipolytic α2A-adrenergic receptors, whereas estrogen seems not to affect lipolysis in adipocytes from the intraabdominal fat depot. Using estrogen receptor subtype-specific ligands, we found that this effect of estrogen was caused through the estrogen receptor subtype α.These findings demonstrate that estrogen attenuates the lipolytic response through up-regulation of the number of antilipolytic α2A-adrenergic receptors only in sc and not in visceral fat depots. Thus, our findings offer an explanation how estrogen maintains the typical female sc fat distribution because estrogen seems to inhibit lipolysis only in sc depots and thereby shifts the assimilation of fat from intraabdominal depots to sc depots.","container-title":"The Journal of Clinical Endocrinology &amp; Metabolism","DOI":"10.1210/jc.2003-031327","ISSN":"0021-972X","issue":"4","journalAbbreviation":"The Journal of Clinical Endocrinology &amp; Metabolism","page":"1869-1878","source":"Silverchair","title":"Estrogen Controls Lipolysis by Up-Regulating α2A-Adrenergic Receptors Directly in Human Adipose Tissue through the Estrogen Receptor α. Implications for the Female Fat Distribution","volume":"89","author":[{"family":"Pedersen","given":"Steen B."},{"family":"Kristensen","given":"Kurt"},{"family":"Hermann","given":"Pernille A."},{"family":"Katzenellenbogen","given":"John A."},{"family":"Richelsen","given":"Bjørn"}],"issued":{"date-parts":[["2004",4,1]]}}}],"schema":"https://github.com/citation-style-language/schema/raw/master/csl-citation.json"} </w:instrText>
      </w:r>
      <w:r w:rsidRPr="00735FCE">
        <w:rPr>
          <w:color w:val="000000" w:themeColor="text1"/>
        </w:rPr>
        <w:fldChar w:fldCharType="separate"/>
      </w:r>
      <w:r w:rsidR="00281437" w:rsidRPr="00281437">
        <w:rPr>
          <w:color w:val="000000"/>
          <w:vertAlign w:val="superscript"/>
        </w:rPr>
        <w:t>119,120</w:t>
      </w:r>
      <w:r w:rsidRPr="00735FCE">
        <w:rPr>
          <w:color w:val="000000" w:themeColor="text1"/>
        </w:rPr>
        <w:fldChar w:fldCharType="end"/>
      </w:r>
      <w:r w:rsidRPr="00735FCE">
        <w:rPr>
          <w:color w:val="000000" w:themeColor="text1"/>
        </w:rPr>
        <w:t>. This expression pattern inhibits lipolysis induced by catecholamines, resulting in less fat breakdown in SAT and more fat accumulation in the subcutaneous and gluteofemoral regions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{"citationID":"ziRsdmAP","properties":{"formattedCitation":"\\super 121\\nosupersub{}","plainCitation":"121","noteIndex":0},"citationItems":[{"id":3793,"uris":["http://zotero.org/users/9622455/items/3LSRJ3DN"],"itemData":{"id":3793,"type":"article-journal","abstract":"The NIH has recently highlighted the importance of sexual dimorphisms and has mandated inclusion of both sexes in clinical trials and basic research. In this review we highlight new and novel ways sex hormones influence body adiposity and the metabolic syndrome. Understanding how and why metabolic processes differ by sex will enable clinicians to target and personalize therapies based on gender. Adipose tissue function and deposition differ by sex. Females differ with respect to distribution of adipose tissues, males tend to accrue more visceral fat, leading to the classic android body shape which has been highly correlated to increased cardiovascular risk; whereas females accrue more fat in the subcutaneous depot prior to menopause, a feature which affords protection from the negative consequences associated with obesity and the metabolic syndrome. After menopause, fat deposition and accrual shift to favor the visceral depot. This shift is accompanied by a parallel increase in metabolic risk reminiscent to that seen in men. A full understanding of the physiology behind why, and by what mechanisms, adipose tissues accumulate in specific depots and how these depots differ metabolically by sex is important in efforts of prevention of obesity and chronic disease. Estrogens, directly or through activation of their receptors on adipocytes and in adipose tissues, facilitate adipose tissue deposition and function. Evidence suggests that estrogens augment the sympathetic tone differentially to the adipose tissue depots favoring lipid accumulation in the subcutaneous depot in women and visceral fat deposition in men. At the level of adipocyte function, estrogens and their receptors influence the expandability of fat cells enhancing the expandability in the subcutaneous depot and inhibiting it in the visceral depot. Sex hormones clearly influence adipose tissue function and deposition, determining how to capture and utilize their function in a time of caloric surfeit, requires more information. The key will be harnessing the beneficial effects of sex hormones in such a way as to provide ‘healthy’ adiposity.","container-title":"Molecular and Cellular Endocrinology","DOI":"10.1016/j.mce.2014.11.029","ISSN":"0303-7207","journalAbbreviation":"Molecular and Cellular Endocrinology","page":"113-119","source":"ScienceDirect","title":"The sexual dimorphism of obesity","volume":"402","author":[{"family":"Palmer","given":"Biff F."},{"family":"Clegg","given":"Deborah J."}],"issued":{"date-parts":[["2015",2,15]]}}}],"schema":"https://github.com/citation-style-language/schema/raw/master/csl-citation.json"} </w:instrText>
      </w:r>
      <w:r w:rsidRPr="00735FCE">
        <w:rPr>
          <w:color w:val="000000" w:themeColor="text1"/>
        </w:rPr>
        <w:fldChar w:fldCharType="separate"/>
      </w:r>
      <w:r w:rsidR="00281437" w:rsidRPr="00281437">
        <w:rPr>
          <w:color w:val="000000"/>
          <w:vertAlign w:val="superscript"/>
        </w:rPr>
        <w:t>121</w:t>
      </w:r>
      <w:r w:rsidRPr="00735FCE">
        <w:rPr>
          <w:color w:val="000000" w:themeColor="text1"/>
        </w:rPr>
        <w:fldChar w:fldCharType="end"/>
      </w:r>
      <w:r w:rsidRPr="00735FCE">
        <w:rPr>
          <w:color w:val="000000" w:themeColor="text1"/>
        </w:rPr>
        <w:t xml:space="preserve">. </w:t>
      </w:r>
      <w:r w:rsidRPr="00735FCE">
        <w:rPr>
          <w:color w:val="000000" w:themeColor="text1"/>
        </w:rPr>
        <w:lastRenderedPageBreak/>
        <w:t>In contrast, visceral fat in men has a relatively lower ratio of α2 to β1-2 adrenergic receptors, leading to increased lipolysis and re-esterification of fats in visceral adipose tissue, resulting in enhanced visceral fat storage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{"citationID":"SaC7Tklm","properties":{"formattedCitation":"\\super 122\\nosupersub{}","plainCitation":"122","noteIndex":0},"citationItems":[{"id":3797,"uris":["http://zotero.org/users/9622455/items/GJ2VQYEG"],"itemData":{"id":3797,"type":"article-journal","abstract":"Among adrenergic receptor subtypes that regulate lipid mobilization, the α2-adrenergic receptor is involved in the inhibition of fatty acid mobilization from adipose tissue. A C-1291G polymorphism is located in the α2-adrenergic receptor gene (ADRA2A) but no association with body fat accumulation has been reported yet. Body mass index (BMI), fat mass (FAT), percentage body fat (%FAT), trunk-to-extremity skinfold ratio (TER), sum of eight skinfolds (SF8), and abdominal subcutaneous (ASF), visceral (AVF), and total (ATF) fat areas assessed by CT scan have been measured in adult sedentary white (n = 503) and black (n = 276) subjects participating in the HERITAGE Family Study. Association between the C-1291G polymorphism and each phenotype was tested separately in men and women of each race using ANCOVA with the effects of age as covariate in addition to the effects of BMI for TER and of FAT for AVF, ASF, and ATF. The allele frequencies of the ADRA2A C-1291G polymorphism differed between races. No association was observed in white subjects, except for a moderate effect of the polymorphism accounting for less than 1% of the variance in AVF and ATF in women. In black subjects, however, the G-1291 allele was found to be associated with an increase of TER in men (3.8% of variance accounted for by the polymorphism), while in black women it was associated with a decrease in TER (2.9%) and in AVF (2.5%). These results suggest a role for the ADRA2A gene in determining the propensity to store fat in the abdominal area, independently of total body fatness.","container-title":"Molecular Medicine","DOI":"10.1007/BF03402078","ISSN":"1528-3658","issue":"2","journalAbbreviation":"Mol Med","language":"en","license":"2002 NSLIJ Research Institute","note":"number: 2\npublisher: BioMed Central","page":"88-94","source":"molmed.biomedcentral.com","title":"The Alpha2-Adrenergic Receptor Gene and Body Fat Content and Distribution: The HERITAGE Family Study","title-short":"The Alpha2-Adrenergic Receptor Gene and Body Fat Content and Distribution","volume":"8","author":[{"family":"Garenc","given":"Christophe"},{"family":"Pérusse","given":"Louis"},{"family":"Chagnon","given":"Yvon C."},{"family":"Rankinen","given":"Tuomo"},{"family":"Gagnon","given":"Jacques"},{"family":"Borecki","given":"Ingrid B."},{"family":"Leon","given":"Arthur S."},{"family":"Skinner","given":"James S."},{"family":"Wilmore","given":"Jack H."},{"family":"Rao","given":"D. C."},{"family":"Bouchard","given":"Claude"}],"issued":{"date-parts":[["2002",2]]}}}],"schema":"https://github.com/citation-style-language/schema/raw/master/csl-citation.json"} </w:instrText>
      </w:r>
      <w:r w:rsidRPr="00735FCE">
        <w:rPr>
          <w:color w:val="000000" w:themeColor="text1"/>
        </w:rPr>
        <w:fldChar w:fldCharType="separate"/>
      </w:r>
      <w:r w:rsidR="00281437" w:rsidRPr="00281437">
        <w:rPr>
          <w:color w:val="000000"/>
          <w:vertAlign w:val="superscript"/>
        </w:rPr>
        <w:t>122</w:t>
      </w:r>
      <w:r w:rsidRPr="00735FCE">
        <w:rPr>
          <w:color w:val="000000" w:themeColor="text1"/>
        </w:rPr>
        <w:fldChar w:fldCharType="end"/>
      </w:r>
      <w:r w:rsidRPr="00735FCE">
        <w:rPr>
          <w:color w:val="000000" w:themeColor="text1"/>
        </w:rPr>
        <w:t>.</w:t>
      </w:r>
    </w:p>
    <w:p w14:paraId="6B4D375B" w14:textId="75226D00" w:rsidR="009117C0" w:rsidRPr="00735FCE" w:rsidRDefault="009117C0" w:rsidP="00B007DA">
      <w:pPr>
        <w:ind w:firstLine="720"/>
        <w:jc w:val="left"/>
        <w:rPr>
          <w:color w:val="000000" w:themeColor="text1"/>
        </w:rPr>
      </w:pPr>
      <w:r w:rsidRPr="00735FCE">
        <w:rPr>
          <w:color w:val="000000" w:themeColor="text1"/>
        </w:rPr>
        <w:t xml:space="preserve">In addition, sex hormones differentially regulate the biology of adipose tissue and thermogenesis in a </w:t>
      </w:r>
      <w:r>
        <w:rPr>
          <w:color w:val="000000" w:themeColor="text1"/>
        </w:rPr>
        <w:t>sex-specific</w:t>
      </w:r>
      <w:r w:rsidRPr="00735FCE">
        <w:rPr>
          <w:color w:val="000000" w:themeColor="text1"/>
        </w:rPr>
        <w:t xml:space="preserve"> manner</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{"citationID":"apai3VSp","properties":{"formattedCitation":"\\super 110,123\\nosupersub{}","plainCitation":"110,123","noteIndex":0},"citationItems":[{"id":3763,"uris":["http://zotero.org/users/9622455/items/ELH83HEP"],"itemData":{"id":3763,"type":"article-journal","abstract":"The prevalence of obesity has reached epidemic proportion with enormous costs in both human lives and healthcare dollars spent. Obesity-related metabolic disorders are much lower in premenopausal women than men; however, there is a dramatic increase following menopause in women. The health risks associated with obesity vary depending on the location of adipose tissue. Adipose tissue distributed in the abdominal visceral carry a much greater risk for metabolic disorders than does adipose tissue distributed subcutaneously. There are distinct sex-dependent differences in the regional fat distribution, women carry more fat subcutaneously whereas men carry more fat viscerally. Males and females differ with respect to their regulation of energy homeostasis. Peripheral adiposity hormones such as leptin and insulin as well as sex hormones directly influence energy balance. Sexual dimorphisms in energy balance, body fat distribution, and the role sex hormones have in mediating these differences are the focus of this review.","container-title":"Frontiers in neuroendocrinology","DOI":"10.1016/j.yfrne.2009.03.004","ISSN":"0091-3022","issue":"3","journalAbbreviation":"Front Neuroendocrinol","note":"PMID: 19341761\nPMCID: PMC4517605","page":"396-404","source":"PubMed Central","title":"Sexual Differences in the Control of Energy Homeostasis","volume":"30","author":[{"family":"Shi","given":"Haifei"},{"family":"Seeley","given":"Randy J."},{"family":"Clegg","given":"Deborah J."}],"issued":{"date-parts":[["2009",8]]}}},{"id":3799,"uris":["http://zotero.org/users/9622455/items/4RSGKCS4"],"itemData":{"id":3799,"type":"article-journal","abstract":"Excessive fat accumulation in the body causes overweight and obesity. To date, research has confirmed that there are two types of adipose tissue with opposing functions: lipid-storing white adipose tissue (WAT) and lipid-burning brown adipose tissue (BAT). After the rediscovery of the presence of metabolically active BAT in adults, BAT has received increasing attention especially since activation of BAT is considered a promising way to combat obesity and associated comorbidities. It has become clear that energy homeostasis differs between the sexes, which has a significant impact on the development of pathological conditions such as type 2 diabetes. Sex differences in BAT activity may contribute to this and, therefore, it is important to address the underlying mechanisms that contribute to sex differences in BAT activity. In this review, we discuss the role of sex hormones in the regulation of BAT activity under physiological and some pathological conditions. Given the increasing number of studies suggesting a crosstalk between sex hormones and the hypothalamic-pituitary-adrenal axis in metabolism, we also discuss this crosstalk in relation to sex differences in BAT activity.","container-title":"Frontiers in Endocrinology","DOI":"10.3389/fendo.2021.652444","ISSN":"1664-2392","journalAbbreviation":"Front Endocrinol (Lausanne)","note":"PMID: 33927694\nPMCID: PMC8078866","page":"652444","source":"PubMed Central","title":"Sex Differences in Brown Adipose Tissue Function: Sex Hormones, Glucocorticoids, and Their Crosstalk","title-short":"Sex Differences in Brown Adipose Tissue Function","volume":"12","author":[{"family":"Kaikaew","given":"Kasiphak"},{"family":"Grefhorst","given":"Aldo"},{"family":"Visser","given":"Jenny A."}],"issued":{"date-parts":[["2021",4,13]]}}}],"schema":"https://github.com/citation-style-language/schema/raw/master/csl-citation.json"} </w:instrText>
      </w:r>
      <w:r w:rsidRPr="00735FCE">
        <w:rPr>
          <w:color w:val="000000" w:themeColor="text1"/>
        </w:rPr>
        <w:fldChar w:fldCharType="separate"/>
      </w:r>
      <w:r w:rsidR="00281437" w:rsidRPr="00281437">
        <w:rPr>
          <w:color w:val="000000"/>
          <w:vertAlign w:val="superscript"/>
        </w:rPr>
        <w:t>110,123</w:t>
      </w:r>
      <w:r w:rsidRPr="00735FCE">
        <w:rPr>
          <w:color w:val="000000" w:themeColor="text1"/>
        </w:rPr>
        <w:fldChar w:fldCharType="end"/>
      </w:r>
      <w:r w:rsidRPr="00735FCE">
        <w:rPr>
          <w:color w:val="000000" w:themeColor="text1"/>
        </w:rPr>
        <w:t>. In females, estrogen primarily</w:t>
      </w:r>
      <w:r>
        <w:rPr>
          <w:color w:val="000000" w:themeColor="text1"/>
        </w:rPr>
        <w:t xml:space="preserve"> acts</w:t>
      </w:r>
      <w:r w:rsidRPr="00735FCE">
        <w:rPr>
          <w:color w:val="000000" w:themeColor="text1"/>
        </w:rPr>
        <w:t xml:space="preserve"> via the estrogen receptor alpha (ERα) to promote hyperplasia and the expansion of subcutaneous adipose tissue</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{"citationID":"8VckKfX6","properties":{"formattedCitation":"\\super 124\\nosupersub{}","plainCitation":"124","noteIndex":0},"citationItems":[{"id":3802,"uris":["http://zotero.org/users/9622455/items/EFTG7PTH"],"itemData":{"id":3802,"type":"article-journal","abstract":"Menopause-related decline in estrogen levels is accompanied by a change in adipose tissue distribution from a gynoid to an android and an increased prevalence of obesity in women. These unfavorable phenomena can be partially restored by hormone replacement therapy, suggesting a significant role for estrogen in the regulation of adipocytes’ function. Indeed, preclinical studies proved the involvement of these hormones in adipose tissue development, metabolism, and inflammatory activity. However, the relationship between estrogen and obesity is bidirectional. On the one hand-their deficiency leads to excessive fat accumulation and impairs adipocyte function, on the other-adipose tissue of obese individuals is characterized by altered expression of estrogen receptors and key enzymes involved in their synthesis. This narrative review aims to summarize the role of estrogen in adipose tissue development, physiology, and in obesity-related dysfunction. Firstly, the estrogen classification, synthesis, and modes of action are presented. Next, their role in regulating adipogenesis and adipose tissue activity in health and the course of obesity is described. Finally, the potential therapeutic applications of estrogen and its derivates in obesity treatment are discussed.","container-title":"Biomedicines","DOI":"10.3390/biomedicines11030690","ISSN":"2227-9059","issue":"3","journalAbbreviation":"Biomedicines","note":"PMID: 36979669\nPMCID: PMC10045924","page":"690","source":"PubMed Central","title":"Estrogens in Adipose Tissue Physiology and Obesity-Related Dysfunction","volume":"11","author":[{"family":"Kuryłowicz","given":"Alina"}],"issued":{"date-parts":[["2023",2,24]]}}}],"schema":"https://github.com/citation-style-language/schema/raw/master/csl-citation.json"} </w:instrText>
      </w:r>
      <w:r w:rsidRPr="00735FCE">
        <w:rPr>
          <w:color w:val="000000" w:themeColor="text1"/>
        </w:rPr>
        <w:fldChar w:fldCharType="separate"/>
      </w:r>
      <w:r w:rsidR="00281437" w:rsidRPr="00281437">
        <w:rPr>
          <w:color w:val="000000"/>
          <w:vertAlign w:val="superscript"/>
        </w:rPr>
        <w:t>124</w:t>
      </w:r>
      <w:r w:rsidRPr="00735FCE">
        <w:rPr>
          <w:color w:val="000000" w:themeColor="text1"/>
        </w:rPr>
        <w:fldChar w:fldCharType="end"/>
      </w:r>
      <w:r w:rsidRPr="00735FCE">
        <w:rPr>
          <w:color w:val="000000" w:themeColor="text1"/>
        </w:rPr>
        <w:t xml:space="preserve">. In </w:t>
      </w:r>
      <w:r>
        <w:rPr>
          <w:color w:val="000000" w:themeColor="text1"/>
        </w:rPr>
        <w:t xml:space="preserve">the </w:t>
      </w:r>
      <w:r w:rsidRPr="00735FCE">
        <w:rPr>
          <w:color w:val="000000" w:themeColor="text1"/>
        </w:rPr>
        <w:t xml:space="preserve">SAT, ERα signaling increases the </w:t>
      </w:r>
      <w:r>
        <w:rPr>
          <w:color w:val="000000" w:themeColor="text1"/>
        </w:rPr>
        <w:t xml:space="preserve">expression of </w:t>
      </w:r>
      <w:r w:rsidRPr="00735FCE">
        <w:rPr>
          <w:color w:val="000000" w:themeColor="text1"/>
        </w:rPr>
        <w:t xml:space="preserve">α2A-adrenergic receptors, which inhibits catecholamine-stimulated lipolysis and enables lipid accumulation </w:t>
      </w:r>
      <w:r>
        <w:rPr>
          <w:color w:val="000000" w:themeColor="text1"/>
        </w:rPr>
        <w:t>in</w:t>
      </w:r>
      <w:r w:rsidRPr="00735FCE">
        <w:rPr>
          <w:color w:val="000000" w:themeColor="text1"/>
        </w:rPr>
        <w:t xml:space="preserve"> the gluteofemoral regions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{"citationID":"XieqIpzV","properties":{"formattedCitation":"\\super 120\\nosupersub{}","plainCitation":"120","noteIndex":0},"citationItems":[{"id":3786,"uris":["http://zotero.org/users/9622455/items/GI4ZYDEU"],"itemData":{"id":3786,"type":"article-journal","abstract":"Estrogen seems to promote and maintain the typical female type of fat distribution that is characterized by accumulation of adipose tissue, especially in the sc fat depot, with only modest accumulation of adipose tissue intraabdominally. However, it is completely unknown how estrogen controls the fat accumulation.We studied the effects of estradiol in vivo and in vitro on human adipose tissue metabolism and found that estradiol directly increases the number of antilipolytic α2A-adrenergic receptors in sc adipocytes. The increased number of α2A-adrenergic receptors caused an attenuated lipolytic response of epinephrine in sc adipocytes; in contrast, no effect of estrogen on α2A-adrenergic receptor mRNA expression was observed in adipocytes from the intraabdominal fat depot.These findings show that estrogen lowers the lipolytic response in sc fat depot by increasing the number of antilipolytic α2A-adrenergic receptors, whereas estrogen seems not to affect lipolysis in adipocytes from the intraabdominal fat depot. Using estrogen receptor subtype-specific ligands, we found that this effect of estrogen was caused through the estrogen receptor subtype α.These findings demonstrate that estrogen attenuates the lipolytic response through up-regulation of the number of antilipolytic α2A-adrenergic receptors only in sc and not in visceral fat depots. Thus, our findings offer an explanation how estrogen maintains the typical female sc fat distribution because estrogen seems to inhibit lipolysis only in sc depots and thereby shifts the assimilation of fat from intraabdominal depots to sc depots.","container-title":"The Journal of Clinical Endocrinology &amp; Metabolism","DOI":"10.1210/jc.2003-031327","ISSN":"0021-972X","issue":"4","journalAbbreviation":"The Journal of Clinical Endocrinology &amp; Metabolism","page":"1869-1878","source":"Silverchair","title":"Estrogen Controls Lipolysis by Up-Regulating α2A-Adrenergic Receptors Directly in Human Adipose Tissue through the Estrogen Receptor α. Implications for the Female Fat Distribution","volume":"89","author":[{"family":"Pedersen","given":"Steen B."},{"family":"Kristensen","given":"Kurt"},{"family":"Hermann","given":"Pernille A."},{"family":"Katzenellenbogen","given":"John A."},{"family":"Richelsen","given":"Bjørn"}],"issued":{"date-parts":[["2004",4,1]]}}}],"schema":"https://github.com/citation-style-language/schema/raw/master/csl-citation.json"} </w:instrText>
      </w:r>
      <w:r w:rsidRPr="00735FCE">
        <w:rPr>
          <w:color w:val="000000" w:themeColor="text1"/>
        </w:rPr>
        <w:fldChar w:fldCharType="separate"/>
      </w:r>
      <w:r w:rsidR="00281437" w:rsidRPr="00281437">
        <w:rPr>
          <w:color w:val="000000"/>
          <w:vertAlign w:val="superscript"/>
        </w:rPr>
        <w:t>120</w:t>
      </w:r>
      <w:r w:rsidRPr="00735FCE">
        <w:rPr>
          <w:color w:val="000000" w:themeColor="text1"/>
        </w:rPr>
        <w:fldChar w:fldCharType="end"/>
      </w:r>
      <w:r w:rsidRPr="00735FCE">
        <w:rPr>
          <w:color w:val="000000" w:themeColor="text1"/>
        </w:rPr>
        <w:t>. In contrast, lower ERα expression in male</w:t>
      </w:r>
      <w:r>
        <w:rPr>
          <w:rFonts w:hint="eastAsia"/>
          <w:color w:val="000000" w:themeColor="text1"/>
          <w:lang w:eastAsia="zh-CN"/>
        </w:rPr>
        <w:t xml:space="preserve"> </w:t>
      </w:r>
      <w:r>
        <w:rPr>
          <w:color w:val="000000" w:themeColor="text1"/>
          <w:lang w:eastAsia="zh-CN"/>
        </w:rPr>
        <w:t xml:space="preserve">VAT </w:t>
      </w:r>
      <w:r w:rsidRPr="00735FCE">
        <w:rPr>
          <w:color w:val="000000" w:themeColor="text1"/>
        </w:rPr>
        <w:t xml:space="preserve">contributes to </w:t>
      </w:r>
      <w:r>
        <w:rPr>
          <w:color w:val="000000" w:themeColor="text1"/>
        </w:rPr>
        <w:t>increased</w:t>
      </w:r>
      <w:r w:rsidRPr="00735FCE">
        <w:rPr>
          <w:color w:val="000000" w:themeColor="text1"/>
        </w:rPr>
        <w:t xml:space="preserve"> lipolytic activity and visceral fat accumulation</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{"citationID":"VwVymWMZ","properties":{"formattedCitation":"\\super 125\\nosupersub{}","plainCitation":"125","noteIndex":0},"citationItems":[{"id":3805,"uris":["http://zotero.org/users/9622455/items/2Y8BRR94"],"itemData":{"id":3805,"type":"article-journal","abstract":"Excessive adiposity (particularly visceral fat mass) increases the risks of developing metabolic syndrome. Women have lower deposit of visceral fat than men, and this pattern becomes diminished postmenopausally, but the underlying mechanism remains largely unknown. Here, we show that the gender difference in visceral fat distribution is controlled by an estradiol–autophagy axis. In C57BL/6J and wild-type control mice, a higher visceral fat mass was detected in the males than in the females, which was associated with lower expression of estrogen receptor α (ERα) and more active autophagy in males vs. females. However, deletion of ERα normalized autophagy activity and abolished the gender difference in visceral adiposity. In line with the adiposity-reducing effect of the ERα–autophagy axis, we found that downregulation of ERα and increased autophagy activity were required for adipogenesis, while induction of estradiol signaling dampened autophagy and drastically prevented adipogenesis. Mechanistically, the estradiol-ERα signaling activated mTOR, which phosphorylated and inhibited ULK1, thereby suppressing autophagy and adipogenesis. Together, our study suggests that the lower visceral adiposity in the females (vs. the males) arises from a more active estradiol-ERα signaling, which tunes down autophagy and adipogenesis.","container-title":"Cell Death &amp; Disease","DOI":"10.1038/s41419-018-0372-9","ISSN":"2041-4889","issue":"3","journalAbbreviation":"Cell Death Dis","language":"en","license":"2018 The Author(s)","note":"publisher: Nature Publishing Group","page":"1-13","source":"www.nature.com","title":"Estradiol signaling mediates gender difference in visceral adiposity via autophagy","volume":"9","author":[{"family":"Tao","given":"Zhipeng"},{"family":"Zheng","given":"Louise D."},{"family":"Smith","given":"Cayleen"},{"family":"Luo","given":"Jing"},{"family":"Robinson","given":"Alex"},{"family":"Almeida","given":"Fabio A."},{"family":"Wang","given":"Zongwei"},{"family":"Olumi","given":"Aria F."},{"family":"Liu","given":"Dongmin"},{"family":"Cheng","given":"Zhiyong"}],"issued":{"date-parts":[["2018",2,22]]}}}],"schema":"https://github.com/citation-style-language/schema/raw/master/csl-citation.json"} </w:instrText>
      </w:r>
      <w:r w:rsidRPr="00735FCE">
        <w:rPr>
          <w:color w:val="000000" w:themeColor="text1"/>
        </w:rPr>
        <w:fldChar w:fldCharType="separate"/>
      </w:r>
      <w:r w:rsidR="00281437" w:rsidRPr="00281437">
        <w:rPr>
          <w:color w:val="000000"/>
          <w:vertAlign w:val="superscript"/>
        </w:rPr>
        <w:t>125</w:t>
      </w:r>
      <w:r w:rsidRPr="00735FCE">
        <w:rPr>
          <w:color w:val="000000" w:themeColor="text1"/>
        </w:rPr>
        <w:fldChar w:fldCharType="end"/>
      </w:r>
      <w:r w:rsidRPr="00735FCE">
        <w:rPr>
          <w:color w:val="000000" w:themeColor="text1"/>
        </w:rPr>
        <w:t>. Estrogen also has central regulatory action in the hypothalamus through ERα, which activates the AMP-activated protein kinase (AMPK) in the ventromedial hypothalamus to increase thermogenesis</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{"citationID":"0QyBVGkZ","properties":{"formattedCitation":"\\super 126\\nosupersub{}","plainCitation":"126","noteIndex":0},"citationItems":[{"id":3807,"uris":["http://zotero.org/users/9622455/items/GJS8ZML2"],"itemData":{"id":3807,"type":"article-journal","abstract":"Estrogens play a major role in the modulation of energy balance through central and peripheral actions. Here, we demonstrate that central action of estradiol (E2) inhibits AMP-activated protein kinase (AMPK) through estrogen receptor alpha (ERα) selectively in the ventromedial nucleus of the hypothalamus (VMH), leading to activation of thermogenesis in brown adipose tissue (BAT) through the sympathetic nervous system (SNS) in a feeding-independent manner. Genetic activation of AMPK in the VMH prevented E2-induced increase in BAT-mediated thermogenesis and weight loss. Notably, fluctuations in E2 levels during estrous cycle also modulate this integrated physiological network. Together, these findings demonstrate that E2 regulation of the VMH AMPK-SNS-BAT axis is an important determinant of energy balance and suggest that dysregulation in this axis may account for the common changes in energy homeostasis and obesity linked to dysfunction of the female gonadal axis., •Central estradiol (E2) promotes negative energy balance•Central E2 increases thermogenic sympathetic nerve activity•Central E2 inhibits AMPK, specifically in the VMH, through ERα•The VMH AMPK-SNS-BAT axis mediates the central actions of E2 on energy balance, Estrogens play a major role in the regulation of body weight. Martínez de Morentin and colleagues show that estradiol (E2), acting through estrogen receptor alpha, selectively inhibits the energy sensor AMPK in the brain hypothalamic ventromedial nucleus, leading to activation of thermogenesis in brown adipose tissue.","container-title":"Cell Metabolism","DOI":"10.1016/j.cmet.2014.03.031","ISSN":"1550-4131","issue":"1","journalAbbreviation":"Cell Metab","note":"PMID: 24856932\nPMCID: PMC4082097","page":"41-53","source":"PubMed Central","title":"Estradiol Regulates Brown Adipose Tissue Thermogenesis via Hypothalamic AMPK","volume":"20","author":[{"family":"Martínez de Morentin","given":"Pablo B."},{"family":"González-García","given":"Ismael"},{"family":"Martins","given":"Luís"},{"family":"Lage","given":"Ricardo"},{"family":"Fernández-Mallo","given":"Diana"},{"family":"Martínez-Sánchez","given":"Noelia"},{"family":"Ruíz-Pino","given":"Francisco"},{"family":"Liu","given":"Ji"},{"family":"Morgan","given":"Donald A."},{"family":"Pinilla","given":"Leonor"},{"family":"Gallego","given":"Rosalía"},{"family":"Saha","given":"Asish K."},{"family":"Kalsbeek","given":"Andries"},{"family":"Fliers","given":"Eric"},{"family":"Bisschop","given":"Peter H."},{"family":"Diéguez","given":"Carlos"},{"family":"Nogueiras","given":"Rubén"},{"family":"Rahmouni","given":"Kamal"},{"family":"Tena-Sempere","given":"Manuel"},{"family":"López","given":"Miguel"}],"issued":{"date-parts":[["2014",7,1]]}}}],"schema":"https://github.com/citation-style-language/schema/raw/master/csl-citation.json"} </w:instrText>
      </w:r>
      <w:r w:rsidRPr="00735FCE">
        <w:rPr>
          <w:color w:val="000000" w:themeColor="text1"/>
        </w:rPr>
        <w:fldChar w:fldCharType="separate"/>
      </w:r>
      <w:r w:rsidR="00281437" w:rsidRPr="00281437">
        <w:rPr>
          <w:color w:val="000000"/>
          <w:vertAlign w:val="superscript"/>
        </w:rPr>
        <w:t>126</w:t>
      </w:r>
      <w:r w:rsidRPr="00735FCE">
        <w:rPr>
          <w:color w:val="000000" w:themeColor="text1"/>
        </w:rPr>
        <w:fldChar w:fldCharType="end"/>
      </w:r>
      <w:r w:rsidRPr="00735FCE">
        <w:rPr>
          <w:color w:val="000000" w:themeColor="text1"/>
        </w:rPr>
        <w:t xml:space="preserve">. On the other hand, </w:t>
      </w:r>
      <w:r>
        <w:rPr>
          <w:color w:val="000000" w:themeColor="text1"/>
        </w:rPr>
        <w:t xml:space="preserve">a deficiency of </w:t>
      </w:r>
      <w:r w:rsidRPr="00735FCE">
        <w:rPr>
          <w:color w:val="000000" w:themeColor="text1"/>
        </w:rPr>
        <w:t>testosterone promotes the deposition of visceral fat and is associated with negative metabolic profiles in men through the action of the androgen receptor (AR)</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{"citationID":"uXYV6ReA","properties":{"formattedCitation":"\\super 127,128\\nosupersub{}","plainCitation":"127,128","noteIndex":0},"citationItems":[{"id":3815,"uris":["http://zotero.org/users/9622455/items/VHYIFPFD"],"itemData":{"id":3815,"type":"article-journal","abstract":"Prostate cancer (PCa) is one of the most frequently diagnosed malignancies in men. Androgen-deprivation therapy (ADT) is the first-line treatment and fundamental management for men with advanced PCa to suppress functions of androgen/androgen receptor (AR) signaling. ADT is effective at improving cancer symptoms and prolonging survival. However, epidemiological and clinical studies support the notion that testosterone deficiency in men leads to the development of metabolic syndrome that increases cardiovascular disease risk. The underlying mechanisms by which androgen/AR signaling regulates metabolic homeostasis in men are complex, and in this review, we discuss molecular mechanisms mediated by AR signaling that link ADT to metabolic syndrome. Results derived from various AR knockout mouse models reveal tissue-specific AR signaling that is involved in regulation of metabolism. These data suggest that steps be taken early to manage metabolic complications associated with PCa patients receiving ADT, which could be accomplished using tissue-selective modulation of AR signaling and by treatment with insulin-sensitizing agents.","container-title":"Diabetes","DOI":"10.2337/db13-1505","ISSN":"0012-1797, 1939-327X","issue":"10","language":"en","page":"3180-3188","source":"DOI.org (Crossref)","title":"Androgen Receptor Roles in Insulin Resistance and Obesity in Males: The Linkage of Androgen-Deprivation Therapy to Metabolic Syndrome","title-short":"Androgen Receptor Roles in Insulin Resistance and Obesity in Males","volume":"63","author":[{"family":"Yu","given":"I-Chen"},{"family":"Lin","given":"Hung-Yun"},{"family":"Sparks","given":"Janet D."},{"family":"Yeh","given":"Shuyuan"},{"family":"Chang","given":"Chawnshang"}],"issued":{"date-parts":[["2014",10,1]]}}},{"id":3810,"uris":["http://zotero.org/users/9622455/items/D2UT3K5H"],"itemData":{"id":3810,"type":"article-journal","abstract":"Hepatic steatosis is considered the hepatic manifestation of metabolic disorders. Its global prevalence is a growing public health concern, estimated to affect over 30% of the population. Steatosis is strictly linked to metabolic dysfunction, leading to the revised terminology of MASLD (metabolic dysfunction-associated steatotic liver disease). The disease often progresses in conjunction with metabolic syndrome components, significantly increasing cardiovascular and overall mortality risks. The interplay between sex hormones and metabolic dysfunction is crucial, with male hypogonadism and female hyperandrogenism exacerbating the risk and severity of hepatic steatosis. In men, testosterone deficiency is associated with increased visceral adiposity and insulin resistance, creating a vicious cycle of metabolic deterioration. Conversely, in women, hyperandrogenism, particularly in conditions like polycystic ovary syndrome, may lead to severe metabolic disturbances, including hepatic steatosis. Estrogen deficiency also contributes to central adiposity and metabolic syndrome. The aim of this paper is to discuss this complex sex-dimorphic relationship.","container-title":"Livers","DOI":"10.3390/livers4040038","ISSN":"2673-4389","issue":"4","language":"en","license":"http://creativecommons.org/licenses/by/3.0/","note":"number: 4\npublisher: Multidisciplinary Digital Publishing Institute","page":"534-549","source":"www.mdpi.com","title":"Metabolic Syndrome, Hepatic Steatosis and Testosterone: A Matter of Sex","title-short":"Metabolic Syndrome, Hepatic Steatosis and Testosterone","volume":"4","author":[{"family":"Gangitano","given":"Elena"},{"family":"Scannapieco","given":"Francesca"},{"family":"Lubrano","given":"Carla"},{"family":"Gnessi","given":"Lucio"}],"issued":{"date-parts":[["2024",12]]}}}],"schema":"https://github.com/citation-style-language/schema/raw/master/csl-citation.json"} </w:instrText>
      </w:r>
      <w:r w:rsidRPr="00735FCE">
        <w:rPr>
          <w:color w:val="000000" w:themeColor="text1"/>
        </w:rPr>
        <w:fldChar w:fldCharType="separate"/>
      </w:r>
      <w:r w:rsidR="00281437" w:rsidRPr="00281437">
        <w:rPr>
          <w:color w:val="000000"/>
          <w:vertAlign w:val="superscript"/>
        </w:rPr>
        <w:t>127,128</w:t>
      </w:r>
      <w:r w:rsidRPr="00735FCE">
        <w:rPr>
          <w:color w:val="000000" w:themeColor="text1"/>
        </w:rPr>
        <w:fldChar w:fldCharType="end"/>
      </w:r>
      <w:r w:rsidRPr="00735FCE">
        <w:rPr>
          <w:color w:val="000000" w:themeColor="text1"/>
        </w:rPr>
        <w:t xml:space="preserve">. While testosterone replacement therapy helps reduce SAT, it </w:t>
      </w:r>
      <w:r>
        <w:rPr>
          <w:color w:val="000000" w:themeColor="text1"/>
        </w:rPr>
        <w:t>does not affect</w:t>
      </w:r>
      <w:r w:rsidRPr="00735FCE">
        <w:rPr>
          <w:color w:val="000000" w:themeColor="text1"/>
        </w:rPr>
        <w:t xml:space="preserve"> VAT</w:t>
      </w:r>
      <w:r>
        <w:rPr>
          <w:color w:val="000000" w:themeColor="text1"/>
        </w:rPr>
        <w:t xml:space="preserve"> </w:t>
      </w:r>
      <w:r w:rsidRPr="00735FCE">
        <w:rPr>
          <w:color w:val="000000" w:themeColor="text1"/>
        </w:rPr>
        <w:fldChar w:fldCharType="begin"/>
      </w:r>
      <w:r w:rsidR="00281437">
        <w:rPr>
          <w:color w:val="000000" w:themeColor="text1"/>
        </w:rPr>
        <w:instrText xml:space="preserve"> ADDIN ZOTERO_ITEM CSL_CITATION {"citationID":"tLQqDEdE","properties":{"formattedCitation":"\\super 129\\nosupersub{}","plainCitation":"129","noteIndex":0},"citationItems":[{"id":3822,"uris":["http://zotero.org/users/9622455/items/I7VLAZCS"],"itemData":{"id":3822,"type":"article-journal","abstract":"Testosterone therapy increases lean body mass and decreases total fat mass in aging men with low normal testosterone levels. The major challenge is, however, to determine whether the metabolic consequences of testosterone therapy are overall positive. We have previously reported that 6-month testosterone therapy did not improve insulin sensitivity. We investigated the effect of testosterone therapy on regional body fat distribution and on the levels of the insulin-sensitizing adipokine, adiponectin, in aging men with low normal bioavailable testosterone levels.A randomized, double-blinded, placebo-controlled study on 6-month testosterone treatment (gel) in 38 men, aged 60–78 years, with bioavailable testosterone &amp;lt;7.3 nmol/l, and a waist circumference &amp;gt;94 cm.Central fat mass (CFM) and lower extremity fat mass (LEFM) were measured by dual X-ray absorptiometry. Subcutaneous abdominal adipose tissue (SAT), visceral adipose tissue (VAT), and thigh subcutaneous fat area (TFA) were measured by magnetic resonance imaging. Adiponectin levels were measured using an in-house immunofluorometric assay. Coefficients (b) represent the placebo-controlled mean effect of intervention.LEFM was decreased (b=−0.47 kg, P=0.07) while CFM did not change significantly (b=−0.66 kg, P=0.10) during testosterone therapy. SAT (b=−3.0%, P=0.018) and TFA (b=−3.0%, P&amp;lt;0.001) decreased, while VAT (b=1.0%, P=0.54) remained unchanged. Adiponectin levels decreased during testosterone therapy (b=−1.3 mg/l, P=0.001).Testosterone therapy decreased subcutaneous fat on the abdomen and lower extremities, but visceral fat was unchanged. Moreover, adiponectin levels were significantly decreased during testosterone therapy.","container-title":"European Journal of Endocrinology","DOI":"10.1530/EJE-11-0565","ISSN":"0804-4643","issue":"3","journalAbbreviation":"European Journal of Endocrinology","page":"469-476","source":"Silverchair","title":"Testosterone therapy decreases subcutaneous fat and adiponectin in aging men","volume":"166","author":[{"family":"Frederiksen","given":"L"},{"family":"Højlund","given":"K"},{"family":"Hougaard","given":"D M"},{"family":"Mosbech","given":"T H"},{"family":"Larsen","given":"R"},{"family":"Flyvbjerg","given":"A"},{"family":"Frystyk","given":"J"},{"family":"Brixen","given":"K"},{"family":"Andersen","given":"M"}],"issued":{"date-parts":[["2012",3,1]]}}}],"schema":"https://github.com/citation-style-language/schema/raw/master/csl-citation.json"} </w:instrText>
      </w:r>
      <w:r w:rsidRPr="00735FCE">
        <w:rPr>
          <w:color w:val="000000" w:themeColor="text1"/>
        </w:rPr>
        <w:fldChar w:fldCharType="separate"/>
      </w:r>
      <w:r w:rsidR="00281437" w:rsidRPr="00281437">
        <w:rPr>
          <w:color w:val="000000"/>
          <w:vertAlign w:val="superscript"/>
        </w:rPr>
        <w:t>129</w:t>
      </w:r>
      <w:r w:rsidRPr="00735FCE">
        <w:rPr>
          <w:color w:val="000000" w:themeColor="text1"/>
        </w:rPr>
        <w:fldChar w:fldCharType="end"/>
      </w:r>
      <w:r w:rsidRPr="00735FCE">
        <w:rPr>
          <w:color w:val="000000" w:themeColor="text1"/>
        </w:rPr>
        <w:t>. Collectively, these mechanisms</w:t>
      </w:r>
      <w:r>
        <w:rPr>
          <w:color w:val="000000" w:themeColor="text1"/>
        </w:rPr>
        <w:t>, which are</w:t>
      </w:r>
      <w:r w:rsidRPr="00735FCE">
        <w:rPr>
          <w:color w:val="000000" w:themeColor="text1"/>
        </w:rPr>
        <w:t xml:space="preserve"> impacted by hormones</w:t>
      </w:r>
      <w:r>
        <w:rPr>
          <w:color w:val="000000" w:themeColor="text1"/>
        </w:rPr>
        <w:t>,</w:t>
      </w:r>
      <w:r w:rsidRPr="00735FCE">
        <w:rPr>
          <w:color w:val="000000" w:themeColor="text1"/>
        </w:rPr>
        <w:t xml:space="preserve"> help clarify why </w:t>
      </w:r>
      <w:r>
        <w:rPr>
          <w:color w:val="000000" w:themeColor="text1"/>
        </w:rPr>
        <w:t xml:space="preserve">fat </w:t>
      </w:r>
      <w:r w:rsidRPr="00735FCE">
        <w:rPr>
          <w:color w:val="000000" w:themeColor="text1"/>
        </w:rPr>
        <w:t xml:space="preserve">distribution varies </w:t>
      </w:r>
      <w:r>
        <w:rPr>
          <w:color w:val="000000" w:themeColor="text1"/>
        </w:rPr>
        <w:t>by</w:t>
      </w:r>
      <w:r w:rsidRPr="00735FCE">
        <w:rPr>
          <w:color w:val="000000" w:themeColor="text1"/>
        </w:rPr>
        <w:t xml:space="preserve"> sex.</w:t>
      </w:r>
    </w:p>
    <w:p w14:paraId="0C519353" w14:textId="797E65BD" w:rsidR="009117C0" w:rsidRPr="00735FCE" w:rsidRDefault="009117C0" w:rsidP="00B007DA">
      <w:pPr>
        <w:ind w:firstLine="720"/>
        <w:jc w:val="left"/>
      </w:pPr>
      <w:r w:rsidRPr="00735FCE">
        <w:t xml:space="preserve">At the molecular level, genome-wide association studies (GWAS) have </w:t>
      </w:r>
      <w:r>
        <w:t>identified</w:t>
      </w:r>
      <w:r w:rsidRPr="00735FCE">
        <w:t xml:space="preserve"> sex-differentiated single-nucleotide polymorphisms (SNPs) associated with the distribution of body fat and metabolic traits, illustrat</w:t>
      </w:r>
      <w:r>
        <w:t>ing</w:t>
      </w:r>
      <w:r w:rsidRPr="00735FCE">
        <w:t xml:space="preserve"> the heritable factors that contribute to sex differences</w:t>
      </w:r>
      <w:r>
        <w:t xml:space="preserve"> </w:t>
      </w:r>
      <w:r w:rsidRPr="00735FCE">
        <w:fldChar w:fldCharType="begin"/>
      </w:r>
      <w:r w:rsidR="00281437">
        <w:instrText xml:space="preserve"> ADDIN ZOTERO_ITEM CSL_CITATION {"citationID":"aXXfriRF","properties":{"formattedCitation":"\\super 130\\nosupersub{}","plainCitation":"130","noteIndex":0},"citationItems":[{"id":3824,"uris":["http://zotero.org/users/9622455/items/BQ7Y8RNC"],"itemData":{"id":3824,"type":"article-journal","abstract":"Obesity is a chronic condition associated with increased morbidity and mortality and is a risk factor for a number of other diseases including type 2 diabetes and cardiovascular disease. Obesity confers an enormous, costly burden on both individuals and public health more broadly. Body fat distribution is a heritable trait and a well-established predictor of adverse metabolic outcomes. Body fat distribution is distinct from overall obesity in measurement, but studies of body fat distribution can yield insights into the risk factors for and causes of overall obesity. Sexual dimorphism in body fat distribution is present throughout life. Though sexual dimorphism is subtle in early stages of life, it is attenuated in puberty and during menopause. This phenomenon could be, at least in part, due to the influence of sex hormones on the trait. Findings from recent large genome-wide association studies (GWAS) for various measures of body fat distribution (including waist-to-hip ratio, hip or waist circumference, trunk fat percentage and the ratio of android and gynoid fat percentage) emphasize the strong sexual dimorphism in the genetic regulation of fat distribution traits. Importantly, sexual dimorphism is not observed for overall obesity (as assessed by body mass index or total fat percentage). Notably, the genetic loci associated with body fat distribution, which show sexual dimorphism, are located near genes that are expressed in adipose tissues and/or adipose cells. Considering the epidemiological and genetic evidence, sexual dimorphism is a prominent feature of body fat distribution. Research that specifically focuses on sexual dimorphism in fat distribution can provide novel insights into human physiology and into the development of obesity and its comorbidities, as well as yield biological clues that will aid in the improvement of disease prevention and treatment.","container-title":"Bioscience Reports","DOI":"10.1042/BSR20160184","ISSN":"0144-8463","issue":"1","journalAbbreviation":"Bioscience Reports","page":"BSR20160184","source":"Silverchair","title":"Sexual dimorphisms in genetic loci linked to body fat distribution","volume":"37","author":[{"family":"Pulit","given":"Sara L."},{"family":"Karaderi","given":"Tugce"},{"family":"Lindgren","given":"Cecilia M."}],"issued":{"date-parts":[["2017",2,3]]}}}],"schema":"https://github.com/citation-style-language/schema/raw/master/csl-citation.json"} </w:instrText>
      </w:r>
      <w:r w:rsidRPr="00735FCE">
        <w:fldChar w:fldCharType="separate"/>
      </w:r>
      <w:r w:rsidR="00281437" w:rsidRPr="00281437">
        <w:rPr>
          <w:vertAlign w:val="superscript"/>
        </w:rPr>
        <w:t>130</w:t>
      </w:r>
      <w:r w:rsidRPr="00735FCE">
        <w:fldChar w:fldCharType="end"/>
      </w:r>
      <w:r w:rsidRPr="00735FCE">
        <w:t>. For example, the waist-hip circumference ratio was found to have the highest number of sex-dimorphic SNPs, with 2,421 variants across 100 different loci</w:t>
      </w:r>
      <w:r>
        <w:t xml:space="preserve"> </w:t>
      </w:r>
      <w:r w:rsidRPr="00735FCE">
        <w:fldChar w:fldCharType="begin"/>
      </w:r>
      <w:r w:rsidR="00281437">
        <w:instrText xml:space="preserve"> ADDIN ZOTERO_ITEM CSL_CITATION {"citationID":"MLMIpCw6","properties":{"formattedCitation":"\\super 131\\nosupersub{}","plainCitation":"131","noteIndex":0},"citationItems":[{"id":3827,"uris":["http://zotero.org/users/9622455/items/P3L3BDJA"],"itemData":{"id":3827,"type":"article-journal","abstract":"Males and females present differences in complex traits and in the risk of a wide array of diseases. Genotype by sex (GxS) interactions are thought to account for some of these differences. However, the extent and basis of GxS are poorly understood. In the present study, we provide insights into both the scope and the mechanism of GxS across the genome of about 450,000 individuals of European ancestry and 530 complex traits in the UK Biobank. We found small yet widespread differences in genetic architecture across traits. We also found that, in some cases, sex-agnostic analyses may be missing trait-associated loci and looked into possible improvements in the prediction of high-level phenotypes. Finally, we studied the potential functional role of the differences observed through sex-biased gene expression and gene-level analyses. Our results suggest the need to consider sex-aware analyses for future studies to shed light onto possible sex-specific molecular mechanisms.","container-title":"Nature Genetics","DOI":"10.1038/s41588-021-00912-0","ISSN":"1546-1718","issue":"9","journalAbbreviation":"Nat Genet","language":"en","license":"2021 The Author(s), under exclusive licence to Springer Nature America, Inc.","note":"publisher: Nature Publishing Group","page":"1283-1289","source":"www.nature.com","title":"Sex differences in genetic architecture in the UK Biobank","volume":"53","author":[{"family":"Bernabeu","given":"Elena"},{"family":"Canela-Xandri","given":"Oriol"},{"family":"Rawlik","given":"Konrad"},{"family":"Talenti","given":"Andrea"},{"family":"Prendergast","given":"James"},{"family":"Tenesa","given":"Albert"}],"issued":{"date-parts":[["2021",9]]}}}],"schema":"https://github.com/citation-style-language/schema/raw/master/csl-citation.json"} </w:instrText>
      </w:r>
      <w:r w:rsidRPr="00735FCE">
        <w:fldChar w:fldCharType="separate"/>
      </w:r>
      <w:r w:rsidR="00281437" w:rsidRPr="00281437">
        <w:rPr>
          <w:vertAlign w:val="superscript"/>
        </w:rPr>
        <w:t>131</w:t>
      </w:r>
      <w:r w:rsidRPr="00735FCE">
        <w:fldChar w:fldCharType="end"/>
      </w:r>
      <w:r w:rsidRPr="00735FCE">
        <w:t xml:space="preserve">. Men and women also differ in </w:t>
      </w:r>
      <w:r w:rsidRPr="00735FCE">
        <w:lastRenderedPageBreak/>
        <w:t xml:space="preserve">the patterns of </w:t>
      </w:r>
      <w:r>
        <w:t>adipokine</w:t>
      </w:r>
      <w:r w:rsidRPr="008D3E8D">
        <w:t xml:space="preserve"> </w:t>
      </w:r>
      <w:r w:rsidRPr="00735FCE">
        <w:t>secretion</w:t>
      </w:r>
      <w:r>
        <w:t xml:space="preserve"> </w:t>
      </w:r>
      <w:r w:rsidRPr="00735FCE">
        <w:fldChar w:fldCharType="begin"/>
      </w:r>
      <w:r w:rsidR="00281437">
        <w:instrText xml:space="preserve"> ADDIN ZOTERO_ITEM CSL_CITATION {"citationID":"HUgoVeFK","properties":{"formattedCitation":"\\super 132\\nosupersub{}","plainCitation":"132","noteIndex":0},"citationItems":[{"id":3829,"uris":["http://zotero.org/users/9622455/items/GDBBPICH"],"itemData":{"id":3829,"type":"article-journal","abstract":"Liver cancer is the third most common cancer type and the second leading cause of deaths in men. Large population studies have demonstrated remarkable gender disparities in the incidence and the cumulative risk of liver cancer. A number of emerging risk factors regarding metabolic alterations associated with obesity, diabetes and dyslipidemia have been ascribed to the progression of non-alcoholic fatty liver diseases (NAFLD) and ultimately liver cancer. The deregulation of fat metabolism derived from excessive insulin, glucose and lipid promotes cancer-causing inflammatory signaling and oxidative stress, which eventually triggers the uncontrolled hepatocellular proliferation. This review presents the current standing on the gender differences in body fat compositions and their mechanistic linkage with the development of NAFLD-related liver cancer, with an emphasis on genetic, epigenetic and microRNA control. The potential roles of sex hormones in instructing adipocyte metabolic programs may help unravel the mechanisms underlying gender dimorphism in liver cancer and identify the metabolic targets for disease management.","container-title":"Frontiers in Genetics","DOI":"10.3389/fgene.2016.00168","ISSN":"1664-8021","journalAbbreviation":"Front. Genet.","language":"English","note":"publisher: Frontiers","source":"Frontiers","title":"Gender Differences in Adipocyte Metabolism and Liver Cancer Progression","URL":"https://www.frontiersin.org/journals/genetics/articles/10.3389/fgene.2016.00168/full","volume":"7","author":[{"family":"Cheung","given":"Otto K.-W."},{"family":"Cheng","given":"Alfred S.-L."}],"accessed":{"date-parts":[["2025",6,12]]},"issued":{"date-parts":[["2016",9,20]]}}}],"schema":"https://github.com/citation-style-language/schema/raw/master/csl-citation.json"} </w:instrText>
      </w:r>
      <w:r w:rsidRPr="00735FCE">
        <w:fldChar w:fldCharType="separate"/>
      </w:r>
      <w:r w:rsidR="00281437" w:rsidRPr="00281437">
        <w:rPr>
          <w:vertAlign w:val="superscript"/>
        </w:rPr>
        <w:t>132</w:t>
      </w:r>
      <w:r w:rsidRPr="00735FCE">
        <w:fldChar w:fldCharType="end"/>
      </w:r>
      <w:r w:rsidRPr="00735FCE">
        <w:t xml:space="preserve">. Leptin is one of the adipokines </w:t>
      </w:r>
      <w:r>
        <w:t xml:space="preserve">primarily </w:t>
      </w:r>
      <w:r w:rsidRPr="00735FCE">
        <w:t>secreted by adipose tissue and regulates appetite</w:t>
      </w:r>
      <w:r>
        <w:t xml:space="preserve"> </w:t>
      </w:r>
      <w:r w:rsidRPr="00735FCE">
        <w:fldChar w:fldCharType="begin"/>
      </w:r>
      <w:r w:rsidR="00281437">
        <w:instrText xml:space="preserve"> ADDIN ZOTERO_ITEM CSL_CITATION {"citationID":"vZoY4lPC","properties":{"formattedCitation":"\\super 133\\nosupersub{}","plainCitation":"133","noteIndex":0},"citationItems":[{"id":3831,"uris":["http://zotero.org/users/9622455/items/5TEE4FED"],"itemData":{"id":3831,"type":"article-journal","abstract":"Leptin is a hormone primarily produced by the adipose tissue in proportion to the size of fat stores, with a primary function in the control of lipid reserves. Besides adipose tissue, leptin is also produced by other tissues, such as the stomach, placenta, and mammary gland. Altogether, leptin exerts a broad spectrum of short, medium, and long-term regulatory actions at the central and peripheral levels, including metabolic programming effects that condition the proper development and function of the adipose organ, which are relevant for its main role in energy homeostasis. Comprehending how leptin regulates adipose tissue may provide important clues to understand the pathophysiology of obesity and related diseases, such as type 2 diabetes, as well as its prevention and treatment. This review focuses on the physiological and long-lasting regulatory effects of leptin on adipose tissue, the mechanisms and pathways involved, its main outcomes on whole-body physiological homeostasis, and its consequences on chronic diseases.","container-title":"Reviews in Endocrine &amp; Metabolic Disorders","DOI":"10.1007/s11154-021-09687-5","ISSN":"1389-9155","issue":"1","journalAbbreviation":"Rev Endocr Metab Disord","note":"PMID: 34523036\nPMCID: PMC8873071","page":"13-30","source":"PubMed Central","title":"Leptin as a key regulator of the adipose organ","volume":"23","author":[{"family":"Picó","given":"Catalina"},{"family":"Palou","given":"Mariona"},{"family":"Pomar","given":"Catalina Amadora"},{"family":"Rodríguez","given":"Ana María"},{"family":"Palou","given":"Andreu"}],"issued":{"date-parts":[["2022"]]}}}],"schema":"https://github.com/citation-style-language/schema/raw/master/csl-citation.json"} </w:instrText>
      </w:r>
      <w:r w:rsidRPr="00735FCE">
        <w:fldChar w:fldCharType="separate"/>
      </w:r>
      <w:r w:rsidR="00281437" w:rsidRPr="00281437">
        <w:rPr>
          <w:vertAlign w:val="superscript"/>
        </w:rPr>
        <w:t>133</w:t>
      </w:r>
      <w:r w:rsidRPr="00735FCE">
        <w:fldChar w:fldCharType="end"/>
      </w:r>
      <w:r w:rsidRPr="00735FCE">
        <w:t>. Leptin level</w:t>
      </w:r>
      <w:r>
        <w:t>s</w:t>
      </w:r>
      <w:r w:rsidRPr="00735FCE">
        <w:t xml:space="preserve"> </w:t>
      </w:r>
      <w:r>
        <w:t>are</w:t>
      </w:r>
      <w:r w:rsidRPr="00735FCE">
        <w:t xml:space="preserve"> higher in females compared to males, and it is associated with </w:t>
      </w:r>
      <w:r>
        <w:t xml:space="preserve">higher </w:t>
      </w:r>
      <w:r w:rsidRPr="00735FCE">
        <w:t>subcutaneous fat mass</w:t>
      </w:r>
      <w:r>
        <w:t xml:space="preserve"> </w:t>
      </w:r>
      <w:r w:rsidRPr="00735FCE">
        <w:fldChar w:fldCharType="begin"/>
      </w:r>
      <w:r w:rsidR="00281437">
        <w:instrText xml:space="preserve"> ADDIN ZOTERO_ITEM CSL_CITATION {"citationID":"JBH59p1I","properties":{"formattedCitation":"\\super 134\\uc0\\u8211{}136\\nosupersub{}","plainCitation":"134–136","noteIndex":0},"citationItems":[{"id":3834,"uris":["http://zotero.org/users/9622455/items/R9T2P85K"],"itemData":{"id":3834,"type":"article-journal","abstract":"Little is known about the influence of adiposity and hormone release on leptin levels in children and adolescents. We utilized criterion methods to examine the relationships among sex steroids, body composition (4 compartment), abdominal visceral and subcutaneous fat (magnetic resonance imagery), total subcutaneous fat (sum of 9 skinfolds), energy expenditure (doubly labeled water), aerobic fitness, and serum leptin levels in prepubertal and pubertal boys (n = 16;n = 13) and girls (n = 12;n = 15). The sum of skinfolds accounted for more variance in leptin levels of all girls [coefficient of determination (R 2) = 0.70,P &lt; 0.001] and all boys (R 2 = 0.60,P &lt; 0.001) than the total fat mass (girls, R 2 = 0.52, P &lt; 0.001; boys,R 2 = 0.23,P &lt; 0.001). Total energy expenditure, corrected for the influence of fat-free mass, correlated inversely with leptin (R 2 = 0.18,P = 0.02). Gender differences in leptin disappeared when corrected for sex steroid levels or the combination of adiposity and energy expenditure. In multiple regression, the sum of skinfolds and free testosterone and estrogen levels accounted for 74% of the variance in leptin levels. We conclude that serum leptin levels are positively related to subcutaneous adiposity but negatively related to androgen levels. Energy expenditure may be negatively related to leptin levels by reduction of the adiposity, or a common genetic factor may influence both the activity and serum leptin levels.","container-title":"American Journal of Physiology-Endocrinology and Metabolism","DOI":"10.1152/ajpendo.1998.275.3.E543","ISSN":"0193-1849","issue":"3","note":"publisher: American Physiological Society","page":"E543-E551","source":"journals.physiology.org (Atypon)","title":"Gender differences in leptin levels during puberty are  related to the subcutaneous fat depot and sex steroids","volume":"275","author":[{"family":"Roemmich","given":"James N."},{"family":"Clark","given":"Pamela A."},{"family":"Berr","given":"Stuart S."},{"family":"Mai","given":"Vu"},{"family":"Mantzoros","given":"Christos S."},{"family":"Flier","given":"Jeffrey S."},{"family":"Weltman","given":"Arthur"},{"family":"Rogol","given":"Alan D."}],"issued":{"date-parts":[["1998",9]]}}},{"id":3836,"uris":["http://zotero.org/users/9622455/items/8GVJBIAP"],"itemData":{"id":3836,"type":"article-journal","abstract":"Abstract. Hellström L, Wahrenberg H, Hruska K, Wahrenberg H, Reynisdottir S, Arner P (Danderyd Hospital and Karolinska Institute, Stockholm, Sweden). Mechanisms behind gender differences in circulating leptin levels. J Intern Med 2000; 247: 457–462. Objectives. To investigate gender differences in circulating leptin levels and adipose tissue production of leptin. Design setting and subjects. Thirty-two men and 63 women with a large interindividual variation in body mass index (BMI), but otherwise healthy, were investigated after an overnight fast. Body fat (bioimpedance), abdominal subcutaneous adipose tissue secretion of leptin in vitro and serum leptin were determined. Results. Although there was no gender difference in mean BMI or fat cell size, mean percentage body fat was 49 in women and 36 in men (P &lt; 0.001). At each level of BMI, serum leptin levels were about two times higher in women than in men (P &lt; 0.001). Adipose tissue secretion rate of leptin in men was two-thirds of that in women (P &lt; 0.05). The gender differences in body fat content, serum leptin and leptin secretion were observed in obese (BMI &gt; 27 kg m–2) as well as non-obese subjects. Serum leptin levels (P &lt; 0.001) and leptin secretion rate (P &lt; 0.01) correlated positively with body fat content in either sex. However, the gender differences in serum leptin (P &lt; 0.001) and leptin secretion rate (P &lt; 0.01) remained statistically significantly different even when the values were adjusted for body fat. Conclusion. The gender difference in circulating leptin concentrations can be due to at least two different mechanisms. A higher proportion of adipose tissue and increased production rate of leptin per unit mass of adipose tissue might explain why women have higher circulating leptin levels than men.","container-title":"Journal of Internal Medicine","DOI":"10.1046/j.1365-2796.2000.00678.x","ISSN":"1365-2796","issue":"4","language":"en","note":"_eprint: https://onlinelibrary.wiley.com/doi/pdf/10.1046/j.1365-2796.2000.00678.x","page":"457-462","source":"Wiley Online Library","title":"Mechanisms behind gender differences in circulating leptin levels","volume":"247","author":[{"family":"Hellström","given":"L."},{"family":"Wahrenberg","given":"H."},{"family":"Hruska","given":"K."},{"family":"Reynisdottir","given":"S."},{"family":"Arner","given":"P."}],"issued":{"date-parts":[["2000"]]}}},{"id":3839,"uris":["http://zotero.org/users/9622455/items/DX65TV98"],"itemData":{"id":3839,"type":"article-journal","abstract":"Serum levels of the adipocyte hormone leptin are increased in proportion to body fat stores as a result of increased production in enlarged fat cells from obese subjects. In vitro studies indicate that insulin and glucocorticoids work directly on adipose tissue to upregulate in a synergistic manner leptin mRNA levels and rates of leptin secretion in human adipose tissue over the long term. Thus, the increased leptin expression observed in obesity could result from the chronic hyperinsulinemia and increased cortisol turnover. Superimposed upon the long-term regulation, nutritional status can influence serum leptin over the short term, independent of adiposity. Fasting leads to a gradual decline in serum leptin that is probably attributable to the decline in insulin and the ability of catecholamines to decrease leptin expression, as observed in both in vivo and in vitro studies. In addition, increases in serum leptin occur </w:instrText>
      </w:r>
      <w:r w:rsidR="00281437">
        <w:rPr>
          <w:rFonts w:ascii="Cambria Math" w:hAnsi="Cambria Math" w:cs="Cambria Math"/>
        </w:rPr>
        <w:instrText>∼</w:instrText>
      </w:r>
      <w:r w:rsidR="00281437">
        <w:instrText xml:space="preserve">4–7 h after meals. Increasing evidence indicates that insulin, in concert with permissive effects of cortisol, can increase serum leptin over this time frame and likely contributes to meal-induced increases in serum leptin. Further research is required to elucidate the cellular and molecular mechanisms underlying short- and long-term nutritional and hormonal regulation of leptin production and secretion.","container-title":"The Journal of Nutrition","DOI":"10.1093/jn/130.12.3127S","ISSN":"0022-3166","issue":"12","journalAbbreviation":"The Journal of Nutrition","page":"3127S-3131S","source":"ScienceDirect","title":"Regulation of Leptin Production in Humans","volume":"130","author":[{"family":"Fried","given":"Susan K."},{"family":"Ricci","given":"Matthew R."},{"family":"Russell","given":"Colleen D."},{"family":"Laferrère","given":"Blandine"}],"issued":{"date-parts":[["2000",12,1]]}}}],"schema":"https://github.com/citation-style-language/schema/raw/master/csl-citation.json"} </w:instrText>
      </w:r>
      <w:r w:rsidRPr="00735FCE">
        <w:fldChar w:fldCharType="separate"/>
      </w:r>
      <w:r w:rsidR="00281437" w:rsidRPr="00281437">
        <w:rPr>
          <w:vertAlign w:val="superscript"/>
        </w:rPr>
        <w:t>134–136</w:t>
      </w:r>
      <w:r w:rsidRPr="00735FCE">
        <w:fldChar w:fldCharType="end"/>
      </w:r>
      <w:r w:rsidRPr="00735FCE">
        <w:t xml:space="preserve">. Adiponectin is an anti-inflammatory and insulin-sensitizing adipokine that also has </w:t>
      </w:r>
      <w:r>
        <w:t xml:space="preserve">a </w:t>
      </w:r>
      <w:r w:rsidRPr="00735FCE">
        <w:t>greater concentration in females than males and inversely correlates with VAT</w:t>
      </w:r>
      <w:r>
        <w:t xml:space="preserve"> accumulation </w:t>
      </w:r>
      <w:r w:rsidRPr="00735FCE">
        <w:fldChar w:fldCharType="begin"/>
      </w:r>
      <w:r w:rsidR="00281437">
        <w:instrText xml:space="preserve"> ADDIN ZOTERO_ITEM CSL_CITATION {"citationID":"Un9tvMdL","properties":{"formattedCitation":"\\super 137\\nosupersub{}","plainCitation":"137","noteIndex":0},"citationItems":[{"id":3841,"uris":["http://zotero.org/users/9622455/items/7STU5YHT"],"itemData":{"id":3841,"type":"article-journal","abstract":"It is debated whether sex differences in adiponectin and leptin are due to sex differences in body fat distribution. In this cross-sectional analysis of the Netherlands Epidemiology of Obesity study, associations of measures of body fat and sex with serum adiponectin and leptin concentrations were examined using linear regression analysis (n = 6494, VAT: n = 2516). Sex differences were additionally adjusted for the measure of body fat that was most strongly associated with adiponectin or leptin concentrations. Median adiponectin concentrations in women and men were 10.5 mg/L (IQR, interquartile range: 7.7–13.9) and 6.1 mg/L (IQR: 4.5–8.2), mean difference 4.6 mg/L (95% CI: 4.3, 4.9). Median leptin concentrations in women and men were 19.2 μg/L (IQR: 11.5–30.0) and 7.1 μg/L (IQR: 4.6–11.1), mean difference 15.1 μg/L (95% CI: 14.4, 15.8). VAT was most strongly associated with adiponectin, total body fat percentage was most strongly associated with leptin. After adjustment for VAT, women had 3.8 mg/L (95% CI: 3.3, 4.3) higher adiponectin than men. After adjustment for total body fat percentage, leptin concentrations in women were 0.4 μg/L lower than in men (95% CI: −1.2, 2.0). One genetic variant (rs4731420) was associated with extreme leptin concentrations (&gt;100 μg/L) in women: odds ratio 2.8 (95% CI: 1.7, 4.6). Total body fat percentage was strongly associated with leptin concentrations. Higher leptin concentrations in women than in men were completely explained by differences in total body fat percentage. Visceral fat was associated with adiponectin concentrations, and did not completely explain higher adiponectin concentrations in women than in men.","container-title":"Peptides","DOI":"10.1016/j.peptides.2018.07.008","ISSN":"0196-9781","journalAbbreviation":"Peptides","page":"25-31","source":"ScienceDirect","title":"Sex differences in body fat distribution are related to sex differences in serum leptin and adiponectin","volume":"107","author":[{"family":"Christen","given":"Tim"},{"family":"Trompet","given":"Stella"},{"family":"Noordam","given":"Raymond"},{"family":"Klinken","given":"Jan B.","non-dropping-particle":"van"},{"family":"Dijk","given":"Ko Willems","non-dropping-particle":"van"},{"family":"Lamb","given":"Hildo J."},{"family":"Cobbaert","given":"Christa M."},{"family":"Heijer","given":"Martin","non-dropping-particle":"den"},{"family":"Jazet","given":"Ingrid M."},{"family":"Jukema","given":"J. Wouter"},{"family":"Rosendaal","given":"Frits R."},{"family":"Mutsert","given":"Renée","non-dropping-particle":"de"}],"issued":{"date-parts":[["2018",9,1]]}}}],"schema":"https://github.com/citation-style-language/schema/raw/master/csl-citation.json"} </w:instrText>
      </w:r>
      <w:r w:rsidRPr="00735FCE">
        <w:fldChar w:fldCharType="separate"/>
      </w:r>
      <w:r w:rsidR="00281437" w:rsidRPr="00281437">
        <w:rPr>
          <w:vertAlign w:val="superscript"/>
        </w:rPr>
        <w:t>137</w:t>
      </w:r>
      <w:r w:rsidRPr="00735FCE">
        <w:fldChar w:fldCharType="end"/>
      </w:r>
      <w:r w:rsidRPr="00735FCE">
        <w:t xml:space="preserve">. These variations, both genetic and endocrine, </w:t>
      </w:r>
      <w:r>
        <w:t>suggest</w:t>
      </w:r>
      <w:r w:rsidRPr="00735FCE">
        <w:t xml:space="preserve"> that sex is a crucial </w:t>
      </w:r>
      <w:r>
        <w:t>biological</w:t>
      </w:r>
      <w:r w:rsidRPr="00735FCE">
        <w:t xml:space="preserve"> variable in understanding </w:t>
      </w:r>
      <w:r>
        <w:t>the</w:t>
      </w:r>
      <w:r w:rsidRPr="00735FCE">
        <w:t xml:space="preserve"> pathophysiology</w:t>
      </w:r>
      <w:r>
        <w:t xml:space="preserve"> of obesity</w:t>
      </w:r>
      <w:r w:rsidRPr="00735FCE">
        <w:t>.</w:t>
      </w:r>
    </w:p>
    <w:p w14:paraId="308D94F8" w14:textId="77777777" w:rsidR="009117C0" w:rsidRPr="00735FCE" w:rsidRDefault="009117C0" w:rsidP="00847BA5">
      <w:pPr>
        <w:pStyle w:val="Heading2"/>
        <w:jc w:val="left"/>
      </w:pPr>
      <w:bookmarkStart w:id="24" w:name="_Toc200988042"/>
      <w:bookmarkStart w:id="25" w:name="_Toc201001657"/>
      <w:bookmarkStart w:id="26" w:name="_Toc204848627"/>
      <w:r w:rsidRPr="00735FCE">
        <w:t>Adipose Tissue Biology</w:t>
      </w:r>
      <w:bookmarkEnd w:id="24"/>
      <w:bookmarkEnd w:id="25"/>
      <w:bookmarkEnd w:id="26"/>
    </w:p>
    <w:p w14:paraId="4298C250" w14:textId="77777777" w:rsidR="009117C0" w:rsidRPr="00735FCE" w:rsidRDefault="009117C0" w:rsidP="00847BA5">
      <w:pPr>
        <w:pStyle w:val="Heading3"/>
        <w:jc w:val="left"/>
      </w:pPr>
      <w:bookmarkStart w:id="27" w:name="_Toc200988043"/>
      <w:bookmarkStart w:id="28" w:name="_Toc201001658"/>
      <w:bookmarkStart w:id="29" w:name="_Toc204848628"/>
      <w:r w:rsidRPr="00735FCE">
        <w:t xml:space="preserve">White </w:t>
      </w:r>
      <w:r>
        <w:t>A</w:t>
      </w:r>
      <w:r w:rsidRPr="00735FCE">
        <w:t xml:space="preserve">dipose </w:t>
      </w:r>
      <w:r>
        <w:t>T</w:t>
      </w:r>
      <w:r w:rsidRPr="00735FCE">
        <w:t>issue</w:t>
      </w:r>
      <w:bookmarkEnd w:id="27"/>
      <w:bookmarkEnd w:id="28"/>
      <w:bookmarkEnd w:id="29"/>
    </w:p>
    <w:p w14:paraId="79635731" w14:textId="18265C9B" w:rsidR="009117C0" w:rsidRPr="00735FCE" w:rsidRDefault="009117C0" w:rsidP="00B007DA">
      <w:pPr>
        <w:ind w:firstLine="720"/>
        <w:jc w:val="left"/>
      </w:pPr>
      <w:r w:rsidRPr="00735FCE">
        <w:t>White Adipose tissue</w:t>
      </w:r>
      <w:r>
        <w:t xml:space="preserve"> </w:t>
      </w:r>
      <w:r w:rsidRPr="00735FCE">
        <w:t xml:space="preserve">is </w:t>
      </w:r>
      <w:r>
        <w:t>essential</w:t>
      </w:r>
      <w:r w:rsidRPr="00735FCE">
        <w:t xml:space="preserve"> </w:t>
      </w:r>
      <w:r>
        <w:t>for</w:t>
      </w:r>
      <w:r w:rsidRPr="00735FCE">
        <w:t xml:space="preserve"> maintain</w:t>
      </w:r>
      <w:r>
        <w:t>ing</w:t>
      </w:r>
      <w:r w:rsidRPr="00735FCE">
        <w:t xml:space="preserve"> systemic energy balance while performing endocrine functions</w:t>
      </w:r>
      <w:r>
        <w:t xml:space="preserve"> </w:t>
      </w:r>
      <w:r w:rsidRPr="00735FCE">
        <w:fldChar w:fldCharType="begin"/>
      </w:r>
      <w:r w:rsidR="00281437">
        <w:instrText xml:space="preserve"> ADDIN ZOTERO_ITEM CSL_CITATION {"citationID":"Yd8K0XUC","properties":{"formattedCitation":"\\super 138\\nosupersub{}","plainCitation":"138","noteIndex":0},"citationItems":[{"id":3844,"uris":["http://zotero.org/users/9622455/items/Q5PY7Z6Y"],"itemData":{"id":3844,"type":"chapter","abstract":"Like the obesity epidemic, our understanding of adipocytes and adipose tissue is expanding. Just in the past decade, substantial advances have led to new insights into the contributions of adipose tissue to normal physiology and obesity-related complications, which places adipocyte biology at the epicenter of a global pandemic of metabolic diseases. In addition to detailing the types, locations, and functions of different adipose tissue depots, this chapter will review the secretory capacities of adipose tissue. Arguably one of the most significant discoveries in the last two decades of adipocyte research is that not only do adipocytes release endocrine hormones, but fat cells and adipose tissue secrete a variety of effectors, including exosomes, miRNA, lipids, inflammatory cytokines, and peptide hormones that act in both paracrine and endocrine capacities to impact local and systemic metabolic responses. The origins of adipocytes via progenitor cells and the process of adipocyte development are discussed. Inflammation, metabolically healthy fat, and adipose tissue expansion are also considered. Finally, several emerging research areas in fat cell biology with therapeutic potential in the management patients who are overweight and have obesity are summarized. For complete coverage of all related areas of Endocrinology, please visit our on-line FREE web-text, WWW.ENDOTEXT.ORG.","call-number":"NBK555602","container-title":"Endotext","event-place":"South Dartmouth (MA)","language":"eng","license":"Copyright © 2000-2025, MDText.com, Inc.","note":"PMID: 32255578","publisher":"MDText.com, Inc.","publisher-place":"South Dartmouth (MA)","source":"PubMed","title":"Adipose Tissue: Physiology to Metabolic Dysfunction","title-short":"Adipose Tissue","URL":"http://www.ncbi.nlm.nih.gov/books/NBK555602/","author":[{"family":"Richard","given":"Allison J."},{"family":"White","given":"Ursula"},{"family":"Elks","given":"Carrie M."},{"family":"Stephens","given":"Jacqueline M."}],"editor":[{"family":"Feingold","given":"Kenneth R."},{"family":"Ahmed","given":"S. Faisal"},{"family":"Anawalt","given":"Bradley"},{"family":"Blackman","given":"Marc R."},{"family":"Boyce","given":"Alison"},{"family":"Chrousos","given":"George"},{"family":"Corpas","given":"Emiliano"},{"family":"Herder","given":"Wouter W.","non-dropping-particle":"de"},{"family":"Dhatariya","given":"Ketan"},{"family":"Dungan","given":"Kathleen"},{"family":"Hofland","given":"Johannes"},{"family":"Kalra","given":"Sanjay"},{"family":"Kaltsas","given":"Gregory"},{"family":"Kapoor","given":"Nitin"},{"family":"Koch","given":"Christian"},{"family":"Kopp","given":"Peter"},{"family":"Korbonits","given":"Márta"},{"family":"Kovacs","given":"Christopher S."},{"family":"Kuohung","given":"Wendy"},{"family":"Laferrère","given":"Blandine"},{"family":"Levy","given":"Miles"},{"family":"McGee","given":"Elizabeth A."},{"family":"McLachlan","given":"Robert"},{"family":"Muzumdar","given":"Radhika"},{"family":"Purnell","given":"Jonathan"},{"family":"Rey","given":"Rodolfo"},{"family":"Sahay","given":"Rakesh"},{"family":"Shah","given":"Amy S."},{"family":"Singer","given":"Frederick"},{"family":"Sperling","given":"Mark A."},{"family":"Stratakis","given":"Constantine A."},{"family":"Trence","given":"Dace L."},{"family":"Wilson","given":"Don P."}],"accessed":{"date-parts":[["2025",6,12]]},"issued":{"date-parts":[["2000"]]}}}],"schema":"https://github.com/citation-style-language/schema/raw/master/csl-citation.json"} </w:instrText>
      </w:r>
      <w:r w:rsidRPr="00735FCE">
        <w:fldChar w:fldCharType="separate"/>
      </w:r>
      <w:r w:rsidR="00281437" w:rsidRPr="00281437">
        <w:rPr>
          <w:vertAlign w:val="superscript"/>
        </w:rPr>
        <w:t>138</w:t>
      </w:r>
      <w:r w:rsidRPr="00735FCE">
        <w:fldChar w:fldCharType="end"/>
      </w:r>
      <w:r w:rsidRPr="00735FCE">
        <w:t xml:space="preserve">. It was first described in terms of its capability </w:t>
      </w:r>
      <w:r>
        <w:t xml:space="preserve">to store </w:t>
      </w:r>
      <w:r w:rsidRPr="00735FCE">
        <w:t xml:space="preserve">energy in the form of triacylglycerols (TAGs), </w:t>
      </w:r>
      <w:r>
        <w:t>while</w:t>
      </w:r>
      <w:r w:rsidRPr="00735FCE">
        <w:t xml:space="preserve"> subsequent landmark discoveries in the 1980s showed </w:t>
      </w:r>
      <w:r>
        <w:t xml:space="preserve">that </w:t>
      </w:r>
      <w:r w:rsidRPr="00735FCE">
        <w:t xml:space="preserve">WAT </w:t>
      </w:r>
      <w:r>
        <w:t>is</w:t>
      </w:r>
      <w:r w:rsidRPr="00735FCE">
        <w:t xml:space="preserve"> </w:t>
      </w:r>
      <w:r>
        <w:t>crucial</w:t>
      </w:r>
      <w:r w:rsidRPr="00735FCE">
        <w:t xml:space="preserve"> for health due to its secretory function, producing adipsin, acylation-stimulating protein (ASP), and leptin</w:t>
      </w:r>
      <w:r>
        <w:t xml:space="preserve"> </w:t>
      </w:r>
      <w:r w:rsidRPr="00735FCE">
        <w:fldChar w:fldCharType="begin"/>
      </w:r>
      <w:r w:rsidR="00281437">
        <w:instrText xml:space="preserve"> ADDIN ZOTERO_ITEM CSL_CITATION {"citationID":"xyhMKMwH","properties":{"formattedCitation":"\\super 139\\uc0\\u8211{}141\\nosupersub{}","plainCitation":"139–141","noteIndex":0},"citationItems":[{"id":3110,"uris":["http://zotero.org/users/9622455/items/9EUK99IZ"],"itemData":{"id":3110,"type":"article-journal","abstract":"The mechanisms that balance food intake and energy expenditure determine who will be obese and who will be lean. One of the molecules that regulates energy balance in the mouse is the obese (ob) gene. Mutation ofobresults in profound obesity and type II diabetes as part of a syndrome that resembles morbid obesity in humans. The ob gene product may function as part of a signalling pathway from adipose tissue that acts to regulate the size of the body fat depot.","container-title":"Nature","DOI":"10.1038/372425a0","ISSN":"1476-4687","issue":"6505","language":"en","license":"1994 Springer Nature Limited","note":"publisher: Nature Publishing Group","page":"425-432","source":"www.nature.com","title":"Positional cloning of the mouse obese gene and its human homologue","volume":"372","author":[{"family":"Zhang","given":"Yiying"},{"family":"Proenca","given":"Ricardo"},{"family":"Maffei","given":"Margherita"},{"family":"Barone","given":"Marisa"},{"family":"Leopold","given":"Lori"},{"family":"Friedman","given":"Jeffrey M."}],"issued":{"date-parts":[["1994",12]]}}},{"id":3106,"uris":["http://zotero.org/users/9622455/items/FB66FKZE"],"itemData":{"id":3106,"type":"article-journal","abstract":"Adipsin is a serine protease homolog whose primary structure was predicted from the nucleotide sequence of a differentiation-dependent adipocyte messenger RNA. Immunoblots probed with antisera to synthetic peptides identify two forms of adipsin that are synthesized and secreted by 3T3 adipocytes. These proteins of 44 and 37 kilodaltons are converted to 25.5 kilodaltons by enzymatic deglycosylation. Although adipsin is principally synthesized in adipose tissue, it is also produced by sciatic nerve and is found in the bloodstream. Because of the apparent restriction of adipsin synthesis to tissues highly active in lipid metabolism, its presence in serum, and its modulation in altered metabolic states, this molecule may play a previously unrecognized role in systemic lipid metabolism or energy balance.","container-title":"Science","ISSN":"0036-8075","issue":"4813","note":"publisher: American Association for the Advancement of Science","page":"402-405","source":"JSTOR","title":"Adipsin: A Circulating Serine Protease Homolog Secreted by Adipose Tissue and Sciatic Nerve","title-short":"Adipsin","volume":"237","author":[{"family":"Cook","given":"Kathleen Sue"},{"family":"Min","given":"Hye Yeong"},{"family":"Johnson","given":"David"},{"family":"Chaplinsky","given":"Robert J."},{"family":"Flier","given":"Jeffrey S."},{"family":"Hunt","given":"Clayton R."},{"family":"Spiegelman","given":"Bruce M."}],"issued":{"date-parts":[["1987"]]}}},{"id":3109,"uris":["http://zotero.org/users/9622455/items/2NKUPRZY"],"itemData":{"id":3109,"type":"article-journal","container-title":"Seminars in Cell &amp; Developmental Biology","DOI":"10.1006/scdb.1998.0272","ISSN":"10849521","issue":"1","journalAbbreviation":"Seminars in Cell &amp; Developmental Biology","language":"en","license":"https://www.elsevier.com/tdm/userlicense/1.0/","page":"31-41","source":"DOI.org (Crossref)","title":"Acylation stimulating protein (ASP), an adipocyte autocrine: new directions","title-short":"Acylation stimulating protein (ASP), an adipocyte autocrine","volume":"10","author":[{"family":"Cianflone","given":"Katherine"},{"family":"Maslowska","given":"Magdalena"},{"family":"Sniderman","given":"Allan D."}],"issued":{"date-parts":[["1999",2]]}}}],"schema":"https://github.com/citation-style-language/schema/raw/master/csl-citation.json"} </w:instrText>
      </w:r>
      <w:r w:rsidRPr="00735FCE">
        <w:fldChar w:fldCharType="separate"/>
      </w:r>
      <w:r w:rsidR="00281437" w:rsidRPr="00281437">
        <w:rPr>
          <w:vertAlign w:val="superscript"/>
        </w:rPr>
        <w:t>139–141</w:t>
      </w:r>
      <w:r w:rsidRPr="00735FCE">
        <w:fldChar w:fldCharType="end"/>
      </w:r>
      <w:r w:rsidRPr="00735FCE">
        <w:t>. In addition to its endocrine functions, WAT also demonstrates high insulin sensitivity</w:t>
      </w:r>
      <w:r>
        <w:t>,</w:t>
      </w:r>
      <w:r w:rsidRPr="00735FCE">
        <w:t xml:space="preserve"> facilitat</w:t>
      </w:r>
      <w:r>
        <w:t>ing</w:t>
      </w:r>
      <w:r w:rsidRPr="00735FCE">
        <w:t xml:space="preserve"> the uptake of glucose</w:t>
      </w:r>
      <w:r>
        <w:t>,</w:t>
      </w:r>
      <w:r w:rsidRPr="00735FCE">
        <w:t xml:space="preserve"> and regulates lipid turnover in adipocytes</w:t>
      </w:r>
      <w:r>
        <w:t xml:space="preserve"> </w:t>
      </w:r>
      <w:r w:rsidRPr="00735FCE">
        <w:fldChar w:fldCharType="begin"/>
      </w:r>
      <w:r w:rsidR="00281437">
        <w:instrText xml:space="preserve"> ADDIN ZOTERO_ITEM CSL_CITATION {"citationID":"31XStQUg","properties":{"formattedCitation":"\\super 142,143\\nosupersub{}","plainCitation":"142,143","noteIndex":0},"citationItems":[{"id":3119,"uris":["http://zotero.org/users/9622455/items/IPVQDAU2"],"itemData":{"id":3119,"type":"article-journal","abstract":"The worldwide obesity epidemic1 makes it important to understand how lipid turnover (the capacity to store and remove lipids) regulates adipose tissue mass. Cross-sectional studies have shown that excess body fat is associated with decreased adipose lipid removal rates2,3. Whether lipid turnover is constant over the life span or changes during long-term weight increase or loss is unknown. We determined the turnover of fat cell lipids in adults followed for up to 16 years, by measuring the incorporation of nuclear bomb test-derived 14C in adipose tissue triglycerides. Lipid removal rate decreases during aging, with a failure to reciprocally adjust the rate of lipid uptake resulting in weight gain. Substantial weight loss is not driven by changes in lipid removal but by the rate of lipid uptake in adipose tissue. Furthermore, individuals with a low baseline lipid removal rate are more likely to remain weight-stable after weight loss. Therefore, lipid turnover adaptation might be important for maintaining pronounced weight loss. Together these findings identify adipose lipid turnover as an important factor for the long-term development of overweight/obesity and weight loss maintenance in humans.","container-title":"Nature Medicine","DOI":"10.1038/s41591-019-0565-5","ISSN":"1546-170X","issue":"9","journalAbbreviation":"Nat Med","language":"en","license":"2019 The Author(s), under exclusive licence to Springer Nature America, Inc.","note":"publisher: Nature Publishing Group","page":"1385-1389","source":"www.nature.com","title":"Adipose lipid turnover and long-term changes in body weight","volume":"25","author":[{"family":"Arner","given":"P."},{"family":"Bernard","given":"S."},{"family":"Appelsved","given":"L."},{"family":"Fu","given":"K.-Y."},{"family":"Andersson","given":"D. P."},{"family":"Salehpour","given":"M."},{"family":"Thorell","given":"A."},{"family":"Rydén","given":"M."},{"family":"Spalding","given":"K. L."}],"issued":{"date-parts":[["2019",9]]}}},{"id":3121,"uris":["http://zotero.org/users/9622455/items/GG3EVJTF"],"itemData":{"id":3121,"type":"article-journal","abstract":"Obesity, the major cause of the current global epidemic of Type 2 diabetes (T2D), induces insulin resistance in peripheral insulin target tissues. Several mechanisms have been identified related to cross-talk between adipose tissue, skeletal muscle and liver. These mechanisms involve both increased free fatty acid release and altered secretion of adipokines from adipose tissue. A major determinant of metabolic health is the ability of subcutaneous adipose tissue (SAT) to store excess fat rather than allowing it to accumulate in ectopic depots including liver (i.e. in non-alcoholic fatty liver disease), muscle and heart, or in epicardial/pericardial and visceral fat depots which promote the metabolic complications of obesity. The ability to recruit and differentiate precursor cells into adipose cells (adipogenesis) in SAT is under genetic regulation and is reduced in high-risk individuals who have first-degree relatives with T2D. Early recruitment of new adipose cells is dependent on the cross-talk between canonical WNT and BMP4 signaling; WNT enhances their undifferentiated and proliferative state whereas BMP4 induces their commitment to the adipogenic lineage. Dysregulation of these signaling pathways is associated with impaired adipogenesis and impaired ability to respond to the need to store excess lipids in SAT. This leads to hypertrophic, dysfunctional and insulin-resistant adipose cells with a reduced content of GLUT4, the major insulin-regulated glucose transporter, which in turn reduces adipose tissue glucose uptake and de novo lipogenesis. We recently identified that reduced GLUT4 and lipogenesis in adipocytes impairs the synthesis of a novel family of lipids secreted by adipose tissue (and potentially other tissues), the fatty acid esters of hydroxy fatty acids (FAHFAs). FAHFAs have beneficial metabolic effects, including enhancing insulin-stimulated glucose transport and glucose-stimulated GLP1 and insulin secretion, as well as powerful anti-inflammatory effects. FAHFA levels are reduced in subcutaneous adipose tissue in insulin-resistant individuals, and this novel family of lipids may become of future therapeutic use.","container-title":"Journal of internal medicine","DOI":"10.1111/joim.12540","ISSN":"0954-6820","issue":"5","journalAbbreviation":"J Intern Med","note":"PMID: 27699898\nPMCID: PMC5218584","page":"465-475","source":"PubMed Central","title":"Adipose tissue regulates insulin sensitivity: role of adipogenesis, de novo lipogenesis and novel lipids","title-short":"Adipose tissue regulates insulin sensitivity","volume":"280","author":[{"family":"Smith","given":"Ulf"},{"family":"Kahn","given":"Barbara B."}],"issued":{"date-parts":[["2016",11]]}}}],"schema":"https://github.com/citation-style-language/schema/raw/master/csl-citation.json"} </w:instrText>
      </w:r>
      <w:r w:rsidRPr="00735FCE">
        <w:fldChar w:fldCharType="separate"/>
      </w:r>
      <w:r w:rsidR="00281437" w:rsidRPr="00281437">
        <w:rPr>
          <w:vertAlign w:val="superscript"/>
        </w:rPr>
        <w:t>142,143</w:t>
      </w:r>
      <w:r w:rsidRPr="00735FCE">
        <w:fldChar w:fldCharType="end"/>
      </w:r>
      <w:r w:rsidRPr="00735FCE">
        <w:t xml:space="preserve">. </w:t>
      </w:r>
      <w:r>
        <w:t>L</w:t>
      </w:r>
      <w:r w:rsidRPr="00735FCE">
        <w:t>ipid</w:t>
      </w:r>
      <w:r>
        <w:t xml:space="preserve"> storage</w:t>
      </w:r>
      <w:r w:rsidRPr="00735FCE">
        <w:t>, hormone</w:t>
      </w:r>
      <w:r>
        <w:t xml:space="preserve"> secretion</w:t>
      </w:r>
      <w:r w:rsidRPr="00735FCE">
        <w:t xml:space="preserve">, and insulin sensitivity are </w:t>
      </w:r>
      <w:r>
        <w:t xml:space="preserve">key adipocyte functions </w:t>
      </w:r>
      <w:r w:rsidRPr="00735FCE">
        <w:t>for maintaining metabolic balance</w:t>
      </w:r>
      <w:r>
        <w:t>;</w:t>
      </w:r>
      <w:r w:rsidRPr="00735FCE">
        <w:t xml:space="preserve"> disruption </w:t>
      </w:r>
      <w:r>
        <w:t>in these processes leads to</w:t>
      </w:r>
      <w:r w:rsidRPr="00735FCE">
        <w:t xml:space="preserve"> a variety of metabolic diseases</w:t>
      </w:r>
      <w:r>
        <w:t xml:space="preserve"> </w:t>
      </w:r>
      <w:r w:rsidRPr="00735FCE">
        <w:fldChar w:fldCharType="begin"/>
      </w:r>
      <w:r w:rsidR="00281437">
        <w:instrText xml:space="preserve"> ADDIN ZOTERO_ITEM CSL_CITATION {"citationID":"mW2xRWBL","properties":{"formattedCitation":"\\super 144\\nosupersub{}","plainCitation":"144","noteIndex":0},"citationItems":[{"id":3118,"uris":["http://zotero.org/users/9622455/items/IM6RHPKT"],"itemData":{"id":3118,"type":"article-journal","container-title":"Biochimica et Biophysica Acta (BBA) - Molecular and Cell Biology of Lipids","DOI":"10.1016/j.bbalip.2009.12.006","ISSN":"13881981","issue":"3","journalAbbreviation":"Biochimica et Biophysica Acta (BBA) - Molecular and Cell Biology of Lipids","language":"en","license":"https://www.elsevier.com/tdm/userlicense/1.0/","page":"338-349","source":"DOI.org (Crossref)","title":"Adipose tissue expandability, lipotoxicity and the Metabolic Syndrome — An allostatic perspective","volume":"1801","author":[{"family":"Virtue","given":"Sam"},{"family":"Vidal-Puig","given":"Antonio"}],"issued":{"date-parts":[["2010",3]]}}}],"schema":"https://github.com/citation-style-language/schema/raw/master/csl-citation.json"} </w:instrText>
      </w:r>
      <w:r w:rsidRPr="00735FCE">
        <w:fldChar w:fldCharType="separate"/>
      </w:r>
      <w:r w:rsidR="00281437" w:rsidRPr="00281437">
        <w:rPr>
          <w:vertAlign w:val="superscript"/>
        </w:rPr>
        <w:t>144</w:t>
      </w:r>
      <w:r w:rsidRPr="00735FCE">
        <w:fldChar w:fldCharType="end"/>
      </w:r>
      <w:r w:rsidRPr="00735FCE">
        <w:t xml:space="preserve">. The recognition of the systemic importance of WAT coincided with the increased rates of obesity in the late 20th century when epidemiologic studies began correlating obesity and excess fat accumulation </w:t>
      </w:r>
      <w:r>
        <w:t>with</w:t>
      </w:r>
      <w:r w:rsidRPr="00735FCE">
        <w:t xml:space="preserve"> </w:t>
      </w:r>
      <w:r>
        <w:t>T2DM</w:t>
      </w:r>
      <w:r w:rsidRPr="00735FCE">
        <w:t xml:space="preserve"> and 13 types of cancers</w:t>
      </w:r>
      <w:r>
        <w:t xml:space="preserve"> </w:t>
      </w:r>
      <w:r w:rsidRPr="00735FCE">
        <w:fldChar w:fldCharType="begin"/>
      </w:r>
      <w:r w:rsidR="00281437">
        <w:instrText xml:space="preserve"> ADDIN ZOTERO_ITEM CSL_CITATION {"citationID":"xGqqRFbP","properties":{"formattedCitation":"\\super 145\\nosupersub{}","plainCitation":"145","noteIndex":0},"citationItems":[{"id":3124,"uris":["http://zotero.org/users/9622455/items/IF2LWWFG"],"itemData":{"id":3124,"type":"webpage","abstract":"Being overweight or having obesity increases your risk of getting cancer.","container-title":"Cancer","language":"en-us","title":"Obesity and Cancer","URL":"https://www.cdc.gov/cancer/risk-factors/obesity.html","author":[{"family":"CDC","given":""}],"accessed":{"date-parts":[["2025",6,4]]},"issued":{"date-parts":[["2025",2,3]]}}}],"schema":"https://github.com/citation-style-language/schema/raw/master/csl-citation.json"} </w:instrText>
      </w:r>
      <w:r w:rsidRPr="00735FCE">
        <w:fldChar w:fldCharType="separate"/>
      </w:r>
      <w:r w:rsidR="00281437" w:rsidRPr="00281437">
        <w:rPr>
          <w:vertAlign w:val="superscript"/>
        </w:rPr>
        <w:t>145</w:t>
      </w:r>
      <w:r w:rsidRPr="00735FCE">
        <w:fldChar w:fldCharType="end"/>
      </w:r>
      <w:r w:rsidRPr="00735FCE">
        <w:t>. Currently, more than 890 million adults across the globe are living with obesity</w:t>
      </w:r>
      <w:r>
        <w:t xml:space="preserve"> </w:t>
      </w:r>
      <w:r w:rsidRPr="00735FCE">
        <w:fldChar w:fldCharType="begin"/>
      </w:r>
      <w:r w:rsidR="00281437">
        <w:instrText xml:space="preserve"> ADDIN ZOTERO_ITEM CSL_CITATION {"citationID":"kbqSygb1","properties":{"formattedCitation":"\\super 146\\nosupersub{}","plainCitation":"146","noteIndex":0},"citationItems":[{"id":3126,"uris":["http://zotero.org/users/9622455/items/8UGXGCTI"],"itemData":{"id":3126,"type":"webpage","abstract":"Obesity and overweight fact sheet from WHO providing key facts and information on causes, health consequences, double burden of disease, prevention, WHO response.","language":"en","title":"Obesity and overweight","URL":"https://www.who.int/news-room/fact-sheets/detail/obesity-and-overweight","accessed":{"date-parts":[["2025",6,4]]}}}],"schema":"https://github.com/citation-style-language/schema/raw/master/csl-citation.json"} </w:instrText>
      </w:r>
      <w:r w:rsidRPr="00735FCE">
        <w:fldChar w:fldCharType="separate"/>
      </w:r>
      <w:r w:rsidR="00281437" w:rsidRPr="00281437">
        <w:rPr>
          <w:vertAlign w:val="superscript"/>
        </w:rPr>
        <w:t>146</w:t>
      </w:r>
      <w:r w:rsidRPr="00735FCE">
        <w:fldChar w:fldCharType="end"/>
      </w:r>
      <w:r w:rsidRPr="00735FCE">
        <w:t>.</w:t>
      </w:r>
    </w:p>
    <w:p w14:paraId="7314F4B9" w14:textId="77777777" w:rsidR="009117C0" w:rsidRPr="00735FCE" w:rsidRDefault="009117C0" w:rsidP="00847BA5">
      <w:pPr>
        <w:pStyle w:val="Heading3"/>
        <w:jc w:val="left"/>
      </w:pPr>
      <w:bookmarkStart w:id="30" w:name="_Toc200988044"/>
      <w:bookmarkStart w:id="31" w:name="_Toc201001659"/>
      <w:bookmarkStart w:id="32" w:name="_Toc204848629"/>
      <w:r w:rsidRPr="00735FCE">
        <w:lastRenderedPageBreak/>
        <w:t xml:space="preserve">Brown </w:t>
      </w:r>
      <w:r>
        <w:t>A</w:t>
      </w:r>
      <w:r w:rsidRPr="00735FCE">
        <w:t xml:space="preserve">dipose </w:t>
      </w:r>
      <w:r>
        <w:t>T</w:t>
      </w:r>
      <w:r w:rsidRPr="00735FCE">
        <w:t>issue</w:t>
      </w:r>
      <w:bookmarkEnd w:id="30"/>
      <w:bookmarkEnd w:id="31"/>
      <w:bookmarkEnd w:id="32"/>
    </w:p>
    <w:p w14:paraId="05FD5C37" w14:textId="0B87EBDD" w:rsidR="009117C0" w:rsidRPr="00735FCE" w:rsidRDefault="009117C0" w:rsidP="00B007DA">
      <w:pPr>
        <w:ind w:firstLine="720"/>
        <w:jc w:val="left"/>
      </w:pPr>
      <w:r w:rsidRPr="00735FCE">
        <w:t>Brown adipose tissue is a unique type of adipose tissue that plays an important role in thermogenesis</w:t>
      </w:r>
      <w:r w:rsidRPr="00735FCE">
        <w:fldChar w:fldCharType="begin"/>
      </w:r>
      <w:r w:rsidR="00281437">
        <w:instrText xml:space="preserve"> ADDIN ZOTERO_ITEM CSL_CITATION {"citationID":"bhPlcfCd","properties":{"formattedCitation":"\\super 147\\nosupersub{}","plainCitation":"147","noteIndex":0},"citationItems":[{"id":3849,"uris":["http://zotero.org/users/9622455/items/EFQCYUGH"],"itemData":{"id":3849,"type":"article-journal","abstract":"Purpose of review\nChildren and adults have two major types of adipocytes, which represent the predominant cells in white adipose tissue (WAT), which is involved in energy-storage, and brown adipose tissue (BAT) which is responsible for thermogenesis and energy expenditure. This review discusses BAT physiology and evaluates the recent discoveries regarding its development, identification, and function.\n\nRecent findings\nThis past year multiple independent research teams using combined positron-emission tomography and computed tomography (PET/CT) imaging, immunohistochemistry, and gene and protein expression have proven conclusively that adult humans have functional BAT. In parallel, basic studies defined BAT origins, its transcriptional regulation, and the role of hormones in BAT growth and activation. These methods have begun to be applied to children to understand pediatric BAT anatomy and physiology.\n\nSummary\nAdult humans have functional BAT, which plays a role in energy balance. BAT is more prevalent in children, suggesting an even greater physiological role than that seen in adults. Future studies will identify safe ways to quantify BAT mass and activity and which interventions might be used to increase BAT mass and/or thermogenesis to treat obesity.","container-title":"Current opinion in pediatrics","DOI":"10.1097/MOP.0b013e32833a8d6e","ISSN":"1040-8703","issue":"4","journalAbbreviation":"Curr Opin Pediatr","note":"PMID: 20489634\nPMCID: PMC3593062","page":"478-484","source":"PubMed Central","title":"The Role and Importance of Brown Adipose Tissue in Energy Homeostasis","volume":"22","author":[{"family":"Cypess","given":"Aaron M."},{"family":"Kahn","given":"C. Ronald"}],"issued":{"date-parts":[["2010",8]]}}}],"schema":"https://github.com/citation-style-language/schema/raw/master/csl-citation.json"} </w:instrText>
      </w:r>
      <w:r w:rsidRPr="00735FCE">
        <w:fldChar w:fldCharType="separate"/>
      </w:r>
      <w:r w:rsidR="00281437" w:rsidRPr="00281437">
        <w:rPr>
          <w:vertAlign w:val="superscript"/>
        </w:rPr>
        <w:t>147</w:t>
      </w:r>
      <w:r w:rsidRPr="00735FCE">
        <w:fldChar w:fldCharType="end"/>
      </w:r>
      <w:r w:rsidRPr="00735FCE">
        <w:t>. In rodents, BAT is found in the supraclavicular and interscapular regions</w:t>
      </w:r>
      <w:r>
        <w:t>,</w:t>
      </w:r>
      <w:r w:rsidRPr="00735FCE">
        <w:t xml:space="preserve"> while in humans, it can be found in the cervical, axillary, paraspinal areas,</w:t>
      </w:r>
      <w:r>
        <w:t xml:space="preserve"> </w:t>
      </w:r>
      <w:r w:rsidRPr="00735FCE">
        <w:t>and around organs</w:t>
      </w:r>
      <w:r>
        <w:t xml:space="preserve"> </w:t>
      </w:r>
      <w:r w:rsidRPr="00735FCE">
        <w:fldChar w:fldCharType="begin"/>
      </w:r>
      <w:r w:rsidR="00281437">
        <w:instrText xml:space="preserve"> ADDIN ZOTERO_ITEM CSL_CITATION {"citationID":"v3bVq8eF","properties":{"formattedCitation":"\\super 148,149\\nosupersub{}","plainCitation":"148,149","noteIndex":0},"citationItems":[{"id":3855,"uris":["http://zotero.org/users/9622455/items/T32VILID"],"itemData":{"id":3855,"type":"article-journal","abstract":"We will review information about and present hypotheses as to the anatomy of brown adipose tissue (BAT). Why is it located where it is in humans? Its anatomical distribution is likely to confer survival value by protecting critical organs from hypothermia by adaptive thermogenesis. Ultimately, the location and function will be important when considering therapeutic strategies for preventing and treating obesity and type 2 diabetes, in which case successful interventions will need to have a significant effect on BAT function in subjects living in a thermoneutral environment. In view of the diverse locations and potential differences in responsiveness between BAT depots, it is likely that BAT will be shown to have much more subtle and thus previously overlooked functions and regulatory control mechanisms.","container-title":"Diabetes","DOI":"10.2337/db12-1430","ISSN":"0012-1797","issue":"6","journalAbbreviation":"Diabetes","note":"PMID: 23704519\nPMCID: PMC3661606","page":"1783-1790","source":"PubMed Central","title":"Anatomical Locations of Human Brown Adipose Tissue","volume":"62","author":[{"family":"Sacks","given":"Harold"},{"family":"Symonds","given":"Michael E."}],"issued":{"date-parts":[["2013",6]]}}},{"id":3852,"uris":["http://zotero.org/users/9622455/items/NQKZWZYE"],"itemData":{"id":3852,"type":"article-journal","container-title":"JCI Insight","DOI":"10.1172/jci.insight.93166","ISSN":"0021-9738","issue":"11","journalAbbreviation":"JCI Insight","language":"en","note":"publisher: American Society for Clinical Investigation\nPMID: 0","source":"insight.jci.org","title":"Identification and characterization of a supraclavicular brown adipose tissue in mice","URL":"https://insight.jci.org/articles/view/93166","volume":"2","author":[{"family":"Mo","given":"Qianxing"},{"family":"Salley","given":"Jordan"},{"family":"Roshan","given":"Tony"},{"family":"Baer","given":"Lisa A."},{"family":"May","given":"Francis J."},{"family":"Jaehnig","given":"Eric J."},{"family":"Lehnig","given":"Adam C."},{"family":"Guo","given":"Xin"},{"family":"Tong","given":"Qiang"},{"family":"Nuotio-Antar","given":"Alli M."},{"family":"Shamsi","given":"Farnaz"},{"family":"Tseng","given":"Yu-Hua"},{"family":"Stanford","given":"Kristin I."},{"family":"Chen","given":"Miao-Hsueh"}],"accessed":{"date-parts":[["2025",6,12]]},"issued":{"date-parts":[["2017",6,2]]}}}],"schema":"https://github.com/citation-style-language/schema/raw/master/csl-citation.json"} </w:instrText>
      </w:r>
      <w:r w:rsidRPr="00735FCE">
        <w:fldChar w:fldCharType="separate"/>
      </w:r>
      <w:r w:rsidR="00281437" w:rsidRPr="00281437">
        <w:rPr>
          <w:vertAlign w:val="superscript"/>
        </w:rPr>
        <w:t>148,149</w:t>
      </w:r>
      <w:r w:rsidRPr="00735FCE">
        <w:fldChar w:fldCharType="end"/>
      </w:r>
      <w:r w:rsidRPr="00735FCE">
        <w:t xml:space="preserve">. BAT was thought to be exclusive </w:t>
      </w:r>
      <w:r>
        <w:t>to</w:t>
      </w:r>
      <w:r w:rsidRPr="00735FCE">
        <w:t xml:space="preserve"> hibernating animals and infants in </w:t>
      </w:r>
      <w:r>
        <w:t xml:space="preserve">the </w:t>
      </w:r>
      <w:r w:rsidRPr="00735FCE">
        <w:t>19th century</w:t>
      </w:r>
      <w:r>
        <w:t xml:space="preserve"> </w:t>
      </w:r>
      <w:r w:rsidRPr="00735FCE">
        <w:fldChar w:fldCharType="begin"/>
      </w:r>
      <w:r w:rsidR="00281437">
        <w:instrText xml:space="preserve"> ADDIN ZOTERO_ITEM CSL_CITATION {"citationID":"k39AifSY","properties":{"formattedCitation":"\\super 150\\nosupersub{}","plainCitation":"150","noteIndex":0},"citationItems":[{"id":3858,"uris":["http://zotero.org/users/9622455/items/MQMK3QR7"],"itemData":{"id":3858,"type":"article-journal","abstract":"Hibernoma is an unusual tumour of brown adipose tissue. Brown adipose tissue is common in mammalian hibernating animals and acts as a thermogenic organ. A first case of hibernoma was reported in 1906 by Merkel. This tumour usually arises in the back, shoulder region, mediastinum, retroperitoneum and in the neck. The neck location of hibernomas is rare and only 18 cases of cervical hibernoma have been reported in the English literature. A 48-year-old male with hoarseness and soft voice, present for 8 months, showed a lesion involving the anterior part of the right vocal fold, with no impaired mobility. This is the first case to be reported of laryngeal hibernoma located in a vocal fold, originating from the white fat tissue of the paraglottic space. Moreover, this report could be evidence of the development of hibernoma from white adipose tissue.","container-title":"Acta Otorhinolaryngologica Italica","ISSN":"0392-100X","issue":"3","journalAbbreviation":"Acta Otorhinolaryngol Ital","note":"PMID: 18646576\nPMCID: PMC2667236","page":"141-143","source":"PubMed Central","title":"Hibernoma of the para-glottic space: an unusual tumour of the larynx","title-short":"Hibernoma of the para-glottic space","volume":"28","author":[{"family":"Minni","given":"A"},{"family":"Barbaro","given":"M"},{"family":"Vitolo","given":"D"},{"family":"Filipo","given":"R"}],"issued":{"date-parts":[["2008",6]]}}}],"schema":"https://github.com/citation-style-language/schema/raw/master/csl-citation.json"} </w:instrText>
      </w:r>
      <w:r w:rsidRPr="00735FCE">
        <w:fldChar w:fldCharType="separate"/>
      </w:r>
      <w:r w:rsidR="00281437" w:rsidRPr="00281437">
        <w:rPr>
          <w:vertAlign w:val="superscript"/>
        </w:rPr>
        <w:t>150</w:t>
      </w:r>
      <w:r w:rsidRPr="00735FCE">
        <w:fldChar w:fldCharType="end"/>
      </w:r>
      <w:r w:rsidRPr="00735FCE">
        <w:t xml:space="preserve">, but recent studies have found the presence of metabolically active BAT in </w:t>
      </w:r>
      <w:r>
        <w:t>adult humans</w:t>
      </w:r>
      <w:r w:rsidRPr="00735FCE">
        <w:t xml:space="preserve"> using 18F-fluorodeoxyglucose (18</w:t>
      </w:r>
      <w:r>
        <w:t>F-</w:t>
      </w:r>
      <w:r w:rsidRPr="00735FCE">
        <w:t>FDG)-positron emission tomography (PET)</w:t>
      </w:r>
      <w:r>
        <w:t xml:space="preserve"> </w:t>
      </w:r>
      <w:r w:rsidRPr="00735FCE">
        <w:fldChar w:fldCharType="begin"/>
      </w:r>
      <w:r w:rsidR="00281437">
        <w:instrText xml:space="preserve"> ADDIN ZOTERO_ITEM CSL_CITATION {"citationID":"JpxfW4HC","properties":{"formattedCitation":"\\super 151\\nosupersub{}","plainCitation":"151","noteIndex":0},"citationItems":[{"id":3860,"uris":["http://zotero.org/users/9622455/items/PXRNLC3V"],"itemData":{"id":3860,"type":"chapter","abstract":"If the beneficial effects of brown adipose tissue (BAT) on whole body metabolism, as observed in nonhuman experimental models, are to be translated to humans, tools that accurately measure how BAT influences human metabolism will be required. This chapter discusses such techniques, how they can be used, what they can measure and also some of their limitations. The focus is on detection and functional analysis of human BAT and how this can be facilitated by applying advanced imaging technology such as positron emission tomography, magnetic resonance imaging, and dual energy computed tomography.","collection-title":"Methods of Adipose Tissue Biology, Part A","container-title":"Methods in Enzymology","note":"DOI: 10.1016/B978-0-12-411619-1.00008-2","page":"141-159","publisher":"Academic Press","source":"ScienceDirect","title":"Chapter Eight - Brown Adipose Tissue in Humans: Detection and Functional Analysis Using PET (Positron Emission Tomography), MRI (Magnetic Resonance Imaging), and DECT (Dual Energy Computed Tomography)","title-short":"Chapter Eight - Brown Adipose Tissue in Humans","URL":"https://www.sciencedirect.com/science/article/pii/B9780124116191000082","volume":"537","author":[{"family":"Borga","given":"Magnus"},{"family":"Virtanen","given":"Kirsi A."},{"family":"Romu","given":"Thobias"},{"family":"Leinhard","given":"Olof Dahlqvist"},{"family":"Persson","given":"Anders"},{"family":"Nuutila","given":"Pirjo"},{"family":"Enerbäck","given":"Sven"}],"editor":[{"family":"Macdougald","given":"Ormond A."}],"accessed":{"date-parts":[["2025",6,12]]},"issued":{"date-parts":[["2014",1,1]]}}}],"schema":"https://github.com/citation-style-language/schema/raw/master/csl-citation.json"} </w:instrText>
      </w:r>
      <w:r w:rsidRPr="00735FCE">
        <w:fldChar w:fldCharType="separate"/>
      </w:r>
      <w:r w:rsidR="00281437" w:rsidRPr="00281437">
        <w:rPr>
          <w:vertAlign w:val="superscript"/>
        </w:rPr>
        <w:t>151</w:t>
      </w:r>
      <w:r w:rsidRPr="00735FCE">
        <w:fldChar w:fldCharType="end"/>
      </w:r>
      <w:r w:rsidRPr="00735FCE">
        <w:t xml:space="preserve">. The primary </w:t>
      </w:r>
      <w:r>
        <w:t>function</w:t>
      </w:r>
      <w:r w:rsidRPr="00735FCE">
        <w:t xml:space="preserve"> of BAT is non-shivering thermogenesis</w:t>
      </w:r>
      <w:r>
        <w:t>,</w:t>
      </w:r>
      <w:r w:rsidRPr="00735FCE">
        <w:t xml:space="preserve"> which is facilitated by uncoupling protein 1 (UCP1) located in the inner membrane of mitochondria</w:t>
      </w:r>
      <w:r>
        <w:t xml:space="preserve"> </w:t>
      </w:r>
      <w:r w:rsidRPr="00735FCE">
        <w:fldChar w:fldCharType="begin"/>
      </w:r>
      <w:r w:rsidR="00281437">
        <w:instrText xml:space="preserve"> ADDIN ZOTERO_ITEM CSL_CITATION {"citationID":"6UF6gGk6","properties":{"formattedCitation":"\\super 152\\nosupersub{}","plainCitation":"152","noteIndex":0},"citationItems":[{"id":3866,"uris":["http://zotero.org/users/9622455/items/NI5TAFUC"],"itemData":{"id":3866,"type":"article-journal","abstract":"Uncoupling protein 1 (UCP1), is a unique mitochondrial membranous protein devoted to adaptive thermogenesis, a specialized function performed by brown adipocytes. Whereas the family of mitochondrial metabolite carriers comprises </w:instrText>
      </w:r>
      <w:r w:rsidR="00281437">
        <w:rPr>
          <w:rFonts w:ascii="Cambria Math" w:hAnsi="Cambria Math" w:cs="Cambria Math"/>
        </w:rPr>
        <w:instrText>∼</w:instrText>
      </w:r>
      <w:r w:rsidR="00281437">
        <w:instrText xml:space="preserve">40 members, UCP1 is the only memberable to translocate protons through the inner membrane of brown adipocyte mitochondria. By this process, UCP1 uncouples respiration from ATP synthesis and therefore provokes energy dissipation in the form of heat while, also stimulating high levels of fatty acid oxidation. UCP1 homologs were identified but they are biochemically and physiologically different from UCP1. Thirty five years after its identification, UCP1 still appears as a fascinating component. The recent renewal of the interest in human brown adipose tissue makes UCP1 as a potential target for strategies of treatment of metabolic disorders.","container-title":"Frontiers in Endocrinology","DOI":"10.3389/fendo.2011.00085","ISSN":"1664-2392","journalAbbreviation":"Front Endocrinol (Lausanne)","note":"PMID: 22649389\nPMCID: PMC3355862","page":"85","source":"PubMed Central","title":"Uncoupling Protein 1 of Brown Adipocytes, the Only Uncoupler: A Historical Perspective","title-short":"Uncoupling Protein 1 of Brown Adipocytes, the Only Uncoupler","volume":"2","author":[{"family":"Ricquier","given":"Daniel"}],"issued":{"date-parts":[["2011",12,28]]}}}],"schema":"https://github.com/citation-style-language/schema/raw/master/csl-citation.json"} </w:instrText>
      </w:r>
      <w:r w:rsidRPr="00735FCE">
        <w:fldChar w:fldCharType="separate"/>
      </w:r>
      <w:r w:rsidR="00281437" w:rsidRPr="00281437">
        <w:rPr>
          <w:vertAlign w:val="superscript"/>
        </w:rPr>
        <w:t>152</w:t>
      </w:r>
      <w:r w:rsidRPr="00735FCE">
        <w:fldChar w:fldCharType="end"/>
      </w:r>
      <w:r w:rsidRPr="00735FCE">
        <w:t>. UCP1, upon activation by long-chain fatty acids, enhances proton (H⁺) leakage across the mitochondrial membrane and catalyzes the uncoupling of the proton gradient dissipated by the electron transport chain</w:t>
      </w:r>
      <w:r>
        <w:t xml:space="preserve"> </w:t>
      </w:r>
      <w:r w:rsidRPr="00735FCE">
        <w:t>to produce heat rather than ATP</w:t>
      </w:r>
      <w:r>
        <w:t xml:space="preserve"> </w:t>
      </w:r>
      <w:r w:rsidRPr="00735FCE">
        <w:fldChar w:fldCharType="begin"/>
      </w:r>
      <w:r w:rsidR="00281437">
        <w:instrText xml:space="preserve"> ADDIN ZOTERO_ITEM CSL_CITATION {"citationID":"YYcNyeNJ","properties":{"formattedCitation":"\\super 153,154\\nosupersub{}","plainCitation":"153,154","noteIndex":0},"citationItems":[{"id":3872,"uris":["http://zotero.org/users/9622455/items/EB3LJKFQ"],"itemData":{"id":3872,"type":"article-journal","abstract":"Mitochondrial uncoupling protein 1 (UCP1) is responsible for nonshivering thermogenesis in brown adipose tissue (BAT). Upon activation by long-chain fatty acids (LCFAs), UCP1 increases the conductance of the inner mitochondrial membrane (IMM) to make BAT mitochondria generate heat rather than ATP. Despite being a member of the family of mitochondrial anion carriers (SLC25), UCP1 is believed to transport H(+) by an unusual mechanism that has long remained unresolved. Here, we achieved direct patch-clamp measurements of UCP1 currents from the IMM of BAT mitochondria. We show that UCP1 is an LCFA anion/H(+) symporter. However, the LCFA anions cannot dissociate from UCP1 due to hydrophobic interactions established by their hydrophobic tails, and UCP1 effectively operates as an H(+) carrier activated by LCFA. A similar LCFA-dependent mechanism of transmembrane H(+) transport may be employed by other SLC25 members and be responsible for mitochondrial uncoupling and regulation of metabolic efficiency in various tissues.","container-title":"Cell","DOI":"10.1016/j.cell.2012.09.010","ISSN":"1097-4172","issue":"2","journalAbbreviation":"Cell","language":"eng","note":"PMID: 23063128\nPMCID: PMC3782081","page":"400-413","source":"PubMed","title":"Mechanism of fatty-acid-dependent UCP1 uncoupling in brown fat mitochondria","volume":"151","author":[{"family":"Fedorenko","given":"Andriy"},{"family":"Lishko","given":"Polina V."},{"family":"Kirichok","given":"Yuriy"}],"issued":{"date-parts":[["2012",10,12]]}}},{"id":2891,"uris":["http://zotero.org/users/9622455/items/RWHFE4PM"],"itemData":{"id":2891,"type":"article-journal","abstract":"Background: Fatty acids activate UCP1 to catalyze mitochondrial proton leak., Results: Palmitate changed the kinetics of two processes: mant-GDP binding to UCP1 and enzymatic proteolysis of UCP1., Conclusion: We present the first demonstration that fatty acids induce a conformational change in UCP1., Significance: The finding has profound implications for the mechanism of UCP1, providing crucial insights into cellular metabolic inefficiency., UCP1 catalyzes proton leak across the mitochondrial inner membrane to disengage substrate oxidation from ATP production. It is well established that UCP1 is activated by fatty acids and inhibited by purine nucleotides, but precisely how this regulation occurs remains unsettled. Although fatty acids can competitively overcome nucleotide inhibition in functional assays, fatty acids have little effect o</w:instrText>
      </w:r>
      <w:r w:rsidR="00281437">
        <w:rPr>
          <w:rFonts w:hint="eastAsia"/>
        </w:rPr>
        <w:instrText>n purine nucleotide binding. Here, we present the first demonstration that fatty acids induce a conformational change in UCP1. Palmitate dramatically changed the binding kinetics of 2</w:instrText>
      </w:r>
      <w:r w:rsidR="00281437">
        <w:rPr>
          <w:rFonts w:hint="eastAsia"/>
        </w:rPr>
        <w:instrText>′</w:instrText>
      </w:r>
      <w:r w:rsidR="00281437">
        <w:rPr>
          <w:rFonts w:hint="eastAsia"/>
        </w:rPr>
        <w:instrText>/3</w:instrText>
      </w:r>
      <w:r w:rsidR="00281437">
        <w:rPr>
          <w:rFonts w:hint="eastAsia"/>
        </w:rPr>
        <w:instrText>′</w:instrText>
      </w:r>
      <w:r w:rsidR="00281437">
        <w:rPr>
          <w:rFonts w:hint="eastAsia"/>
        </w:rPr>
        <w:instrText>-O-(N-methylanthraniloyl)-GDP, a fluorescently labeled nucleotide an</w:instrText>
      </w:r>
      <w:r w:rsidR="00281437">
        <w:instrText xml:space="preserve">alog, for UCP1. Furthermore, palmitate accelerated the rate of enzymatic proteolysis of UCP1. The altered kinetics of both processes indicate that fatty acids change the conformation of UCP1, reconciling the apparent discrepancy between existing functional and ligand binding data. Our results provide a framework for how fatty acids and nucleotides compete to regulate the activity of UCP1.","container-title":"The Journal of Biological Chemistry","DOI":"10.1074/jbc.M112.381780","ISSN":"0021-9258","issue":"44","journalAbbreviation":"J Biol Chem","note":"PMID: 22952235\nPMCID: PMC3481287","page":"36845-36853","source":"PubMed Central","title":"Fatty Acids Change the Conformation of Uncoupling Protein 1 (UCP1)","volume":"287","author":[{"family":"Divakaruni","given":"Ajit S."},{"family":"Humphrey","given":"Dickon M."},{"family":"Brand","given":"Martin D."}],"issued":{"date-parts":[["2012",10,26]]}}}],"schema":"https://github.com/citation-style-language/schema/raw/master/csl-citation.json"} </w:instrText>
      </w:r>
      <w:r w:rsidRPr="00735FCE">
        <w:fldChar w:fldCharType="separate"/>
      </w:r>
      <w:r w:rsidR="00281437" w:rsidRPr="00281437">
        <w:rPr>
          <w:vertAlign w:val="superscript"/>
        </w:rPr>
        <w:t>153,154</w:t>
      </w:r>
      <w:r w:rsidRPr="00735FCE">
        <w:fldChar w:fldCharType="end"/>
      </w:r>
      <w:r w:rsidRPr="00735FCE">
        <w:t>. Thermogenesis helps maintain systemic lipid metabolism</w:t>
      </w:r>
      <w:r>
        <w:t>,</w:t>
      </w:r>
      <w:r w:rsidRPr="00735FCE">
        <w:t xml:space="preserve"> including the removal of circulating triglycerides and limiting lipid storage</w:t>
      </w:r>
      <w:r>
        <w:t>,</w:t>
      </w:r>
      <w:r w:rsidRPr="00735FCE">
        <w:t xml:space="preserve"> which can be activated by cold temperatures and signals from the sympathetic nervous system (SNS)</w:t>
      </w:r>
      <w:r>
        <w:t xml:space="preserve"> </w:t>
      </w:r>
      <w:r w:rsidRPr="00735FCE">
        <w:fldChar w:fldCharType="begin"/>
      </w:r>
      <w:r w:rsidR="00281437">
        <w:instrText xml:space="preserve"> ADDIN ZOTERO_ITEM CSL_CITATION {"citationID":"3DZmDdLH","properties":{"formattedCitation":"\\super 155,156\\nosupersub{}","plainCitation":"155,156","noteIndex":0},"citationItems":[{"id":3879,"uris":["http://zotero.org/users/9622455/items/ECLWTH7A"],"itemData":{"id":3879,"type":"article-journal","abstract":"The sympathetic nervous system (SNS) plays a critical role in the regulation of mammalian thermogenic responses to cold exposure and dietary intake. Catecholamine-stimulated thermogenesis is mediated by the beta-adrenergic receptor. In the rat brown adipose tissue is the major site of metabolic heat production in response to both cold (nonshivering thermogenesis) and diet (diet-induced thermogenesis). Measurements of norepinephrine turnover rate in interscapular brown adipose tissue of the rat demonstrate increased sympathetic activity in response to both cold exposure and overfeeding. In adult humans, a physiologically significant role for brown adipose tissue has not been established but cannot be excluded. It appears likely that dietary changes in SNS activity are related, at least in part, to the changes in metabolic rate that occur in association with changes in dietary intake.","container-title":"American Journal of Physiology-Endocrinology and Metabolism","DOI":"10.1152/ajpendo.1984.247.2.E181","ISSN":"0193-1849","issue":"2","note":"publisher: American Physiological Society","page":"E181-E189","source":"journals.physiology.org (Atypon)","title":"Sympathoadrenal system and regulation of thermogenesis","volume":"247","author":[{"family":"Landsberg","given":"L."},{"family":"Saville","given":"M. E."},{"family":"Young","given":"J. B."}],"issued":{"date-parts":[["1984",8]]}}},{"id":3875,"uris":["http://zotero.org/users/9622455/items/N55CDBWE"],"itemData":{"id":3875,"type":"article-journal","abstract":"Non-shivering thermogenesis is an energy demanding process that primarily occurs in brown and beige adipose tissue. Beyond regulating body temperature, these thermogenic adipocytes regulate systemic glucose and lipid homeostasis. Historically, research on thermogenic adipocytes has focused on glycolytic metabolism due to the discovery of active brown adipose tissue in adult humans through glucose uptake imaging. The importance of lipids in non-shivering thermogenesis has more recently been appreciated. Uptake of circulating lipids into thermogenic adipocytes is necessary for body temperature regulation and whole-body lipid homeostasis. A wide array of circulating lipids contribute to thermogenic potential including free fatty acids, triglycerides, and acylcarnitines. This review will summarize the mechanisms and regulation of lipid uptake into brown adipose tissue including protein-mediated uptake, lipoprotein lipase activity, endocytosis, vesicle packaging, and lipid chaperones. We will also address existing gaps in knowledge for cold induced lipid uptake into thermogenic adipose tissue.","container-title":"Frontiers in Physiology","DOI":"10.3389/fphys.2021.787535","ISSN":"1664-042X","journalAbbreviation":"Front Physiol","note":"PMID: 35002769\nPMCID: PMC8733649","page":"787535","source":"PubMed Central","title":"Lipid Transport in Brown Adipocyte Thermogenesis","volume":"12","author":[{"family":"Wade","given":"Gina"},{"family":"McGahee","given":"Ayren"},{"family":"Ntambi","given":"James M."},{"family":"Simcox","given":"Judith"}],"issued":{"date-parts":[["2021",12,23]]}}}],"schema":"https://github.com/citation-style-language/schema/raw/master/csl-citation.json"} </w:instrText>
      </w:r>
      <w:r w:rsidRPr="00735FCE">
        <w:fldChar w:fldCharType="separate"/>
      </w:r>
      <w:r w:rsidR="00281437" w:rsidRPr="00281437">
        <w:rPr>
          <w:vertAlign w:val="superscript"/>
        </w:rPr>
        <w:t>155,156</w:t>
      </w:r>
      <w:r w:rsidRPr="00735FCE">
        <w:fldChar w:fldCharType="end"/>
      </w:r>
      <w:r w:rsidRPr="00735FCE">
        <w:t xml:space="preserve">. </w:t>
      </w:r>
      <w:r w:rsidRPr="00354326">
        <w:t>Although FFAs are the primary fuel for non-shivering thermogenesis</w:t>
      </w:r>
      <w:r>
        <w:t>,</w:t>
      </w:r>
      <w:r w:rsidRPr="00354326">
        <w:t xml:space="preserve"> cold exposure also significantly increases glucose uptake in rodents, indicating that glucose serves as an additional energy substrate</w:t>
      </w:r>
      <w:r>
        <w:t xml:space="preserve"> </w:t>
      </w:r>
      <w:r>
        <w:fldChar w:fldCharType="begin"/>
      </w:r>
      <w:r w:rsidR="00281437">
        <w:instrText xml:space="preserve"> ADDIN ZOTERO_ITEM CSL_CITATION {"citationID":"0ktTwswK","properties":{"formattedCitation":"\\super 157\\uc0\\u8211{}159\\nosupersub{}","plainCitation":"157–159","noteIndex":0},"citationItems":[{"id":4130,"uris":["http://zotero.org/users/9622455/items/XJ95GJPA"],"itemData":{"id":4130,"type":"article-journal","abstract":"The effects of cold exposure on glucose transport system in brown adipose tissue (BAT) and the role of sympathetic nerves in this response were studied in rats. The rate constant of glucose uptake in BAT increased 10-, 13-, and 14-fold after 6 h, 1 d, and 2 d of cold exposure, respectively, as compared with controls. After 2 d of cold exposure, the number of glucose transporters in the plasma membranes increased from 10.2 +/- 1.1 to 16.7 +/- 1.4 pmol/mg protein and the transporter number in the microsomal membranes decreased from 15.1 +/- 1.0 to 9.0 +/- 1.1 pmol/mg protein, as measured by cytochalasin B binding. However, the increase in glucose utilization in BAT preceded the recruitment of glucose transporters to the plasma membranes. Thus, the glucose utilization markedly increased 6 h after cold exposure without significant increase in the glucose transporter number. The apparent dissociation constant (Kd) for cytochalasin B was unchanged. The stimulatory effect of cold exposure on glucose utilization in BAT was prevented by sympathetic denervation. In denervated BAT, cold exposure conversely decreased the number of glucose transporters in the plasma membranes. These results indicate that: (1) cold exposure increases glucose utilization in BAT and promotes translocation of glucose transporters from the microsomes to plasma membranes; (2) the effects of cold exposure depend entirely upon sympathetic innervation of BAT; (3) the recruitment or redistribution of glucose transporters accounts only partly for the large increase in glucose utilization in BAT after acute cold exposure.","container-title":"The Japanese Journal of Physiology","DOI":"10.2170/jjphysiol.42.653","ISSN":"0021-521X","issue":"4","journalAbbreviation":"Jpn J Physiol","language":"eng","note":"PMID: 1474682","page":"653-664","source":"PubMed","title":"Importance of sympathetic nerves for the stimulatory effect of cold exposure on glucose utilization in brown adipose tissue","volume":"42","author":[{"family":"Takahashi","given":"A."},{"family":"Shimazu","given":"T."},{"family":"Maruyama","given":"Y."}],"issued":{"date-parts":[["1992"]]}}},{"id":4126,"uris":["http://zotero.org/users/9622455/items/DLP797GI"],"itemData":{"id":4126,"type":"article-journal","abstract":"The effect of cold adaptation (4 degrees C) on the in vivo glucose utilization and on the number and properties of the glucose transporters has been studied in brown adipose tissue of normal rats. Glucose utilization was assessed in vivo by the 2-deoxyglucose method. Glucose transporters in plasma and microsomal membranes were quantified by the [3H]cytochalasin B-binding assay. After cold adaptation the in vivo glucose utilization by brown adipose tissue increased 21-fold compared to controls (22 degrees C). The number of glucose transporters in plasma membranes of brown adipose tissue increased from 75 to 436 pmol/g tissue and that of total glucose transporters (plasma + microsomal membranes) from 438 to 754 pmol/g tissue. In addition, cold adaptation increased the Hill coefficient of the plasma membrane transporter for cytochalasin B from 0.90 to 2.03 and decreased the Kd from 100 to 54 nM. This study shows that cold adaptation promotes: a translocation of glucose transporters from an intracellular pool to plasma membranes; an increased number of plasma membrane glucose transporters unaccounted for by the translocation process (e.g. \"de novo\" synthesis); an increase in the Hill coefficient for cytochalasin B that could also represent changes in the properties of the transporters vis-à-vis glucose, (e.g. positive cooperativity); and a decrease in the Kd value for cytochalasin B.","container-title":"The Journal of Biological Chemistry","ISSN":"0021-9258","issue":"16","journalAbbreviation":"J Biol Chem","language":"eng","note":"PMID: 3584138","page":"7732-7736","source":"PubMed","title":"Stimulatory effect of cold adaptation on glucose utilization by brown adipose tissue. Relationship with changes in the glucose transporter system","volume":"262","author":[{"family":"Greco-Perotto","given":"R."},{"family":"Zaninetti","given":"D."},{"family":"Assimacopoulos-Jeannet","given":"F."},{"family":"Bobbioni","given":"E."},{"family":"Jeanrenaud","given":"B."}],"issued":{"date-parts":[["1987",6,5]]}}},{"id":4128,"uris":["http://zotero.org/users/9622455/items/KWKSFMSI"],"itemData":{"id":4128,"type":"article-journal","abstract":"The effects of fasting and cold exposure on glucose uptake in skeletal muscles (tibialis anterior, quadriceps, and soleus), heart, and brown adipose tissue (BAT) were studied in conscious rats. Glucose uptake was estimated by determining the glucose metabolic index of individual tissues using the 2-[3H]deoxyglucose method. Fasting for 18 h at 25 degrees C decreased plasma glucose levels (-40%) and glucose uptake in heart (-95%) and skeletal muscles (-64-90%) but did not significantly affect glucose uptake in BAT. Fasting for 48 h did not further decrease these parameters. On the other hand, cold exposure (48 h at 5 degrees C) of fed animals did not alter plasma glucose levels but increased glucose uptake in heart (73%), skeletal muscles (126-326%), and particularly in BAT (95-fold). Remarkably, cold exposure stimulated glucose uptake in BAT and skeletal muscles of 18-h fasted rats by the same order of magnitude as in fed animals (percentagewise), thereby indicating that glucose represents an essential metabolite for shivering (muscles) and nonshivering (BAT) thermogeneses. In the heart of starved animals, the cold-induced increase in glucose uptake was even more important (8-fold) than in fed animals. Considering that cold exposure of fasted rats results in a severe insulinopenia, it is suggested that cold exposure stimulates glucose uptake in peripheral tissues primarily by enhancing glucose oxidation via insulin-independent pathways.","container-title":"The American Journal of Physiology","DOI":"10.1152/ajpregu.1989.257.1.R96","ISSN":"0002-9513","issue":"1 Pt 2","journalAbbreviation":"Am J Physiol","language":"eng","note":"PMID: 2665523","page":"R96-101","source":"PubMed","title":"Cold exposure reverses inhibitory effects of fasting on peripheral glucose uptake in rats","volume":"257","author":[{"family":"Shibata","given":"H."},{"family":"Pérusse","given":"F."},{"family":"Vallerand","given":"A."},{"family":"Bukowiecki","given":"L. J."}],"issued":{"date-parts":[["1989",7]]}}}],"schema":"https://github.com/citation-style-language/schema/raw/master/csl-citation.json"} </w:instrText>
      </w:r>
      <w:r>
        <w:fldChar w:fldCharType="separate"/>
      </w:r>
      <w:r w:rsidR="00281437" w:rsidRPr="00281437">
        <w:rPr>
          <w:vertAlign w:val="superscript"/>
        </w:rPr>
        <w:t>157–159</w:t>
      </w:r>
      <w:r>
        <w:fldChar w:fldCharType="end"/>
      </w:r>
      <w:r w:rsidRPr="00354326">
        <w:t>. In rodents, this uptake occurs even in the absence of insulin and is driven by SNS</w:t>
      </w:r>
      <w:r>
        <w:t xml:space="preserve"> </w:t>
      </w:r>
      <w:r w:rsidRPr="00354326">
        <w:t>activation, which enhances the expression, redistribution, and functional activity of glucose transporters</w:t>
      </w:r>
      <w:r>
        <w:t>,</w:t>
      </w:r>
      <w:r w:rsidRPr="00354326">
        <w:t xml:space="preserve"> such as </w:t>
      </w:r>
      <w:r>
        <w:t>glucose transporter 1 (</w:t>
      </w:r>
      <w:r w:rsidRPr="00354326">
        <w:t>GLUT1</w:t>
      </w:r>
      <w:r>
        <w:t>)</w:t>
      </w:r>
      <w:r w:rsidRPr="00354326">
        <w:t xml:space="preserve"> and </w:t>
      </w:r>
      <w:r>
        <w:t>glucose transporter 4 (</w:t>
      </w:r>
      <w:r w:rsidRPr="00354326">
        <w:t>GLUT4</w:t>
      </w:r>
      <w:r>
        <w:t>),</w:t>
      </w:r>
      <w:r w:rsidRPr="00354326">
        <w:t xml:space="preserve"> in BAT</w:t>
      </w:r>
      <w:r>
        <w:t xml:space="preserve"> </w:t>
      </w:r>
      <w:r>
        <w:fldChar w:fldCharType="begin"/>
      </w:r>
      <w:r w:rsidR="00281437">
        <w:instrText xml:space="preserve"> ADDIN ZOTERO_ITEM CSL_CITATION {"citationID":"amfks6trfu","properties":{"formattedCitation":"\\super 158,160,161\\nosupersub{}","plainCitation":"158,160,161","noteIndex":0},"citationItems":[{"id":4126,"uris":["http://zotero.org/users/9622455/items/DLP797GI"],"itemData":{"id":4126,"type":"article-journal","abstract":"The effect of cold adaptation (4 degrees C) on the in vivo glucose utilization and on the number and properties of the glucose transporters has been studied in brown adipose tissue of normal rats. Glucose utilization was assessed in vivo by the 2-deoxyglucose method. Glucose transporters in plasma and microsomal membranes were quantified by the [3H]cytochalasin B-binding assay. After cold adaptation the in vivo glucose utilization by brown adipose tissue increased 21-fold compared to controls (22 degrees C). The number of glucose transporters in plasma membranes of brown adipose tissue increased from 75 to 436 pmol/g tissue and that of total glucose transporters (plasma + microsomal membranes) from 438 to 754 pmol/g tissue. In addition, cold adaptation increased the Hill coefficient of the plasma membrane transporter for cytochalasin B from 0.90 to 2.03 and decreased the Kd from 100 to 54 nM. This study shows that cold adaptation promotes: a translocation of glucose transporters from an intracellular pool to plasma membranes; an increased number of plasma membrane glucose transporters unaccounted for by the translocation process (e.g. \"de novo\" synthesis); an increase in the Hill coefficient for cytochalasin B that could also represent changes in the properties of the transporters vis-à-vis glucose, (e.g. positive cooperativity); and a decrease in the Kd value for cytochalasin B.","container-title":"The Journal of Biological Chemistry","ISSN":"0021-9258","issue":"16","journalAbbreviation":"J Biol Chem","language":"eng","note":"PMID: 3584138","page":"7732-7736","source":"PubMed","title":"Stimulatory effect of cold adaptation on glucose utilization by brown adipose tissue. Relationship with changes in the glucose transporter system","volume":"262","author":[{"family":"Greco-Perotto","given":"R."},{"family":"Zaninetti","given":"D."},{"family":"Assimacopoulos-Jeannet","given":"F."},{"family":"Bobbioni","given":"E."},{"family":"Jeanrenaud","given":"B."}],"issued":{"date-parts":[["1987",6,5]]}}},{"id":4133,"uris":["http://zotero.org/users/9622455/items/RFSF3QUM"],"itemData":{"id":4133,"type":"article-journal","abstract":"To identify the mechanisms whereby norepinephrine induces glucose uptake in brown adipose tissue, we used mouse brown adipocytes in culture. Proliferating brown adipocytes had high levels of glucose transporter (GLUT) 1 mRNA and low levels of GLUT4 mRNA. The ratio of GLUT4/GLUT1 mRNA expression increased during differentiation, and mature brown adipocytes had high levels of GLUT4 mRNA. The endogenous adrenergic neurotransmitter norepinephrine induced a potent increase in GLUT1 mRNA and a decrease of GLUT4 mRNA in mature brown adipocytes. The norepinephrine effect was mimicked by isoprenaline and CL 316243 and was thus mediated by beta3-adrenergic receptors. The cAMP analog 8-bromoadenosine-cAMP partly mimicked the response on GLUT1 mRNA increase and fully mimicked the GLUT4 mRNA decrease. We found no involvement of alpha1 or alpha2-adrenergic receptors on GLUT1 or GLUT4 mRNA transcription. Norepinephrine treatment led to a large increase of GLUT1 protein amount in brown adipocytes as visualized with immunocytochemical staining and subcellular fractionation. A large part of the newly synthesized GLUT1 was found in the plasma membrane (PM). The potent transcriptional inhibitor actinomycin D fully abolished this increase of GLUT1 protein at all time points examined. Norepinephrine treatment shifted GLUT4 from the PM to an intracellular vesicular compartment. Norepinephrine increased 2-deoxy-D-glucose uptake 2-fold at an early time point (1 h) and 4-fold at later time point (5 h). Addition of actinomycin D did not block the early phase but blocked a large part of the later phase of 2-deoxy-D-glucose uptake. These results imply that adrenergic stimulation through beta3-adrenergic receptors induces glucose uptake in brown adipocytes via two mechanisms: 1) a mechanism not dependent on GLUT1 and GLUT4 translocation, 2) a mechanism that is dependent on de novo synthesis of GLUT1 protein and increase of GLUT1 protein at the PM.","container-title":"Endocrinology","DOI":"10.1210/en.2006-0242","ISSN":"0013-7227","issue":"12","journalAbbreviation":"Endocrinology","language":"eng","note":"PMID: 16959848","page":"5730-5739","source":"PubMed","title":"Beta3-adrenergic receptors stimulate glucose uptake in brown adipocytes by two mechanisms independently of glucose transporter 4 translocation","volume":"147","author":[{"family":"Dallner","given":"O. S."},{"family":"Chernogubova","given":"E."},{"family":"Brolinson","given":"K. A."},{"family":"Bengtsson","given":"T."}],"issued":{"date-parts":[["2006",12]]}}},{"id":4135,"uris":["http://zotero.org/users/9622455/items/MPSFCEPW"],"itemData":{"id":4135,"type":"article-journal","abstract":"Glucose transport into rat brown adipocytes has been shown to be stimulated directly by the sympathetic neurotransmitter, noradrenaline, without a significant increase in the protein content of either GLUT1 or GLUT4 glucose transporter in the plasma membrane [Shimizu, Kielar, Minokoshi and Shimazu (1996) Biochem. J. 314, 485-490]. In the present study, we labelled the exofacial glucose-binding sites of GLUT1 and GLUT4 with a membrane-impermeant photoaffinity reagent, 2-N-[4-(1-azitrifluoroethyl)benzoyl]-[2-3H]1,3-bis- (D-mannos-4-yloxy)-2-propylamine (ATB-[3H]BMPA), to determine which isoform is responsible for the noradrenaline-induced increase in glucose transport into intact brown adipocytes in culture. Insulin stimulated the rate of hexose transport by increasing ATB-[3H]BMPA-labelled cell-surface GLUT4. In contrast, the noradrenaline-induced increase in glucose transport was not accompanied by an increased ATB-[3H]BMPA labelling of GLUT4, nor with an increased amount of GLUT4 in the plasma membrane fraction as assessed by Western blotting, indicating that noradrenaline does not promote the translocation of GLUT4. However, noradrenaline induced an increase in photoaffinity labelling of cell-surface GLUT1 without an apparent increase in the immunoreactive GLUT1 protein in the plasma membrane. This is suggestive of an increased affinity of GLUT1 for the ligand. In fact, the Ki value of non-radioactive ATB-BMPA for 2-deoxy-D-glucose uptake was significantly decreased after treatment of the cells with noradrenaline. The increased photoaffinity labelling of GLUT1 and increased glucose transport caused by noradrenaline were inhibited by a cAMP antagonist, cAMP-S Rp-isomer. These results demonstrate that noradrenaline stimulates glucose transport in brown adipocytes by enhancing the functional activity of GLUT1 through a cAMP-dependent mechanism.","container-title":"The Biochemical Journal","DOI":"10.1042/bj3300397","ISSN":"0264-6021","issue":"Pt 1","journalAbbreviation":"Biochem J","language":"eng","note":"PMID: 9461536\nPMCID: PMC1219153","page":"397-403","source":"PubMed","title":"Effects of noradrenaline on the cell-surface glucose transporters in cultured brown adipocytes: novel mechanism for selective activation of GLUT1 glucose transporters","title-short":"Effects of noradrenaline on the cell-surface glucose transporters in cultured brown adipocytes","volume":"330 ( Pt 1)","author":[{"family":"Shimizu","given":"Y."},{"family":"Satoh","given":"S."},{"family":"Yano","given":"H."},{"family":"Minokoshi","given":"Y."},{"family":"Cushman","given":"S. W."},{"family":"Shimazu","given":"T."}],"issued":{"date-parts":[["1998",2,15]]}}}],"schema":"https://github.com/citation-style-language/schema/raw/master/csl-citation.json"} </w:instrText>
      </w:r>
      <w:r>
        <w:fldChar w:fldCharType="separate"/>
      </w:r>
      <w:r w:rsidR="00281437" w:rsidRPr="00281437">
        <w:rPr>
          <w:vertAlign w:val="superscript"/>
        </w:rPr>
        <w:t>158,160,161</w:t>
      </w:r>
      <w:r>
        <w:fldChar w:fldCharType="end"/>
      </w:r>
      <w:r w:rsidRPr="00354326">
        <w:t>.</w:t>
      </w:r>
    </w:p>
    <w:p w14:paraId="63C758F5" w14:textId="25D09E86" w:rsidR="009117C0" w:rsidRPr="00735FCE" w:rsidRDefault="009117C0" w:rsidP="00847BA5">
      <w:pPr>
        <w:jc w:val="left"/>
      </w:pPr>
      <w:r w:rsidRPr="00735FCE">
        <w:t>Along with its metabolic roles, BAT also possesses endocrine-like functions and releases a variety of signaling molecules commonly termed “batokines,” which include fibroblast growth factor 21 (FGF21), neuregulin 4</w:t>
      </w:r>
      <w:r>
        <w:t xml:space="preserve"> (NRG4)</w:t>
      </w:r>
      <w:r w:rsidRPr="00735FCE">
        <w:t>, vascular endothelial growth factor (VEGF), and IL-6</w:t>
      </w:r>
      <w:r>
        <w:t xml:space="preserve"> </w:t>
      </w:r>
      <w:r w:rsidRPr="00735FCE">
        <w:lastRenderedPageBreak/>
        <w:fldChar w:fldCharType="begin"/>
      </w:r>
      <w:r w:rsidR="00281437">
        <w:instrText xml:space="preserve"> ADDIN ZOTERO_ITEM CSL_CITATION {"citationID":"h6sBTORP","properties":{"formattedCitation":"\\super 162,163\\nosupersub{}","plainCitation":"162,163","noteIndex":0},"citationItems":[{"id":3884,"uris":["http://zotero.org/users/9622455/items/55T3KAZH"],"itemData":{"id":3884,"type":"article-journal","abstract":"Traditionally recognised as the energy reservoir and main site of adaptive thermogenesis, white and brown adipose tissues are complex endocrine organs regulating systemic energy metabolism via the secretion of bioactive molecules, termed “adipokines” and “batokines”, respectively. Due to its significant role in regulating whole-body energy metabolism and other physiological processes, adipose tissue has been increasingly explored as a feasible therapeutic target for obesity. Flavonoids are one of the most significant plant polyphenolic compounds holding a great potential as therapeutic agents for combating obesity. However, understanding their mechanisms of action remains largely insufficient to formulate therapeutic theories. This review critically discusses scientific evidence highlighting the role of flavonoids in ameliorating obesity-related metabolic complications, including adipose tissue dysfunction, inflammation, insulin resistance, hepatic steatosis, and cardiovascular comorbidities in part by modulating the release of adipokines and batokines. Further discussion advocates for the use of therapeutics targeting these bioactive molecules as a potential avenue for developing effective treatment for obesity and its adverse metabolic diseases such as type 2 diabetes.","container-title":"Biochimie","DOI":"10.1016/j.biochi.2024.11.007","ISSN":"0300-9084","journalAbbreviation":"Biochimie","page":"95-113","source":"ScienceDirect","title":"Regulation of adipokine and batokine secretion by dietary flavonoids, as a prospective therapeutic approach for obesity and its metabolic complications","volume":"230","author":[{"family":"Ziqubu","given":"Khanyisani"},{"family":"Mazibuko-Mbeje","given":"Sithandiwe E."},{"family":"Dludla","given":"Phiwayinkosi V."}],"issued":{"date-parts":[["2025",3,1]]}}},{"id":3881,"uris":["http://zotero.org/users/9622455/items/H25XEJGD"],"itemData":{"id":3881,"type":"article-journal","abstract":"Purpose of Review\nThis review highlights aspects of brown adipose tissue (BAT) communication with other organ systems and how BAT-to-tissue cross-talk could help elucidate future obesity treatments.\n\nRecent Findings\nUntil recently, research on BAT has focused mainly on its thermogenic activity. New research has identified an endocrine/paracrine function of BAT and determined that many BAT-derived molecules, termed “batokines,” affect the physiology of a variety of organ systems and cell types. Batokines encompass a variety of signaling molecules including peptides, metabolites, lipids, or microRNAs. Recent studies have noted significant effects of batokines on physiology as it relates whole-body metabolism and cardiac function. This review will discuss batokines and other BAT processes that affect the liver, cardiovascular system, skeletal muscle, immune cells, and brown and white adipose tissue.\n\nSummary\nBrown adipose tissue has a crucial secretory function that plays a key role in systemic physiology.","container-title":"Current Obesity Reports","DOI":"10.1007/s13679-021-00465-7","ISSN":"2162-4968","issue":"1","journalAbbreviation":"Curr Obes Rep","note":"PMID: 34997461\nPMCID: PMC9165237","page":"1-9","source":"PubMed Central","title":"Batokines: Mediators of Inter-Tissue Communication (a Mini-Review)","title-short":"Batokines","volume":"11","author":[{"family":"Yang","given":"Felix T."},{"family":"Stanford","given":"Kristin I."}],"issued":{"date-parts":[["2022"]]}}}],"schema":"https://github.com/citation-style-language/schema/raw/master/csl-citation.json"} </w:instrText>
      </w:r>
      <w:r w:rsidRPr="00735FCE">
        <w:fldChar w:fldCharType="separate"/>
      </w:r>
      <w:r w:rsidR="00281437" w:rsidRPr="00281437">
        <w:rPr>
          <w:vertAlign w:val="superscript"/>
        </w:rPr>
        <w:t>162,163</w:t>
      </w:r>
      <w:r w:rsidRPr="00735FCE">
        <w:fldChar w:fldCharType="end"/>
      </w:r>
      <w:r w:rsidRPr="00735FCE">
        <w:t>. The endocrine influences of BAT in humans are not yet fully understood, given its relatively small portion, 1–2% of total body fat, but their paracrine and autocrine functions are increasingly recognized</w:t>
      </w:r>
      <w:r>
        <w:t xml:space="preserve"> </w:t>
      </w:r>
      <w:r w:rsidRPr="00735FCE">
        <w:fldChar w:fldCharType="begin"/>
      </w:r>
      <w:r w:rsidR="00281437">
        <w:instrText xml:space="preserve"> ADDIN ZOTERO_ITEM CSL_CITATION {"citationID":"VFRN6Fq1","properties":{"formattedCitation":"\\super 23\\nosupersub{}","plainCitation":"23","noteIndex":0},"citationItems":[{"id":2852,"uris":["http://zotero.org/users/9622455/items/GKYHZJE5"],"itemData":{"id":2852,"type":"article-journal","abstract":"Adipose tissue plays essential roles in maintaining lipid and glucose homeostasis. To date several types of adipose tissue have been identified, namely white, brown, and beige, that reside in various specific anatomical locations throughout the body. The cellular composition, secretome, and location of these adipose depots define their function in health and metabolic disease. In obesity, adipose tissue becomes dysfunctional, promoting a pro-inflammatory, hyperlipidemic and insulin resistant environment that contributes to type 2 diabetes mellitus (T2DM). Concurrently, similar features that result from adipose tissue dysfunction also promote cardiovascular disease (CVD) by mechanisms that can be augmented by T2DM. The mechanisms by which dysfunctional adipose tissue simultaneously promote T2DM and CVD, focusing on adipose tissue depot-specific adipokines, inflammatory profiles, and metabolism, will be the focus of this review. The impact that various T2DM and CVD treatment strategies have on adipose tissue function and body weight also will be discussed.","container-title":"Frontiers in Cardiovascular Medicine","DOI":"10.3389/fcvm.2020.00022","ISSN":"2297-055X","journalAbbreviation":"Front. Cardiovasc. Med.","language":"English","note":"publisher: Frontiers","source":"Frontiers","title":"Adipose Tissue Distribution, Inflammation and Its Metabolic Consequences, Including Diabetes and Cardiovascular Disease","URL":"https://www.frontiersin.orghttps://www.frontiersin.org/journals/cardiovascular-medicine/articles/10.3389/fcvm.2020.00022/full","volume":"7","author":[{"family":"Chait","given":"Alan"},{"family":"Hartigh","given":"Laura J.","non-dropping-particle":"den"}],"accessed":{"date-parts":[["2025",4,29]]},"issued":{"date-parts":[["2020",2,25]]}}}],"schema":"https://github.com/citation-style-language/schema/raw/master/csl-citation.json"} </w:instrText>
      </w:r>
      <w:r w:rsidRPr="00735FCE">
        <w:fldChar w:fldCharType="separate"/>
      </w:r>
      <w:r w:rsidR="00281437" w:rsidRPr="00281437">
        <w:rPr>
          <w:vertAlign w:val="superscript"/>
        </w:rPr>
        <w:t>23</w:t>
      </w:r>
      <w:r w:rsidRPr="00735FCE">
        <w:fldChar w:fldCharType="end"/>
      </w:r>
      <w:r w:rsidRPr="00735FCE">
        <w:t xml:space="preserve">. </w:t>
      </w:r>
      <w:r>
        <w:t>Additionally</w:t>
      </w:r>
      <w:r w:rsidRPr="00735FCE">
        <w:t>, sustained exposure to cold temperatures results in BAT recruitment, including the expansion and activation of BAT depots, through the proliferation and differentiation of precursor cells, thus enhancing their thermogenic capacity and metabolic effect</w:t>
      </w:r>
      <w:r>
        <w:t xml:space="preserve"> </w:t>
      </w:r>
      <w:r w:rsidRPr="00735FCE">
        <w:fldChar w:fldCharType="begin"/>
      </w:r>
      <w:r w:rsidR="00281437">
        <w:instrText xml:space="preserve"> ADDIN ZOTERO_ITEM CSL_CITATION {"citationID":"i3fdMXxB","properties":{"formattedCitation":"\\super 164,165\\nosupersub{}","plainCitation":"164,165","noteIndex":0},"citationItems":[{"id":3886,"uris":["http://zotero.org/users/9622455/items/XHDUCZSH"],"itemData":{"id":3886,"type":"article-journal","abstract":"Brown adipose tissue (BAT) is a major site of nonshivering thermogenesis in mammals. Rodent studies indicated that BAT thermogenic activity may protect against obesity. Recent findings using novel radiodiagnosis procedures revealed unanticipated high activity of BAT in adult humans. Moreover, complex processes of cell differentiation leading to the appearance of active brown adipocytes have been recently identified. The brown adipocytes clustered in defined anatomical BAT depots of rodents arise from mesenchymal precursor cells common to the myogenic cell lineage. They are being called “classical” or “developmentally programmed” brown adipocytes. However, brown adipocytes may appear after thermogenic stimuli at anatomical sites corresponding to white adipose tissue (WAT). This process is called the “browning” of WAT. The brown adipocytes appearing in WAT derive from precursor cells different from those in classical BAT and are closer to the white adipocyte cell lineage. The brown adipocytes appearing in WAT are often called “inducible, beige, or brite.” The appearance of these inducible brown adipocytes in WAT may also involve transdifferentiation processes of white-to-brown adipose cells. There is no evidence that the ultimate thermogenic function of the beige/brite adipocytes differs from that of classical brown adipocytes, although some genetic data in rodents suggest a relevant role of the browning process in protection against obesity. Although the activation of classical BAT and the browning process share common mechanisms of induction (eg, noradrenergic-mediated induction by cold), multiple novel adrenergic-independent endocrine factors that activate BAT and the browning of WAT have been identified recently. In adult humans, BAT is mainly composed of beige/brite adipocytes, although recent data indicate the persistence of classical BAT at some anatomical sites. Understanding the biological processes controlling brown adipocyte activity and differentiation could help the design of BAT-focused strategies to increase energy expenditure and fight against obesity.","container-title":"Endocrinology","DOI":"10.1210/en.2013-1403","ISSN":"0013-7227","issue":"9","journalAbbreviation":"Endocrinology","page":"2992-3000","source":"Silverchair","title":"White, Brown, Beige/Brite: Different Adipose Cells for Different Functions?","title-short":"White, Brown, Beige/Brite","volume":"154","author":[{"family":"Giralt","given":"Marta"},{"family":"Villarroya","given":"Francesc"}],"issued":{"date-parts":[["2013",9,1]]}}},{"id":434,"uris":["http://zotero.org/users/9622455/items/UVZ39BL4"],"itemData":{"id":434,"type":"article-journal","abstract":"Brown and beige adipocytes are thermogenic fat cells that are highly specialized in dissipating chemical energy in the form of heat. There is great hope that these cells can be targeted therapeutically to combat obesity, insulin resistance and type 2 diabetes.Brown adipocytes develop in distinctive developmental depots of brown adipose tissue (BAT) and have a relatively stable thermogenic phenotype. These cells are poised for heat production in response to various stimuli, including catecholamines that are secreted by sympathetic nerves in BAT on cold exposure.Beige adipocytes are uncoupling protein 1 (UCP1)-expressing and thermogenically competent adipocytes that form in white adipose tissue (WAT) depots in response to various stimuli, including cold exposure or β3-adrenergic agonists. The beige phenotype of WAT is flexible, and the maintenance of beige cells requires ongoing stimulation.Beige adipocytes can arise from adipogenic precursor cells in WAT through de novo differentiation or through the direct conversion of mature unilocular white-like adipocytes.Brown and beige fat cells express certain transcription factors, such as early B-cell factor 2 (EBF2), PR domain zinc finger protein 16 (PRDM16), interferon regulatory factor 4 (IRF4) and zinc finger protein 516 (ZFP516), that cooperate with the general adipogenic factors peroxisome proliferator-activated receptor-γ (PPARγ) and the CCAAT/enhancer-binding proteins (C/EBPs) to drive brown adipocyte differentiation and thermogenic gene programming. ZFP423 acts in white adipocytes to suppress EBF2 and maintain white fat fate.Type 2 cytokine signalling and alternative macrophage activation play a crucial part in regulating both brown fat thermogenesis and beige fat biogenesis. Alternatively activated macrophages secrete catecholamines in WAT to promote browning.","container-title":"Nature Reviews Molecular Cell Biology","DOI":"10.1038/nrm.2016.96","ISSN":"1471-0080","issue":"11","journalAbbreviation":"Nat Rev Mol Cell Biol","language":"en","license":"2016 Nature Publishing Group, a division of Macmillan Publishers Limited. All Rights Reserved.","note":"number: 11\npublisher: Nature Publishing Group","page":"691-702","source":"www.nature.com","title":"Control of brown and beige fat development","volume":"17","author":[{"family":"Wang","given":"Wenshan"},{"family":"Seale","given":"Patrick"}],"issued":{"date-parts":[["2016",11]]}}}],"schema":"https://github.com/citation-style-language/schema/raw/master/csl-citation.json"} </w:instrText>
      </w:r>
      <w:r w:rsidRPr="00735FCE">
        <w:fldChar w:fldCharType="separate"/>
      </w:r>
      <w:r w:rsidR="00281437" w:rsidRPr="00281437">
        <w:rPr>
          <w:vertAlign w:val="superscript"/>
        </w:rPr>
        <w:t>164,165</w:t>
      </w:r>
      <w:r w:rsidRPr="00735FCE">
        <w:fldChar w:fldCharType="end"/>
      </w:r>
      <w:r w:rsidRPr="00735FCE">
        <w:t>.</w:t>
      </w:r>
    </w:p>
    <w:p w14:paraId="71ACAAEF" w14:textId="77777777" w:rsidR="009117C0" w:rsidRPr="00735FCE" w:rsidRDefault="009117C0" w:rsidP="00847BA5">
      <w:pPr>
        <w:pStyle w:val="Heading3"/>
        <w:jc w:val="left"/>
      </w:pPr>
      <w:bookmarkStart w:id="33" w:name="_Toc200988045"/>
      <w:bookmarkStart w:id="34" w:name="_Toc201001660"/>
      <w:bookmarkStart w:id="35" w:name="_Toc204848630"/>
      <w:r w:rsidRPr="00735FCE">
        <w:t xml:space="preserve">Beige </w:t>
      </w:r>
      <w:r w:rsidRPr="00995D63">
        <w:t>Adipose Tissue</w:t>
      </w:r>
      <w:bookmarkEnd w:id="33"/>
      <w:bookmarkEnd w:id="34"/>
      <w:bookmarkEnd w:id="35"/>
    </w:p>
    <w:p w14:paraId="08267D4D" w14:textId="38E7A09A" w:rsidR="009117C0" w:rsidRPr="00735FCE" w:rsidRDefault="009117C0" w:rsidP="00F5471F">
      <w:pPr>
        <w:ind w:firstLine="720"/>
        <w:jc w:val="left"/>
      </w:pPr>
      <w:r w:rsidRPr="00735FCE">
        <w:t xml:space="preserve">Beige adipose tissue, a thermogenically inducible fat type, forms within WAT under specific conditions, </w:t>
      </w:r>
      <w:r>
        <w:t>such as</w:t>
      </w:r>
      <w:r w:rsidRPr="00735FCE">
        <w:t xml:space="preserve"> chronic cold exposure or β-adrenergic stimulation</w:t>
      </w:r>
      <w:r>
        <w:t xml:space="preserve"> </w:t>
      </w:r>
      <w:r w:rsidRPr="00735FCE">
        <w:fldChar w:fldCharType="begin"/>
      </w:r>
      <w:r w:rsidR="00281437">
        <w:instrText xml:space="preserve"> ADDIN ZOTERO_ITEM CSL_CITATION {"citationID":"MY0mBL7W","properties":{"formattedCitation":"\\super 166,167\\nosupersub{}","plainCitation":"166,167","noteIndex":0},"citationItems":[{"id":3892,"uris":["http://zotero.org/users/9622455/items/85XUBSZI"],"itemData":{"id":3892,"type":"article-journal","abstract":"Multilocular, mitochondria-rich adipocytes appear in white adipose tissue (WAT) of rats treated with the β3-adrenoceptor agonist, CL-316243 (CL). Objectives were to determine whether these multilocular adipocytes derived from cells that already existed in the WAT or from proliferation of precursor cells and whether new mitochondria contained in them were typical brown adipocyte mitochondria. Use of 5-bromodeoxyuridine to identify cells that had undergone mitosis during the CL treatment showed that most multilocular cells derived from cells already present in the WAT. Morphological techniques showed that at least a subpopulation of unilocular adipocytes underwent conversion to multilocular mitochondria-rich adipocytes. A small proportion of multilocular adipocytes (</w:instrText>
      </w:r>
      <w:r w:rsidR="00281437">
        <w:rPr>
          <w:rFonts w:ascii="Cambria Math" w:hAnsi="Cambria Math" w:cs="Cambria Math"/>
        </w:rPr>
        <w:instrText>∼</w:instrText>
      </w:r>
      <w:r w:rsidR="00281437">
        <w:instrText xml:space="preserve">8%) was positive for UCP1 by immunohistochemistry. Biochemical techniques showed that mitochondrial protein recovered from WAT increased 10-fold and protein isolated from brown adipose tissue (BAT) doubled in CL-treated rats. Stained gels showed a different protein composition of new mitochondria isolated from WAT from that of mitochondria isolated from BAT. Western blotting showed new mitochondria in WAT to contain both UCP1, but at a much lower concentration than in BAT mitochondria, and UCP3, at a higher concentration than that in BAT mitochondria. We hypothesize that multilocular adipocytes present at 7 days of CL treatment have two origins. First, most come from convertible unilocular adipocytes that become multilocular and make many mitochondria that contain UCP3. Second, some come from a cell that gives rise to more typical brown adipocytes that express UCP1.","container-title":"American Journal of Physiology-Cell Physiology","DOI":"10.1152/ajpcell.2000.279.3.C670","ISSN":"0363-6143","issue":"3","note":"publisher: American Physiological Society","page":"C670-C681","source":"journals.physiology.org (Atypon)","title":"Multilocular fat cells in WAT of CL-316243-treated rats derive directly from white adipocytes","volume":"279","author":[{"family":"Himms-Hagen","given":"J."},{"family":"Melnyk","given":"A."},{"family":"Zingaretti","given":"M. C."},{"family":"Ceresi","given":"E."},{"family":"Barbatelli","given":"G."},{"family":"Cinti","given":"S."}],"issued":{"date-parts":[["2000",9]]}}},{"id":3890,"uris":["http://zotero.org/users/9622455/items/VD3V8UQJ"],"itemData":{"id":3890,"type":"article-journal","abstract":"The origin of brown adipocytes arising in white adipose tissue (WAT) after cold acclimatization is unclear. Here, we demonstrate that several UCP1-immunoreactive brown adipocytes occurring in WAT after cold acclimatization have a mixed morphology (paucilocular adipocytes). These cells also had a mixed mitochondrioma with classic “brown” and “white” mitochondria, suggesting intermediate steps in the process of direct transformation of white into brown adipocytes (transdifferentiation). Quantitative electron microscopy disclosed that cold exposure (6°C for 10 days) did not induce an increase in WAT preadipocytes. β\n              3\n              -adrenoceptor-knockout mice had a blunted brown adipocyte occurrence upon cold acclimatization. Administration of the β\n              3\n              -adrenoceptor agonist CL316,243 induced the occurrence of brown adipocytes, with the typical morphological features found after cold acclimatization. In contrast, administration of the β\n              1\n              -adrenoceptor agonist xamoterol increased only the number of preadipocytes. These findings indicate that transdifferentiation depends on β\n              3\n              -adrenoceptor activation, whereas preadipocyte recruitment is mediated by β\n              1\n              -adrenoceptor. RT-qPCR experiments disclosed that cold exposure induced enhanced expression of the thermogenic genes and of genes expressed selectively in brown adipose tissue (iBAT) and in both interscapular BAT and WAT. β\n              3\n              -adrenoceptor suppression blunted their expression only in WAT. Furthermore, cold acclimatization induced an increased WAT expression of the gene coding for C/EBPα (an antimitotic protein), whereas Ccna1 expression (related to cell proliferation) was unchanged. Overall, our data strongly suggest that the cold-induced emergence of brown adipocytes in WAT predominantly reflects β\n              3\n              -adrenoceptor-mediated transdifferentiation.","container-title":"American Journal of Physiology-Endocrinology and Metabolism","DOI":"10.1152/ajpendo.00600.2009","ISSN":"0193-1849, 1522-1555","issue":"6","journalAbbreviation":"American Journal of Physiology-Endocrinology and Metabolism","language":"en","page":"E1244-E1253","source":"DOI.org (Crossref)","title":"The emergence of cold-induced brown adipocytes in mouse white fat depots is determined predominantly by white to brown adipocyte transdifferentiation","volume":"298","author":[{"family":"Barbatelli","given":"G."},{"family":"Murano","given":"I."},{"family":"Madsen","given":"L."},{"family":"Hao","given":"Q."},{"family":"Jimenez","given":"M."},{"family":"Kristiansen","given":"K."},{"family":"Giacobino","given":"J. P."},{"family":"De Matteis","given":"R."},{"family":"Cinti","given":"S."}],"issued":{"date-parts":[["2010",6]]}}}],"schema":"https://github.com/citation-style-language/schema/raw/master/csl-citation.json"} </w:instrText>
      </w:r>
      <w:r w:rsidRPr="00735FCE">
        <w:fldChar w:fldCharType="separate"/>
      </w:r>
      <w:r w:rsidR="00281437" w:rsidRPr="00281437">
        <w:rPr>
          <w:vertAlign w:val="superscript"/>
        </w:rPr>
        <w:t>166,167</w:t>
      </w:r>
      <w:r w:rsidRPr="00735FCE">
        <w:fldChar w:fldCharType="end"/>
      </w:r>
      <w:r w:rsidRPr="00735FCE">
        <w:t xml:space="preserve">. Beige adipocytes acquire brown fat-like </w:t>
      </w:r>
      <w:r>
        <w:t>features, characterized by</w:t>
      </w:r>
      <w:r w:rsidRPr="00735FCE">
        <w:t xml:space="preserve"> multilocular lipid droplets, high mitochondrial content, and </w:t>
      </w:r>
      <w:r>
        <w:t xml:space="preserve">the expression of </w:t>
      </w:r>
      <w:r w:rsidRPr="00735FCE">
        <w:t xml:space="preserve">UCP1, which </w:t>
      </w:r>
      <w:r>
        <w:t>enable</w:t>
      </w:r>
      <w:r w:rsidRPr="00735FCE">
        <w:t>s them to carry out non-shivering thermogenesis</w:t>
      </w:r>
      <w:r>
        <w:t xml:space="preserve"> </w:t>
      </w:r>
      <w:r w:rsidRPr="00735FCE">
        <w:fldChar w:fldCharType="begin"/>
      </w:r>
      <w:r w:rsidR="00281437">
        <w:instrText xml:space="preserve"> ADDIN ZOTERO_ITEM CSL_CITATION {"citationID":"MkE0RGon","properties":{"formattedCitation":"\\super 165\\nosupersub{}","plainCitation":"165","noteIndex":0},"citationItems":[{"id":434,"uris":["http://zotero.org/users/9622455/items/UVZ39BL4"],"itemData":{"id":434,"type":"article-journal","abstract":"Brown and beige adipocytes are thermogenic fat cells that are highly specialized in dissipating chemical energy in the form of heat. There is great hope that these cells can be targeted therapeutically to combat obesity, insulin resistance and type 2 diabetes.Brown adipocytes develop in distinctive developmental depots of brown adipose tissue (BAT) and have a relatively stable thermogenic phenotype. These cells are poised for heat production in response to various stimuli, including catecholamines that are secreted by sympathetic nerves in BAT on cold exposure.Beige adipocytes are uncoupling protein 1 (UCP1)-expressing and thermogenically competent adipocytes that form in white adipose tissue (WAT) depots in response to various stimuli, including cold exposure or β3-adrenergic agonists. The beige phenotype of WAT is flexible, and the maintenance of beige cells requires ongoing stimulation.Beige adipocytes can arise from adipogenic precursor cells in WAT through de novo differentiation or through the direct conversion of mature unilocular white-like adipocytes.Brown and beige fat cells express certain transcription factors, such as early B-cell factor 2 (EBF2), PR domain zinc finger protein 16 (PRDM16), interferon regulatory factor 4 (IRF4) and zinc finger protein 516 (ZFP516), that cooperate with the general adipogenic factors peroxisome proliferator-activated receptor-γ (PPARγ) and the CCAAT/enhancer-binding proteins (C/EBPs) to drive brown adipocyte differentiation and thermogenic gene programming. ZFP423 acts in white adipocytes to suppress EBF2 and maintain white fat fate.Type 2 cytokine signalling and alternative macrophage activation play a crucial part in regulating both brown fat thermogenesis and beige fat biogenesis. Alternatively activated macrophages secrete catecholamines in WAT to promote browning.","container-title":"Nature Reviews Molecular Cell Biology","DOI":"10.1038/nrm.2016.96","ISSN":"1471-0080","issue":"11","journalAbbreviation":"Nat Rev Mol Cell Biol","language":"en","license":"2016 Nature Publishing Group, a division of Macmillan Publishers Limited. All Rights Reserved.","note":"number: 11\npublisher: Nature Publishing Group","page":"691-702","source":"www.nature.com","title":"Control of brown and beige fat development","volume":"17","author":[{"family":"Wang","given":"Wenshan"},{"family":"Seale","given":"Patrick"}],"issued":{"date-parts":[["2016",11]]}}}],"schema":"https://github.com/citation-style-language/schema/raw/master/csl-citation.json"} </w:instrText>
      </w:r>
      <w:r w:rsidRPr="00735FCE">
        <w:fldChar w:fldCharType="separate"/>
      </w:r>
      <w:r w:rsidR="00281437" w:rsidRPr="00281437">
        <w:rPr>
          <w:vertAlign w:val="superscript"/>
        </w:rPr>
        <w:t>165</w:t>
      </w:r>
      <w:r w:rsidRPr="00735FCE">
        <w:fldChar w:fldCharType="end"/>
      </w:r>
      <w:r w:rsidRPr="00735FCE">
        <w:t>. However, unlike classical brown adipocytes, beige adipocytes originate from a distinct developmental lineage</w:t>
      </w:r>
      <w:r>
        <w:t xml:space="preserve"> </w:t>
      </w:r>
      <w:r w:rsidRPr="00735FCE">
        <w:fldChar w:fldCharType="begin"/>
      </w:r>
      <w:r w:rsidR="00281437">
        <w:instrText xml:space="preserve"> ADDIN ZOTERO_ITEM CSL_CITATION {"citationID":"dERq3QbM","properties":{"formattedCitation":"\\super 168\\nosupersub{}","plainCitation":"168","noteIndex":0},"citationItems":[{"id":3894,"uris":["http://zotero.org/users/9622455/items/QKZV5T4E"],"itemData":{"id":3894,"type":"article-journal","container-title":"Endocrinology and metabolism clinics of North America","DOI":"10.1016/j.ecl.2016.04.010","ISSN":"0889-8529","issue":"3","journalAbbreviation":"Endocrinol Metab Clin North Am","note":"PMID: 27519133\nPMCID: PMC5206678","page":"605-621","source":"PubMed Central","title":"Brown and Beige Adipose Tissue","volume":"45","author":[{"family":"Mulya","given":"Anny"},{"family":"Kirwan","given":"John P."}],"issued":{"date-parts":[["2016",9]]}}}],"schema":"https://github.com/citation-style-language/schema/raw/master/csl-citation.json"} </w:instrText>
      </w:r>
      <w:r w:rsidRPr="00735FCE">
        <w:fldChar w:fldCharType="separate"/>
      </w:r>
      <w:r w:rsidR="00281437" w:rsidRPr="00281437">
        <w:rPr>
          <w:vertAlign w:val="superscript"/>
        </w:rPr>
        <w:t>168</w:t>
      </w:r>
      <w:r w:rsidRPr="00735FCE">
        <w:fldChar w:fldCharType="end"/>
      </w:r>
      <w:r w:rsidRPr="00735FCE">
        <w:t>. Classical brown fat cells are derived from Myf5⁺ precursors</w:t>
      </w:r>
      <w:r>
        <w:t>,</w:t>
      </w:r>
      <w:r w:rsidRPr="00735FCE">
        <w:t xml:space="preserve"> a lineage </w:t>
      </w:r>
      <w:r>
        <w:t>shared with myogenic cells, which explains</w:t>
      </w:r>
      <w:r w:rsidRPr="00735FCE">
        <w:t xml:space="preserve"> why brown adipocytes </w:t>
      </w:r>
      <w:r>
        <w:t>exhibit</w:t>
      </w:r>
      <w:r w:rsidRPr="00735FCE">
        <w:t xml:space="preserve"> high expression of basal thermogenic genes</w:t>
      </w:r>
      <w:r>
        <w:t xml:space="preserve"> </w:t>
      </w:r>
      <w:r w:rsidRPr="00735FCE">
        <w:fldChar w:fldCharType="begin"/>
      </w:r>
      <w:r w:rsidR="00281437">
        <w:instrText xml:space="preserve"> ADDIN ZOTERO_ITEM CSL_CITATION {"citationID":"k1Uqekkt","properties":{"formattedCitation":"\\super 169\\nosupersub{}","plainCitation":"169","noteIndex":0},"citationItems":[{"id":3897,"uris":["http://zotero.org/users/9622455/items/EZLYBWPE"],"itemData":{"id":3897,"type":"article-journal","abstract":"Adipocytes that make up brown fat have two disparate lineages; one seems more closely related to muscle than to white adipose tissue. Adipocytes that make up brown fat have two disparate lineages; one seems more closely related to muscle than to white adipose tissue. What is the source of brown adipose tissue? During the formation of the three germ layers (gas trulation), the mesoderm fills the void between the outer shell (ectoderm) and the inner lining (endoderm). From this “filling” develop several specialized cell types, including myocytes, adipocytes, and chondrocytes. A close interrelationship among these cells can be seen when mesoderm-derived cell lines are treated with the modified nucleotide 5-azacytidine, which, when substituted for bona fide cytidine residues, results in demethylated DNA or, rather, in DNA that cannot be methylated. (Methylation of cytidine is commonly seen in regions of the genome that are transcriptionally . . .","container-title":"New England Journal of Medicine","DOI":"10.1056/NEJMcibr0809610","ISSN":"0028-4793","issue":"19","note":"publisher: Massachusetts Medical Society\n_eprint: https://www.nejm.org/doi/pdf/10.1056/NEJMcibr0809610","page":"2021-2023","source":"Taylor and Francis+NEJM","title":"The Origins of Brown Adipose Tissue","volume":"360","author":[{"family":"Enerbäck","given":"Sven"}],"issued":{"date-parts":[["2009",5,7]]}}}],"schema":"https://github.com/citation-style-language/schema/raw/master/csl-citation.json"} </w:instrText>
      </w:r>
      <w:r w:rsidRPr="00735FCE">
        <w:fldChar w:fldCharType="separate"/>
      </w:r>
      <w:r w:rsidR="00281437" w:rsidRPr="00281437">
        <w:rPr>
          <w:vertAlign w:val="superscript"/>
        </w:rPr>
        <w:t>169</w:t>
      </w:r>
      <w:r w:rsidRPr="00735FCE">
        <w:fldChar w:fldCharType="end"/>
      </w:r>
      <w:r w:rsidRPr="00735FCE">
        <w:t>. Beige adipocytes instead are derived from Myf5⁻ precursor cells in WAT and are usually thermogenically inactive until stimulated by environmental factors</w:t>
      </w:r>
      <w:r>
        <w:t xml:space="preserve"> </w:t>
      </w:r>
      <w:r w:rsidRPr="00735FCE">
        <w:fldChar w:fldCharType="begin"/>
      </w:r>
      <w:r w:rsidR="00281437">
        <w:instrText xml:space="preserve"> ADDIN ZOTERO_ITEM CSL_CITATION {"citationID":"4s5OevO0","properties":{"formattedCitation":"\\super 169\\nosupersub{}","plainCitation":"169","noteIndex":0},"citationItems":[{"id":3897,"uris":["http://zotero.org/users/9622455/items/EZLYBWPE"],"itemData":{"id":3897,"type":"article-journal","abstract":"Adipocytes that make up brown fat have two disparate lineages; one seems more closely related to muscle than to white adipose tissue. Adipocytes that make up brown fat have two disparate lineages; one seems more closely related to muscle than to white adipose tissue. What is the source of brown adipose tissue? During the formation of the three germ layers (gas trulation), the mesoderm fills the void between the outer shell (ectoderm) and the inner lining (endoderm). From this “filling” develop several specialized cell types, including myocytes, adipocytes, and chondrocytes. A close interrelationship among these cells can be seen when mesoderm-derived cell lines are treated with the modified nucleotide 5-azacytidine, which, when substituted for bona fide cytidine residues, results in demethylated DNA or, rather, in DNA that cannot be methylated. (Methylation of cytidine is commonly seen in regions of the genome that are transcriptionally . . .","container-title":"New England Journal of Medicine","DOI":"10.1056/NEJMcibr0809610","ISSN":"0028-4793","issue":"19","note":"publisher: Massachusetts Medical Society\n_eprint: https://www.nejm.org/doi/pdf/10.1056/NEJMcibr0809610","page":"2021-2023","source":"Taylor and Francis+NEJM","title":"The Origins of Brown Adipose Tissue","volume":"360","author":[{"family":"Enerbäck","given":"Sven"}],"issued":{"date-parts":[["2009",5,7]]}}}],"schema":"https://github.com/citation-style-language/schema/raw/master/csl-citation.json"} </w:instrText>
      </w:r>
      <w:r w:rsidRPr="00735FCE">
        <w:fldChar w:fldCharType="separate"/>
      </w:r>
      <w:r w:rsidR="00281437" w:rsidRPr="00281437">
        <w:rPr>
          <w:vertAlign w:val="superscript"/>
        </w:rPr>
        <w:t>169</w:t>
      </w:r>
      <w:r w:rsidRPr="00735FCE">
        <w:fldChar w:fldCharType="end"/>
      </w:r>
      <w:r w:rsidRPr="00735FCE">
        <w:t xml:space="preserve">. In the absence of thermogenic stimuli, beige fat cells can </w:t>
      </w:r>
      <w:r>
        <w:t>adopt</w:t>
      </w:r>
      <w:r w:rsidRPr="00735FCE">
        <w:t xml:space="preserve"> a white adipocyte-like phenotype</w:t>
      </w:r>
      <w:r>
        <w:t>, characterized</w:t>
      </w:r>
      <w:r w:rsidRPr="00735FCE">
        <w:t xml:space="preserve"> </w:t>
      </w:r>
      <w:r>
        <w:t xml:space="preserve">by </w:t>
      </w:r>
      <w:r w:rsidRPr="00735FCE">
        <w:t>unilocular lipid droplets and lower mitochondrial activity</w:t>
      </w:r>
      <w:r>
        <w:t xml:space="preserve"> </w:t>
      </w:r>
      <w:r w:rsidRPr="00735FCE">
        <w:fldChar w:fldCharType="begin"/>
      </w:r>
      <w:r w:rsidR="00281437">
        <w:instrText xml:space="preserve"> ADDIN ZOTERO_ITEM CSL_CITATION {"citationID":"WMFobG1K","properties":{"formattedCitation":"\\super 170,171\\nosupersub{}","plainCitation":"170,171","noteIndex":0},"citationItems":[{"id":3900,"uris":["http://zotero.org/users/9622455/items/XGA8R7CY"],"itemData":{"id":3900,"type":"article-journal","container-title":"Cell Metabolism","DOI":"10.1016/j.cmet.2016.08.002","ISSN":"1550-4131","issue":"3","journalAbbreviation":"Cell Metabolism","language":"English","note":"publisher: Elsevier\nPMID: 27568548","page":"402-419","source":"www.cell.com","title":"Beige Adipocyte Maintenance Is Regulated by Autophagy-Induced Mitochondrial Clearance","volume":"24","author":[{"family":"Altshuler-Keylin","given":"Svetlana"},{"family":"Shinoda","given":"Kosaku"},{"family":"Hasegawa","given":"Yutaka"},{"family":"Ikeda","given":"Kenji"},{"family":"Hong","given":"Haemin"},{"family":"Kang","given":"Qianqian"},{"family":"Yang","given":"Yangyu"},{"family":"Perera","given":"Rushika M."},{"family":"Debnath","given":"Jayanta"},{"family":"Kajimura","given":"Shingo"}],"issued":{"date-parts":[["2016",9,13]]}}},{"id":3898,"uris":["http://zotero.org/users/9622455/items/AQ7PKKL8"],"itemData":{"id":3898,"type":"article-journal","abstract":"Brown adipose tissue helps to maintain body temperature in hibernators, rodents and neonatal mammals by converting lipids and glucose into heat, thereby increasing energy expenditure. In addition to classical brown adipocytes, adult rodents—like adult humans—harbour brown-like adipocytes in the predominantly white adipose tissue. The formation of these brite (brown-in-white) adipocytes is a physiological response to chronic cold and their cellular origin is under debate. We show here that cold-induced formation of brite adipocytes in mice is reversed within 5 weeks of warm adaptation, but the brite adipocytes formed by cold stimulation are not eliminated. Genetic tracing and transcriptional characterization of isolated adipocytes demonstrates that they are converted into cells with the morphology and gene expression pattern of white adipocytes. Moreover, these white-typical adipocytes can convert into brite adipocytes on additional cold stimulation. Shifting the balance of this interconversion from the white towards the brite phenotype might provide a new means of counteracting obesity by increasing energy expenditure.","container-title":"Nature Cell Biology","DOI":"10.1038/ncb2740","ISSN":"1476-4679","issue":"6","journalAbbreviation":"Nat Cell Biol","language":"en","license":"2013 Springer Nature Limited","note":"publisher: Nature Publishing Group","page":"659-667","source":"www.nature.com","title":"Bi-directional interconversion of brite and white adipocytes","volume":"15","author":[{"family":"Rosenwald","given":"Matthias"},{"family":"Perdikari","given":"Aliki"},{"family":"Rülicke","given":"Thomas"},{"family":"Wolfrum","given":"Christian"}],"issued":{"date-parts":[["2013",6]]}}}],"schema":"https://github.com/citation-style-language/schema/raw/master/csl-citation.json"} </w:instrText>
      </w:r>
      <w:r w:rsidRPr="00735FCE">
        <w:fldChar w:fldCharType="separate"/>
      </w:r>
      <w:r w:rsidR="00281437" w:rsidRPr="00281437">
        <w:rPr>
          <w:vertAlign w:val="superscript"/>
        </w:rPr>
        <w:t>170,171</w:t>
      </w:r>
      <w:r w:rsidRPr="00735FCE">
        <w:fldChar w:fldCharType="end"/>
      </w:r>
      <w:r w:rsidRPr="00735FCE">
        <w:t xml:space="preserve">. The reversible nature of beige fat facilitates </w:t>
      </w:r>
      <w:r>
        <w:t xml:space="preserve">the </w:t>
      </w:r>
      <w:r w:rsidRPr="00735FCE">
        <w:t xml:space="preserve">adaptive regulation of thermogenic processes </w:t>
      </w:r>
      <w:r>
        <w:t>in response</w:t>
      </w:r>
      <w:r w:rsidRPr="00735FCE">
        <w:t xml:space="preserve"> to metabolic requirements and environmental stimuli</w:t>
      </w:r>
      <w:r>
        <w:t xml:space="preserve"> </w:t>
      </w:r>
      <w:r w:rsidRPr="00735FCE">
        <w:fldChar w:fldCharType="begin"/>
      </w:r>
      <w:r w:rsidR="00281437">
        <w:instrText xml:space="preserve"> ADDIN ZOTERO_ITEM CSL_CITATION {"citationID":"CFVHm8nO","properties":{"formattedCitation":"\\super 172\\nosupersub{}","plainCitation":"172","noteIndex":0},"citationItems":[{"id":3903,"uris":["http://zotero.org/users/9622455/items/LII29LS7"],"itemData":{"id":3903,"type":"article-journal","abstract":"Two distinct types of thermogenic fat cells, brown adipocytes and beige adipocytes, play a key role in the regulation of systemic energy homeostasis in mammals. Both brown fat and beige fat possess thermogenic properties in addition to common morphological and biochemical characteristics, including multilocular lipid droplets and cristae-dense mitochondria. Recent studies also identify distinct features between the two types of thermogenic fat cells, such as their developmental regulation and function. Of particular interest is the role of beige fat in the regulation of glucose homeostasis via UCP1-independent mechanisms. A better understanding of the underlying causes of these characteristics of brown and beige fat will allow us to specifically manipulate these cells to improve systemic energy metabolism and glucose homeostasis.","container-title":"Trends in endocrinology and metabolism: TEM","DOI":"10.1016/j.tem.2018.01.001","ISSN":"1043-2760","issue":"3","journalAbbreviation":"Trends Endocrinol Metab","note":"PMID: 29366777\nPMCID: PMC5826798","page":"191-200","source":"PubMed Central","title":"The common and distinct features of brown and beige adipocytes","volume":"29","author":[{"family":"Ikeda","given":"Kenji"},{"family":"Maretich","given":"Pema"},{"family":"Kajimura","given":"Shingo"}],"issued":{"date-parts":[["2018",3]]}}}],"schema":"https://github.com/citation-style-language/schema/raw/master/csl-citation.json"} </w:instrText>
      </w:r>
      <w:r w:rsidRPr="00735FCE">
        <w:fldChar w:fldCharType="separate"/>
      </w:r>
      <w:r w:rsidR="00281437" w:rsidRPr="00281437">
        <w:rPr>
          <w:vertAlign w:val="superscript"/>
        </w:rPr>
        <w:t>172</w:t>
      </w:r>
      <w:r w:rsidRPr="00735FCE">
        <w:fldChar w:fldCharType="end"/>
      </w:r>
      <w:r w:rsidRPr="00735FCE">
        <w:t xml:space="preserve">. Additionally, while the thermogenic capacity of beige fat is not permanent, once activated, beige adipocytes markedly enhance energy expenditure and improve the overall metabolic health of the </w:t>
      </w:r>
      <w:r w:rsidRPr="00735FCE">
        <w:lastRenderedPageBreak/>
        <w:t>organism</w:t>
      </w:r>
      <w:r>
        <w:t xml:space="preserve"> </w:t>
      </w:r>
      <w:r w:rsidRPr="00735FCE">
        <w:fldChar w:fldCharType="begin"/>
      </w:r>
      <w:r w:rsidR="00281437">
        <w:instrText xml:space="preserve"> ADDIN ZOTERO_ITEM CSL_CITATION {"citationID":"VlGiIOTR","properties":{"formattedCitation":"\\super 173\\nosupersub{}","plainCitation":"173","noteIndex":0},"citationItems":[{"id":3906,"uris":["http://zotero.org/users/9622455/items/GSDE58MF"],"itemData":{"id":3906,"type":"article-journal","abstract":"Adipose tissue is traditionally categorized into white and brown relating to their function and morphology. The classical white adipose tissue builds up energy in the form of triglycerides and is useful for preventing fatigue during periods of low caloric intake and the brown adipose tissue more energetically active, with a greater number of mitochondria and energy production in the form of heat. Since adult humans possess significant amounts of active brown fat depots and its mass inversely correlates with adiposity, brown fat might play an important role in human obesity and energy homeostasis. New evidence suggests two types of thermogenic adipocytes with distinct developmental and anatomical features: classical brown adipocytes and beige adipocytes. Beige adipocyte has recently attracted special interest because of its ability to dissipate energy and the possible ability to differentiate themselves from white adipocytes. The presence of brown and beige adipocyte in human adults has acquired attention as a possible therapeutic intervention for metabolic diseases. Importantly, adult human brown appears to be mainly composed of beige-like adipocytes, making this cell type an attractive therapeutic target for obesity and obesity-related diseases, such as atherosclerosis, arterial hypertension and diabetes mellitus type 2. Because many epigenetics changes can affect beige adipocyte differentiation from adipose progenitor cells, the knowledge of the circumstances that affect the development of beige adipocyte cells may be important to new pathways in the treatment of metabolic diseases. New molecules have emerged as possible therapeutic targets, which through the impulse to develop beige adipocytes can be useful for clinical studies. In this review will discuss some recent observations arising from the unique physiological capacity of these cells and their possible role as ways to treat obesity and diabetes mellitus type 2.","container-title":"International Journal of Molecular Sciences","DOI":"10.3390/ijms20205058","ISSN":"1422-0067","issue":"20","journalAbbreviation":"Int J Mol Sci","note":"PMID: 31614705\nPMCID: PMC6834159","page":"5058","source":"PubMed Central","title":"The Beige Adipocyte as a Therapy for Metabolic Diseases","volume":"20","author":[{"family":"Lizcano","given":"Fernando"}],"issued":{"date-parts":[["2019",10,12]]}}}],"schema":"https://github.com/citation-style-language/schema/raw/master/csl-citation.json"} </w:instrText>
      </w:r>
      <w:r w:rsidRPr="00735FCE">
        <w:fldChar w:fldCharType="separate"/>
      </w:r>
      <w:r w:rsidR="00281437" w:rsidRPr="00281437">
        <w:rPr>
          <w:vertAlign w:val="superscript"/>
        </w:rPr>
        <w:t>173</w:t>
      </w:r>
      <w:r w:rsidRPr="00735FCE">
        <w:fldChar w:fldCharType="end"/>
      </w:r>
      <w:r w:rsidRPr="00735FCE">
        <w:t>. Since the total amount of classical BAT in adult humans is limited, the capability to recruit and activate beige adipocytes within existing depots of WAT represents a novel approach for the treatment of obesity and related metabolic disorders</w:t>
      </w:r>
      <w:r>
        <w:t xml:space="preserve"> </w:t>
      </w:r>
      <w:fldSimple w:instr=" ADDIN ZOTERO_TEMP ">
        <w:r w:rsidRPr="00735FCE">
          <w:rPr>
            <w:vertAlign w:val="superscript"/>
          </w:rPr>
          <w:t>155</w:t>
        </w:r>
      </w:fldSimple>
      <w:r w:rsidRPr="00735FCE">
        <w:t>.</w:t>
      </w:r>
    </w:p>
    <w:p w14:paraId="47A1AACB" w14:textId="77777777" w:rsidR="009117C0" w:rsidRPr="00735FCE" w:rsidRDefault="009117C0" w:rsidP="00847BA5">
      <w:pPr>
        <w:pStyle w:val="Heading3"/>
        <w:jc w:val="left"/>
      </w:pPr>
      <w:bookmarkStart w:id="36" w:name="_Toc200988046"/>
      <w:bookmarkStart w:id="37" w:name="_Toc201001661"/>
      <w:bookmarkStart w:id="38" w:name="_Toc204848631"/>
      <w:r w:rsidRPr="00735FCE">
        <w:t>Metabolic Benefits of Thermogenic Fat Activation in Obesity and Diabetes</w:t>
      </w:r>
      <w:bookmarkEnd w:id="36"/>
      <w:bookmarkEnd w:id="37"/>
      <w:bookmarkEnd w:id="38"/>
    </w:p>
    <w:p w14:paraId="202213F3" w14:textId="3698111D" w:rsidR="009117C0" w:rsidRPr="00735FCE" w:rsidRDefault="009117C0" w:rsidP="00F5471F">
      <w:pPr>
        <w:ind w:firstLine="720"/>
        <w:jc w:val="left"/>
      </w:pPr>
      <w:r w:rsidRPr="00735FCE">
        <w:t xml:space="preserve">The brown and beige types of adipose tissue are novel therapeutic targets due to their </w:t>
      </w:r>
      <w:r>
        <w:t xml:space="preserve">roles in regulating </w:t>
      </w:r>
      <w:r w:rsidRPr="00735FCE">
        <w:t xml:space="preserve">systemic energy, glucose, and lipid metabolism </w:t>
      </w:r>
      <w:r>
        <w:t>in</w:t>
      </w:r>
      <w:r w:rsidRPr="00735FCE">
        <w:t xml:space="preserve"> both obesity and T2DM</w:t>
      </w:r>
      <w:r>
        <w:t xml:space="preserve"> </w:t>
      </w:r>
      <w:r w:rsidRPr="00735FCE">
        <w:fldChar w:fldCharType="begin"/>
      </w:r>
      <w:r w:rsidR="00281437">
        <w:instrText xml:space="preserve"> ADDIN ZOTERO_ITEM CSL_CITATION {"citationID":"GsDGMwMd","properties":{"formattedCitation":"\\super 174\\nosupersub{}","plainCitation":"174","noteIndex":0},"citationItems":[{"id":3909,"uris":["http://zotero.org/users/9622455/items/6YHDIJ5A"],"itemData":{"id":3909,"type":"article-journal","abstract":"Mammalian adipose tissue can be divided into two major types, namely, white adipose tissue (WAT) and brown adipose tissue (BAT). According to classical view, the main function of WAT is to store excess energy in the form of triglycerides, while BAT is a thermogenic tissue that acts a pivotal part in maintaining the core body temperature. White adipocytes display high plasticity and can transdifferentiate into beige adipocytes which have many similar morphological and functional properties with brown adipocytes under the stimulations of exercise, cold exposure and other factors. This phenomenon is also known as ‘browning of WAT’. In addition to transdifferentiation, beige adipocytes can also come from de novo differentiation from tissue-resident progenitors. Activating BAT and inducing browning of WAT can accelerate the intake of glycolipids and reduce the insulin secretion requirement, which may be a new strategy to improve glycolipids metabolism and insulin resistance of obese and type 2 diabetes mellitus (T2DM) patients. This review mainly discusses the significance of brown and beige adipose tissues in the treatment of obesity and T2DM, and focuses on the effect of the browning agent on obesity and T2DM, which provides a brand-new theoretical reference for the prevention and treatment of obesity and T2DM.","container-title":"Adipocyte","DOI":"10.1080/21623945.2020.1870060","ISSN":"2162-3945","issue":"1","note":"publisher: Taylor &amp; Francis\n_eprint: https://doi.org/10.1080/21623945.2020.1870060\nPMID: 33403891","page":"48-65","source":"Taylor and Francis+NEJM","title":"Brown and beige adipose tissue: a novel therapeutic strategy for obesity and type 2 diabetes mellitus","title-short":"Brown and beige adipose tissue","volume":"10","author":[{"family":"Cheng","given":"Long"},{"family":"","given":"Wang ,Jingkang"},{"family":"","given":"Dai ,Hongyu"},{"family":"","given":"Duan ,Yuhui"},{"family":"","given":"An ,Yongcheng"},{"family":"","given":"Shi ,Lu"},{"family":"","given":"Lv ,Yinglan"},{"family":"","given":"Li ,Huimin"},{"family":"","given":"Wang ,Chen"},{"family":"","given":"Ma ,Quantao"},{"family":"","given":"Li ,Yaqi"},{"family":"","given":"Li ,Pengfei"},{"family":"","given":"Du ,Haifeng"},{"family":"Zhao","given":"Baosheng","non-dropping-particle":"and"}],"issued":{"date-parts":[["2021",1,1]]}}}],"schema":"https://github.com/citation-style-language/schema/raw/master/csl-citation.json"} </w:instrText>
      </w:r>
      <w:r w:rsidRPr="00735FCE">
        <w:fldChar w:fldCharType="separate"/>
      </w:r>
      <w:r w:rsidR="00281437" w:rsidRPr="00281437">
        <w:rPr>
          <w:vertAlign w:val="superscript"/>
        </w:rPr>
        <w:t>174</w:t>
      </w:r>
      <w:r w:rsidRPr="00735FCE">
        <w:fldChar w:fldCharType="end"/>
      </w:r>
      <w:r w:rsidRPr="00735FCE">
        <w:t>. BAT is specialized for thermogenesis and dissipates energy through uncoupled mitochondrial respiration</w:t>
      </w:r>
      <w:r>
        <w:t xml:space="preserve"> </w:t>
      </w:r>
      <w:r w:rsidRPr="00735FCE">
        <w:fldChar w:fldCharType="begin"/>
      </w:r>
      <w:r w:rsidR="00281437">
        <w:instrText xml:space="preserve"> ADDIN ZOTERO_ITEM CSL_CITATION {"citationID":"mWsmeIMN","properties":{"formattedCitation":"\\super 168\\nosupersub{}","plainCitation":"168","noteIndex":0},"citationItems":[{"id":3894,"uris":["http://zotero.org/users/9622455/items/QKZV5T4E"],"itemData":{"id":3894,"type":"article-journal","container-title":"Endocrinology and metabolism clinics of North America","DOI":"10.1016/j.ecl.2016.04.010","ISSN":"0889-8529","issue":"3","journalAbbreviation":"Endocrinol Metab Clin North Am","note":"PMID: 27519133\nPMCID: PMC5206678","page":"605-621","source":"PubMed Central","title":"Brown and Beige Adipose Tissue","volume":"45","author":[{"family":"Mulya","given":"Anny"},{"family":"Kirwan","given":"John P."}],"issued":{"date-parts":[["2016",9]]}}}],"schema":"https://github.com/citation-style-language/schema/raw/master/csl-citation.json"} </w:instrText>
      </w:r>
      <w:r w:rsidRPr="00735FCE">
        <w:fldChar w:fldCharType="separate"/>
      </w:r>
      <w:r w:rsidR="00281437" w:rsidRPr="00281437">
        <w:rPr>
          <w:vertAlign w:val="superscript"/>
        </w:rPr>
        <w:t>168</w:t>
      </w:r>
      <w:r w:rsidRPr="00735FCE">
        <w:fldChar w:fldCharType="end"/>
      </w:r>
      <w:r w:rsidRPr="00735FCE">
        <w:t xml:space="preserve">. The </w:t>
      </w:r>
      <w:r>
        <w:t>primary</w:t>
      </w:r>
      <w:r w:rsidRPr="00735FCE">
        <w:t xml:space="preserve"> fuel source for thermogenesis is mainly </w:t>
      </w:r>
      <w:r>
        <w:t xml:space="preserve">the </w:t>
      </w:r>
      <w:r w:rsidRPr="00735FCE">
        <w:t>β-oxidation of fatty acids</w:t>
      </w:r>
      <w:r>
        <w:t xml:space="preserve"> </w:t>
      </w:r>
      <w:r w:rsidRPr="00735FCE">
        <w:fldChar w:fldCharType="begin"/>
      </w:r>
      <w:r w:rsidR="00281437">
        <w:instrText xml:space="preserve"> ADDIN ZOTERO_ITEM CSL_CITATION {"citationID":"kAQOXNYM","properties":{"formattedCitation":"\\super 175\\nosupersub{}","plainCitation":"175","noteIndex":0},"citationItems":[{"id":3911,"uris":["http://zotero.org/users/9622455/items/U6UAWN6T"],"itemData":{"id":3911,"type":"article-journal","abstract":"To understand the contribution of adipose tissue fatty acid oxidation to whole-body metabolism, we generated mice with an adipose specific knockout of Carnitine Palmitoyltransferase 2 (CPT2A−/−), an obligate step in mitochondrial long chain fatty acid oxidation. CPT2A−/− mice became hypothermic after an acute cold challenge and CPT2A−/− brown adipose tissue (BAT) failed to up-regulate thermogenic genes in response to agonist-induced stimulation. The adipose-specific loss of CPT2 resulted in diet-dependent changes in adiposity but did not result in changes in body weight on low or high fat diets. Additionally, CPT2A−/− mice had suppressed high fat diet induced oxidative stress and inflammation in visceral white adipose tissue (WAT), however, high fat diet-induced glucose intolerance was not improved. These data show that fatty acid oxidation is required for cold-induced thermogenesis in BAT and high fat diet induced oxidative stress and inflammation in WAT.","container-title":"Cell reports","DOI":"10.1016/j.celrep.2014.12.023","ISSN":"2211-1247","issue":"2","journalAbbreviation":"Cell Rep","note":"PMID: 25578732\nPMCID: PMC4359063","page":"266-279","source":"PubMed Central","title":"Adipose fatty acid oxidation is required for thermogenesis and potentiates oxidative stress induced inflammation","volume":"10","author":[{"family":"Lee","given":"Jieun"},{"family":"Ellis","given":"Jessica M."},{"family":"Wolfgang","given":"Michael J."}],"issued":{"date-parts":[["2015",1,13]]}}}],"schema":"https://github.com/citation-style-language/schema/raw/master/csl-citation.json"} </w:instrText>
      </w:r>
      <w:r w:rsidRPr="00735FCE">
        <w:fldChar w:fldCharType="separate"/>
      </w:r>
      <w:r w:rsidR="00281437" w:rsidRPr="00281437">
        <w:rPr>
          <w:vertAlign w:val="superscript"/>
        </w:rPr>
        <w:t>175</w:t>
      </w:r>
      <w:r w:rsidRPr="00735FCE">
        <w:fldChar w:fldCharType="end"/>
      </w:r>
      <w:r w:rsidRPr="00735FCE">
        <w:t>. Nevertheless, BAT is one of the tissues with the highest sensitivity to insulin</w:t>
      </w:r>
      <w:r>
        <w:t xml:space="preserve"> </w:t>
      </w:r>
      <w:r w:rsidRPr="00735FCE">
        <w:fldChar w:fldCharType="begin"/>
      </w:r>
      <w:r w:rsidR="00281437">
        <w:instrText xml:space="preserve"> ADDIN ZOTERO_ITEM CSL_CITATION {"citationID":"ldnCXHnG","properties":{"formattedCitation":"\\super 176\\nosupersub{}","plainCitation":"176","noteIndex":0},"citationItems":[{"id":3919,"uris":["http://zotero.org/users/9622455/items/CH7NJALE"],"itemData":{"id":3919,"type":"article-journal","abstract":"We investigated the metabolism of human brown adipose tissue (BAT) in healthy subjects by determining its cold-induced and insulin-stimulated glucose uptake and blood flow (perfusion) using positron emission tomography (PET) combined with computed tomography (CT). Second, we assessed gene expression in human BAT and white adipose tissue (WAT). Glucose uptake was induced 12-fold in BAT by cold, accompanied by doubling of perfusion. We found a positive association between whole-body energy expenditure and BAT perfusion. Insulin enhanced glucose uptake 5-fold in BAT independently of its perfusion, while the effect on WAT was weaker. The gene expression level of insulin-sensitive glucose transporter GLUT4 was also higher in BAT as compared to WAT. In conclusion, BAT appears to be differently activated by insulin and cold; in response to insulin, BAT displays high glucose uptake without increased perfusion, but when activated by cold, it dissipates energy in a perfusion-dependent manner.","container-title":"Cell Metabolism","DOI":"10.1016/j.cmet.2011.06.012","ISSN":"1550-4131","issue":"2","journalAbbreviation":"Cell Metabolism","page":"272-279","source":"ScienceDirect","title":"Different Metabolic Responses of Human Brown Adipose Tissue to Activation by Cold and Insulin","volume":"14","author":[{"family":"Orava","given":"Janne"},{"family":"Nuutila","given":"Pirjo"},{"family":"Lidell","given":"Martin E."},{"family":"Oikonen","given":"Vesa"},{"family":"Noponen","given":"Tommi"},{"family":"Viljanen","given":"Tapio"},{"family":"Scheinin","given":"Mika"},{"family":"Taittonen","given":"Markku"},{"family":"Niemi","given":"Tarja"},{"family":"Enerbäck","given":"Sven"},{"family":"Virtanen","given":"Kirsi A."}],"issued":{"date-parts":[["2011",8,3]]}}}],"schema":"https://github.com/citation-style-language/schema/raw/master/csl-citation.json"} </w:instrText>
      </w:r>
      <w:r w:rsidRPr="00735FCE">
        <w:fldChar w:fldCharType="separate"/>
      </w:r>
      <w:r w:rsidR="00281437" w:rsidRPr="00281437">
        <w:rPr>
          <w:vertAlign w:val="superscript"/>
        </w:rPr>
        <w:t>176</w:t>
      </w:r>
      <w:r w:rsidRPr="00735FCE">
        <w:fldChar w:fldCharType="end"/>
      </w:r>
      <w:r w:rsidRPr="00735FCE">
        <w:t>. Insulin promotes glucose uptake in brown adipocytes</w:t>
      </w:r>
      <w:r>
        <w:t>,</w:t>
      </w:r>
      <w:r w:rsidRPr="00735FCE">
        <w:t xml:space="preserve"> which can be further metabolized </w:t>
      </w:r>
      <w:r>
        <w:t>through</w:t>
      </w:r>
      <w:r w:rsidRPr="00735FCE">
        <w:t xml:space="preserve"> de novo lipogenesis or triglyceride formation</w:t>
      </w:r>
      <w:r>
        <w:t xml:space="preserve"> </w:t>
      </w:r>
      <w:r w:rsidRPr="00735FCE">
        <w:fldChar w:fldCharType="begin"/>
      </w:r>
      <w:r w:rsidR="00281437">
        <w:instrText xml:space="preserve"> ADDIN ZOTERO_ITEM CSL_CITATION {"citationID":"iEdzaK4p","properties":{"formattedCitation":"\\super 177\\nosupersub{}","plainCitation":"177","noteIndex":0},"citationItems":[{"id":3921,"uris":["http://zotero.org/users/9622455/items/EMZFJV28"],"itemData":{"id":3921,"type":"article-journal","abstract":"On this 100th anniversary of the discovery of insulin, we recognize the critical role that adipocytes, which are exquisitely responsive to insulin, have played in determining the mechanisms for insulin action at the cellular level. Our understanding of adipose tissue biology has evolved greatly, and it is now clear that adipocytes are far more complicated than simple storage depots for fat. A growing body of evidence documents how adipocytes, in response to insulin, contribute to the control of whole-body nutrient homeostasis. These advances highlight adipocyte plasticity, heterogeneity, and endocrine function, unique features that connect adipocyte metabolism to the regulation of other tissues important for metabolic homeostasis (e.g., liver, muscle, pancreas).","container-title":"Cell Metabolism","DOI":"10.1016/j.cmet.2021.03.019","ISSN":"1550-4131","issue":"4","journalAbbreviation":"Cell Metabolism","page":"748-757","source":"ScienceDirect","title":"Insulin action in adipocytes, adipose remodeling, and systemic effects","volume":"33","author":[{"family":"Santoro","given":"Anna"},{"family":"McGraw","given":"Timothy E."},{"family":"Kahn","given":"Barbara B."}],"issued":{"date-parts":[["2021",4,6]]}}}],"schema":"https://github.com/citation-style-language/schema/raw/master/csl-citation.json"} </w:instrText>
      </w:r>
      <w:r w:rsidRPr="00735FCE">
        <w:fldChar w:fldCharType="separate"/>
      </w:r>
      <w:r w:rsidR="00281437" w:rsidRPr="00281437">
        <w:rPr>
          <w:vertAlign w:val="superscript"/>
        </w:rPr>
        <w:t>177</w:t>
      </w:r>
      <w:r w:rsidRPr="00735FCE">
        <w:fldChar w:fldCharType="end"/>
      </w:r>
      <w:r w:rsidRPr="00735FCE">
        <w:t xml:space="preserve">. It can reduce the burden on pancreatic β-cells by </w:t>
      </w:r>
      <w:r>
        <w:t>decreasing</w:t>
      </w:r>
      <w:r w:rsidRPr="00735FCE">
        <w:t xml:space="preserve"> the need for insulin secretion</w:t>
      </w:r>
      <w:r>
        <w:t xml:space="preserve"> </w:t>
      </w:r>
      <w:r w:rsidRPr="00735FCE">
        <w:fldChar w:fldCharType="begin"/>
      </w:r>
      <w:r w:rsidR="00281437">
        <w:instrText xml:space="preserve"> ADDIN ZOTERO_ITEM CSL_CITATION {"citationID":"aWwXswEz","properties":{"formattedCitation":"\\super 178\\nosupersub{}","plainCitation":"178","noteIndex":0},"citationItems":[{"id":3924,"uris":["http://zotero.org/users/9622455/items/UKAXDIM2"],"itemData":{"id":3924,"type":"article-journal","abstract":"Objectives\nBrown adipose tissue (BAT) controls triglyceride-rich lipoprotein (TRL) catabolism. This process is mediated by the lipoprotein lipase (LPL), an enzyme that catalyzed the hydrolysis of triglyceride (TAG) in glycerol and fatty acids (FA), which are burned to generate heat. LPL activity is regulated by angiopoietin-like 4 (ANGPTL4), a secretory protein produced in adipose tissues (AT), liver, kidney, and muscle. While the role of ANGPTL4 in regulating lipoprotein metabolism is well established, the specific contribution of BAT derived ANGPTL4 in controlling lipid and glucose homeostasis is not well understood.\nMethods and results\nWe generated a novel mouse model lacking ANGPTL4 specifically in brown adipose tissue (BAT-KO). Here, we report that specific deletion of ANGPTL4 in BAT results in enhanced LPL activity, circulating TAG clearance and thermogenesis. Absence of ANGPTL4 in BAT increased FA oxidation and reduced FA synthesis. Importantly, we observed that absence of ANGPTL4 in BAT leads to a remarkable improvement in glucose tolerance in short-term HFD feeding.\nConclusion\nOur findings demonstrate an important role of BAT derived ANGPTL4 in regulating lipoprotein metabolism, whole-body lipid and glucose metabolism, and thermogenesis during acute cold exposure.","container-title":"Molecular Metabolism","DOI":"10.1016/j.molmet.2018.03.011","ISSN":"2212-8778","journalAbbreviation":"Molecular Metabolism","page":"59-69","source":"ScienceDirect","title":"Brown adipose tissue derived ANGPTL4 controls glucose and lipid metabolism and regulates thermogenesis","volume":"11","author":[{"family":"Singh","given":"Abhishek K."},{"family":"Aryal","given":"Binod"},{"family":"Chaube","given":"Balkrishna"},{"family":"Rotllan","given":"Noemi"},{"family":"Varela","given":"Luis"},{"family":"Horvath","given":"Tamas L."},{"family":"Suárez","given":"Yajaira"},{"family":"Fernández-Hernando","given":"Carlos"}],"issued":{"date-parts":[["2018",5,1]]}}}],"schema":"https://github.com/citation-style-language/schema/raw/master/csl-citation.json"} </w:instrText>
      </w:r>
      <w:r w:rsidRPr="00735FCE">
        <w:fldChar w:fldCharType="separate"/>
      </w:r>
      <w:r w:rsidR="00281437" w:rsidRPr="00281437">
        <w:rPr>
          <w:vertAlign w:val="superscript"/>
        </w:rPr>
        <w:t>178</w:t>
      </w:r>
      <w:r w:rsidRPr="00735FCE">
        <w:fldChar w:fldCharType="end"/>
      </w:r>
      <w:r w:rsidRPr="00735FCE">
        <w:t>. Studies using PET imaging have shown that individuals with active BAT have lower fasting glucose levels than those without detectable BAT</w:t>
      </w:r>
      <w:r>
        <w:t xml:space="preserve"> </w:t>
      </w:r>
      <w:r w:rsidRPr="00735FCE">
        <w:fldChar w:fldCharType="begin"/>
      </w:r>
      <w:r w:rsidR="00281437">
        <w:instrText xml:space="preserve"> ADDIN ZOTERO_ITEM CSL_CITATION {"citationID":"w2tsT11a","properties":{"formattedCitation":"\\super 179\\nosupersub{}","plainCitation":"179","noteIndex":0},"citationItems":[{"id":3927,"uris":["http://zotero.org/users/9622455/items/IHICCEUK"],"itemData":{"id":3927,"type":"article-journal","abstract":"Brown adipose tissue (BAT) plays a major role in energy homeostasis in animals. Detection of BAT using positron emission tomography (PET)-CT in humans has challenged the view that BAT disappears after infancy. Several recent studies, based on analysis of single scans, have reported a low prevalence of only 5–10% in humans, casting doubt on its significance. We undertook a critical analysis of the sensitivity, reproducibility, and accuracy of PET-CT to deduce the prevalence of BAT and factors associated with its detection in adult humans. In a retrospective evaluation of PET-CT, using [18F]fluorodeoxyglucose, performed in 2,934 patients, BAT was identified in 250 patients, yielding an apparent prevalence of 8.5%. Among those patients with BAT, 145 were scanned more than once. The frequency of another scan being positive increased from 8 to 65% for one to more than four additional studies. The average probability of obtaining another positive scan among patients with BAT is 13%, from which the prevalence of BAT is estimated at 64%. BAT was more commonly detected in women, in younger (36 ± 1 vs. 52 ± 1 years, P &lt; 0.001) and leaner (20.1 ± 0.9 vs. 24.9 ± 0.9 kg/m2, P &lt; 0.01) individuals. Fasting glucose was lower in those with BAT than those without (4.9 ± 0.1 vs. 5.5 ± 0.1 mmol/l, P &lt; 0.01). Among patients scanned more than once, BAT was detected when body weight and fasting glucose were lower (54.9 ± 0.5 vs. 58.2 ± 0.8 kg, P &lt; 0.001 and 4.9 ± 0.3 vs. 5.5 ± 0.3 mmol/l, P = 0.03). We conclude that BAT is present in the majority of adult humans. Presence of BAT correlates negatively with body mass index and glucose concentration. BAT may play an important role in energy homeostasis in adults.","container-title":"American Journal of Physiology-Endocrinology and Metabolism","DOI":"10.1152/ajpendo.00298.2010","ISSN":"0193-1849","issue":"4","note":"publisher: American Physiological Society","page":"E601-E606","source":"journals.physiology.org (Atypon)","title":"A critical appraisal of the prevalence and metabolic significance of brown adipose tissue in adult humans","volume":"299","author":[{"family":"Lee","given":"Paul"},{"family":"Greenfield","given":"Jerry R."},{"family":"Ho","given":"Ken K. Y."},{"family":"Fulham","given":"Michael J."}],"issued":{"date-parts":[["2010",10]]}}}],"schema":"https://github.com/citation-style-language/schema/raw/master/csl-citation.json"} </w:instrText>
      </w:r>
      <w:r w:rsidRPr="00735FCE">
        <w:fldChar w:fldCharType="separate"/>
      </w:r>
      <w:r w:rsidR="00281437" w:rsidRPr="00281437">
        <w:rPr>
          <w:vertAlign w:val="superscript"/>
        </w:rPr>
        <w:t>179</w:t>
      </w:r>
      <w:r w:rsidRPr="00735FCE">
        <w:fldChar w:fldCharType="end"/>
      </w:r>
      <w:r w:rsidRPr="00735FCE">
        <w:t>. BAT function</w:t>
      </w:r>
      <w:r>
        <w:t xml:space="preserve"> </w:t>
      </w:r>
      <w:r w:rsidRPr="00735FCE">
        <w:t>is often impaired in obesity</w:t>
      </w:r>
      <w:r>
        <w:t>, with both the</w:t>
      </w:r>
      <w:r w:rsidRPr="00735FCE">
        <w:t xml:space="preserve"> thermogenic response and insulin-stimulated glucose </w:t>
      </w:r>
      <w:r>
        <w:t>uptake significantly</w:t>
      </w:r>
      <w:r w:rsidRPr="00735FCE">
        <w:t xml:space="preserve"> reduced in individuals with obesity </w:t>
      </w:r>
      <w:r>
        <w:t>compared</w:t>
      </w:r>
      <w:r w:rsidRPr="00735FCE">
        <w:t xml:space="preserve"> to lean individuals</w:t>
      </w:r>
      <w:r>
        <w:t xml:space="preserve"> </w:t>
      </w:r>
      <w:r w:rsidRPr="00735FCE">
        <w:fldChar w:fldCharType="begin"/>
      </w:r>
      <w:r w:rsidR="00281437">
        <w:instrText xml:space="preserve"> ADDIN ZOTERO_ITEM CSL_CITATION {"citationID":"lXAn0krx","properties":{"formattedCitation":"\\super 180\\nosupersub{}","plainCitation":"180","noteIndex":0},"citationItems":[{"id":3929,"uris":["http://zotero.org/users/9622455/items/9SL5HY74"],"itemData":{"id":3929,"type":"article-journal","abstract":"Brown adipose tissue (BAT) dissipates energy to produce heat. Thus, it has the potential to regulate body temperature by thermogenesis. For the last decade, BAT has been in the spotlight due to its rediscovery in adult humans. This is evidenced by over a hundred clinical trials that are currently registered to target BAT as a therapeutic tool in the treatment of metabolic diseases, such as obesity or diabetes. The goal of most of these trials is to activate the BAT thermogenic program via several approaches such as adrenergic stimulation, natriuretic peptides, retinoids, capsinoids, thyroid hormones, or glucocorticoids. However, the impact of BAT activation on total body energy consumption and the potential effect on weight loss is still limited. Other studies have focused on increasing the mass of thermogenic BAT. This can be relevant in obesity, where the activity and abundance of BAT have been shown to be drastically reduced. The aim of this review is to describe pathological processes associated with obesity that may influence the correct differentiation of BAT, such as catecholamine resistance, inflammation, oxidative stress, and endoplasmic reticulum stress. This will shed light on the thermogenic potential of BAT as a therapeutic approach to target obesity-induced metabolic diseases.","container-title":"Frontiers in Physiology","DOI":"10.3389/fphys.2019.00094","ISSN":"1664-042X","journalAbbreviation":"Front Physiol","note":"PMID: 30814954\nPMCID: PMC6381290","page":"94","source":"PubMed Central","title":"Mechanisms of Impaired Brown Adipose Tissue Recruitment in Obesity","volume":"10","author":[{"family":"Alcalá","given":"Martín"},{"family":"Calderon-Dominguez","given":"María"},{"family":"Serra","given":"Dolors"},{"family":"Herrero","given":"Laura"},{"family":"Viana","given":"Marta"}],"issued":{"date-parts":[["2019",2,13]]}}}],"schema":"https://github.com/citation-style-language/schema/raw/master/csl-citation.json"} </w:instrText>
      </w:r>
      <w:r w:rsidRPr="00735FCE">
        <w:fldChar w:fldCharType="separate"/>
      </w:r>
      <w:r w:rsidR="00281437" w:rsidRPr="00281437">
        <w:rPr>
          <w:vertAlign w:val="superscript"/>
        </w:rPr>
        <w:t>180</w:t>
      </w:r>
      <w:r w:rsidRPr="00735FCE">
        <w:fldChar w:fldCharType="end"/>
      </w:r>
      <w:r w:rsidRPr="00735FCE">
        <w:t xml:space="preserve">. </w:t>
      </w:r>
      <w:r w:rsidRPr="006D2B87">
        <w:t>Experimental approaches</w:t>
      </w:r>
      <w:r>
        <w:t>,</w:t>
      </w:r>
      <w:r w:rsidRPr="006D2B87">
        <w:t xml:space="preserve"> such as cold exposure or BAT transplantation</w:t>
      </w:r>
      <w:r>
        <w:t>,</w:t>
      </w:r>
      <w:r w:rsidRPr="006D2B87">
        <w:t xml:space="preserve"> have been shown to improve glucose tolerance and enhance insulin sensitivity </w:t>
      </w:r>
      <w:r w:rsidRPr="00735FCE">
        <w:fldChar w:fldCharType="begin"/>
      </w:r>
      <w:r w:rsidR="00281437">
        <w:instrText xml:space="preserve"> ADDIN ZOTERO_ITEM CSL_CITATION {"citationID":"OMXM5M7j","properties":{"formattedCitation":"\\super 181,182\\nosupersub{}","plainCitation":"181,182","noteIndex":0},"citationItems":[{"id":3934,"uris":["http://zotero.org/users/9622455/items/AVGV6LHD"],"itemData":{"id":3934,"type":"article-journal","abstract":"Obesity and its co-morbidities including type 2 diabetes are increasing at epidemic rates in the U.S. and worldwide. Brown adipose tissue (BAT) is a potential therapeutic to combat obesity and type 2 diabetes. Increasing BAT mass by transplantation improves metabolic health in rodents, but its clinical translation remains a challenge. Here, we investigated if transplantation of 2–4 million differentiated brown pre-adipocytes from mouse BAT stromal fraction (SVF) or human pluripotent stem cells (hPSCs) could improve metabolic health. Transplantation of differentiated brown pre-adipocytes, termed “committed pre-adipocytes” from BAT SVF from mice or derived from hPSCs improves glucose homeostasis and insulin sensitivity in recipient mice under conditions of diet-induced obesity, and this improvement is mediated through the collaborative actions of the liver transcriptome, tissue AKT signaling, and FGF21. These data demonstrate that transplantation of a small number of brown adipocytes has significant long-term translational and therapeutic potential to improve glucose metabolism.","container-title":"iScience","DOI":"10.1016/j.isci.2024.108927","ISSN":"2589-0042","issue":"2","journalAbbreviation":"iScience","page":"108927","source":"ScienceDirect","title":"Transplantation of committed pre-adipocytes from brown adipose tissue improves whole-body glucose homeostasis","volume":"27","author":[{"family":"Dewal","given":"Revati S."},{"family":"Yang","given":"Felix T."},{"family":"Baer","given":"Lisa A."},{"family":"Vidal","given":"Pablo"},{"family":"Hernandez-Saavedra","given":"Diego"},{"family":"Seculov","given":"Nickolai P."},{"family":"Ghosh","given":"Adhideb"},{"family":"Noé","given":"Falko"},{"family":"Togliatti","given":"Olivia"},{"family":"Hughes","given":"Lexis"},{"family":"DeBari","given":"Megan K."},{"family":"West","given":"Michael D."},{"family":"Soroko","given":"Richard"},{"family":"Sternberg","given":"Hal"},{"family":"Malik","given":"Nafees N."},{"family":"Puchulu-Campanella","given":"Estella"},{"family":"Wang","given":"Huabao"},{"family":"Yan","given":"Pearlly"},{"family":"Wolfrum","given":"Christian"},{"family":"Abbott","given":"Rosalyn D."},{"family":"Stanford","given":"Kristin I."}],"issued":{"date-parts":[["2024",2,16]]}}},{"id":3932,"uris":["http://zotero.org/users/9622455/items/RPWUHIG8"],"itemData":{"id":3932,"type":"article-journal","abstract":"A small clinical trial shows that short-term cold acclimation to moderately-cold temperature improves the glucose homeostasis of individuals with type 2 diabetes, without an appreciable activation of their brown adipose tissue.","container-title":"Nature Medicine","DOI":"10.1038/nm.3891","ISSN":"1546-170X","issue":"8","journalAbbreviation":"Nat Med","language":"en","license":"2015 Springer Nature America, Inc.","note":"publisher: Nature Publishing Group","page":"863-865","source":"www.nature.com","title":"Short-term cold acclimation improves insulin sensitivity in patients with type 2 diabetes mellitus","volume":"21","author":[{"family":"Hanssen","given":"Mark J. W."},{"family":"Hoeks","given":"Joris"},{"family":"Brans","given":"Boudewijn"},{"family":"Lans","given":"Anouk A. J. J.","non-dropping-particle":"van der"},{"family":"Schaart","given":"Gert"},{"family":"Driessche","given":"José J.","non-dropping-particle":"van den"},{"family":"Jörgensen","given":"Johanna A."},{"family":"Boekschoten","given":"Mark V."},{"family":"Hesselink","given":"Matthijs K. C."},{"family":"Havekes","given":"Bas"},{"family":"Kersten","given":"Sander"},{"family":"Mottaghy","given":"Felix M."},{"family":"Marken Lichtenbelt","given":"Wouter D.","non-dropping-particle":"van"},{"family":"Schrauwen","given":"Patrick"}],"issued":{"date-parts":[["2015",8]]}}}],"schema":"https://github.com/citation-style-language/schema/raw/master/csl-citation.json"} </w:instrText>
      </w:r>
      <w:r w:rsidRPr="00735FCE">
        <w:fldChar w:fldCharType="separate"/>
      </w:r>
      <w:r w:rsidR="00281437" w:rsidRPr="00281437">
        <w:rPr>
          <w:vertAlign w:val="superscript"/>
        </w:rPr>
        <w:t>181,182</w:t>
      </w:r>
      <w:r w:rsidRPr="00735FCE">
        <w:fldChar w:fldCharType="end"/>
      </w:r>
      <w:r w:rsidRPr="00735FCE">
        <w:t xml:space="preserve">. In contrast, the deletion of the insulin receptor </w:t>
      </w:r>
      <w:r>
        <w:t>i</w:t>
      </w:r>
      <w:r w:rsidRPr="00735FCE">
        <w:t>n the BAT leads to severe</w:t>
      </w:r>
      <w:r>
        <w:t>,</w:t>
      </w:r>
      <w:r w:rsidRPr="00735FCE">
        <w:t xml:space="preserve"> progressive BAT atrophy and </w:t>
      </w:r>
      <w:r>
        <w:t>an</w:t>
      </w:r>
      <w:r w:rsidRPr="00735FCE">
        <w:t xml:space="preserve"> inability to secrete insulin</w:t>
      </w:r>
      <w:r>
        <w:t xml:space="preserve"> from the islets in response to glucose </w:t>
      </w:r>
      <w:r w:rsidRPr="00735FCE">
        <w:fldChar w:fldCharType="begin"/>
      </w:r>
      <w:r w:rsidR="00281437">
        <w:instrText xml:space="preserve"> ADDIN ZOTERO_ITEM CSL_CITATION {"citationID":"Shq4YiEg","properties":{"formattedCitation":"\\super 183\\nosupersub{}","plainCitation":"183","noteIndex":0},"citationItems":[{"id":3937,"uris":["http://zotero.org/users/9622455/items/HVV4DK64"],"itemData":{"id":3937,"type":"article-journal","container-title":"The Journal of Clinical Investigation","DOI":"10.1172/JCI13103","ISSN":"0021-9738","issue":"8","journalAbbreviation":"J Clin Invest","language":"en","note":"publisher: American Society for Clinical Investigation\nPMID: 11602628","page":"1205-1213","source":"www.jci.org","title":"Brown adipose tissue–specific insulin receptor knockout shows diabetic phenotype without insulin resistance","volume":"108","author":[{"family":"Guerra","given":"Carmen"},{"family":"Navarro","given":"Paloma"},{"family":"Valverde","given":"Angela M."},{"family":"Arribas","given":"Monica"},{"family":"Brüning","given":"Jens"},{"family":"Kozak","given":"Leslie P."},{"family":"Kahn","given":"C. Ronald"},{"family":"Benito","given":"Manuel"}],"issued":{"date-parts":[["2001",10,15]]}}}],"schema":"https://github.com/citation-style-language/schema/raw/master/csl-citation.json"} </w:instrText>
      </w:r>
      <w:r w:rsidRPr="00735FCE">
        <w:fldChar w:fldCharType="separate"/>
      </w:r>
      <w:r w:rsidR="00281437" w:rsidRPr="00281437">
        <w:rPr>
          <w:vertAlign w:val="superscript"/>
        </w:rPr>
        <w:t>183</w:t>
      </w:r>
      <w:r w:rsidRPr="00735FCE">
        <w:fldChar w:fldCharType="end"/>
      </w:r>
      <w:r w:rsidRPr="00735FCE">
        <w:t xml:space="preserve">. This suggests that </w:t>
      </w:r>
      <w:r>
        <w:t xml:space="preserve">insulin signaling </w:t>
      </w:r>
      <w:r w:rsidRPr="00735FCE">
        <w:t>is indeed crucial to the development of BAT and the regulation of glucose metabolism.</w:t>
      </w:r>
    </w:p>
    <w:p w14:paraId="566421D3" w14:textId="2D49D9CF" w:rsidR="009117C0" w:rsidRPr="00735FCE" w:rsidRDefault="009117C0" w:rsidP="00F5471F">
      <w:pPr>
        <w:ind w:firstLine="720"/>
        <w:jc w:val="left"/>
      </w:pPr>
      <w:r>
        <w:t>In addition</w:t>
      </w:r>
      <w:r w:rsidRPr="00735FCE">
        <w:t xml:space="preserve"> to classical BAT, beige adipocytes, which are thermogenically active cells recruited within white adipose tissue (WAT) under stimuli such as cold exposure or β3-</w:t>
      </w:r>
      <w:r w:rsidRPr="00735FCE">
        <w:lastRenderedPageBreak/>
        <w:t>adrenergic agonists, have come into focus as additional modulators of metabolic health</w:t>
      </w:r>
      <w:r>
        <w:t xml:space="preserve"> </w:t>
      </w:r>
      <w:r w:rsidRPr="00735FCE">
        <w:fldChar w:fldCharType="begin"/>
      </w:r>
      <w:r w:rsidR="00281437">
        <w:instrText xml:space="preserve"> ADDIN ZOTERO_ITEM CSL_CITATION {"citationID":"AhSbtV3I","properties":{"formattedCitation":"\\super 168\\nosupersub{}","plainCitation":"168","noteIndex":0},"citationItems":[{"id":3894,"uris":["http://zotero.org/users/9622455/items/QKZV5T4E"],"itemData":{"id":3894,"type":"article-journal","container-title":"Endocrinology and metabolism clinics of North America","DOI":"10.1016/j.ecl.2016.04.010","ISSN":"0889-8529","issue":"3","journalAbbreviation":"Endocrinol Metab Clin North Am","note":"PMID: 27519133\nPMCID: PMC5206678","page":"605-621","source":"PubMed Central","title":"Brown and Beige Adipose Tissue","volume":"45","author":[{"family":"Mulya","given":"Anny"},{"family":"Kirwan","given":"John P."}],"issued":{"date-parts":[["2016",9]]}}}],"schema":"https://github.com/citation-style-language/schema/raw/master/csl-citation.json"} </w:instrText>
      </w:r>
      <w:r w:rsidRPr="00735FCE">
        <w:fldChar w:fldCharType="separate"/>
      </w:r>
      <w:r w:rsidR="00281437" w:rsidRPr="00281437">
        <w:rPr>
          <w:vertAlign w:val="superscript"/>
        </w:rPr>
        <w:t>168</w:t>
      </w:r>
      <w:r w:rsidRPr="00735FCE">
        <w:fldChar w:fldCharType="end"/>
      </w:r>
      <w:r w:rsidRPr="00735FCE">
        <w:t xml:space="preserve">. Beige adipocyte activation enhances energy expenditure by promoting glucose and lipid uptake, thereby contributing to improved glucose tolerance and insulin </w:t>
      </w:r>
      <w:r>
        <w:t xml:space="preserve">sensitivity </w:t>
      </w:r>
      <w:r w:rsidRPr="00735FCE">
        <w:fldChar w:fldCharType="begin"/>
      </w:r>
      <w:r w:rsidR="00281437">
        <w:instrText xml:space="preserve"> ADDIN ZOTERO_ITEM CSL_CITATION {"citationID":"CLUrFepC","properties":{"formattedCitation":"\\super 184\\nosupersub{}","plainCitation":"184","noteIndex":0},"citationItems":[{"id":311,"uris":["http://zotero.org/users/9622455/items/KFGJ8UZ6"],"itemData":{"id":311,"type":"article-journal","abstract":"Adipose tissue, best known for its role in fat storage, can also suppress weight gain and metabolic disease through the action of specialized, heat-producing adipocytes. Brown adipocytes are located in dedicated depots and express constitutively high levels of thermogenic genes, whereas inducible 'brown-like' adipocytes, also known as beige cells, develop in white fat in response to various activators. The activities of brown and beige fat cells reduce metabolic disease, including obesity, in mice and correlate with leanness in humans. Many genes and pathways that regulate brown and beige adipocyte biology have now been identified, providing a variety of promising therapeutic targets for metabolic disease.","archive_location":"24100998","container-title":"Nat Med","DOI":"10.1038/nm.3361","ISSN":"1546-170X (Electronic) 1078-8956 (Linking)","issue":"10","note":"edition: 2013/10/09","page":"1252-63","title":"Brown and beige fat: development, function and therapeutic potential","volume":"19","author":[{"family":"Harms","given":"M."},{"family":"Seale","given":"P."}],"issued":{"date-parts":[["2013",10]]}}}],"schema":"https://github.com/citation-style-language/schema/raw/master/csl-citation.json"} </w:instrText>
      </w:r>
      <w:r w:rsidRPr="00735FCE">
        <w:fldChar w:fldCharType="separate"/>
      </w:r>
      <w:r w:rsidR="00281437" w:rsidRPr="00281437">
        <w:rPr>
          <w:vertAlign w:val="superscript"/>
        </w:rPr>
        <w:t>184</w:t>
      </w:r>
      <w:r w:rsidRPr="00735FCE">
        <w:fldChar w:fldCharType="end"/>
      </w:r>
      <w:r w:rsidRPr="00735FCE">
        <w:t xml:space="preserve">. By taking up glucose and </w:t>
      </w:r>
      <w:r>
        <w:t>FFAs,</w:t>
      </w:r>
      <w:r w:rsidRPr="00735FCE">
        <w:t xml:space="preserve"> beige </w:t>
      </w:r>
      <w:r>
        <w:t>adipocytes</w:t>
      </w:r>
      <w:r w:rsidRPr="00735FCE">
        <w:t xml:space="preserve"> indirectly enhance pancreatic function and lower the </w:t>
      </w:r>
      <w:r>
        <w:t xml:space="preserve">body’s </w:t>
      </w:r>
      <w:r w:rsidRPr="00735FCE">
        <w:t xml:space="preserve">demand for insulin </w:t>
      </w:r>
      <w:r w:rsidRPr="00735FCE">
        <w:fldChar w:fldCharType="begin"/>
      </w:r>
      <w:r w:rsidR="00281437">
        <w:instrText xml:space="preserve"> ADDIN ZOTERO_ITEM CSL_CITATION {"citationID":"rHyJR5X5","properties":{"formattedCitation":"\\super 174\\nosupersub{}","plainCitation":"174","noteIndex":0},"citationItems":[{"id":3909,"uris":["http://zotero.org/users/9622455/items/6YHDIJ5A"],"itemData":{"id":3909,"type":"article-journal","abstract":"Mammalian adipose tissue can be divided into two major types, namely, white adipose tissue (WAT) and brown adipose tissue (BAT). According to classical view, the main function of WAT is to store excess energy in the form of triglycerides, while BAT is a thermogenic tissue that acts a pivotal part in maintaining the core body temperature. White adipocytes display high plasticity and can transdifferentiate into beige adipocytes which have many similar morphological and functional properties with brown adipocytes under the stimulations of exercise, cold exposure and other factors. This phenomenon is also known as ‘browning of WAT’. In addition to transdifferentiation, beige adipocytes can also come from de novo differentiation from tissue-resident progenitors. Activating BAT and inducing browning of WAT can accelerate the intake of glycolipids and reduce the insulin secretion requirement, which may be a new strategy to improve glycolipids metabolism and insulin resistance of obese and type 2 diabetes mellitus (T2DM) patients. This review mainly discusses the significance of brown and beige adipose tissues in the treatment of obesity and T2DM, and focuses on the effect of the browning agent on obesity and T2DM, which provides a brand-new theoretical reference for the prevention and treatment of obesity and T2DM.","container-title":"Adipocyte","DOI":"10.1080/21623945.2020.1870060","ISSN":"2162-3945","issue":"1","note":"publisher: Taylor &amp; Francis\n_eprint: https://doi.org/10.1080/21623945.2020.1870060\nPMID: 33403891","page":"48-65","source":"Taylor and Francis+NEJM","title":"Brown and beige adipose tissue: a novel therapeutic strategy for obesity and type 2 diabetes mellitus","title-short":"Brown and beige adipose tissue","volume":"10","author":[{"family":"Cheng","given":"Long"},{"family":"","given":"Wang ,Jingkang"},{"family":"","given":"Dai ,Hongyu"},{"family":"","given":"Duan ,Yuhui"},{"family":"","given":"An ,Yongcheng"},{"family":"","given":"Shi ,Lu"},{"family":"","given":"Lv ,Yinglan"},{"family":"","given":"Li ,Huimin"},{"family":"","given":"Wang ,Chen"},{"family":"","given":"Ma ,Quantao"},{"family":"","given":"Li ,Yaqi"},{"family":"","given":"Li ,Pengfei"},{"family":"","given":"Du ,Haifeng"},{"family":"Zhao","given":"Baosheng","non-dropping-particle":"and"}],"issued":{"date-parts":[["2021",1,1]]}}}],"schema":"https://github.com/citation-style-language/schema/raw/master/csl-citation.json"} </w:instrText>
      </w:r>
      <w:r w:rsidRPr="00735FCE">
        <w:fldChar w:fldCharType="separate"/>
      </w:r>
      <w:r w:rsidR="00281437" w:rsidRPr="00281437">
        <w:rPr>
          <w:vertAlign w:val="superscript"/>
        </w:rPr>
        <w:t>174</w:t>
      </w:r>
      <w:r w:rsidRPr="00735FCE">
        <w:fldChar w:fldCharType="end"/>
      </w:r>
      <w:r w:rsidRPr="00735FCE">
        <w:t>. Collectively, the activation of brown and beige adipocytes reduces blood glucose</w:t>
      </w:r>
      <w:r>
        <w:t xml:space="preserve"> levels</w:t>
      </w:r>
      <w:r w:rsidRPr="00735FCE">
        <w:t xml:space="preserve"> and decreases lipid accumulation</w:t>
      </w:r>
      <w:r>
        <w:t xml:space="preserve"> </w:t>
      </w:r>
      <w:r w:rsidRPr="00735FCE">
        <w:fldChar w:fldCharType="begin"/>
      </w:r>
      <w:r w:rsidR="00281437">
        <w:instrText xml:space="preserve"> ADDIN ZOTERO_ITEM CSL_CITATION {"citationID":"IoZoUHnw","properties":{"formattedCitation":"\\super 184\\nosupersub{}","plainCitation":"184","noteIndex":0},"citationItems":[{"id":311,"uris":["http://zotero.org/users/9622455/items/KFGJ8UZ6"],"itemData":{"id":311,"type":"article-journal","abstract":"Adipose tissue, best known for its role in fat storage, can also suppress weight gain and metabolic disease through the action of specialized, heat-producing adipocytes. Brown adipocytes are located in dedicated depots and express constitutively high levels of thermogenic genes, whereas inducible 'brown-like' adipocytes, also known as beige cells, develop in white fat in response to various activators. The activities of brown and beige fat cells reduce metabolic disease, including obesity, in mice and correlate with leanness in humans. Many genes and pathways that regulate brown and beige adipocyte biology have now been identified, providing a variety of promising therapeutic targets for metabolic disease.","archive_location":"24100998","container-title":"Nat Med","DOI":"10.1038/nm.3361","ISSN":"1546-170X (Electronic) 1078-8956 (Linking)","issue":"10","note":"edition: 2013/10/09","page":"1252-63","title":"Brown and beige fat: development, function and therapeutic potential","volume":"19","author":[{"family":"Harms","given":"M."},{"family":"Seale","given":"P."}],"issued":{"date-parts":[["2013",10]]}}}],"schema":"https://github.com/citation-style-language/schema/raw/master/csl-citation.json"} </w:instrText>
      </w:r>
      <w:r w:rsidRPr="00735FCE">
        <w:fldChar w:fldCharType="separate"/>
      </w:r>
      <w:r w:rsidR="00281437" w:rsidRPr="00281437">
        <w:rPr>
          <w:vertAlign w:val="superscript"/>
        </w:rPr>
        <w:t>184</w:t>
      </w:r>
      <w:r w:rsidRPr="00735FCE">
        <w:fldChar w:fldCharType="end"/>
      </w:r>
      <w:r w:rsidRPr="00735FCE">
        <w:t>.</w:t>
      </w:r>
    </w:p>
    <w:p w14:paraId="5A727F9B" w14:textId="77777777" w:rsidR="009117C0" w:rsidRPr="00735FCE" w:rsidRDefault="009117C0" w:rsidP="00847BA5">
      <w:pPr>
        <w:pStyle w:val="Heading2"/>
        <w:jc w:val="left"/>
      </w:pPr>
      <w:bookmarkStart w:id="39" w:name="_Toc200988047"/>
      <w:bookmarkStart w:id="40" w:name="_Toc201001662"/>
      <w:bookmarkStart w:id="41" w:name="_Toc204848632"/>
      <w:r w:rsidRPr="00735FCE">
        <w:t xml:space="preserve">Browning of </w:t>
      </w:r>
      <w:r>
        <w:t>W</w:t>
      </w:r>
      <w:r w:rsidRPr="00735FCE">
        <w:t xml:space="preserve">hite </w:t>
      </w:r>
      <w:r>
        <w:t>A</w:t>
      </w:r>
      <w:r w:rsidRPr="00735FCE">
        <w:t xml:space="preserve">dipose </w:t>
      </w:r>
      <w:r>
        <w:t>T</w:t>
      </w:r>
      <w:r w:rsidRPr="00735FCE">
        <w:t>issue</w:t>
      </w:r>
      <w:bookmarkEnd w:id="39"/>
      <w:bookmarkEnd w:id="40"/>
      <w:bookmarkEnd w:id="41"/>
    </w:p>
    <w:p w14:paraId="759642FC" w14:textId="77777777" w:rsidR="009117C0" w:rsidRPr="00735FCE" w:rsidRDefault="009117C0" w:rsidP="00847BA5">
      <w:pPr>
        <w:pStyle w:val="Heading3"/>
        <w:jc w:val="left"/>
      </w:pPr>
      <w:bookmarkStart w:id="42" w:name="_Toc200988048"/>
      <w:bookmarkStart w:id="43" w:name="_Toc201001663"/>
      <w:bookmarkStart w:id="44" w:name="_Toc204848633"/>
      <w:r w:rsidRPr="00735FCE">
        <w:t xml:space="preserve">Mechanism of </w:t>
      </w:r>
      <w:r>
        <w:t>B</w:t>
      </w:r>
      <w:r w:rsidRPr="00735FCE">
        <w:t>rowning</w:t>
      </w:r>
      <w:bookmarkEnd w:id="42"/>
      <w:bookmarkEnd w:id="43"/>
      <w:bookmarkEnd w:id="44"/>
    </w:p>
    <w:p w14:paraId="2094AA0C" w14:textId="29FDDB1E" w:rsidR="009117C0" w:rsidRPr="00735FCE" w:rsidRDefault="009117C0" w:rsidP="00F5471F">
      <w:pPr>
        <w:ind w:firstLine="720"/>
        <w:jc w:val="left"/>
      </w:pPr>
      <w:r w:rsidRPr="00735FCE">
        <w:t>The evolution of beige adipocytes can be attributed to two mechanisms: de novo differentiation and transdifferentiation</w:t>
      </w:r>
      <w:r>
        <w:t xml:space="preserve"> </w:t>
      </w:r>
      <w:r w:rsidRPr="00735FCE">
        <w:fldChar w:fldCharType="begin"/>
      </w:r>
      <w:r w:rsidR="00281437">
        <w:instrText xml:space="preserve"> ADDIN ZOTERO_ITEM CSL_CITATION {"citationID":"qLuMMMQe","properties":{"formattedCitation":"\\super 185\\nosupersub{}","plainCitation":"185","noteIndex":0},"citationItems":[{"id":3943,"uris":["http://zotero.org/users/9622455/items/DPDLNLKQ"],"itemData":{"id":3943,"type":"article-journal","abstract":"Activated beige adipocytes have therapeutic potential due to their ability to improve glucose and lipid homeostasis. To date, the origin of beige adipocytes remains enigmatic. Whether beige cells arise through de novo differentiation from resident precursors or through reprogramming of mature white adipocytes has been a topic of intense discussion. Here, we offer our perspective on the natural origin of beige adipocytes in mice. In particular, we revisit recent lineage-tracing studies that shed light on this issue and offer new insight into how environmental housing temperatures early in life influence the mode of beige adipocyte biogenesis upon cold exposure later in life. We suggest a unified model in which beige adipocytes (UCP1+ multilocular cells) in rodents initially arise predominantly from progenitors (i.e., de novo beige adipogenesis) upon the first exposure to cold temperatures and then interconvert between “dormant beige” and “active beige” phenotypes (i.e., beige cell activation) upon subsequent changes in environmental temperature. Importantly, we highlight experimental considerations needed to visualize de novo adipogenesis versus beige cell activation in mice. A precise understanding of the cellular origins of beige adipocytes emanating in response to physiological and pharmacological stimuli may better inform therapeutic strategies to recruit beige adipocytes in vivo.","container-title":"Diabetes","DOI":"10.2337/db19-0308","ISSN":"0012-1797","issue":"10","journalAbbreviation":"Diabetes","note":"PMID: 31540940\nPMCID: PMC6754244","page":"1874-1885","source":"PubMed Central","title":"Cellular Origins of Beige Fat Cells Revisited","volume":"68","author":[{"family":"Shao","given":"Mengle"},{"family":"Wang","given":"Qiong A."},{"family":"Song","given":"Anying"},{"family":"Vishvanath","given":"Lavanya"},{"family":"Busbuso","given":"Napoleon C."},{"family":"Scherer","given":"Philipp E."},{"family":"Gupta","given":"Rana K."}],"issued":{"date-parts":[["2019",10]]}}}],"schema":"https://github.com/citation-style-language/schema/raw/master/csl-citation.json"} </w:instrText>
      </w:r>
      <w:r w:rsidRPr="00735FCE">
        <w:fldChar w:fldCharType="separate"/>
      </w:r>
      <w:r w:rsidR="00281437" w:rsidRPr="00281437">
        <w:rPr>
          <w:vertAlign w:val="superscript"/>
        </w:rPr>
        <w:t>185</w:t>
      </w:r>
      <w:r w:rsidRPr="00735FCE">
        <w:fldChar w:fldCharType="end"/>
      </w:r>
      <w:r w:rsidRPr="00735FCE">
        <w:t>. De novo differentiation refers to the process of producing beige adipocytes from available progenitor cells in white adipose tissue, as a result of cold exposure, β-adrenergic signaling, exercise, thyroid hormones, certain types of phytonutrients, and so on</w:t>
      </w:r>
      <w:r>
        <w:t xml:space="preserve"> </w:t>
      </w:r>
      <w:r w:rsidRPr="00735FCE">
        <w:fldChar w:fldCharType="begin"/>
      </w:r>
      <w:r w:rsidR="00281437">
        <w:instrText xml:space="preserve"> ADDIN ZOTERO_ITEM CSL_CITATION {"citationID":"m0EJYC2k","properties":{"formattedCitation":"\\super 186\\nosupersub{}","plainCitation":"186","noteIndex":0},"citationItems":[{"id":19,"uris":["http://zotero.org/users/9622455/items/EEYZLF49"],"itemData":{"id":19,"type":"article-journal","abstract":"Adipose tissues are dynamic tissues that play crucial physiological roles in maintaining health and homeostasis. Although white adipose tissue and brown adipose tissue are currently considered key endocrine organs, they differ functionally and morphologically. The existence of the beige or brite adipocytes, cells displaying intermediary characteristics between white and brown adipocytes, illustrates the plastic nature of the adipose tissue. These cells are generated through white adipose tissue browning, a process associated with augmented non-shivering thermogenesis and metabolic capacity. This process involves the upregulation of the uncoupling protein 1, a molecule that uncouples the respiratory chain from Adenosine triphosphate synthesis, producing heat. β-3 adrenergic receptor system is one important mediator of white adipose tissue browning, during cold exposure. Surprisingly, hyperthermia may also induce beige activation and white adipose tissue beiging. Physical exercising copes with increased levels of specific molecules, including Beta-Aminoisobutyric acid, irisin, and Fibroblast growth factor 21 (FGF21), which induce adipose tissue browning. FGF21 is a stress-responsive hormone that interacts with beta-klotho. The central roles played by hormones in the browning process highlight the relevance of the individual lifestyle, including circadian rhythm and diet. Circadian rhythm involves the sleep–wake cycle and is regulated by melatonin, a hormone associated with UCP1 level upregulation. In contrast to the pro-inflammatory and adipose tissue disrupting effects of the western diet, specific food items, including capsaicin and n-3 polyunsaturated fatty acids, and dietary interventions such as calorie restriction and intermittent fasting, favor white adipose tissue browning and metabolic efficiency. The intestinal microbiome has also been pictured as a key factor in regulating white tissue browning, as it modulates bile acid levels, important molecules for the thermogenic program activation. During embryogenesis, in which adipose tissue formation is affected by Bone morphogenetic proteins that regulate gene expression, the stimuli herein discussed influence an orchestra of gene expression regulators, including a plethora of transcription factors, and chromatin remodeling enzymes, and non-coding RNAs. Considering the detrimental effects of adipose tissue browning and the disparities between adipose tissue characteristics in mice and humans, further efforts will benefit a better understanding of adipose tissue plasticity biology and its applicability to managing the overwhelming burden of several chronic diseases.","container-title":"Nutrition &amp; Metabolism","DOI":"10.1186/s12986-022-00694-0","ISSN":"1743-7075","issue":"1","journalAbbreviation":"Nutrition &amp; Metabolism","page":"61","source":"BioMed Central","title":"Browning of the white adipose tissue regulation: new insights into nutritional and metabolic relevance in health and diseases","title-short":"Browning of the white adipose tissue regulation","volume":"19","author":[{"family":"Machado","given":"Sabrina Azevedo"},{"family":"Pasquarelli-do-Nascimento","given":"Gabriel"},{"family":"Silva","given":"Debora Santos","non-dropping-particle":"da"},{"family":"Farias","given":"Gabriel Ribeiro"},{"family":"Oliveira Santos","given":"Igor","non-dropping-particle":"de"},{"family":"Baptista","given":"Luana Borges"},{"family":"Magalhães","given":"Kelly Grace"}],"issued":{"date-parts":[["2022",9,6]]}}}],"schema":"https://github.com/citation-style-language/schema/raw/master/csl-citation.json"} </w:instrText>
      </w:r>
      <w:r w:rsidRPr="00735FCE">
        <w:fldChar w:fldCharType="separate"/>
      </w:r>
      <w:r w:rsidR="00281437" w:rsidRPr="00281437">
        <w:rPr>
          <w:vertAlign w:val="superscript"/>
        </w:rPr>
        <w:t>186</w:t>
      </w:r>
      <w:r w:rsidRPr="00735FCE">
        <w:fldChar w:fldCharType="end"/>
      </w:r>
      <w:r w:rsidRPr="00735FCE">
        <w:t xml:space="preserve">. These stimuli induce thermogenic and adipogenic transcriptional programs via the upregulation of </w:t>
      </w:r>
      <w:r w:rsidRPr="00735FCE">
        <w:rPr>
          <w:i/>
          <w:iCs/>
        </w:rPr>
        <w:t>Ucp1</w:t>
      </w:r>
      <w:r w:rsidRPr="00735FCE">
        <w:t xml:space="preserve">, </w:t>
      </w:r>
      <w:r w:rsidRPr="00735FCE">
        <w:rPr>
          <w:i/>
          <w:iCs/>
        </w:rPr>
        <w:t>Prdm16</w:t>
      </w:r>
      <w:r w:rsidRPr="00735FCE">
        <w:t xml:space="preserve">, </w:t>
      </w:r>
      <w:r w:rsidRPr="00DE5EC2">
        <w:rPr>
          <w:i/>
          <w:iCs/>
        </w:rPr>
        <w:t>Zfp516</w:t>
      </w:r>
      <w:r w:rsidRPr="00735FCE">
        <w:t xml:space="preserve">, and </w:t>
      </w:r>
      <w:r w:rsidRPr="00735FCE">
        <w:rPr>
          <w:i/>
          <w:iCs/>
        </w:rPr>
        <w:t>Pgc1</w:t>
      </w:r>
      <w:r w:rsidRPr="00735FCE">
        <w:rPr>
          <w:i/>
          <w:iCs/>
        </w:rPr>
        <w:sym w:font="Symbol" w:char="F061"/>
      </w:r>
      <w:r w:rsidRPr="00735FCE">
        <w:t xml:space="preserve"> and coordinate mitochondrial biogenesis</w:t>
      </w:r>
      <w:r>
        <w:t xml:space="preserve"> </w:t>
      </w:r>
      <w:r w:rsidRPr="00735FCE">
        <w:fldChar w:fldCharType="begin"/>
      </w:r>
      <w:r w:rsidR="00281437">
        <w:instrText xml:space="preserve"> ADDIN ZOTERO_ITEM CSL_CITATION {"citationID":"gJr7ezbQ","properties":{"formattedCitation":"\\super 187\\nosupersub{}","plainCitation":"187","noteIndex":0},"citationItems":[{"id":3946,"uris":["http://zotero.org/users/9622455/items/UZD43DCN"],"itemData":{"id":3946,"type":"article-journal","abstract":"Obesity, an excess accumulation of white adipose tissue (WAT), has become a global epidemic and is associated with complex diseases, such as type 2 diabetes and cardiovascular diseases. Presently, there are no safe and effective therapeutic agents to treat obesity. In contrast to white adipocytes that store energy as triglycerides in unilocular lipid droplet, brown and brown-like or beige adipocytes utilize fatty acids (FAs) and glucose at a high rate mainly by uncoupling protein 1 (UCP1) action to uncouple mitochondrial proton gradient from ATP synthesis, dissipating energy as heat. Recent studies on the presence of brown or brown-like adipocytes in adult humans have revealed their potential as therapeutic targets in combating obesity. Classically, the main signaling pathway known to activate thermogenesis in adipocytes is β3-adrenergic signaling, which is activated by norepinephrine in response to cold, leading to activation of the thermogenic program and browning. In addition to the β3-adrenergic signaling, numerous other hormones and secreted factors have been reported to affect thermogenesis. In this review, we discuss several major pathways, β3-adrenergic, insulin/IGF1, thyroid hormone and TGFβ family, which regulate thermogenesis and browning of WAT.","container-title":"Frontiers in Endocrinology","DOI":"10.3389/fendo.2021.595020","ISSN":"1664-2392","journalAbbreviation":"Front. Endocrinol.","language":"English","note":"publisher: Frontiers","source":"Frontiers","title":"Signaling Pathways Regulating Thermogenesis","URL":"https://www.frontiersin.org/journals/endocrinology/articles/10.3389/fendo.2021.595020/full","volume":"12","author":[{"family":"Tabuchi","given":"Chihiro"},{"family":"Sul","given":"Hei Sook"}],"accessed":{"date-parts":[["2025",6,12]]},"issued":{"date-parts":[["2021",3,26]]}}}],"schema":"https://github.com/citation-style-language/schema/raw/master/csl-citation.json"} </w:instrText>
      </w:r>
      <w:r w:rsidRPr="00735FCE">
        <w:fldChar w:fldCharType="separate"/>
      </w:r>
      <w:r w:rsidR="00281437" w:rsidRPr="00281437">
        <w:rPr>
          <w:vertAlign w:val="superscript"/>
        </w:rPr>
        <w:t>187</w:t>
      </w:r>
      <w:r w:rsidRPr="00735FCE">
        <w:fldChar w:fldCharType="end"/>
      </w:r>
      <w:r w:rsidRPr="00735FCE">
        <w:t xml:space="preserve">. Progenitor cells that are capable of differentiating </w:t>
      </w:r>
      <w:r>
        <w:t>in</w:t>
      </w:r>
      <w:r w:rsidRPr="00735FCE">
        <w:t xml:space="preserve">to beige adipocytes include cells that are positive for </w:t>
      </w:r>
      <w:r w:rsidRPr="00DE5EC2">
        <w:rPr>
          <w:i/>
          <w:iCs/>
        </w:rPr>
        <w:t>Myh11</w:t>
      </w:r>
      <w:r w:rsidRPr="00735FCE">
        <w:t xml:space="preserve">, </w:t>
      </w:r>
      <w:r w:rsidRPr="00DE5EC2">
        <w:rPr>
          <w:i/>
          <w:iCs/>
        </w:rPr>
        <w:t>Pdgfr</w:t>
      </w:r>
      <w:r w:rsidRPr="00DE5EC2">
        <w:rPr>
          <w:i/>
          <w:iCs/>
        </w:rPr>
        <w:sym w:font="Symbol" w:char="F062"/>
      </w:r>
      <w:r w:rsidRPr="00735FCE">
        <w:t xml:space="preserve">, </w:t>
      </w:r>
      <w:r w:rsidRPr="00DE5EC2">
        <w:rPr>
          <w:i/>
          <w:iCs/>
        </w:rPr>
        <w:t>Sca-1</w:t>
      </w:r>
      <w:r w:rsidRPr="00735FCE">
        <w:t xml:space="preserve">, </w:t>
      </w:r>
      <w:r>
        <w:rPr>
          <w:i/>
          <w:iCs/>
        </w:rPr>
        <w:t xml:space="preserve">and Cd81, </w:t>
      </w:r>
      <w:r w:rsidRPr="00DA31D1">
        <w:t>showing</w:t>
      </w:r>
      <w:r w:rsidRPr="00735FCE">
        <w:t xml:space="preserve"> the diversity of the adipose stem cells</w:t>
      </w:r>
      <w:r>
        <w:t xml:space="preserve"> </w:t>
      </w:r>
      <w:r w:rsidRPr="00735FCE">
        <w:fldChar w:fldCharType="begin"/>
      </w:r>
      <w:r w:rsidR="00281437">
        <w:instrText xml:space="preserve"> ADDIN ZOTERO_ITEM CSL_CITATION {"citationID":"NYXxlI0F","properties":{"formattedCitation":"\\super 188\\uc0\\u8211{}190\\nosupersub{}","plainCitation":"188–190","noteIndex":0},"citationItems":[{"id":3954,"uris":["http://zotero.org/users/9622455/items/QCY3H9VZ"],"itemData":{"id":3954,"type":"article-journal","abstract":"Pathologic expansion of white adipose tissue (WAT) in obesity is characterized by adipocyte hypertrophy, inflammation, and fibrosis; however, factors triggering this maladaptive remodeling are largely unknown. Here, we test the hypothesis that the potential to recruit new adipocytes from Pdgfrβ+ preadipocytes determines visceral WAT health in obesity. We manipulate levels of Pparg, the master regulator of adipogenesis, in Pdgfrβ+ precursors of adult mice. Increasing the adipogenic capacity of Pdgfrβ+ precursors through Pparg overexpression results in healthy visceral WAT expansion in obesity and adiponectin-dependent improvements in glucose homeostasis. Loss of mural cell Pparg triggers pathologic visceral WAT expansion upon high-fat diet feeding. Moreover, the ability of the TZD class of anti-diabetic drugs to promote healthy visceral WAT remodeling is dependent on mural cell Pparg. These data highlight the protective effects of de novo visceral adipocyte differentiation in these settings, and suggest Pdgfrβ+ adipocyte precursors as targets for therapeutic intervention in diabetes.","container-title":"Nature Communications","DOI":"10.1038/s41467-018-03196-x","ISSN":"2041-1723","issue":"1","journalAbbreviation":"Nat Commun","language":"en","license":"2018 The Author(s)","note":"publisher: Nature Publishing Group","page":"890","source":"www.nature.com","title":"De novo adipocyte differentiation from Pdgfrβ+ preadipocytes protects against pathologic visceral adipose expansion in obesity","volume":"9","author":[{"family":"Shao","given":"Mengle"},{"family":"Vishvanath","given":"Lavanya"},{"family":"Busbuso","given":"Napoleon C."},{"family":"Hepler","given":"Chelsea"},{"family":"Shan","given":"Bo"},{"family":"Sharma","given":"Ankit X."},{"family":"Chen","given":"Shiuhwei"},{"family":"Yu","given":"Xinxin"},{"family":"An","given":"Yu A."},{"family":"Zhu","given":"Yi"},{"family":"Holland","given":"William L."},{"family":"Gupta","given":"Rana K."}],"issued":{"date-parts":[["2018",3,1]]}}},{"id":3948,"uris":["http://zotero.org/users/9622455/items/N7Z2TB8B"],"itemData":{"id":3948,"type":"article-journal","container-title":"Cell","DOI":"10.1016/j.cell.2020.06.021","ISSN":"0092-8674, 1097-4172","issue":"3","journalAbbreviation":"Cell","language":"English","note":"publisher: Elsevier\nPMID: 32615086","page":"563-577.e20","source":"www.cell.com","title":"CD81 Controls Beige Fat Progenitor Cell Growth and Energy Balance via FAK Signaling","volume":"182","author":[{"family":"Oguri","given":"Yasuo"},{"family":"Shinoda","given":"Kosaku"},{"family":"Kim","given":"Hyeonwoo"},{"family":"Alba","given":"Diana L."},{"family":"Bolus","given":"W. Reid"},{"family":"Wang","given":"Qiang"},{"family":"Brown","given":"Zachary"},{"family":"Pradhan","given":"Rachana N."},{"family":"Tajima","given":"Kazuki"},{"family":"Yoneshiro","given":"Takeshi"},{"family":"Ikeda","given":"Kenji"},{"family":"Chen","given":"Yong"},{"family":"Cheang","given":"Rachel T."},{"family":"Tsujino","given":"Kazuyuki"},{"family":"Kim","given":"Caroline R."},{"family":"Greiner","given":"Vanille Juliette"},{"family":"Datta","given":"Ritwik"},{"family":"Yang","given":"Christopher D."},{"family":"Atabai","given":"Kamran"},{"family":"McManus","given":"Michael T."},{"family":"Koliwad","given":"Suneil K."},{"family":"Spiegelman","given":"Bruce M."},{"family":"Kajimura","given":"Shingo"}],"issued":{"date-parts":[["2020",8,6]]}}},{"id":3950,"uris":["http://zotero.org/users/9622455/items/DPCRQZ7N"],"itemData":{"id":3950,"type":"article-journal","container-title":"Cell Metabolism","DOI":"10.1016/j.cmet.2014.03.025","ISSN":"1550-4131","issue":"5","journalAbbreviation":"Cell Metabolism","language":"English","note":"publisher: Elsevier\nPMID: 24709624","page":"810-820","source":"www.cell.com","title":"A Smooth Muscle-Like Origin for Beige Adipocytes","volume":"19","author":[{"family":"Long","given":"Jonathan Z."},{"family":"Svensson","given":"Katrin J."},{"family":"Tsai","given":"Linus"},{"family":"Zeng","given":"Xing"},{"family":"Roh","given":"Hyun C."},{"family":"Kong","given":"Xingxing"},{"family":"Rao","given":"Rajesh R."},{"family":"Lou","given":"Jesse"},{"family":"Lokurkar","given":"Isha"},{"family":"Baur","given":"Wendy"},{"family":"Castellot","given":"John J."},{"family":"Rosen","given":"Evan D."},{"family":"Spiegelman","given":"Bruce M."}],"issued":{"date-parts":[["2014",5,6]]}}}],"schema":"https://github.com/citation-style-language/schema/raw/master/csl-citation.json"} </w:instrText>
      </w:r>
      <w:r w:rsidRPr="00735FCE">
        <w:fldChar w:fldCharType="separate"/>
      </w:r>
      <w:r w:rsidR="00281437" w:rsidRPr="00281437">
        <w:rPr>
          <w:vertAlign w:val="superscript"/>
        </w:rPr>
        <w:t>188–190</w:t>
      </w:r>
      <w:r w:rsidRPr="00735FCE">
        <w:fldChar w:fldCharType="end"/>
      </w:r>
      <w:r w:rsidRPr="00735FCE">
        <w:t>.</w:t>
      </w:r>
    </w:p>
    <w:p w14:paraId="024C4270" w14:textId="503708C1" w:rsidR="009117C0" w:rsidRPr="00735FCE" w:rsidRDefault="009117C0" w:rsidP="00F5471F">
      <w:pPr>
        <w:ind w:firstLine="720"/>
        <w:jc w:val="left"/>
      </w:pPr>
      <w:r w:rsidRPr="00735FCE">
        <w:t>On the other hand, transdifferentiation suggests that fully developed white adipocytes can be directly and reversibly converted into beige adipocytes without the involvement of progenitor cells</w:t>
      </w:r>
      <w:r>
        <w:t xml:space="preserve"> </w:t>
      </w:r>
      <w:r w:rsidRPr="00735FCE">
        <w:fldChar w:fldCharType="begin"/>
      </w:r>
      <w:r w:rsidR="00281437">
        <w:instrText xml:space="preserve"> ADDIN ZOTERO_ITEM CSL_CITATION {"citationID":"SVxOKKEo","properties":{"formattedCitation":"\\super 191\\nosupersub{}","plainCitation":"191","noteIndex":0},"citationItems":[{"id":3956,"uris":["http://zotero.org/users/9622455/items/3HVWM39X"],"itemData":{"id":3956,"type":"article-journal","abstract":"Multilocular, mitochondria-rich adipocytes appear in white adipose tissue (WAT) of rats treated with the beta3-adrenoceptor agonist, CL-316243 (CL). Objectives were to determine whether these multilocular adipocytes derived from cells that already existed in the WAT or from proliferation of precursor cells and whether new mitochondria contained in them were typical brown adipocyte mitochondria. Use of 5-bromodeoxyuridine to identify cells that had undergone mitosis during the CL treatment showed that most multilocular cells derived from cells already present in the WAT. Morphological techniques showed that at least a subpopulation of unilocular adipocytes underwent conversion to multilocular mitochondria-rich adipocytes. A small proportion of multilocular adipocytes ( approximately 8%) was positive for UCP1 by immunohistochemistry. Biochemical techniques showed that mitochondrial protein recovered from WAT increased 10-fold and protein isolated from brown adipose tissue (BAT) doubled in CL-treated rats. Stained gels showed a different protein composition of new mitochondria isolated from WAT from that of mitochondria isolated from BAT. Western blotting showed new mitochondria in WAT to contain both UCP1, but at a much lower concentration than in BAT mitochondria, and UCP3, at a higher concentration than that in BAT mitochondria. We hypothesize that multilocular adipocytes present at 7 days of CL treatment have two origins. First, most come from convertible unilocular adipocytes that become multilocular and make many mitochondria that contain UCP3. Second, some come from a cell that gives rise to more typical brown adipocytes that express UCP1.","container-title":"American Journal of Physiology. Cell Physiology","DOI":"10.1152/ajpcell.2000.279.3.C670","ISSN":"0363-6143","issue":"3","journalAbbreviation":"Am J Physiol Cell Physiol","language":"eng","note":"PMID: 10942717","page":"C670-681","source":"PubMed","title":"Multilocular fat cells in WAT of CL-316243-treated rats derive directly from white adipocytes","volume":"279","author":[{"family":"Himms-Hagen","given":"J."},{"family":"Melnyk","given":"A."},{"family":"Zingaretti","given":"M. C."},{"family":"Ceresi","given":"E."},{"family":"Barbatelli","given":"G."},{"family":"Cinti","given":"S."}],"issued":{"date-parts":[["2000",9]]}}}],"schema":"https://github.com/citation-style-language/schema/raw/master/csl-citation.json"} </w:instrText>
      </w:r>
      <w:r w:rsidRPr="00735FCE">
        <w:fldChar w:fldCharType="separate"/>
      </w:r>
      <w:r w:rsidR="00281437" w:rsidRPr="00281437">
        <w:rPr>
          <w:vertAlign w:val="superscript"/>
        </w:rPr>
        <w:t>191</w:t>
      </w:r>
      <w:r w:rsidRPr="00735FCE">
        <w:fldChar w:fldCharType="end"/>
      </w:r>
      <w:r w:rsidRPr="00735FCE">
        <w:t xml:space="preserve">. This mechanism is </w:t>
      </w:r>
      <w:r>
        <w:t>mainly</w:t>
      </w:r>
      <w:r w:rsidRPr="00735FCE">
        <w:t xml:space="preserve"> </w:t>
      </w:r>
      <w:r>
        <w:t>observed</w:t>
      </w:r>
      <w:r w:rsidRPr="00735FCE">
        <w:t xml:space="preserve"> in subcutaneous </w:t>
      </w:r>
      <w:r>
        <w:t>WAT</w:t>
      </w:r>
      <w:r w:rsidRPr="00735FCE">
        <w:t xml:space="preserve"> and is often triggered by external stimuli</w:t>
      </w:r>
      <w:r>
        <w:t>, such as</w:t>
      </w:r>
      <w:r w:rsidRPr="00735FCE">
        <w:t xml:space="preserve"> cold stimulation and specific dietary components</w:t>
      </w:r>
      <w:r>
        <w:t xml:space="preserve"> </w:t>
      </w:r>
      <w:r w:rsidRPr="00735FCE">
        <w:fldChar w:fldCharType="begin"/>
      </w:r>
      <w:r w:rsidR="00281437">
        <w:instrText xml:space="preserve"> ADDIN ZOTERO_ITEM CSL_CITATION {"citationID":"9kuLYpcx","properties":{"formattedCitation":"\\super 192\\nosupersub{}","plainCitation":"192","noteIndex":0},"citationItems":[{"id":3958,"uris":["http://zotero.org/users/9622455/items/KQJXQV9S"],"itemData":{"id":3958,"type":"article-journal","abstract":"Interest has been focused on differentiating anatomical, molecular, and physiological characteristics of the types of mammalian adipose tissues. White adipose tissue (WAT) and brown adipose tissue (BAT) are the two main forms of adipose tissue in humans. WAT functions as an endocrine organ and serves as a reservoir of energy in the form of triglycerides. The hormones released by WAT are called adipokines. BAT consists of a group of specialized cells with abundant uncoupling protein 1 (UCP1) in the inner mitochondrial membrane and also fulfills endocrine functions. Following the identification of functional (BAT) in human adults, there has been a great deal of interest in finding out how it is induced, its localization, and the mechanisms by which it regulates thermogenesis. Fibroblast growth factor 21 (FGF21) is a key regulator of the differentiation to brown adipocytes. The main mechanisms occur through enhancing UCP1 expression. In addition, following exposure to cold or exercise, FGF21 induces upregulation of local peroxisome proliferator-activated receptor gamma co-activator (PGC)-1-alfa and thus promotes thermogenesis in adipose tissue and skeletal muscle. FGF21 integrates several pathways allowing the regulation of human energy balance, glucose levels, and lipid metabolism. Such mechanisms and their clinical relevance are summarized in this review.","container-title":"Frontiers in Physiology","DOI":"10.3389/fphys.2019.00037","ISSN":"1664-042X","journalAbbreviation":"Front Physiol","note":"PMID: 30804796\nPMCID: PMC6370737","page":"37","source":"PubMed Central","title":"Fibroblast Growth Factor 21 and Browning of White Adipose Tissue","volume":"10","author":[{"family":"Cuevas-Ramos","given":"Daniel"},{"family":"Mehta","given":"R."},{"family":"Aguilar-Salinas","given":"Carlos A."}],"issued":{"date-parts":[["2019",2,5]]}}}],"schema":"https://github.com/citation-style-language/schema/raw/master/csl-citation.json"} </w:instrText>
      </w:r>
      <w:r w:rsidRPr="00735FCE">
        <w:fldChar w:fldCharType="separate"/>
      </w:r>
      <w:r w:rsidR="00281437" w:rsidRPr="00281437">
        <w:rPr>
          <w:vertAlign w:val="superscript"/>
        </w:rPr>
        <w:t>192</w:t>
      </w:r>
      <w:r w:rsidRPr="00735FCE">
        <w:fldChar w:fldCharType="end"/>
      </w:r>
      <w:r w:rsidRPr="00735FCE">
        <w:t>. UCP1 expression alongside mitochondrial biogenesis within these cells is controlled by the browning transcription</w:t>
      </w:r>
      <w:r>
        <w:t xml:space="preserve"> </w:t>
      </w:r>
      <w:r>
        <w:lastRenderedPageBreak/>
        <w:t>factors</w:t>
      </w:r>
      <w:r w:rsidRPr="00735FCE">
        <w:t xml:space="preserve"> without dedifferentiation into a progenitor state</w:t>
      </w:r>
      <w:r>
        <w:t xml:space="preserve"> </w:t>
      </w:r>
      <w:r w:rsidRPr="00735FCE">
        <w:fldChar w:fldCharType="begin"/>
      </w:r>
      <w:r w:rsidR="00281437">
        <w:instrText xml:space="preserve"> ADDIN ZOTERO_ITEM CSL_CITATION {"citationID":"uxMFfp5N","properties":{"formattedCitation":"\\super 192,193\\nosupersub{}","plainCitation":"192,193","noteIndex":0},"citationItems":[{"id":3958,"uris":["http://zotero.org/users/9622455/items/KQJXQV9S"],"itemData":{"id":3958,"type":"article-journal","abstract":"Interest has been focused on differentiating anatomical, molecular, and physiological characteristics of the types of mammalian adipose tissues. White adipose tissue (WAT) and brown adipose tissue (BAT) are the two main forms of adipose tissue in humans. WAT functions as an endocrine organ and serves as a reservoir of energy in the form of triglycerides. The hormones released by WAT are called adipokines. BAT consists of a group of specialized cells with abundant uncoupling protein 1 (UCP1) in the inner mitochondrial membrane and also fulfills endocrine functions. Following the identification of functional (BAT) in human adults, there has been a great deal of interest in finding out how it is induced, its localization, and the mechanisms by which it regulates thermogenesis. Fibroblast growth factor 21 (FGF21) is a key regulator of the differentiation to brown adipocytes. The main mechanisms occur through enhancing UCP1 expression. In addition, following exposure to cold or exercise, FGF21 induces upregulation of local peroxisome proliferator-activated receptor gamma co-activator (PGC)-1-alfa and thus promotes thermogenesis in adipose tissue and skeletal muscle. FGF21 integrates several pathways allowing the regulation of human energy balance, glucose levels, and lipid metabolism. Such mechanisms and their clinical relevance are summarized in this review.","container-title":"Frontiers in Physiology","DOI":"10.3389/fphys.2019.00037","ISSN":"1664-042X","journalAbbreviation":"Front Physiol","note":"PMID: 30804796\nPMCID: PMC6370737","page":"37","source":"PubMed Central","title":"Fibroblast Growth Factor 21 and Browning of White Adipose Tissue","volume":"10","author":[{"family":"Cuevas-Ramos","given":"Daniel"},{"family":"Mehta","given":"R."},{"family":"Aguilar-Salinas","given":"Carlos A."}],"issued":{"date-parts":[["2019",2,5]]}}},{"id":3961,"uris":["http://zotero.org/users/9622455/items/EGAHYN9N"],"itemData":{"id":3961,"type":"article-journal","abstract":"Adipose tissue plays a central role in regulating whole-body energy and glucose homeostasis through its subtle functions at both organ and systemic levels. On one hand, adipose tissue stores energy in the form of lipid and controls the lipid mobilization and distribution in the body. On the other hand, adipose tissue acts as an endocrine organ and produces numerous bioactive factors such as adipokines that communicate with other organs and modulate a range of metabolic pathways. Moreover, brown and beige adipose tissue burn lipid by dissipating energy in the form of heat to maintain euthermia, and have been considered as a new way to counteract obesity. Therefore, adipose tissue dysfunction plays a prominent role in the development of obesity and its related disorders such as insulin resistance, cardiovascular disease, diabetes, depression and cancer. In this review, we will summarize the recent findings of adipose tissue in the control of metabolism, focusing on its endocrine and thermogenic function.","container-title":"The Journal of endocrinology","DOI":"10.1530/JOE-16-0211","ISSN":"0022-0795","issue":"3","journalAbbreviation":"J Endocrinol","note":"PMID: 27935822\nPMCID: PMC7928204","page":"R77-R99","source":"PubMed Central","title":"Adipose tissue in control of metabolism","volume":"231","author":[{"family":"Luo","given":"Liping"},{"family":"Liu","given":"Meilian"}],"issued":{"date-parts":[["2016",12]]}}}],"schema":"https://github.com/citation-style-language/schema/raw/master/csl-citation.json"} </w:instrText>
      </w:r>
      <w:r w:rsidRPr="00735FCE">
        <w:fldChar w:fldCharType="separate"/>
      </w:r>
      <w:r w:rsidR="00281437" w:rsidRPr="00281437">
        <w:rPr>
          <w:vertAlign w:val="superscript"/>
        </w:rPr>
        <w:t>192,193</w:t>
      </w:r>
      <w:r w:rsidRPr="00735FCE">
        <w:fldChar w:fldCharType="end"/>
      </w:r>
      <w:r w:rsidRPr="00735FCE">
        <w:t>. Collectively, these findings imply that browning is an adaptive response to the environmental stimuli that reprogram white adipose tissue at the cellular level.</w:t>
      </w:r>
    </w:p>
    <w:p w14:paraId="429D7F61" w14:textId="7D928D6A" w:rsidR="009117C0" w:rsidRPr="00735FCE" w:rsidRDefault="009117C0" w:rsidP="00847BA5">
      <w:pPr>
        <w:pStyle w:val="Heading3"/>
        <w:jc w:val="left"/>
      </w:pPr>
      <w:bookmarkStart w:id="45" w:name="_Toc200988049"/>
      <w:bookmarkStart w:id="46" w:name="_Toc201001664"/>
      <w:bookmarkStart w:id="47" w:name="_Toc204848634"/>
      <w:r>
        <w:t xml:space="preserve">The </w:t>
      </w:r>
      <w:r w:rsidR="008E052F">
        <w:rPr>
          <w:lang w:eastAsia="zh-CN"/>
        </w:rPr>
        <w:t>R</w:t>
      </w:r>
      <w:r>
        <w:t xml:space="preserve">ole of </w:t>
      </w:r>
      <w:r w:rsidRPr="00735FCE">
        <w:t>UCP</w:t>
      </w:r>
      <w:r>
        <w:t>1 in</w:t>
      </w:r>
      <w:r w:rsidRPr="00735FCE">
        <w:t xml:space="preserve"> </w:t>
      </w:r>
      <w:r>
        <w:t>B</w:t>
      </w:r>
      <w:r w:rsidRPr="00735FCE">
        <w:t>rowning</w:t>
      </w:r>
      <w:bookmarkEnd w:id="45"/>
      <w:bookmarkEnd w:id="46"/>
      <w:bookmarkEnd w:id="47"/>
    </w:p>
    <w:p w14:paraId="2F2C8B07" w14:textId="4C09510D" w:rsidR="009117C0" w:rsidRPr="00735FCE" w:rsidRDefault="009117C0" w:rsidP="00F5471F">
      <w:pPr>
        <w:ind w:firstLine="720"/>
        <w:jc w:val="left"/>
      </w:pPr>
      <w:r w:rsidRPr="00735FCE">
        <w:t>UCP1 is responsible for non-shivering thermogenesis and resides in the inner membrane of mitochondria</w:t>
      </w:r>
      <w:r>
        <w:t xml:space="preserve"> </w:t>
      </w:r>
      <w:r w:rsidRPr="00735FCE">
        <w:fldChar w:fldCharType="begin"/>
      </w:r>
      <w:r w:rsidR="00281437">
        <w:instrText xml:space="preserve"> ADDIN ZOTERO_ITEM CSL_CITATION {"citationID":"URrZ8qLh","properties":{"formattedCitation":"\\super 194\\nosupersub{}","plainCitation":"194","noteIndex":0},"citationItems":[{"id":3963,"uris":["http://zotero.org/users/9622455/items/SW6W698N"],"itemData":{"id":3963,"type":"article-journal","abstract":"Participation of brown adipose tissue [through the action of the uncoupling protein-1 (UCP1)] in adaptive adrenergic nonshivering thermogenesis is recognized, but the existence of a response to adrenergic stimulation in UCP1-ablated mice implies that a mechanism for an alternative adaptive adrenergic thermogenesis may exist. Here, we have used UCP1-ablated mice to examine the existence of an alternative adaptive adrenergic nonshivering thermogenesis, examined as the oxygen consumption response to systemically injected norepinephrine into anesthetized or conscious mice acclimated to different temperatures. We confirm that UCP1-dependent adrenergic nonshivering thermogenesis is adaptive, but we demonstrate that the adrenergic UCP1-independent thermogenesis is not recruitable by cold acclimation. Thus, at least in the mouse, no other proteins or enzymatic pathways exist that can participate in or with time take over the UCP1 mediation of adaptive adrenergic nonshivering thermogenesis, even in the total absence of UCP1. UCP1 is thus the only protein capable of mediating cold acclimation-recruited adaptive adrenergic nonshivering thermogenesis.","container-title":"American Journal of Physiology. Endocrinology and Metabolism","DOI":"10.1152/ajpendo.00387.2005","ISSN":"0193-1849","issue":"2","journalAbbreviation":"Am J Physiol Endocrinol Metab","language":"eng","note":"PMID: 16595854","page":"E350-357","source":"PubMed","title":"UCP1 is essential for adaptive adrenergic nonshivering thermogenesis","volume":"291","author":[{"family":"Golozoubova","given":"Valeria"},{"family":"Cannon","given":"Barbara"},{"family":"Nedergaard","given":"Jan"}],"issued":{"date-parts":[["2006",8]]}}}],"schema":"https://github.com/citation-style-language/schema/raw/master/csl-citation.json"} </w:instrText>
      </w:r>
      <w:r w:rsidRPr="00735FCE">
        <w:fldChar w:fldCharType="separate"/>
      </w:r>
      <w:r w:rsidR="00281437" w:rsidRPr="00281437">
        <w:rPr>
          <w:vertAlign w:val="superscript"/>
        </w:rPr>
        <w:t>194</w:t>
      </w:r>
      <w:r w:rsidRPr="00735FCE">
        <w:fldChar w:fldCharType="end"/>
      </w:r>
      <w:r w:rsidRPr="00735FCE">
        <w:t xml:space="preserve">. UCP1 is a member of the mitochondrial anion carrier family (MACF) and is </w:t>
      </w:r>
      <w:r>
        <w:t>primarily</w:t>
      </w:r>
      <w:r w:rsidRPr="00735FCE">
        <w:t xml:space="preserve"> found in brown and beige adipose tissues, where it comprises about 10% of </w:t>
      </w:r>
      <w:r>
        <w:t xml:space="preserve">the </w:t>
      </w:r>
      <w:r w:rsidRPr="00735FCE">
        <w:t>total mitochondrial protein in human epicardial fat</w:t>
      </w:r>
      <w:r>
        <w:t xml:space="preserve"> </w:t>
      </w:r>
      <w:r w:rsidRPr="00735FCE">
        <w:fldChar w:fldCharType="begin"/>
      </w:r>
      <w:r w:rsidR="00281437">
        <w:instrText xml:space="preserve"> ADDIN ZOTERO_ITEM CSL_CITATION {"citationID":"ZjbL0zZO","properties":{"formattedCitation":"\\super 195,196\\nosupersub{}","plainCitation":"195,196","noteIndex":0},"citationItems":[{"id":3967,"uris":["http://zotero.org/users/9622455/items/D9UZR323"],"itemData":{"id":3967,"type":"article-journal","abstract":"The function of uncoupling protein (UCP1) as a H+ transporter regulated by nucleotide binding is elucidated. H+ transport requires fatty acids (FA) with relatively wide structural tolerance. The nucleo</w:instrText>
      </w:r>
      <w:r w:rsidR="00281437">
        <w:rPr>
          <w:rFonts w:hint="eastAsia"/>
        </w:rPr>
        <w:instrText>tide binding site is specific for purine nucleotides and tolerates a number of derivatives. The strong pH dependency facilitates regulation of nucleotide binding and thus H+ translocation. The structure</w:instrText>
      </w:r>
      <w:r w:rsidR="00281437">
        <w:rPr>
          <w:rFonts w:hint="eastAsia"/>
        </w:rPr>
        <w:instrText>‐</w:instrText>
      </w:r>
      <w:r w:rsidR="00281437">
        <w:rPr>
          <w:rFonts w:hint="eastAsia"/>
        </w:rPr>
        <w:instrText>function relationship of UCP1 has been analysed by v</w:instrText>
      </w:r>
      <w:r w:rsidR="00281437">
        <w:instrText xml:space="preserve">arious probes and by mutagenesis. According to our model, FA are a cofactor in H+ transport, providing H+ shuttling carboxyl groups in the translocation channel. By mutagenesis, additional H+ translocating groups at both sides of the translocation channel were found. Two pH sensors, controlling nucleotide binding, were identified in accordance with earlier postulates deduced from the pH dependence of nucleoside diphosphate (NDP) and nucleoside triphosphate (NTP). A common pH sensor E190 and a specific pH sensor H214 for triphosphates only, control access to the phosphate binding moiety. The three mitochondrial carrier family characteristic intrahelical arginines are essential for nucleotide binding. Mutagenesis of other charged residues reveals their role in structure stabilisation and/or has more generalised effects due to charge relay networks in UCP1.","container-title":"International Journal of Obesity","DOI":"10.1038/sj.ijo.0800939","ISSN":"1476-5497","issue":"6","journalAbbreviation":"Int J Obes","language":"en","license":"1999 Macmillan Publishers Limited","note":"publisher: Nature Publishing Group","page":"S24-S29","source":"www.nature.com","title":"Structure–Function Relationship in UCP1","volume":"23","author":[{"family":"Klingenberg","given":"M."},{"family":"Echtay","given":"K. S."},{"family":"Bienengraeber","given":"M."},{"family":"Winkler","given":"E."},{"family":"Huang","given":"S. G."}],"issued":{"date-parts":[["1999",6]]}}},{"id":3965,"uris":["http://zotero.org/users/9622455/items/T4CHJWIF"],"itemData":{"id":3965,"type":"article-journal","container-title":"British Medical Bulletin","DOI":"10.1093/oxfordjournals.bmb.a070447","ISSN":"0007-1420","issue":"1","journalAbbreviation":"British Medical Bulletin","page":"92-96","source":"Silverchair","title":"THE STRUCTURE AND FUNCTION OF BROWN ADIPOSE TISSUE","volume":"22","author":[{"family":"HULL","given":"DAVID"}],"issued":{"date-parts":[["1966",1,1]]}}}],"schema":"https://github.com/citation-style-language/schema/raw/master/csl-citation.json"} </w:instrText>
      </w:r>
      <w:r w:rsidRPr="00735FCE">
        <w:fldChar w:fldCharType="separate"/>
      </w:r>
      <w:r w:rsidR="00281437" w:rsidRPr="00281437">
        <w:rPr>
          <w:vertAlign w:val="superscript"/>
        </w:rPr>
        <w:t>195,196</w:t>
      </w:r>
      <w:r w:rsidRPr="00735FCE">
        <w:fldChar w:fldCharType="end"/>
      </w:r>
      <w:r w:rsidRPr="00735FCE">
        <w:t xml:space="preserve">. On the electron transport chain (ETC), UCP1 facilitates </w:t>
      </w:r>
      <w:r>
        <w:t xml:space="preserve">the passage of </w:t>
      </w:r>
      <w:r w:rsidRPr="00735FCE">
        <w:t>proton</w:t>
      </w:r>
      <w:r>
        <w:t xml:space="preserve">s </w:t>
      </w:r>
      <w:r w:rsidRPr="00735FCE">
        <w:t>across the mitochondrial membrane</w:t>
      </w:r>
      <w:r>
        <w:t>, thereby</w:t>
      </w:r>
      <w:r w:rsidRPr="00735FCE">
        <w:t xml:space="preserve"> dissipat</w:t>
      </w:r>
      <w:r>
        <w:t>ing</w:t>
      </w:r>
      <w:r w:rsidRPr="00735FCE">
        <w:t xml:space="preserve"> the proton gradient formed during oxidative phosphorylation</w:t>
      </w:r>
      <w:r>
        <w:t xml:space="preserve"> </w:t>
      </w:r>
      <w:r w:rsidRPr="00735FCE">
        <w:fldChar w:fldCharType="begin"/>
      </w:r>
      <w:r w:rsidR="00281437">
        <w:instrText xml:space="preserve"> ADDIN ZOTERO_ITEM CSL_CITATION {"citationID":"UzHt1wxi","properties":{"formattedCitation":"\\super 197\\nosupersub{}","plainCitation":"197","noteIndex":0},"citationItems":[{"id":3969,"uris":["http://zotero.org/users/9622455/items/BAFTVGJD"],"itemData":{"id":3969,"type":"article-journal","abstract":"Brown adipose tissue (BAT) and brown in white (brite) adipose tissue, termed also beige adipose tissue, are major sites of mammalian nonshivering thermogenesis. Mitochondrial uncoupling protein 1 (UCP1), specific for these tissues, is the key factor for heat production. Recent molecular aspects of UCP1 structure provide support for the fatty acid cycling model of coupling, i.e. when UCP1 expels fatty acid anions in a uniport mode from the matrix, while uncoupling. Protonophoretic function is ensured by return of the protonated fatty acid to the matrix independent of UCP1. This mechanism is advantageous for mitochondrial uncoupling and compatible with heat production in a pro-thermogenic environment, such as BAT. It must still be verified whether posttranslational modification of UCP1, such as sulfenylation of Cys253, linked to redox activity, promotes UCP1 activity. BAT biogenesis and UCP1 expression, has also been linked to the pro-oxidant state of mitochondria, further endorsing a redox signalling link promoting an establishment of pro-thermogenic state. We discuss circumstances under which promotion of superoxide formation exceeds its attenuation by uncoupling in mitochondria and throughout point out areas of future research into UCP1 function.","container-title":"Biochimica et Biophysica Acta (BBA) - Bioenergetics","DOI":"10.1016/j.bbabio.2018.11.007","ISSN":"0005-2728","issue":"3","journalAbbreviation":"Biochimica et Biophysica Acta (BBA) - Bioenergetics","page":"259-269","source":"ScienceDirect","title":"Uncoupling mechanism and redox regulation of mitochondrial uncoupling protein 1 (UCP1)","volume":"1860","author":[{"family":"Ježek","given":"Petr"},{"family":"Jabůrek","given":"Martin"},{"family":"Porter","given":"Richard K."}],"issued":{"date-parts":[["2019",3,1]]}}}],"schema":"https://github.com/citation-style-language/schema/raw/master/csl-citation.json"} </w:instrText>
      </w:r>
      <w:r w:rsidRPr="00735FCE">
        <w:fldChar w:fldCharType="separate"/>
      </w:r>
      <w:r w:rsidR="00281437" w:rsidRPr="00281437">
        <w:rPr>
          <w:vertAlign w:val="superscript"/>
        </w:rPr>
        <w:t>197</w:t>
      </w:r>
      <w:r w:rsidRPr="00735FCE">
        <w:fldChar w:fldCharType="end"/>
      </w:r>
      <w:r w:rsidRPr="00735FCE">
        <w:t xml:space="preserve">. Thus, the chemical energy conserved for ATP synthesis is then released as heat. </w:t>
      </w:r>
      <w:r>
        <w:t>C</w:t>
      </w:r>
      <w:r w:rsidRPr="00735FCE">
        <w:t>ytosolic purine nucleotides</w:t>
      </w:r>
      <w:r>
        <w:t xml:space="preserve"> inhibit this process</w:t>
      </w:r>
      <w:r w:rsidRPr="00735FCE">
        <w:t xml:space="preserve">, </w:t>
      </w:r>
      <w:r>
        <w:t>whereas</w:t>
      </w:r>
      <w:r w:rsidRPr="00735FCE">
        <w:t xml:space="preserve"> it is activated by long-chain fatty acids</w:t>
      </w:r>
      <w:r>
        <w:t xml:space="preserve"> </w:t>
      </w:r>
      <w:r w:rsidRPr="00735FCE">
        <w:fldChar w:fldCharType="begin"/>
      </w:r>
      <w:r w:rsidR="00281437">
        <w:instrText xml:space="preserve"> ADDIN ZOTERO_ITEM CSL_CITATION {"citationID":"3Shzjld4","properties":{"formattedCitation":"\\super 197\\nosupersub{}","plainCitation":"197","noteIndex":0},"citationItems":[{"id":3969,"uris":["http://zotero.org/users/9622455/items/BAFTVGJD"],"itemData":{"id":3969,"type":"article-journal","abstract":"Brown adipose tissue (BAT) and brown in white (brite) adipose tissue, termed also beige adipose tissue, are major sites of mammalian nonshivering thermogenesis. Mitochondrial uncoupling protein 1 (UCP1), specific for these tissues, is the key factor for heat production. Recent molecular aspects of UCP1 structure provide support for the fatty acid cycling model of coupling, i.e. when UCP1 expels fatty acid anions in a uniport mode from the matrix, while uncoupling. Protonophoretic function is ensured by return of the protonated fatty acid to the matrix independent of UCP1. This mechanism is advantageous for mitochondrial uncoupling and compatible with heat production in a pro-thermogenic environment, such as BAT. It must still be verified whether posttranslational modification of UCP1, such as sulfenylation of Cys253, linked to redox activity, promotes UCP1 activity. BAT biogenesis and UCP1 expression, has also been linked to the pro-oxidant state of mitochondria, further endorsing a redox signalling link promoting an establishment of pro-thermogenic state. We discuss circumstances under which promotion of superoxide formation exceeds its attenuation by uncoupling in mitochondria and throughout point out areas of future research into UCP1 function.","container-title":"Biochimica et Biophysica Acta (BBA) - Bioenergetics","DOI":"10.1016/j.bbabio.2018.11.007","ISSN":"0005-2728","issue":"3","journalAbbreviation":"Biochimica et Biophysica Acta (BBA) - Bioenergetics","page":"259-269","source":"ScienceDirect","title":"Uncoupling mechanism and redox regulation of mitochondrial uncoupling protein 1 (UCP1)","volume":"1860","author":[{"family":"Ježek","given":"Petr"},{"family":"Jabůrek","given":"Martin"},{"family":"Porter","given":"Richard K."}],"issued":{"date-parts":[["2019",3,1]]}}}],"schema":"https://github.com/citation-style-language/schema/raw/master/csl-citation.json"} </w:instrText>
      </w:r>
      <w:r w:rsidRPr="00735FCE">
        <w:fldChar w:fldCharType="separate"/>
      </w:r>
      <w:r w:rsidR="00281437" w:rsidRPr="00281437">
        <w:rPr>
          <w:vertAlign w:val="superscript"/>
        </w:rPr>
        <w:t>197</w:t>
      </w:r>
      <w:r w:rsidRPr="00735FCE">
        <w:fldChar w:fldCharType="end"/>
      </w:r>
      <w:r w:rsidRPr="00735FCE">
        <w:t xml:space="preserve">. As one of the </w:t>
      </w:r>
      <w:r>
        <w:t>primary</w:t>
      </w:r>
      <w:r w:rsidRPr="00735FCE">
        <w:t xml:space="preserve"> drivers of thermogenesis, UCP1 is </w:t>
      </w:r>
      <w:r>
        <w:t xml:space="preserve">a crucial molecular </w:t>
      </w:r>
      <w:r w:rsidRPr="00735FCE">
        <w:t xml:space="preserve">indicator and primary marker </w:t>
      </w:r>
      <w:r>
        <w:t>for</w:t>
      </w:r>
      <w:r w:rsidRPr="00735FCE">
        <w:t xml:space="preserve"> the browning of </w:t>
      </w:r>
      <w:r>
        <w:t xml:space="preserve">WAT </w:t>
      </w:r>
      <w:r w:rsidRPr="00735FCE">
        <w:fldChar w:fldCharType="begin"/>
      </w:r>
      <w:r w:rsidR="00281437">
        <w:instrText xml:space="preserve"> ADDIN ZOTERO_ITEM CSL_CITATION {"citationID":"IEwjybj5","properties":{"formattedCitation":"\\super 198\\nosupersub{}","plainCitation":"198","noteIndex":0},"citationItems":[{"id":3973,"uris":["http://zotero.org/users/9622455/items/4HB47QUS"],"itemData":{"id":3973,"type":"article-journal","abstract":"Mitochondrial membrane uncoupling protein 3 (UCP3) is not only expressed in skeletal muscle and heart, but also in brown adipose tissue (BAT) alongside UCP1, which facilitates a proton leak to support non-shivering thermogenesis. In contrast to UCP1, the transport function and molecular mechanism of UCP3 regulation are poorly investigated, although it is generally agreed upon that UCP3, analogous to UCP1, transports protons, is activated by free fatty acids (FFAs) and is inhibited by purine nucleotides (PNs). Because the presence of two similar uncoupling proteins in BAT is surprising, we hypothesized that UCP1 and UCP3 are differently regulated, which may lead to differences in their functions. By combining atomic force microscopy and electrophysiological measurements of recombinant proteins reconstituted in planar bilayer membranes, we compared the level of protein activity with the bond lifetimes between UCPs and PNs. Our data revealed that, in contrast to UCP1, UCP3 can be fully inhibited by all PNs and IC50 increases with a decrease in PN-phosphorylation. Experiments with mutant proteins demonstrated that the conserved arginines in the PN-binding pocket are involved in the inhibition of UCP1 and UCP3 to different extents. Fatty acids compete with all PNs bound to UCP1, but only with ATP bound to UCP3. We identified phosphate as a novel inhibitor of UCP3 and UCP1, which acts independently of PNs. The differences in molecular mechanisms of the inhibition between the highly homologous transporters UCP1 and UCP3 indicate that UCP3 has adapted to fulfill a different role and possibly another transport function in BAT.","container-title":"Biochimica et Biophysica Acta (BBA) - Biomembranes","DOI":"10.1016/j.bbamem.2017.12.001","ISSN":"0005-2736","issue":"3","journalAbbreviation":"Biochimica et Biophysica Acta (BBA) - Biomembranes","page":"664-672","source":"ScienceDirect","title":"Inhibition of mitochondrial UCP1 and UCP3 by purine nucleotides and phosphate","volume":"1860","author":[{"family":"Macher","given":"Gabriel"},{"family":"Koehler","given":"Melanie"},{"family":"Rupprecht","given":"Anne"},{"family":"Kreiter","given":"Jürgen"},{"family":"Hinterdorfer","given":"Peter"},{"family":"Pohl","given":"Elena E."}],"issued":{"date-parts":[["2018",3,1]]}}}],"schema":"https://github.com/citation-style-language/schema/raw/master/csl-citation.json"} </w:instrText>
      </w:r>
      <w:r w:rsidRPr="00735FCE">
        <w:fldChar w:fldCharType="separate"/>
      </w:r>
      <w:r w:rsidR="00281437" w:rsidRPr="00281437">
        <w:rPr>
          <w:vertAlign w:val="superscript"/>
        </w:rPr>
        <w:t>198</w:t>
      </w:r>
      <w:r w:rsidRPr="00735FCE">
        <w:fldChar w:fldCharType="end"/>
      </w:r>
      <w:r w:rsidRPr="00735FCE">
        <w:t>.</w:t>
      </w:r>
    </w:p>
    <w:p w14:paraId="5ADE4D67" w14:textId="236F520C" w:rsidR="009117C0" w:rsidRPr="00735FCE" w:rsidRDefault="009117C0" w:rsidP="00F5471F">
      <w:pPr>
        <w:ind w:firstLine="720"/>
        <w:jc w:val="left"/>
      </w:pPr>
      <w:r w:rsidRPr="00735FCE">
        <w:t xml:space="preserve">Besides post-translational </w:t>
      </w:r>
      <w:r>
        <w:t>regulation by purine nucleotides and long-chain fatty acids</w:t>
      </w:r>
      <w:r w:rsidRPr="00735FCE">
        <w:t>, UCP1 undergoes complex regulation at the transcriptional level</w:t>
      </w:r>
      <w:r>
        <w:t xml:space="preserve"> </w:t>
      </w:r>
      <w:r w:rsidRPr="00735FCE">
        <w:fldChar w:fldCharType="begin"/>
      </w:r>
      <w:r w:rsidR="00281437">
        <w:instrText xml:space="preserve"> ADDIN ZOTERO_ITEM CSL_CITATION {"citationID":"ZwUaYWt6","properties":{"formattedCitation":"\\super 199\\nosupersub{}","plainCitation":"199","noteIndex":0},"citationItems":[{"id":3975,"uris":["http://zotero.org/users/9622455/items/7U9HK6D4"],"itemData":{"id":3975,"type":"article-journal","abstract":"Regulated transcription of the uncoupling protein-1 (UCP1) gene, and subsequent UCP1 protein synthesis, is a hallmark of the acquisition of the differentiated, thermogenically competent status of brown and bei</w:instrText>
      </w:r>
      <w:r w:rsidR="00281437">
        <w:rPr>
          <w:rFonts w:hint="eastAsia"/>
        </w:rPr>
        <w:instrText>ge/brite adipocytes, as well as of the responsiveness of brown and beige/brite adipocytes to adaptive regulation of thermogenic activity. The 5</w:instrText>
      </w:r>
      <w:r w:rsidR="00281437">
        <w:rPr>
          <w:rFonts w:hint="eastAsia"/>
        </w:rPr>
        <w:instrText>′</w:instrText>
      </w:r>
      <w:r w:rsidR="00281437">
        <w:rPr>
          <w:rFonts w:hint="eastAsia"/>
        </w:rPr>
        <w:instrText xml:space="preserve"> non-coding region of the UCP1 gene contains regulatory elements that confer tissue specificity, differentiatio</w:instrText>
      </w:r>
      <w:r w:rsidR="00281437">
        <w:instrText xml:space="preserve">n dependence, and neuro-hormonal regulation to UCP1 gene transcription. Two main regions—a distal enhancer and a proximal promoter region—mediate transcriptional regulation through interactions with a plethora of transcription factors, including nuclear hormone receptors and cAMP-responsive transcription factors. Co-regulators, such as PGC-1α, play a pivotal role in the concerted regulation of UCP1 gene transcription. Multiple interactions of transcription factors and co-regulators at the promoter region of the UCP1 gene result in local chromatin remodeling, leading to activation and increased accessibility of RNA polymerase II and subsequent gene transcription. Moreover, a commonly occurring A-to-G polymorphism in close proximity to the UCP1 gene enhancer influences the extent of UCP1 gene transcription. Notably, it has been reported that specific aspects of obesity and associated metabolic diseases are associated with human population variability at this site. On another front, the unique properties of the UCP1 promoter region have been exploited to develop brown adipose tissue-specific gene delivery tools for experimental purposes.","collection-title":"UCP1: 40 years and beyond","container-title":"Biochimie","DOI":"10.1016/j.biochi.2016.09.017","ISSN":"0300-9084","journalAbbreviation":"Biochimie","page":"86-92","source":"ScienceDirect","title":"Transcriptional regulation of the uncoupling protein-1 gene","volume":"134","author":[{"family":"Villarroya","given":"Francesc"},{"family":"Peyrou","given":"Marion"},{"family":"Giralt","given":"Marta"}],"issued":{"date-parts":[["2017",3,1]]}}}],"schema":"https://github.com/citation-style-language/schema/raw/master/csl-citation.json"} </w:instrText>
      </w:r>
      <w:r w:rsidRPr="00735FCE">
        <w:fldChar w:fldCharType="separate"/>
      </w:r>
      <w:r w:rsidR="00281437" w:rsidRPr="00281437">
        <w:rPr>
          <w:vertAlign w:val="superscript"/>
        </w:rPr>
        <w:t>199</w:t>
      </w:r>
      <w:r w:rsidRPr="00735FCE">
        <w:fldChar w:fldCharType="end"/>
      </w:r>
      <w:r w:rsidRPr="00735FCE">
        <w:t>. Various trans-acting factors within the 5′ regulatory region of UCP1 can respond to physiological changes and activities</w:t>
      </w:r>
      <w:r>
        <w:t xml:space="preserve"> </w:t>
      </w:r>
      <w:r w:rsidRPr="00735FCE">
        <w:fldChar w:fldCharType="begin"/>
      </w:r>
      <w:r w:rsidR="00281437">
        <w:instrText xml:space="preserve"> ADDIN ZOTERO_ITEM CSL_CITATION {"citationID":"g7YSXxeD","properties":{"formattedCitation":"\\super 200,201\\nosupersub{}","plainCitation":"200,201","noteIndex":0},"citationItems":[{"id":3982,"uris":["http://zotero.org/users/9622455/items/YZFRCH3X"],"itemData":{"id":3982,"type":"article-journal","abstract":"The brown fat uncoupling protein-1 (ucp-1) gene is regulated by the sympathetic nervous system, and its transcription is stimulated by norepinephrine, mainly through cAMP-mediated pathways. Overexpress</w:instrText>
      </w:r>
      <w:r w:rsidR="00281437">
        <w:rPr>
          <w:rFonts w:hint="eastAsia"/>
        </w:rPr>
        <w:instrText>ion of the catalytic subunit of protein kinase A stimulated a chloramphenicol acetyltransferase expression vector driven by the 4.5-kb 5</w:instrText>
      </w:r>
      <w:r w:rsidR="00281437">
        <w:rPr>
          <w:rFonts w:hint="eastAsia"/>
        </w:rPr>
        <w:instrText>′</w:instrText>
      </w:r>
      <w:r w:rsidR="00281437">
        <w:rPr>
          <w:rFonts w:hint="eastAsia"/>
        </w:rPr>
        <w:instrText>-region of the rat ucp-1 gene. Mutant deletion analysis indicated the presence of the main cAMP-regulatory element (CR</w:instrText>
      </w:r>
      <w:r w:rsidR="00281437">
        <w:instrText xml:space="preserve">E) in the proximal region between −141 and −54. This region contains an element at −139/−122 able to confer enhancer and protein kinase A (PKA)-dependent activity to the basal thymidine kinase promoter. The potency of this element was much higher in differentiated than in nondifferentiated brown adipocytes. Gel shift analyses indicated that a complex array of proteins from brown fat nuclei bind to the −139/−122 element, among which CRE-binding protein (CREB) and Jun proteins were identified. In transfected brown adipocytes, c-Jun was a negative regulator of basal and PKA-induced transcription from the ucp-1 promoter acting through this proximal CRE region. A double-point mutation in the− 139/−122 element abolished both PKA- and c-Jun-dependent regulation through this site, and overexpression of CREB blocked c-Jun repression. Thus, an opposite action of these two transcription factors on the− 139/−122 CRE is proposed. c-Jun content in brown adipocytes differentiating in culture correlated negatively with both ucp-1 gene expression and the acquisition of the brown adipocyte morphology. These findings indicate that c-Jun provides a molecular mechanism to repress the basal and cAMP-mediated expression of the ucp-1 gene before the differentiation of the brown adipocyte.","container-title":"Molecular Endocrinology","DOI":"10.1210/mend.12.7.0137","ISSN":"0888-8809","issue":"7","journalAbbreviation":"Molecular Endocrinology","page":"1023-1037","source":"Silverchair","title":"Dominant Negative Regulation by c-Jun of Transcription of the Uncoupling Protein-1 Gene through a Proximal cAMP-Regulatory Element: A Mechanism for Repressing Basal and Norepinephrine-Induced Expression of the Gene before Brown Adipocyte Differentiation","title-short":"Dominant Negative Regulation by c-Jun of Transcription of the Uncoupling Protein-1 Gene through a Proximal cAMP-Regulatory Element","volume":"12","author":[{"family":"Yubero","given":"Pilar"},{"family":"Barberá","given":"MaJosé"},{"family":"Alvarez","given":"Rosa"},{"family":"Viñas","given":"Octavi"},{"family":"Mampel","given":"Teresa"},{"family":"Iglesias","given":"Roser"},{"family":"Villarroya","given":"Francesc"},{"family":"Giralt","given":"Marta"}],"issued":{"date-parts":[["1998",7,1]]}}},{"id":3979,"uris":["http://zotero.org/users/9622455/items/MBL6LLYR"],"itemData":{"id":3979,"type":"article-journal","abstract":"Previous studies on the regulation of a Ucp minigene in transgenic mice demonstrated that the sequences necessary for brown-fat-specific expression and inducibility by norepinephrine were located in the 5' flanking region between 1 and 2.8 kb from the transcriptional start site. We have investigated this region in more detail in cultured mouse brown adipocyte tumor cells. Deletion analysis of two types of chloramphenicol acetyltransferase reporter gene constructs under control of either the Ucp promoter or a heterologous herpes simplex virus-tk promoter defined an enhancer in a 220-bp HindIII-XbaI fragment which was essential for both brown fat specificity and norepinephrine inducibility. Site-directed mutagenesis of the reporter gene constructs established that independent mutations to a cyclic AMP-responsive element (CRE-2) or one of two TTCC motifs (BRE [brown fat regulatory element]), all within 17 bp, eliminated transient expression. Competitive DNA mobility shift assays with probes of the CRE and BRE motifs indicate that nuclear proteins interact with these motifs in a cooperative, synergistic manner. While these CRE-BRE probes do not show changes in binding which is dependent on norepinephrine treatment, a probe containing a third TTCC motif located 130 bp downstream of BRE-1 does show this dependency. The results indicate that a complex interaction of the CRE and BRE motifs, which cannot be functionally separated, control Ucp expression.","container-title":"Molecular and Cellular Biology","DOI":"10.1128/mcb.14.1.59","ISSN":"0270-7306","issue":"1","journalAbbreviation":"Mol Cell Biol","note":"PMID: 8264627\nPMCID: PMC358356","page":"59-67","source":"PubMed Central","title":"An upstream enhancer regulating brown-fat-specific expression of the mitochondrial uncoupling protein gene.","volume":"14","author":[{"family":"Kozak","given":"U C"},{"family":"Kopecky","given":"J"},{"family":"Teisinger","given":"J"},{"family":"Enerbäck","given":"S"},{"family":"Boyer","given":"B"},{"family":"Kozak","given":"L P"}],"issued":{"date-parts":[["1994",1]]}}}],"schema":"https://github.com/citation-style-language/schema/raw/master/csl-citation.json"} </w:instrText>
      </w:r>
      <w:r w:rsidRPr="00735FCE">
        <w:fldChar w:fldCharType="separate"/>
      </w:r>
      <w:r w:rsidR="00281437" w:rsidRPr="00281437">
        <w:rPr>
          <w:vertAlign w:val="superscript"/>
        </w:rPr>
        <w:t>200,201</w:t>
      </w:r>
      <w:r w:rsidRPr="00735FCE">
        <w:fldChar w:fldCharType="end"/>
      </w:r>
      <w:r w:rsidRPr="00735FCE">
        <w:t>. For example, CREB and C/EBP binding sites in the proximal promoter region</w:t>
      </w:r>
      <w:r>
        <w:t xml:space="preserve"> mediate</w:t>
      </w:r>
      <w:r w:rsidRPr="00735FCE">
        <w:t xml:space="preserve"> the cAMP-induced </w:t>
      </w:r>
      <w:r>
        <w:t xml:space="preserve">UCP1 activation </w:t>
      </w:r>
      <w:r w:rsidRPr="00735FCE">
        <w:fldChar w:fldCharType="begin"/>
      </w:r>
      <w:r w:rsidR="00281437">
        <w:instrText xml:space="preserve"> ADDIN ZOTERO_ITEM CSL_CITATION {"citationID":"gwbcbp8d","properties":{"formattedCitation":"\\super 202\\nosupersub{}","plainCitation":"202","noteIndex":0},"citationItems":[{"id":3985,"uris":["http://zotero.org/users/9622455/items/R7JQL9P3"],"itemData":{"id":3985,"type":"article-journal","abstract":"CCAAT/enhancer-binding protein (C/EBP) alpha mRNA and its protein products C/EBP alpha and 30 kDa C/EBP alpha are expressed in rat brown-adipose tissue. Results also demonstrate the expression of C/EBP beta mRNA and its protein products C/EBP beta and liver inhibitory protein (LIP) in the tissue. The abundance of C/EBP alpha and C/EBP beta proteins in adult brown fat is similar to that found in adult liver. However, the expression of C/EBP alpha and C/EBP beta is specifically regulated in brown fat during development. C/EBP alpha, 30 kDa C/EBP alpha, C/EBP beta and LIP content is several-fold higher in fetal brown fat than in the adult tissue, or liver at any stage of development. Peak values are attained in late fetal life, in concurrence with the onset of transcription of the uncoupling protein (UCP) gene, the molecular marker of terminal brown-adipocyte differentiation. When adult rats are exposed to a cold environment, which is a physiological stimulus of brown-adipose tissue hyperplasia and UCP gene expression, a specific rise in C/EBP beta expression with respect to C/EBP alpha, 30 kDa C/EBP alpha and LIP is observed. Present data suggest that the C/EBP family of transcription factors has an important role in the development and terminal differentiation of brown-adipose tissue.","container-title":"Biochemical Journal","DOI":"10.1042/bj3020695","ISSN":"0264-6021","issue":"3","journalAbbreviation":"Biochemical Journal","page":"695-700","source":"Silverchair","title":"CCAAT/enhancer-binding proteins α and β in brown adipose tissue: evidence for a tissue-specific pattern of expression during development","title-short":"CCAAT/enhancer-binding proteins α and β in brown adipose tissue","volume":"302","author":[{"family":"Manchado","given":"C"},{"family":"Yubero","given":"P"},{"family":"Viñas","given":"O"},{"family":"Iglesias","given":"R"},{"family":"Villarroya","given":"F"},{"family":"Mampel","given":"T"},{"family":"Giralt","given":"M"}],"issued":{"date-parts":[["1994",9,15]]}}}],"schema":"https://github.com/citation-style-language/schema/raw/master/csl-citation.json"} </w:instrText>
      </w:r>
      <w:r w:rsidRPr="00735FCE">
        <w:fldChar w:fldCharType="separate"/>
      </w:r>
      <w:r w:rsidR="00281437" w:rsidRPr="00281437">
        <w:rPr>
          <w:vertAlign w:val="superscript"/>
        </w:rPr>
        <w:t>202</w:t>
      </w:r>
      <w:r w:rsidRPr="00735FCE">
        <w:fldChar w:fldCharType="end"/>
      </w:r>
      <w:r w:rsidRPr="00735FCE">
        <w:t>. Moreover, ATF2</w:t>
      </w:r>
      <w:r>
        <w:t>, in cooperation</w:t>
      </w:r>
      <w:r w:rsidRPr="00735FCE">
        <w:t xml:space="preserve"> with </w:t>
      </w:r>
      <w:r>
        <w:t xml:space="preserve">the </w:t>
      </w:r>
      <w:r w:rsidRPr="00735FCE">
        <w:t>co-activator</w:t>
      </w:r>
      <w:r>
        <w:t xml:space="preserve"> </w:t>
      </w:r>
      <w:r w:rsidRPr="00735FCE">
        <w:t>PGC1α</w:t>
      </w:r>
      <w:r>
        <w:t>,</w:t>
      </w:r>
      <w:r w:rsidRPr="00735FCE">
        <w:t xml:space="preserve"> increases UCP1 expression at the transcription</w:t>
      </w:r>
      <w:r>
        <w:t>al</w:t>
      </w:r>
      <w:r w:rsidRPr="00735FCE">
        <w:t xml:space="preserve"> level</w:t>
      </w:r>
      <w:r>
        <w:t xml:space="preserve"> </w:t>
      </w:r>
      <w:r w:rsidRPr="00735FCE">
        <w:fldChar w:fldCharType="begin"/>
      </w:r>
      <w:r w:rsidR="00281437">
        <w:instrText xml:space="preserve"> ADDIN ZOTERO_ITEM CSL_CITATION {"citationID":"rhM6km1y","properties":{"formattedCitation":"\\super 199\\nosupersub{}","plainCitation":"199","noteIndex":0},"citationItems":[{"id":3975,"uris":["http://zotero.org/users/9622455/items/7U9HK6D4"],"itemData":{"id":3975,"type":"article-journal","abstract":"Regulated transcription of the uncoupling protein-1 (UCP1) gene, and subsequent UCP1 protein synthesis, is a hallmark of the acquisition of the differentiated, thermogenically competent status of brown and bei</w:instrText>
      </w:r>
      <w:r w:rsidR="00281437">
        <w:rPr>
          <w:rFonts w:hint="eastAsia"/>
        </w:rPr>
        <w:instrText>ge/brite adipocytes, as well as of the responsiveness of brown and beige/brite adipocytes to adaptive regulation of thermogenic activity. The 5</w:instrText>
      </w:r>
      <w:r w:rsidR="00281437">
        <w:rPr>
          <w:rFonts w:hint="eastAsia"/>
        </w:rPr>
        <w:instrText>′</w:instrText>
      </w:r>
      <w:r w:rsidR="00281437">
        <w:rPr>
          <w:rFonts w:hint="eastAsia"/>
        </w:rPr>
        <w:instrText xml:space="preserve"> non-coding region of the UCP1 gene contains regulatory elements that confer tissue specificity, differentiatio</w:instrText>
      </w:r>
      <w:r w:rsidR="00281437">
        <w:instrText xml:space="preserve">n dependence, and neuro-hormonal regulation to UCP1 gene transcription. Two main regions—a distal enhancer and a proximal promoter region—mediate transcriptional regulation through interactions with a plethora of transcription factors, including nuclear hormone receptors and cAMP-responsive transcription factors. Co-regulators, such as PGC-1α, play a pivotal role in the concerted regulation of UCP1 gene transcription. Multiple interactions of transcription factors and co-regulators at the promoter region of the UCP1 gene result in local chromatin remodeling, leading to activation and increased accessibility of RNA polymerase II and subsequent gene transcription. Moreover, a commonly occurring A-to-G polymorphism in close proximity to the UCP1 gene enhancer influences the extent of UCP1 gene transcription. Notably, it has been reported that specific aspects of obesity and associated metabolic diseases are associated with human population variability at this site. On another front, the unique properties of the UCP1 promoter region have been exploited to develop brown adipose tissue-specific gene delivery tools for experimental purposes.","collection-title":"UCP1: 40 years and beyond","container-title":"Biochimie","DOI":"10.1016/j.biochi.2016.09.017","ISSN":"0300-9084","journalAbbreviation":"Biochimie","page":"86-92","source":"ScienceDirect","title":"Transcriptional regulation of the uncoupling protein-1 gene","volume":"134","author":[{"family":"Villarroya","given":"Francesc"},{"family":"Peyrou","given":"Marion"},{"family":"Giralt","given":"Marta"}],"issued":{"date-parts":[["2017",3,1]]}}}],"schema":"https://github.com/citation-style-language/schema/raw/master/csl-citation.json"} </w:instrText>
      </w:r>
      <w:r w:rsidRPr="00735FCE">
        <w:fldChar w:fldCharType="separate"/>
      </w:r>
      <w:r w:rsidR="00281437" w:rsidRPr="00281437">
        <w:rPr>
          <w:vertAlign w:val="superscript"/>
        </w:rPr>
        <w:t>199</w:t>
      </w:r>
      <w:r w:rsidRPr="00735FCE">
        <w:fldChar w:fldCharType="end"/>
      </w:r>
      <w:r w:rsidRPr="00735FCE">
        <w:t xml:space="preserve">. </w:t>
      </w:r>
      <w:r w:rsidRPr="006E5C06">
        <w:t>This regulation is mediated in part by a distal enhancer located over 2 kb upstream of the U</w:t>
      </w:r>
      <w:r>
        <w:t>CP</w:t>
      </w:r>
      <w:r w:rsidRPr="006E5C06">
        <w:t>1 gene, which contains binding sites for nuclear hormone receptors</w:t>
      </w:r>
      <w:r>
        <w:t>,</w:t>
      </w:r>
      <w:r w:rsidRPr="006E5C06">
        <w:t xml:space="preserve"> </w:t>
      </w:r>
      <w:r>
        <w:t>including</w:t>
      </w:r>
      <w:r w:rsidRPr="006E5C06">
        <w:t xml:space="preserve"> PPARγ </w:t>
      </w:r>
      <w:r w:rsidRPr="00735FCE">
        <w:fldChar w:fldCharType="begin"/>
      </w:r>
      <w:r w:rsidR="00281437">
        <w:instrText xml:space="preserve"> ADDIN ZOTERO_ITEM CSL_CITATION {"citationID":"ijDceMml","properties":{"formattedCitation":"\\super 203\\nosupersub{}","plainCitation":"203","noteIndex":0},"citationItems":[{"id":3996,"uris":["http://zotero.org/users/9622455/items/YVPBB6N3"],"itemData":{"id":3996,"type":"article-journal","abstract":"The uncoupling protein-1 gene is uniquely expressed in brown adipose tissue (BAT) and is positively regulated by cold exposure of animals and the sympathetic nervous system. To analyse the importance of a previously identified 211-bp enhancer [Cassard-Doulcier, Gelly, Fox, Schrementi, Raimbault, Klaus, Forest, Bouillaud and Ricquier (1993) Mol. Endocrinol. 7, 497–506] in the tissue-specific expression of this gene, transgenic mice were generated using the chloramphenicol acetyltransferase (CAT) gene as a reporter gene. One out of fourteen lines of the control transgenic mice bearing the Herpes simplex thymidine kinase (TK) promoter expressed weakly the CAT reporter gene in several tissues, whereas the other lines did not express CAT. Eight founders bearing the 211-bp enhancer-TK transgene were obtained. In six lines, no expression of CAT was detected. In one line, the expression of CAT was restricted to BAT. In another line, the expression of CAT was found in BAT and, to a lesser extent, in testis. Moreover, in these lines a marked and specific increase in the expression of the reporter gene in BAT was observed either after exposure of mice to the cold or by treating them with a β-adrenoceptor agonist drug. These results demonstrate that the 211-bp enhancer alone is sufficient to both direct and restrict expression to BAT. This enhancer also mediates the transcriptional response of the gene to β-adrenergic stimulation, although it does not contain conserved cAMP response element.","container-title":"Biochemical Journal","DOI":"10.1042/bj3330243","ISSN":"0264-6021","issue":"2","journalAbbreviation":"Biochemical Journal","page":"243-246","source":"Silverchair","title":"A 211-bp enhancer of the rat uncoupling protein-1 (UCP-1) gene controls specific and regulated expression in brown adipose tissue","volume":"333","author":[{"family":"CASSARD-DOULCIER","given":"Anne-Marie"},{"family":"GELLY","given":"Chantal"},{"family":"BOUILLAUD","given":"Frédéric"},{"family":"RICQUIER","given":"Daniel"}],"issued":{"date-parts":[["1998",7,15]]}}}],"schema":"https://github.com/citation-style-language/schema/raw/master/csl-citation.json"} </w:instrText>
      </w:r>
      <w:r w:rsidRPr="00735FCE">
        <w:fldChar w:fldCharType="separate"/>
      </w:r>
      <w:r w:rsidR="00281437" w:rsidRPr="00281437">
        <w:rPr>
          <w:vertAlign w:val="superscript"/>
        </w:rPr>
        <w:t>203</w:t>
      </w:r>
      <w:r w:rsidRPr="00735FCE">
        <w:fldChar w:fldCharType="end"/>
      </w:r>
      <w:r w:rsidRPr="00735FCE">
        <w:t xml:space="preserve">. PPARγ activates UCP1 transcription </w:t>
      </w:r>
      <w:r w:rsidRPr="00735FCE">
        <w:lastRenderedPageBreak/>
        <w:t>when bound to its ligand</w:t>
      </w:r>
      <w:r>
        <w:t>,</w:t>
      </w:r>
      <w:r w:rsidRPr="00735FCE">
        <w:t xml:space="preserve"> but represses it in cooperation with LXR and the co-repressor RIP140</w:t>
      </w:r>
      <w:r>
        <w:t xml:space="preserve"> </w:t>
      </w:r>
      <w:r w:rsidRPr="00735FCE">
        <w:fldChar w:fldCharType="begin"/>
      </w:r>
      <w:r w:rsidR="00281437">
        <w:instrText xml:space="preserve"> ADDIN ZOTERO_ITEM CSL_CITATION {"citationID":"F673kYGP","properties":{"formattedCitation":"\\super 204\\nosupersub{}","plainCitation":"204","noteIndex":0},"citationItems":[{"id":3993,"uris":["http://zotero.org/users/9622455/items/76XH2TIA"],"itemData":{"id":3993,"type":"article-journal","abstract":"The adipocyte integrates crucial information about metabolic needs in order to balance energy intake, storage, and expenditure. Whereas white adipose tissue stores energy, brown adipose tissue is a major site of energy dissipation through adaptive thermogenesis mediated by uncoupling protein 1 (UCP1) in mammals. In both white and brown adipose tissue, nuclear receptors and their coregulators, such as peroxisome proliferator-activated receptor γ (PPARγ) and PPARγ coactivator 1α (PGC-1α), play key roles in regulating their development and metabolic functions. Here we show the unexpected role of liver X receptor α (LXRα) as a direct transcriptional inhibitor of β-adrenergic receptor-mediated, cyclic AMP-dependent Ucp1 gene expression through its binding to the critical enhancer region of the Ucp1 promoter. The mechanism of inhibition involves the differential recruitment of the corepressor RIP140 to an LXRα binding site that overlaps with the PPARγ/PGC-1α response element, resulting in the dismissal of PPARγ. The ability of LXRα to dampen energy expenditure in this way provides another mechanism for maintaining a balance between energy storage and utilization.","container-title":"Molecular and Cellular Biology","DOI":"10.1128/MCB.01479-07","ISSN":"0270-7306","issue":"7","journalAbbreviation":"Mol Cell Biol","note":"PMID: 18195045\nPMCID: PMC2268430","page":"2187-2200","source":"PubMed Central","title":"Liver X Receptor α Is a Transcriptional Repressor of the Uncoupling Protein 1 Gene and the Brown Fat Phenotype","volume":"28","author":[{"family":"Wang","given":"Haibo"},{"family":"Zhang","given":"Yuan"},{"family":"Yehuda-Shnaidman","given":"Einav"},{"family":"Medvedev","given":"Alexander V."},{"family":"Kumar","given":"Naresh"},{"family":"Daniel","given":"Kiefer W."},{"family":"Robidoux","given":"Jacques"},{"family":"Czech","given":"Michael P."},{"family":"Mangelsdorf","given":"David J."},{"family":"Collins","given":"Sheila"}],"issued":{"date-parts":[["2008",4]]}}}],"schema":"https://github.com/citation-style-language/schema/raw/master/csl-citation.json"} </w:instrText>
      </w:r>
      <w:r w:rsidRPr="00735FCE">
        <w:fldChar w:fldCharType="separate"/>
      </w:r>
      <w:r w:rsidR="00281437" w:rsidRPr="00281437">
        <w:rPr>
          <w:vertAlign w:val="superscript"/>
        </w:rPr>
        <w:t>204</w:t>
      </w:r>
      <w:r w:rsidRPr="00735FCE">
        <w:fldChar w:fldCharType="end"/>
      </w:r>
      <w:r w:rsidRPr="00735FCE">
        <w:t>. RIP140 exerts this effect by recruiting DNA and histone methyltransferases, thereby altering chromatin structure and limiting transcriptional accessibility</w:t>
      </w:r>
      <w:r>
        <w:t xml:space="preserve"> </w:t>
      </w:r>
      <w:r w:rsidRPr="00735FCE">
        <w:fldChar w:fldCharType="begin"/>
      </w:r>
      <w:r w:rsidR="00281437">
        <w:instrText xml:space="preserve"> ADDIN ZOTERO_ITEM CSL_CITATION {"citationID":"j4PsSkjd","properties":{"formattedCitation":"\\super 205\\nosupersub{}","plainCitation":"205","noteIndex":0},"citationItems":[{"id":3988,"uris":["http://zotero.org/users/9622455/items/7MLRV45I"],"itemData":{"id":3988,"type":"article-journal","abstract":"Nuclear receptors control the function of cells by regulating transcription from specific gene networks. The establishment and maintenance of epigenetic gene marks is fundamental to the regulation of gene transcription and the control of cell function. RIP140 is a corepressor for nuclear receptors that suppresses transcription from a broad programme of metabolic genes and thereby controls energy homoeostasis in vivo. Here we show by analysis of Ucp1, a gene which is typically expressed in brown but not white adipocytes, that RIP140 is essential for both DNA and histone methylation to maintain gene repression. RIP140 expression promotes the assembly of DNA and histone methyltransferases (HMTs) on the Ucp1 enhancer and leads to methylation of specific CpG residues and histones as judged by bisulphite genomic sequencing and chromatin immunoprecipitation assays. Our results suggest that RIP140 serves as a scaffold for both DNA and HMT activities to inhibit gene transcription by two key epigenetic repression systems.","container-title":"The EMBO Journal","DOI":"10.1038/sj.emboj.7601908","ISSN":"0261-4189","issue":"23","journalAbbreviation":"EMBO J","note":"PMID: 17972916\nPMCID: PMC2099470","page":"4831-4840","source":"PubMed Central","title":"RIP140 directs histone and DNA methylation to silence Ucp1 expression in white adipocytes","volume":"26","author":[{"family":"Kiskinis","given":"Evangelos"},{"family":"Hallberg","given":"Magnus"},{"family":"Christian","given":"Mark"},{"family":"Olofsson","given":"Martina"},{"family":"Dilworth","given":"Stephen M"},{"family":"White","given":"Roger"},{"family":"Parker","given":"Malcolm G"}],"issued":{"date-parts":[["2007",11,28]]}}}],"schema":"https://github.com/citation-style-language/schema/raw/master/csl-citation.json"} </w:instrText>
      </w:r>
      <w:r w:rsidRPr="00735FCE">
        <w:fldChar w:fldCharType="separate"/>
      </w:r>
      <w:r w:rsidR="00281437" w:rsidRPr="00281437">
        <w:rPr>
          <w:vertAlign w:val="superscript"/>
        </w:rPr>
        <w:t>205</w:t>
      </w:r>
      <w:r w:rsidRPr="00735FCE">
        <w:fldChar w:fldCharType="end"/>
      </w:r>
      <w:r w:rsidRPr="00735FCE">
        <w:t>.</w:t>
      </w:r>
    </w:p>
    <w:p w14:paraId="1D4C5BA9" w14:textId="77777777" w:rsidR="009117C0" w:rsidRPr="00735FCE" w:rsidRDefault="009117C0" w:rsidP="00847BA5">
      <w:pPr>
        <w:pStyle w:val="Heading3"/>
        <w:jc w:val="left"/>
      </w:pPr>
      <w:bookmarkStart w:id="48" w:name="_Toc200988050"/>
      <w:bookmarkStart w:id="49" w:name="_Toc201001665"/>
      <w:bookmarkStart w:id="50" w:name="_Toc204848635"/>
      <w:r w:rsidRPr="00735FCE">
        <w:sym w:font="Symbol" w:char="F062"/>
      </w:r>
      <w:r w:rsidRPr="00735FCE">
        <w:t>-</w:t>
      </w:r>
      <w:r>
        <w:rPr>
          <w:rFonts w:eastAsiaTheme="minorEastAsia"/>
          <w:szCs w:val="24"/>
        </w:rPr>
        <w:t>A</w:t>
      </w:r>
      <w:r w:rsidRPr="00735FCE">
        <w:rPr>
          <w:rFonts w:eastAsiaTheme="minorEastAsia"/>
          <w:szCs w:val="24"/>
        </w:rPr>
        <w:t xml:space="preserve">drenergic </w:t>
      </w:r>
      <w:r>
        <w:rPr>
          <w:rFonts w:eastAsiaTheme="minorEastAsia"/>
          <w:szCs w:val="24"/>
        </w:rPr>
        <w:t>R</w:t>
      </w:r>
      <w:r w:rsidRPr="00735FCE">
        <w:rPr>
          <w:rFonts w:eastAsiaTheme="minorEastAsia"/>
          <w:szCs w:val="24"/>
        </w:rPr>
        <w:t>eceptor</w:t>
      </w:r>
      <w:r w:rsidRPr="00735FCE">
        <w:t>-</w:t>
      </w:r>
      <w:r>
        <w:t>M</w:t>
      </w:r>
      <w:r w:rsidRPr="00735FCE">
        <w:t xml:space="preserve">ediated </w:t>
      </w:r>
      <w:r>
        <w:t>Pathway in B</w:t>
      </w:r>
      <w:r w:rsidRPr="00735FCE">
        <w:t>rowning</w:t>
      </w:r>
      <w:bookmarkEnd w:id="48"/>
      <w:bookmarkEnd w:id="49"/>
      <w:bookmarkEnd w:id="50"/>
    </w:p>
    <w:p w14:paraId="156523CF" w14:textId="4CBE3A89" w:rsidR="009117C0" w:rsidRPr="00735FCE" w:rsidRDefault="009117C0" w:rsidP="00F5471F">
      <w:pPr>
        <w:ind w:firstLine="720"/>
        <w:jc w:val="left"/>
      </w:pPr>
      <w:r w:rsidRPr="00735FCE">
        <w:t>The process of browning WAT, which enables white fat to acquire thermogenic properties similar to BAT, is regulated by the activation of β3-adrenergic receptors (β3-ARs)</w:t>
      </w:r>
      <w:r>
        <w:t xml:space="preserve"> </w:t>
      </w:r>
      <w:r w:rsidRPr="00735FCE">
        <w:fldChar w:fldCharType="begin"/>
      </w:r>
      <w:r w:rsidR="00281437">
        <w:instrText xml:space="preserve"> ADDIN ZOTERO_ITEM CSL_CITATION {"citationID":"96Fz9rqL","properties":{"formattedCitation":"\\super 206,207\\nosupersub{}","plainCitation":"206,207","noteIndex":0},"citationItems":[{"id":4001,"uris":["http://zotero.org/users/9622455/items/HD3ISU6Y"],"itemData":{"id":4001,"type":"article-journal","abstract":"Obesity is constantly rising into a major health threat worldwide. Activation of brown-like transdifferentiation of white adipocytes (browning) has been proposed as a promising molecular target for obesity treatment. In this study, we investigated the effect of ginsenoside Rb1 (Rb1), a saponin derived from Panax ginseng Meyer, on browning. We used 3T3-L1 murine adipocytes and leptin receptor mutated db/db mice. The lipid accumulation, AMP-activated protein kinase alpha (AMPKα)-related pathways, lipolytic and thermogenic factors were measured after Rb treatment in 3T3-L1 adipocytes. Body weight change and lipolysis-thermogenesis factors were investigated in Rb1-treated db/db mice. Beta 3 adrenergic receptor activation (β3AR) changes were measured in Rb1-treated 3T3-L1 cells with or without β3AR inhibitor L748337 co-treatment. As a result, Rb1 treatment suppressed lipid accumulation and decreased lipid droplet size in 3T3-L1 adipocytes. Rb1 also induced phosphorylations of AMPKα pathway and sirtuins. Moreover, lipases and thermogenic factors such as uncoupling protein 1 were increased by Rb1 treatment. Through these results, we could expect the non-shivering thermogenesis program can be induced by Rb1. In db/db mice, 6-week-injection of Rb1 resulted in decreased inguinal white adipose tissue (iWAT) weight associated with shrinked lipid droplets and increased lipolysis and thermogenesis. The thermogenic effect of Rb1 was possibly due to β3AR, as L748337 pre-treatment abolished the effect of Rb1. In conclusion, we suggest Rb1 as a potential lipolytic and thermogenic therapeutic agent which can be used for obesity treatment.","container-title":"Frontiers in Pharmacology","DOI":"10.3389/fphar.2019.01154","ISSN":"1663-9812","journalAbbreviation":"Front. Pharmacol.","language":"English","note":"publisher: Frontiers","source":"Frontiers","title":"Ginsenoside Rb1 Induces Beta 3 Adrenergic Receptor–Dependent Lipolysis and Thermogenesis in 3T3-L1 Adipocytes and db/db Mice","URL":"https://www.frontiersin.org/journals/pharmacology/articles/10.3389/fphar.2019.01154/full","volume":"10","author":[{"family":"Lim","given":"Seona"},{"family":"Park","given":"Jinbong"},{"family":"Um","given":"Jae-Young"}],"accessed":{"date-parts":[["2025",6,12]]},"issued":{"date-parts":[["2019",10,15]]}}},{"id":3999,"uris":["http://zotero.org/users/9622455/items/F8YACRQN"],"itemData":{"id":3999,"type":"article-journal","abstract":"Beige or brite (brown-in-white) adipocytes are present in white adipose tissue (WAT) and have a white fat-like phenotype that when stimulated acquires a brown fat-like phenotype, leading to increased thermogenesis. This phenomenon is known as browning and is more likely to occur in subcutaneous fat depots. Browning involves the expression of many transcription factors, such as PR domain containing 16 (PRDM16) and peroxisome proliferator-activated receptor (PPAR)-γ, and of uncoupling protein (UCP)-1, which is the hallmark of thermogenesis. Recent papers pointed that browning can occur in the WAT of humans, with beneficial metabolic effects. This fact indicates that these cells can be targeted to treat a range of diseases, with both pharmacological and nutritional activators. Pharmacological approaches to induce browning include the use of PPAR-α agonist, adrenergic receptor stimulation, thyroid hormone administration, irisin and FGF21 induction. Most of them act through the induction of PPAR-γ coactivator (PGC) 1-α and the consequent mitochondrial biogenesis and UCP1 induction. About the nutritional inducers, several compounds have been described with multiple mechanisms of action. Some of these activators include specific amino acids restriction, capsaicin, bile acids, Resveratrol, and retinoic acid. Besides that, some classes of lipids, as well as many plant extracts, have also been implicated in the browning of WAT. In conclusion, the discovery of browning in human WAT opens the possibility to target the adipose tissue to fight a range of diseases. Studies have arisen showing promising results and bringing new opportunities in thermogenesis and obesity control.","container-title":"Hormone Molecular Biology and Clinical Investigation","DOI":"10.1515/hmbci-2016-0051","ISSN":"1868-1891","issue":"1","journalAbbreviation":"Horm Mol Biol Clin Investig","language":"eng","note":"PMID: 28099124","source":"PubMed","title":"Browning of white adipose tissue: lessons from experimental models","title-short":"Browning of white adipose tissue","volume":"31","author":[{"family":"Bargut","given":"Thereza Cristina Lonzetti"},{"family":"Souza-Mello","given":"Vanessa"},{"family":"Aguila","given":"Marcia Barbosa"},{"family":"Mandarim-de-Lacerda","given":"Carlos Alberto"}],"issued":{"date-parts":[["2017",1,18]]}}}],"schema":"https://github.com/citation-style-language/schema/raw/master/csl-citation.json"} </w:instrText>
      </w:r>
      <w:r w:rsidRPr="00735FCE">
        <w:fldChar w:fldCharType="separate"/>
      </w:r>
      <w:r w:rsidR="00281437" w:rsidRPr="00281437">
        <w:rPr>
          <w:vertAlign w:val="superscript"/>
        </w:rPr>
        <w:t>206,207</w:t>
      </w:r>
      <w:r w:rsidRPr="00735FCE">
        <w:fldChar w:fldCharType="end"/>
      </w:r>
      <w:r w:rsidRPr="00735FCE">
        <w:t>. These receptors are known to be highly abundant in murine WAT and BAT, while the expression levels are lower in human adipose tissue</w:t>
      </w:r>
      <w:r>
        <w:t>;</w:t>
      </w:r>
      <w:r w:rsidRPr="00735FCE">
        <w:t xml:space="preserve"> β3-ARs are known to regulate energy expenditure, thermogenesis</w:t>
      </w:r>
      <w:r>
        <w:t>,</w:t>
      </w:r>
      <w:r w:rsidRPr="00735FCE">
        <w:t xml:space="preserve"> as well as glucose metabolism</w:t>
      </w:r>
      <w:r>
        <w:t xml:space="preserve"> </w:t>
      </w:r>
      <w:r w:rsidRPr="00735FCE">
        <w:fldChar w:fldCharType="begin"/>
      </w:r>
      <w:r w:rsidR="00281437">
        <w:instrText xml:space="preserve"> ADDIN ZOTERO_ITEM CSL_CITATION {"citationID":"eDi1KQdB","properties":{"formattedCitation":"\\super 208,209\\nosupersub{}","plainCitation":"208,209","noteIndex":0},"citationItems":[{"id":4005,"uris":["http://zotero.org/users/9622455/items/TGUX64GG"],"itemData":{"id":4005,"type":"article-journal","abstract":"Release of fatty acids (FAs) from adipose tissue through lipolysis in fat cells is a key event in many processes. FAs are not only energy substrates but also signalling molecules and substrates for lipoprotein production by the liver. Fat cells consist of&gt;95% triglycerides that are hydrolysed during lipolysis to glycerol and FAs. The major rate-limiting factor for lipolysis is hormone-sensitive lipase, but additional lipases such as adipose tissue triglyceride lipase may also play a role. The regulation of human fat cell lipolysis is, in many ways, species unique. Only catecholamines, insulin and natriuretic peptides have pronounced acute effects. Catecholamines influence lipolysis through four different adrenoceptor subtypes, in contrast to rodents where only one subtype (β3) is of major importance. There are regional variations in adipocyte lipolysis leading to more release of FAs from the visceral than subcutaneous adipose tissue during hormone stimulation (insulin, catecholamines). Since, only visceral fat is linked to the liver (by the portal vein), alterations in visceral adipocyte tissue lipolysis have direct effects on the liver through portal FA release. The regional variations in lipolysis are further enhanced in obesity and polycystic ovarian syndrome, and are of importance for dyslipidaemia, hyperinsulinaemia and glucose intolerance in these conditions. There is a marked elevation of circulating FA levels among the obese, which may be due to enhanced production of tumour necrosis factor alpha in adipose tissue. This cytokine stimulates lipolysis through so-called MAP kinases. Pharmacological agents in clinical practice such as nicotinic acid and glitazones exert lipid-lowering and glucose-lowering effects, respectively, by decreasing FA output from the adipose tissue. This review covers the biochemistry, regulation and clinical aspects of human fat cell lipolysis.","collection-title":"Adipose Tissue as an Endocrine Organ","container-title":"Best Practice &amp; Research Clinical Endocrinology &amp; Metabolism","DOI":"10.1016/j.beem.2005.07.004","ISSN":"1521-690X","issue":"4","journalAbbreviation":"Best Practice &amp; Research Clinical Endocrinology &amp; Metabolism","page":"471-482","source":"ScienceDirect","title":"Human fat cell lipolysis: Biochemistry, regulation and clinical role","title-short":"Human fat cell lipolysis","volume":"19","author":[{"family":"Arner","given":"Peter"}],"issued":{"date-parts":[["2005",12,1]]}}},{"id":4003,"uris":["http://zotero.org/users/9622455/items/MP8EQ372"],"itemData":{"id":4003,"type":"article-journal","abstract":"&lt;p&gt;β&lt;sub&gt;3&lt;/sub&gt;-Adrenergic receptors (β&lt;sub&gt;3&lt;/sub&gt;-ARs) are expressed predominantly in white and brown adipose tissue, and β&lt;sub&gt;3&lt;/sub&gt;-selective agonists are potential anti-obesity drugs. However, the role of β&lt;sub&gt;3&lt;/sub&gt;-ARs in normal physiology is unknown. To address this issue, homologous recombination was used to generate mice that lack β&lt;sub&gt;3&lt;/sub&gt;-ARs. This was accomplished by direct injection of a DNA-targeting construct into mouse zygotes. Twenty-three transgenic mice were generated, of which two had targeted disruption of the β&lt;sub&gt;3&lt;/sub&gt;-AR gene. Mice that were homozygous for the disrupted allele had undetectable levels of intact β&lt;sub&gt;3&lt;/sub&gt;-AR mRNA, as assessed by RNase protection assay and Northern blotting, and lacked functional β&lt;sub&gt;3&lt;/sub&gt;-ARs, as demonstrated by complete loss of β&lt;sub&gt;3&lt;/sub&gt;-agonist (CL 316,243)-induced stimulation of adenylate cyclase activity and lipolysis. β&lt;sub&gt;3&lt;/sub&gt;-AR-deficient mice had modestly increased fat stores (females more than males), indicating that β&lt;sub&gt;3&lt;/sub&gt;-ARs play a role in regulating energy balance. Importantly, β&lt;sub&gt;1&lt;/sub&gt; but not β&lt;sub&gt;2&lt;/sub&gt;-AR mRNA levels up-regulated in white and brown adipose tissue of β&lt;sub&gt;3&lt;/sub&gt;-AR-deficient mice (brown more than white), strongly implying that β&lt;sub&gt;3&lt;/sub&gt;-ARs mediate physiologically relevant signaling under normal conditions and that \"cross-talk\" exists between β&lt;sub&gt;3&lt;/sub&gt;-ARs and β&lt;sub&gt;1&lt;/sub&gt;-AR gene expression. Finally, acute treatment of normal mice with CL 316,243 increased serum levels of free fatty acids (FFAs) (3.2-fold) and insulin (140-fold), increased energy expenditure (2-fold), and reduced food intake (by 45%). These effects were completely absent in β&lt;sub&gt;3&lt;/sub&gt;-AR-deficient mice, proving that the actions of CL are mediated exclusively by β&lt;sub&gt;3&lt;/sub&gt;-ARs. β&lt;sub&gt;3&lt;/sub&gt;-AR-deficient mice should be useful as a means to a better understanding of the physiology and pharmacology of β&lt;sub&gt;3&lt;/sub&gt;-ARs.&lt;/p&gt;","container-title":"Journal of Biological Chemistry","DOI":"10.1074/jbc.270.49.29483","ISSN":"0021-9258, 1083-351X","issue":"49","journalAbbreviation":"Journal of Biological Chemistry","language":"English","note":"publisher: Elsevier","page":"29483-29492","source":"www.jbc.org","title":"Targeted Disruption of the β3-Adrenergic Receptor Gene *","volume":"270","author":[{"family":"Susulic","given":"Vedrana S."},{"family":"Frederich","given":"Robert C."},{"family":"Lawitts","given":"Joel"},{"family":"Tozzo","given":"Effie"},{"family":"Kahn","given":"Barbara B."},{"family":"Harper","given":"Mary-Ellen"},{"family":"Himms-Hagen","given":"Jean"},{"family":"Flier","given":"Jeffrey S."},{"family":"Lowell","given":"Bradford B."}],"issued":{"date-parts":[["1995",12,8]]}}}],"schema":"https://github.com/citation-style-language/schema/raw/master/csl-citation.json"} </w:instrText>
      </w:r>
      <w:r w:rsidRPr="00735FCE">
        <w:fldChar w:fldCharType="separate"/>
      </w:r>
      <w:r w:rsidR="00281437" w:rsidRPr="00281437">
        <w:rPr>
          <w:vertAlign w:val="superscript"/>
        </w:rPr>
        <w:t>208,209</w:t>
      </w:r>
      <w:r w:rsidRPr="00735FCE">
        <w:fldChar w:fldCharType="end"/>
      </w:r>
      <w:r w:rsidRPr="00735FCE">
        <w:t xml:space="preserve">. </w:t>
      </w:r>
      <w:r>
        <w:t>Adrenergic stimuli,</w:t>
      </w:r>
      <w:r w:rsidRPr="00735FCE">
        <w:t xml:space="preserve"> including catecholamines, norepinephrine, and epinephrine</w:t>
      </w:r>
      <w:r>
        <w:t>,</w:t>
      </w:r>
      <w:r w:rsidRPr="00735FCE">
        <w:t xml:space="preserve"> can induce browning by binding to β3-ARs located on adipocyte membranes, then further </w:t>
      </w:r>
      <w:r>
        <w:t>enhance</w:t>
      </w:r>
      <w:r w:rsidRPr="00735FCE">
        <w:t xml:space="preserve"> the expression of </w:t>
      </w:r>
      <w:r>
        <w:t>thermogenic-related</w:t>
      </w:r>
      <w:r w:rsidRPr="00735FCE">
        <w:t xml:space="preserve"> genes, like UCP1,</w:t>
      </w:r>
      <w:r>
        <w:t xml:space="preserve"> </w:t>
      </w:r>
      <w:r w:rsidRPr="00735FCE">
        <w:t>one of the key indicators of non-shivering thermogenesis</w:t>
      </w:r>
      <w:r>
        <w:t xml:space="preserve"> </w:t>
      </w:r>
      <w:r w:rsidRPr="00735FCE">
        <w:fldChar w:fldCharType="begin"/>
      </w:r>
      <w:r w:rsidR="00281437">
        <w:instrText xml:space="preserve"> ADDIN ZOTERO_ITEM CSL_CITATION {"citationID":"fh0Uqw1H","properties":{"formattedCitation":"\\super 180,210\\nosupersub{}","plainCitation":"180,210","noteIndex":0},"citationItems":[{"id":3929,"uris":["http://zotero.org/users/9622455/items/9SL5HY74"],"itemData":{"id":3929,"type":"article-journal","abstract":"Brown adipose tissue (BAT) dissipates energy to produce heat. Thus, it has the potential to regulate body temperature by thermogenesis. For the last decade, BAT has been in the spotlight due to its rediscovery in adult humans. This is evidenced by over a hundred clinical trials that are currently registered to target BAT as a therapeutic tool in the treatment of metabolic diseases, such as obesity or diabetes. The goal of most of these trials is to activate the BAT thermogenic program via several approaches such as adrenergic stimulation, natriuretic peptides, retinoids, capsinoids, thyroid hormones, or glucocorticoids. However, the impact of BAT activation on total body energy consumption and the potential effect on weight loss is still limited. Other studies have focused on increasing the mass of thermogenic BAT. This can be relevant in obesity, where the activity and abundance of BAT have been shown to be drastically reduced. The aim of this review is to describe pathological processes associated with obesity that may influence the correct differentiation of BAT, such as catecholamine resistance, inflammation, oxidative stress, and endoplasmic reticulum stress. This will shed light on the thermogenic potential of BAT as a therapeutic approach to target obesity-induced metabolic diseases.","container-title":"Frontiers in Physiology","DOI":"10.3389/fphys.2019.00094","ISSN":"1664-042X","journalAbbreviation":"Front Physiol","note":"PMID: 30814954\nPMCID: PMC6381290","page":"94","source":"PubMed Central","title":"Mechanisms of Impaired Brown Adipose Tissue Recruitment in Obesity","volume":"10","author":[{"family":"Alcalá","given":"Martín"},{"family":"Calderon-Dominguez","given":"María"},{"family":"Serra","given":"Dolors"},{"family":"Herrero","given":"Laura"},{"family":"Viana","given":"Marta"}],"issued":{"date-parts":[["2019",2,13]]}}},{"id":4007,"uris":["http://zotero.org/users/9622455/items/8QVS3LHC"],"itemData":{"id":4007,"type":"article-journal","abstract":"Release of fatty acids (FAs) from adipose tissue through lipolysis in fat cells is a key event in many processes. FAs are not only energy substrates but also signalling molecules and substrates for lipoprotein production by the liver. Fat cells consist of&gt;95% triglycerides that are hydrolysed during lipolysis to glycerol and FAs. The major rate-limiting factor for lipolysis is hormone-sensitive lipase, but additional lipases such as adipose tissue triglyceride lipase may also play a role. The regulation of human fat cell lipolysis is, in many ways, species unique. Only catecholamines, insulin and natriuretic peptides have pronounced acute effects. Catecholamines influence lipolysis through four different adrenoceptor subtypes, in contrast to rodents where only one subtype (beta(3)) is of major importance. There are regional variations in adipocyte lipolysis leading to more release of FAs from the visceral than subcutaneous adipose tissue during hormone stimulation (insulin, catecholamines). Since, only visceral fat is linked to the liver (by the portal vein), alterations in visceral adipocyte tissue lipolysis have direct effects on the liver through portal FA release. The regional variations in lipolysis are further enhanced in obesity and polycystic ovarian syndrome, and are of importance for dyslipidaemia, hyperinsulinaemia and glucose intolerance in these conditions. There is a marked elevation of circulating FA levels among the obese, which may be due to enhanced production of tumour necrosis factor alpha in adipose tissue. This cytokine stimulates lipolysis through so-called MAP kinases. Pharmacological agents in clinical practice such as nicotinic acid and glitazones exert lipid-lowering and glucose-lowering effects, respectively, by decreasing FA output from the adipose tissue. This review covers the biochemistry, regulation and clinical aspects of human fat cell lipolysis.","container-title":"Best Practice &amp; Research. Clinical Endocrinology &amp; Metabolism","DOI":"10.1016/j.beem.2005.07.004","ISSN":"1521-690X","issue":"4","journalAbbreviation":"Best Pract Res Clin Endocrinol Metab","language":"eng","note":"PMID: 16311212","page":"471-482","source":"PubMed","title":"Human fat cell lipolysis: biochemistry, regulation and clinical role","title-short":"Human fat cell lipolysis","volume":"19","author":[{"family":"Arner","given":"Peter"}],"issued":{"date-parts":[["2005",12]]}}}],"schema":"https://github.com/citation-style-language/schema/raw/master/csl-citation.json"} </w:instrText>
      </w:r>
      <w:r w:rsidRPr="00735FCE">
        <w:fldChar w:fldCharType="separate"/>
      </w:r>
      <w:r w:rsidR="00281437" w:rsidRPr="00281437">
        <w:rPr>
          <w:vertAlign w:val="superscript"/>
        </w:rPr>
        <w:t>180,210</w:t>
      </w:r>
      <w:r w:rsidRPr="00735FCE">
        <w:fldChar w:fldCharType="end"/>
      </w:r>
      <w:r w:rsidRPr="00735FCE">
        <w:t>.</w:t>
      </w:r>
    </w:p>
    <w:p w14:paraId="641B85A1" w14:textId="53B67F65" w:rsidR="009117C0" w:rsidRPr="00735FCE" w:rsidRDefault="009117C0" w:rsidP="00F5471F">
      <w:pPr>
        <w:ind w:firstLine="720"/>
        <w:jc w:val="left"/>
      </w:pPr>
      <w:r w:rsidRPr="00B735FD">
        <w:t xml:space="preserve">The underlying signaling mechanism involves the activation of the Gs-coupled β3-adrenergic receptor (β3-AR), which stimulates adenylyl cyclase to increase intracellular cyclic adenosine monophosphate (cAMP) levels </w:t>
      </w:r>
      <w:r w:rsidRPr="00B735FD">
        <w:fldChar w:fldCharType="begin"/>
      </w:r>
      <w:r w:rsidR="00281437">
        <w:instrText xml:space="preserve"> ADDIN ZOTERO_ITEM CSL_CITATION {"citationID":"oQK9rKR1","properties":{"formattedCitation":"\\super 211,212\\nosupersub{}","plainCitation":"211,212","noteIndex":0},"citationItems":[{"id":4011,"uris":["http://zotero.org/users/9622455/items/2JPMQPL9"],"itemData":{"id":4011,"type":"article-journal","container-title":"Cell Reports","DOI":"10.1016/j.celrep.2020.107598","ISSN":"2211-1247","issue":"5","journalAbbreviation":"Cell Reports","language":"English","note":"publisher: Elsevier\nPMID: 32375048","source":"www.cell.com","title":"Control of Adipocyte Thermogenesis and Lipogenesis through β3-Adrenergic and Thyroid Hormone Signal Integration","URL":"https://www.cell.com/cell-reports/abstract/S2211-1247(20)30547-7","volume":"31","author":[{"family":"Guilherme","given":"Adilson"},{"family":"Yenilmez","given":"Batuhan"},{"family":"Bedard","given":"Alexander H."},{"family":"Henriques","given":"Felipe"},{"family":"Liu","given":"Dianxin"},{"family":"Lee","given":"Alexandra"},{"family":"Goldstein","given":"Lauren"},{"family":"Kelly","given":"Mark"},{"family":"Nicoloro","given":"Sarah M."},{"family":"Chen","given":"Min"},{"family":"Weinstein","given":"Lee"},{"family":"Collins","given":"Sheila"},{"family":"Czech","given":"Michael P."}],"accessed":{"date-parts":[["2025",6,12]]},"issued":{"date-parts":[["2020",5,5]]}}},{"id":4009,"uris":["http://zotero.org/users/9622455/items/5Y5UZND2"],"itemData":{"id":4009,"type":"article-journal","abstract":"Cold- and β3-adrenoceptor agonist-induced sympathetic activation leads to angiogenesis and UCP1-dependent thermogenesis in mouse brown and white adipose tissues. Here we show that endothelial production of PDGF-CC during white adipose tissue (WAT) angiogenesis regulates WAT browning. We find that genetic deletion of endothelial VEGFR2, knockout of the Pdgf-c gene or pharmacological blockade of PDGFR-α impair the WAT-beige transition. We further show that PDGF-CC stimulation upregulates UCP1 expression and acquisition of a beige phenotype in differentiated mouse WAT-PDGFR-α+ progenitor cells, as well as in human WAT-PDGFR-α+ adipocytes, supporting the physiological relevance of our findings. Our data reveal a paracrine mechanism by which angiogenic endothelial cells modulate adipocyte metabolism, which may provide new targets for the treatment of obesity and related metabolic diseases.","container-title":"Nature Communications","DOI":"10.1038/ncomms12152","ISSN":"2041-1723","issue":"1","journalAbbreviation":"Nat Commun","language":"en","license":"2016 The Author(s)","note":"publisher: Nature Publishing Group","page":"12152","source":"www.nature.com","title":"Endothelial PDGF-CC regulates angiogenesis-dependent thermogenesis in beige fat","volume":"7","author":[{"family":"Seki","given":"Takahiro"},{"family":"Hosaka","given":"Kayoko"},{"family":"Lim","given":"Sharon"},{"family":"Fischer","given":"Carina"},{"family":"Honek","given":"Jennifer"},{"family":"Yang","given":"Yunlong"},{"family":"Andersson","given":"Patrik"},{"family":"Nakamura","given":"Masaki"},{"family":"Näslund","given":"Erik"},{"family":"Ylä-Herttuala","given":"Seppo"},{"family":"Sun","given":"Meili"},{"family":"Iwamoto","given":"Hideki"},{"family":"Li","given":"Xuri"},{"family":"Liu","given":"Yizhi"},{"family":"Samani","given":"Nilesh J."},{"family":"Cao","given":"Yihai"}],"issued":{"date-parts":[["2016",8,5]]}}}],"schema":"https://github.com/citation-style-language/schema/raw/master/csl-citation.json"} </w:instrText>
      </w:r>
      <w:r w:rsidRPr="00B735FD">
        <w:fldChar w:fldCharType="separate"/>
      </w:r>
      <w:r w:rsidR="00281437" w:rsidRPr="00281437">
        <w:rPr>
          <w:vertAlign w:val="superscript"/>
        </w:rPr>
        <w:t>211,212</w:t>
      </w:r>
      <w:r w:rsidRPr="00B735FD">
        <w:fldChar w:fldCharType="end"/>
      </w:r>
      <w:r w:rsidRPr="00B735FD">
        <w:t>.</w:t>
      </w:r>
      <w:r w:rsidRPr="00735FCE">
        <w:t xml:space="preserve"> This elevation in cAMP activates protein kinase A (PKA), which phosphorylates downstream targets to enhance lipolysis and promote UCP1 expression</w:t>
      </w:r>
      <w:r>
        <w:t xml:space="preserve"> </w:t>
      </w:r>
      <w:r w:rsidRPr="00735FCE">
        <w:fldChar w:fldCharType="begin"/>
      </w:r>
      <w:r w:rsidR="00281437">
        <w:instrText xml:space="preserve"> ADDIN ZOTERO_ITEM CSL_CITATION {"citationID":"nUFuwRuE","properties":{"formattedCitation":"\\super 180,211\\nosupersub{}","plainCitation":"180,211","noteIndex":0},"citationItems":[{"id":3929,"uris":["http://zotero.org/users/9622455/items/9SL5HY74"],"itemData":{"id":3929,"type":"article-journal","abstract":"Brown adipose tissue (BAT) dissipates energy to produce heat. Thus, it has the potential to regulate body temperature by thermogenesis. For the last decade, BAT has been in the spotlight due to its rediscovery in adult humans. This is evidenced by over a hundred clinical trials that are currently registered to target BAT as a therapeutic tool in the treatment of metabolic diseases, such as obesity or diabetes. The goal of most of these trials is to activate the BAT thermogenic program via several approaches such as adrenergic stimulation, natriuretic peptides, retinoids, capsinoids, thyroid hormones, or glucocorticoids. However, the impact of BAT activation on total body energy consumption and the potential effect on weight loss is still limited. Other studies have focused on increasing the mass of thermogenic BAT. This can be relevant in obesity, where the activity and abundance of BAT have been shown to be drastically reduced. The aim of this review is to describe pathological processes associated with obesity that may influence the correct differentiation of BAT, such as catecholamine resistance, inflammation, oxidative stress, and endoplasmic reticulum stress. This will shed light on the thermogenic potential of BAT as a therapeutic approach to target obesity-induced metabolic diseases.","container-title":"Frontiers in Physiology","DOI":"10.3389/fphys.2019.00094","ISSN":"1664-042X","journalAbbreviation":"Front Physiol","note":"PMID: 30814954\nPMCID: PMC6381290","page":"94","source":"PubMed Central","title":"Mechanisms of Impaired Brown Adipose Tissue Recruitment in Obesity","volume":"10","author":[{"family":"Alcalá","given":"Martín"},{"family":"Calderon-Dominguez","given":"María"},{"family":"Serra","given":"Dolors"},{"family":"Herrero","given":"Laura"},{"family":"Viana","given":"Marta"}],"issued":{"date-parts":[["2019",2,13]]}}},{"id":4011,"uris":["http://zotero.org/users/9622455/items/2JPMQPL9"],"itemData":{"id":4011,"type":"article-journal","container-title":"Cell Reports","DOI":"10.1016/j.celrep.2020.107598","ISSN":"2211-1247","issue":"5","journalAbbreviation":"Cell Reports","language":"English","note":"publisher: Elsevier\nPMID: 32375048","source":"www.cell.com","title":"Control of Adipocyte Thermogenesis and Lipogenesis through β3-Adrenergic and Thyroid Hormone Signal Integration","URL":"https://www.cell.com/cell-reports/abstract/S2211-1247(20)30547-7","volume":"31","author":[{"family":"Guilherme","given":"Adilson"},{"family":"Yenilmez","given":"Batuhan"},{"family":"Bedard","given":"Alexander H."},{"family":"Henriques","given":"Felipe"},{"family":"Liu","given":"Dianxin"},{"family":"Lee","given":"Alexandra"},{"family":"Goldstein","given":"Lauren"},{"family":"Kelly","given":"Mark"},{"family":"Nicoloro","given":"Sarah M."},{"family":"Chen","given":"Min"},{"family":"Weinstein","given":"Lee"},{"family":"Collins","given":"Sheila"},{"family":"Czech","given":"Michael P."}],"accessed":{"date-parts":[["2025",6,12]]},"issued":{"date-parts":[["2020",5,5]]}}}],"schema":"https://github.com/citation-style-language/schema/raw/master/csl-citation.json"} </w:instrText>
      </w:r>
      <w:r w:rsidRPr="00735FCE">
        <w:fldChar w:fldCharType="separate"/>
      </w:r>
      <w:r w:rsidR="00281437" w:rsidRPr="00281437">
        <w:rPr>
          <w:vertAlign w:val="superscript"/>
        </w:rPr>
        <w:t>180,211</w:t>
      </w:r>
      <w:r w:rsidRPr="00735FCE">
        <w:fldChar w:fldCharType="end"/>
      </w:r>
      <w:r w:rsidRPr="00735FCE">
        <w:t>. This axis</w:t>
      </w:r>
      <w:r>
        <w:t>,</w:t>
      </w:r>
      <w:r w:rsidRPr="00735FCE">
        <w:t xml:space="preserve"> β3-AR-cAMP-PKA</w:t>
      </w:r>
      <w:r>
        <w:t>,</w:t>
      </w:r>
      <w:r w:rsidRPr="00735FCE">
        <w:t xml:space="preserve"> is considered a tightly regulated </w:t>
      </w:r>
      <w:r>
        <w:t>pathway</w:t>
      </w:r>
      <w:r w:rsidRPr="00735FCE">
        <w:t xml:space="preserve"> </w:t>
      </w:r>
      <w:r>
        <w:t>t</w:t>
      </w:r>
      <w:r w:rsidRPr="00735FCE">
        <w:t xml:space="preserve">hat </w:t>
      </w:r>
      <w:r>
        <w:t>initiates</w:t>
      </w:r>
      <w:r w:rsidRPr="00735FCE">
        <w:t xml:space="preserve"> heat production in response to cold exposure</w:t>
      </w:r>
      <w:r>
        <w:t xml:space="preserve"> </w:t>
      </w:r>
      <w:r w:rsidRPr="00735FCE">
        <w:fldChar w:fldCharType="begin"/>
      </w:r>
      <w:r w:rsidR="00281437">
        <w:instrText xml:space="preserve"> ADDIN ZOTERO_ITEM CSL_CITATION {"citationID":"lREiXCVa","properties":{"formattedCitation":"\\super 180\\nosupersub{}","plainCitation":"180","noteIndex":0},"citationItems":[{"id":3929,"uris":["http://zotero.org/users/9622455/items/9SL5HY74"],"itemData":{"id":3929,"type":"article-journal","abstract":"Brown adipose tissue (BAT) dissipates energy to produce heat. Thus, it has the potential to regulate body temperature by thermogenesis. For the last decade, BAT has been in the spotlight due to its rediscovery in adult humans. This is evidenced by over a hundred clinical trials that are currently registered to target BAT as a therapeutic tool in the treatment of metabolic diseases, such as obesity or diabetes. The goal of most of these trials is to activate the BAT thermogenic program via several approaches such as adrenergic stimulation, natriuretic peptides, retinoids, capsinoids, thyroid hormones, or glucocorticoids. However, the impact of BAT activation on total body energy consumption and the potential effect on weight loss is still limited. Other studies have focused on increasing the mass of thermogenic BAT. This can be relevant in obesity, where the activity and abundance of BAT have been shown to be drastically reduced. The aim of this review is to describe pathological processes associated with obesity that may influence the correct differentiation of BAT, such as catecholamine resistance, inflammation, oxidative stress, and endoplasmic reticulum stress. This will shed light on the thermogenic potential of BAT as a therapeutic approach to target obesity-induced metabolic diseases.","container-title":"Frontiers in Physiology","DOI":"10.3389/fphys.2019.00094","ISSN":"1664-042X","journalAbbreviation":"Front Physiol","note":"PMID: 30814954\nPMCID: PMC6381290","page":"94","source":"PubMed Central","title":"Mechanisms of Impaired Brown Adipose Tissue Recruitment in Obesity","volume":"10","author":[{"family":"Alcalá","given":"Martín"},{"family":"Calderon-Dominguez","given":"María"},{"family":"Serra","given":"Dolors"},{"family":"Herrero","given":"Laura"},{"family":"Viana","given":"Marta"}],"issued":{"date-parts":[["2019",2,13]]}}}],"schema":"https://github.com/citation-style-language/schema/raw/master/csl-citation.json"} </w:instrText>
      </w:r>
      <w:r w:rsidRPr="00735FCE">
        <w:fldChar w:fldCharType="separate"/>
      </w:r>
      <w:r w:rsidR="00281437" w:rsidRPr="00281437">
        <w:rPr>
          <w:vertAlign w:val="superscript"/>
        </w:rPr>
        <w:t>180</w:t>
      </w:r>
      <w:r w:rsidRPr="00735FCE">
        <w:fldChar w:fldCharType="end"/>
      </w:r>
      <w:r w:rsidRPr="00735FCE">
        <w:t>. Supporting this, animal models lacking all β-ARs have shown poor thermogenic capacity</w:t>
      </w:r>
      <w:r>
        <w:t>, as well as</w:t>
      </w:r>
      <w:r w:rsidRPr="00735FCE">
        <w:t xml:space="preserve"> </w:t>
      </w:r>
      <w:r>
        <w:t>demonstrating</w:t>
      </w:r>
      <w:r w:rsidRPr="00735FCE">
        <w:t xml:space="preserve"> greater vulnerability to cold-induced hypothermia and </w:t>
      </w:r>
      <w:r>
        <w:t xml:space="preserve">a </w:t>
      </w:r>
      <w:r w:rsidRPr="00735FCE">
        <w:t>higher risk of diet-induced obesity</w:t>
      </w:r>
      <w:r>
        <w:t xml:space="preserve"> </w:t>
      </w:r>
      <w:r w:rsidRPr="00735FCE">
        <w:fldChar w:fldCharType="begin"/>
      </w:r>
      <w:r w:rsidR="00281437">
        <w:instrText xml:space="preserve"> ADDIN ZOTERO_ITEM CSL_CITATION {"citationID":"KPZFSpl8","properties":{"formattedCitation":"\\super 211,213\\nosupersub{}","plainCitation":"211,213","noteIndex":0},"citationItems":[{"id":4014,"uris":["http://zotero.org/users/9622455/items/BU7HCNAS"],"itemData":{"id":4014,"type":"article-journal","abstract":"White and brown adipocytes are usually located in distinct depots; however, in response to cold, brown adipocytes appear in white fat. This response is mediated by beta-adrenoceptors but there is a controversy about the subtype(s) involved. In the present study, we exposed to cold beta 3-adrenoceptor knockout mice (beta 3KO) on a C57BL/6J genetic background and measured in white adipose tissue the density of multilocular cells and the expression of the brown adipocyte marker uncoupling protein-1 (UCP1). In brown fat of beta 3KO mice, UCP1 expression levels were normal at 24 degrees C as well as after a 10-day cold exposure. Strikingly, under both conditions, in the white fat of beta 3KO mice the levels of UCP1 mRNA and protein as well as the density of multilocular cells were decreased. These results indicate that beta 3-adrenoceptors play a major role in the appearance of brown adipocytes in white fat and suggest that the brown adipocytes present in white fat differ from those in brown fat.","container-title":"European Journal of Biochemistry","DOI":"10.1046/j.1432-1033.2003.03422.x","ISSN":"0014-2956","issue":"4","journalAbbreviation":"Eur J Biochem","language":"eng","note":"PMID: 12581209","page":"699-705","source":"PubMed","title":"Beta 3-adrenoceptor knockout in C57BL/6J mice depresses the occurrence of brown adipocytes in white fat","volume":"270","author":[{"family":"Jimenez","given":"Maria"},{"family":"Barbatelli","given":"Giorgio"},{"family":"Allevi","given":"Roberta"},{"family":"Cinti","given":"Saverio"},{"family":"Seydoux","given":"Josiane"},{"family":"Giacobino","given":"Jean-Paul"},{"family":"Muzzin","given":"Patrick"},{"family":"Preitner","given":"Frédéric"}],"issued":{"date-parts":[["2003",2]]}}},{"id":4011,"uris":["http://zotero.org/users/9622455/items/2JPMQPL9"],"itemData":{"id":4011,"type":"article-journal","container-title":"Cell Reports","DOI":"10.1016/j.celrep.2020.107598","ISSN":"2211-1247","issue":"5","journalAbbreviation":"Cell Reports","language":"English","note":"publisher: Elsevier\nPMID: 32375048","source":"www.cell.com","title":"Control of Adipocyte Thermogenesis and Lipogenesis through β3-Adrenergic and Thyroid Hormone Signal Integration","URL":"https://www.cell.com/cell-reports/abstract/S2211-1247(20)30547-7","volume":"31","author":[{"family":"Guilherme","given":"Adilson"},{"family":"Yenilmez","given":"Batuhan"},{"family":"Bedard","given":"Alexander H."},{"family":"Henriques","given":"Felipe"},{"family":"Liu","given":"Dianxin"},{"family":"Lee","given":"Alexandra"},{"family":"Goldstein","given":"Lauren"},{"family":"Kelly","given":"Mark"},{"family":"Nicoloro","given":"Sarah M."},{"family":"Chen","given":"Min"},{"family":"Weinstein","given":"Lee"},{"family":"Collins","given":"Sheila"},{"family":"Czech","given":"Michael P."}],"accessed":{"date-parts":[["2025",6,12]]},"issued":{"date-parts":[["2020",5,5]]}}}],"schema":"https://github.com/citation-style-language/schema/raw/master/csl-citation.json"} </w:instrText>
      </w:r>
      <w:r w:rsidRPr="00735FCE">
        <w:fldChar w:fldCharType="separate"/>
      </w:r>
      <w:r w:rsidR="00281437" w:rsidRPr="00281437">
        <w:rPr>
          <w:vertAlign w:val="superscript"/>
        </w:rPr>
        <w:t>211,213</w:t>
      </w:r>
      <w:r w:rsidRPr="00735FCE">
        <w:fldChar w:fldCharType="end"/>
      </w:r>
      <w:r w:rsidRPr="00735FCE">
        <w:t>.</w:t>
      </w:r>
    </w:p>
    <w:p w14:paraId="0EE24BA1" w14:textId="26AF23E2" w:rsidR="009117C0" w:rsidRPr="00735FCE" w:rsidRDefault="009117C0" w:rsidP="00F5471F">
      <w:pPr>
        <w:ind w:firstLine="720"/>
        <w:jc w:val="left"/>
      </w:pPr>
      <w:r w:rsidRPr="00735FCE">
        <w:t>In addition</w:t>
      </w:r>
      <w:r>
        <w:t xml:space="preserve"> to cold exposure</w:t>
      </w:r>
      <w:r w:rsidRPr="00735FCE">
        <w:t xml:space="preserve">, β3-AR agonists </w:t>
      </w:r>
      <w:r>
        <w:t>demonstrate</w:t>
      </w:r>
      <w:r w:rsidRPr="00735FCE">
        <w:t xml:space="preserve"> the ability to promote browning and improve metabolic outcomes </w:t>
      </w:r>
      <w:r>
        <w:t>by increasing</w:t>
      </w:r>
      <w:r w:rsidRPr="00735FCE">
        <w:t xml:space="preserve"> mitochondrial biogenesis and </w:t>
      </w:r>
      <w:r w:rsidRPr="00735FCE">
        <w:lastRenderedPageBreak/>
        <w:t>thermogenesis</w:t>
      </w:r>
      <w:r>
        <w:t xml:space="preserve"> </w:t>
      </w:r>
      <w:r w:rsidRPr="00735FCE">
        <w:fldChar w:fldCharType="begin"/>
      </w:r>
      <w:r w:rsidR="00281437">
        <w:instrText xml:space="preserve"> ADDIN ZOTERO_ITEM CSL_CITATION {"citationID":"WI6DVz5i","properties":{"formattedCitation":"\\super 214\\nosupersub{}","plainCitation":"214","noteIndex":0},"citationItems":[{"id":4016,"uris":["http://zotero.org/users/9622455/items/UC7RT6SP"],"itemData":{"id":4016,"type":"article-journal","abstract":"Increasing energy expenditure through activation of endogenous brown adipose tissue (BAT) is a potential approach to treat obesity and diabetes. The class of β3-adrenergic receptor (AR) agonists stimulates rodent BAT, but this activity has never been demonstrated in humans. Here we determined the ability of 200 mg oral mirabegron (Myrbetriq, Astellas Pharma, Inc.), a β3-AR agonist currently approved to treat overactive bladder, to stimulate BAT as compared to placebo. Mirabegron led to higher BAT metabolic activity as measured via (18)F-fluorodeoxyglucose ((18)F-FDG) using positron emission tomography (PET) combined with computed tomography (CT) in all twelve healthy male subjects (p = 0.001), and it increased resting metabolic rate (RMR) by 203 ± 40 kcal/day (+13%; p = 0.001). BAT metabolic activity was also a significant predictor of the changes in RMR (p = 0.006). Therefore, a β3-AR agonist can stimulate human BAT thermogenesis and may be a promising treatment for metabolic disease.","container-title":"Cell Metabolism","DOI":"10.1016/j.cmet.2014.12.009","ISSN":"1932-7420","issue":"1","journalAbbreviation":"Cell Metab","language":"eng","note":"PMID: 25565203\nPMCID: PMC4298351","page":"33-38","source":"PubMed","title":"Activation of human brown adipose tissue by a β3-adrenergic receptor agonist","volume":"21","author":[{"family":"Cypess","given":"Aaron M."},{"family":"Weiner","given":"Lauren S."},{"family":"Roberts-Toler","given":"Carla"},{"family":"Franquet Elía","given":"Elisa"},{"family":"Kessler","given":"Skyler H."},{"family":"Kahn","given":"Peter A."},{"family":"English","given":"Jeffrey"},{"family":"Chatman","given":"Kelly"},{"family":"Trauger","given":"Sunia A."},{"family":"Doria","given":"Alessandro"},{"family":"Kolodny","given":"Gerald M."}],"issued":{"date-parts":[["2015",1,6]]}}}],"schema":"https://github.com/citation-style-language/schema/raw/master/csl-citation.json"} </w:instrText>
      </w:r>
      <w:r w:rsidRPr="00735FCE">
        <w:fldChar w:fldCharType="separate"/>
      </w:r>
      <w:r w:rsidR="00281437" w:rsidRPr="00281437">
        <w:rPr>
          <w:vertAlign w:val="superscript"/>
        </w:rPr>
        <w:t>214</w:t>
      </w:r>
      <w:r w:rsidRPr="00735FCE">
        <w:fldChar w:fldCharType="end"/>
      </w:r>
      <w:r w:rsidRPr="00735FCE">
        <w:t>. However, the application of these findings in humans has been challenging due to the adverse cardiovascular side effects associated with the use of non-selective agonists</w:t>
      </w:r>
      <w:r>
        <w:t xml:space="preserve"> </w:t>
      </w:r>
      <w:r w:rsidRPr="00735FCE">
        <w:fldChar w:fldCharType="begin"/>
      </w:r>
      <w:r w:rsidR="00281437">
        <w:instrText xml:space="preserve"> ADDIN ZOTERO_ITEM CSL_CITATION {"citationID":"lrS35N8F","properties":{"formattedCitation":"\\super 214,215\\nosupersub{}","plainCitation":"214,215","noteIndex":0},"citationItems":[{"id":4016,"uris":["http://zotero.org/users/9622455/items/UC7RT6SP"],"itemData":{"id":4016,"type":"article-journal","abstract":"Increasing energy expenditure through activation of endogenous brown adipose tissue (BAT) is a potential approach to treat obesity and diabetes. The class of β3-adrenergic receptor (AR) agonists stimulates rodent BAT, but this activity has never been demonstrated in humans. Here we determined the ability of 200 mg oral mirabegron (Myrbetriq, Astellas Pharma, Inc.), a β3-AR agonist currently approved to treat overactive bladder, to stimulate BAT as compared to placebo. Mirabegron led to higher BAT metabolic activity as measured via (18)F-fluorodeoxyglucose ((18)F-FDG) using positron emission tomography (PET) combined with computed tomography (CT) in all twelve healthy male subjects (p = 0.001), and it increased resting metabolic rate (RMR) by 203 ± 40 kcal/day (+13%; p = 0.001). BAT metabolic activity was also a significant predictor of the changes in RMR (p = 0.006). Therefore, a β3-AR agonist can stimulate human BAT thermogenesis and may be a promising treatment for metabolic disease.","container-title":"Cell Metabolism","DOI":"10.1016/j.cmet.2014.12.009","ISSN":"1932-7420","issue":"1","journalAbbreviation":"Cell Metab","language":"eng","note":"PMID: 25565203\nPMCID: PMC4298351","page":"33-38","source":"PubMed","title":"Activation of human brown adipose tissue by a β3-adrenergic receptor agonist","volume":"21","author":[{"family":"Cypess","given":"Aaron M."},{"family":"Weiner","given":"Lauren S."},{"family":"Roberts-Toler","given":"Carla"},{"family":"Franquet Elía","given":"Elisa"},{"family":"Kessler","given":"Skyler H."},{"family":"Kahn","given":"Peter A."},{"family":"English","given":"Jeffrey"},{"family":"Chatman","given":"Kelly"},{"family":"Trauger","given":"Sunia A."},{"family":"Doria","given":"Alessandro"},{"family":"Kolodny","given":"Gerald M."}],"issued":{"date-parts":[["2015",1,6]]}}},{"id":4019,"uris":["http://zotero.org/users/9622455/items/XYHK26ML"],"itemData":{"id":4019,"type":"article-journal","abstract":"BACKGROUND. The induction of beige adipocytes in s.c. white adipose tissue (WAT) depots of humans is postulated to improve glucose and lipid metabolism in obesity. The ability of obese, insulin-resistant humans to induce beige adipose tissue is unknown., METHODS. We exposed lean and obese research participants to cold (30-minute ice pack application each day for 10 days of the upper thigh) or treated them with the β3 agonist mirabegron. We determined beige adipose marker expression by IHC and quantitative PCR, and we analyzed mitochondrial bioenergetics and UCP activity with an Oxytherm system., RESULTS. Cold significantly induced UCP1 and TMEM26 protein in both lean and obese subjects, and this response was not associated with age. Interestingly, these proteins increased to the same extent in s.c. WAT of the noniced contralateral leg, indicating a crossover effect. We further analyzed the bioenergetics of purified mitochondria from the abdominal s.c. WAT of cold-treated subjects and determined that repeat ice application significantly increased uncoupled respiration, consistent with the UCP1 protein induction and subsequent activation. Cold also increased State 3 and maximal respiration, and this effect on mitochondrial bioenergetics was stronger in summer than winter. Chronic treatment (10 weeks; 50 mg/day) with the β3 receptor agonist mirabegron induces UCP1, TMEM26, CIDEA, and phosphorylation of HSL on serine660 in obese subjects., CONCLUSION. Cold or β3 agonists cause the induction of beige adipose tissue in human s.c. WAT; this phenomenon may be exploited to increase beige adipose in older, insulin-resistant, obese individuals., TRIAL REGISTRATION. Clinicaltrials.gov NCT02596776, NCT02919176., FUNDING. NIH (DK107646, DK112282, P20GM103527, and by CTSA grant UL1TR001998)., Cold stimulates beige adipose formation equally in both lean and obese humans, and the beta3 agonist mirabegron treatment stimulates beiging in obese, insulin-resistant humans.","container-title":"JCI Insight","DOI":"10.1172/jci.insight.121510","ISSN":"2379-3708","issue":"15","journalAbbreviation":"JCI Insight","note":"PMID: 30089732\nPMCID: PMC6129119","page":"e121510","source":"PubMed Central","title":"Human adipose beiging in response to cold and mirabegron","volume":"3","author":[{"family":"Finlin","given":"Brian S."},{"family":"Memetimin","given":"Hasiyet"},{"family":"Confides","given":"Amy L."},{"family":"Kasza","given":"Ildiko"},{"family":"Zhu","given":"Beibei"},{"family":"Vekaria","given":"Hemendra J."},{"family":"Harfmann","given":"Brianna"},{"family":"Jones","given":"Kelly A."},{"family":"Johnson","given":"Zachary R."},{"family":"Westgate","given":"Philip M."},{"family":"Alexander","given":"Caroline M."},{"family":"Sullivan","given":"Patrick G."},{"family":"Dupont-Versteegden","given":"Esther E."},{"family":"Kern","given":"Philip A."}]}}],"schema":"https://github.com/citation-style-language/schema/raw/master/csl-citation.json"} </w:instrText>
      </w:r>
      <w:r w:rsidRPr="00735FCE">
        <w:fldChar w:fldCharType="separate"/>
      </w:r>
      <w:r w:rsidR="00281437" w:rsidRPr="00281437">
        <w:rPr>
          <w:vertAlign w:val="superscript"/>
        </w:rPr>
        <w:t>214,215</w:t>
      </w:r>
      <w:r w:rsidRPr="00735FCE">
        <w:fldChar w:fldCharType="end"/>
      </w:r>
      <w:r w:rsidRPr="00735FCE">
        <w:t xml:space="preserve">. A more refined treatment with mirabegron, a selective β3-AR agonist used to treat overactive bladder, has </w:t>
      </w:r>
      <w:r>
        <w:t xml:space="preserve">been </w:t>
      </w:r>
      <w:r w:rsidRPr="00735FCE">
        <w:t xml:space="preserve">shown </w:t>
      </w:r>
      <w:r>
        <w:t>to</w:t>
      </w:r>
      <w:r w:rsidRPr="00735FCE">
        <w:t xml:space="preserve"> activate BAT at a dose of 200 mg in healthy adults, </w:t>
      </w:r>
      <w:r>
        <w:t xml:space="preserve">with a slight increase in </w:t>
      </w:r>
      <w:r w:rsidRPr="00735FCE">
        <w:t xml:space="preserve">heart rate and blood pressure </w:t>
      </w:r>
      <w:r w:rsidRPr="00735FCE">
        <w:fldChar w:fldCharType="begin"/>
      </w:r>
      <w:r w:rsidR="00281437">
        <w:instrText xml:space="preserve"> ADDIN ZOTERO_ITEM CSL_CITATION {"citationID":"Ag6x68uq","properties":{"formattedCitation":"\\super 214\\nosupersub{}","plainCitation":"214","noteIndex":0},"citationItems":[{"id":4016,"uris":["http://zotero.org/users/9622455/items/UC7RT6SP"],"itemData":{"id":4016,"type":"article-journal","abstract":"Increasing energy expenditure through activation of endogenous brown adipose tissue (BAT) is a potential approach to treat obesity and diabetes. The class of β3-adrenergic receptor (AR) agonists stimulates rodent BAT, but this activity has never been demonstrated in humans. Here we determined the ability of 200 mg oral mirabegron (Myrbetriq, Astellas Pharma, Inc.), a β3-AR agonist currently approved to treat overactive bladder, to stimulate BAT as compared to placebo. Mirabegron led to higher BAT metabolic activity as measured via (18)F-fluorodeoxyglucose ((18)F-FDG) using positron emission tomography (PET) combined with computed tomography (CT) in all twelve healthy male subjects (p = 0.001), and it increased resting metabolic rate (RMR) by 203 ± 40 kcal/day (+13%; p = 0.001). BAT metabolic activity was also a significant predictor of the changes in RMR (p = 0.006). Therefore, a β3-AR agonist can stimulate human BAT thermogenesis and may be a promising treatment for metabolic disease.","container-title":"Cell Metabolism","DOI":"10.1016/j.cmet.2014.12.009","ISSN":"1932-7420","issue":"1","journalAbbreviation":"Cell Metab","language":"eng","note":"PMID: 25565203\nPMCID: PMC4298351","page":"33-38","source":"PubMed","title":"Activation of human brown adipose tissue by a β3-adrenergic receptor agonist","volume":"21","author":[{"family":"Cypess","given":"Aaron M."},{"family":"Weiner","given":"Lauren S."},{"family":"Roberts-Toler","given":"Carla"},{"family":"Franquet Elía","given":"Elisa"},{"family":"Kessler","given":"Skyler H."},{"family":"Kahn","given":"Peter A."},{"family":"English","given":"Jeffrey"},{"family":"Chatman","given":"Kelly"},{"family":"Trauger","given":"Sunia A."},{"family":"Doria","given":"Alessandro"},{"family":"Kolodny","given":"Gerald M."}],"issued":{"date-parts":[["2015",1,6]]}}}],"schema":"https://github.com/citation-style-language/schema/raw/master/csl-citation.json"} </w:instrText>
      </w:r>
      <w:r w:rsidRPr="00735FCE">
        <w:fldChar w:fldCharType="separate"/>
      </w:r>
      <w:r w:rsidR="00281437" w:rsidRPr="00281437">
        <w:rPr>
          <w:vertAlign w:val="superscript"/>
        </w:rPr>
        <w:t>214</w:t>
      </w:r>
      <w:r w:rsidRPr="00735FCE">
        <w:fldChar w:fldCharType="end"/>
      </w:r>
      <w:r w:rsidRPr="00735FCE">
        <w:t xml:space="preserve">. Furthermore, polymorphisms in β3-AR and G-proteins may modify </w:t>
      </w:r>
      <w:r>
        <w:t>an</w:t>
      </w:r>
      <w:r w:rsidRPr="00735FCE">
        <w:t xml:space="preserve"> individual</w:t>
      </w:r>
      <w:r>
        <w:t>’s</w:t>
      </w:r>
      <w:r w:rsidRPr="00735FCE">
        <w:t xml:space="preserve"> response to browning through changes in receptor coupling and lipolysis</w:t>
      </w:r>
      <w:r>
        <w:t xml:space="preserve"> </w:t>
      </w:r>
      <w:r w:rsidRPr="00735FCE">
        <w:fldChar w:fldCharType="begin"/>
      </w:r>
      <w:r w:rsidR="00281437">
        <w:instrText xml:space="preserve"> ADDIN ZOTERO_ITEM CSL_CITATION {"citationID":"hcfpmcts","properties":{"formattedCitation":"\\super 216\\nosupersub{}","plainCitation":"216","noteIndex":0},"citationItems":[{"id":4022,"uris":["http://zotero.org/users/9622455/items/7GMBDU2H"],"itemData":{"id":4022,"type":"article-journal","abstract":"Release of fatty acids (FAs) from adipose tissue through lipolysis in fat cells is a key event in many processes. FAs are not only energy substrates but also signalling molecules and substrates for lipoprotein production by the liver. Fat cells consist of&gt;95% triglycerides that are hydrolysed during lipolysis to glycerol and FAs. The major rate-limiting factor for lipolysis is hormone-sensitive lipase, but additional lipases such as adipose tissue triglyceride lipase may also play a role. The regulation of human fat cell lipolysis is, in many ways, species unique. Only catecholamines, insulin and natriuretic peptides have pronounced acute effects. Catecholamines influence lipolysis through four different adrenoceptor subtypes, in contrast to rodents where only one subtype (beta(3)) is of major importance. There are regional variations in adipocyte lipolysis leading to more release of FAs from the visceral than subcutaneous adipose tissue during hormone stimulation (insulin, catecholamines). Since, only visceral fat is linked to the liver (by the portal vein), alterations in visceral adipocyte tissue lipolysis have direct effects on the liver through portal FA release. The regional variations in lipolysis are further enhanced in obesity and polycystic ovarian syndrome, and are of importance for dyslipidaemia, hyperinsulinaemia and glucose intolerance in these conditions. There is a marked elevation of circulating FA levels among the obese, which may be due to enhanced production of tumour necrosis factor alpha in adipose tissue. This cytokine stimulates lipolysis through so-called MAP kinases. Pharmacological agents in clinical practice such as nicotinic acid and glitazones exert lipid-lowering and glucose-lowering effects, respectively, by decreasing FA output from the adipose tissue. This review covers the biochemistry, regulation and clinical aspects of human fat cell lipolysis.","container-title":"Best Practice &amp; Research. Clinical Endocrinology &amp; Metabolism","DOI":"10.1016/j.beem.2005.07.004","ISSN":"1521-690X","issue":"4","journalAbbreviation":"Best Pract Res Clin Endocrinol Metab","language":"eng","note":"PMID: 16311212","page":"471-482","source":"PubMed","title":"Human fat cell lipolysis: biochemistry, regulation and clinical role","title-short":"Human fat cell lipolysis","volume":"19","author":[{"family":"Arner","given":"Peter"}],"issued":{"date-parts":[["2005",12]]}}}],"schema":"https://github.com/citation-style-language/schema/raw/master/csl-citation.json"} </w:instrText>
      </w:r>
      <w:r w:rsidRPr="00735FCE">
        <w:fldChar w:fldCharType="separate"/>
      </w:r>
      <w:r w:rsidR="00281437" w:rsidRPr="00281437">
        <w:rPr>
          <w:vertAlign w:val="superscript"/>
        </w:rPr>
        <w:t>216</w:t>
      </w:r>
      <w:r w:rsidRPr="00735FCE">
        <w:fldChar w:fldCharType="end"/>
      </w:r>
      <w:r w:rsidRPr="00735FCE">
        <w:t xml:space="preserve">. Collectively, this demonstrates the importance of the β3-AR </w:t>
      </w:r>
      <w:r>
        <w:t>in</w:t>
      </w:r>
      <w:r w:rsidRPr="00735FCE">
        <w:t xml:space="preserve"> the thermogenic process.</w:t>
      </w:r>
    </w:p>
    <w:p w14:paraId="1A7C26AC" w14:textId="77777777" w:rsidR="009117C0" w:rsidRPr="00735FCE" w:rsidRDefault="009117C0" w:rsidP="00847BA5">
      <w:pPr>
        <w:pStyle w:val="Heading3"/>
        <w:jc w:val="left"/>
      </w:pPr>
      <w:bookmarkStart w:id="51" w:name="_Toc200988051"/>
      <w:bookmarkStart w:id="52" w:name="_Toc201001666"/>
      <w:bookmarkStart w:id="53" w:name="_Toc204848636"/>
      <w:r>
        <w:t>Thermal Stimulation in</w:t>
      </w:r>
      <w:r w:rsidRPr="00735FCE">
        <w:t xml:space="preserve"> </w:t>
      </w:r>
      <w:r>
        <w:t>B</w:t>
      </w:r>
      <w:r w:rsidRPr="00735FCE">
        <w:t>rowning</w:t>
      </w:r>
      <w:bookmarkEnd w:id="51"/>
      <w:bookmarkEnd w:id="52"/>
      <w:bookmarkEnd w:id="53"/>
    </w:p>
    <w:p w14:paraId="27E45D64" w14:textId="46A03D47" w:rsidR="009117C0" w:rsidRPr="00735FCE" w:rsidRDefault="009117C0" w:rsidP="00F5471F">
      <w:pPr>
        <w:ind w:firstLine="720"/>
        <w:jc w:val="left"/>
      </w:pPr>
      <w:r>
        <w:t>T</w:t>
      </w:r>
      <w:r w:rsidRPr="00735FCE">
        <w:t>hermal stimuli</w:t>
      </w:r>
      <w:r>
        <w:t xml:space="preserve">, cold exposure in particular, </w:t>
      </w:r>
      <w:r w:rsidRPr="00735FCE">
        <w:t>contribute to the activation of non-shivering thermogenesis</w:t>
      </w:r>
      <w:r>
        <w:t>,</w:t>
      </w:r>
      <w:r w:rsidRPr="00735FCE">
        <w:t xml:space="preserve"> which is </w:t>
      </w:r>
      <w:r>
        <w:t>essential</w:t>
      </w:r>
      <w:r w:rsidRPr="00735FCE">
        <w:t xml:space="preserve"> in the browning process</w:t>
      </w:r>
      <w:r>
        <w:t xml:space="preserve"> </w:t>
      </w:r>
      <w:r w:rsidRPr="00735FCE">
        <w:fldChar w:fldCharType="begin"/>
      </w:r>
      <w:r w:rsidR="00281437">
        <w:instrText xml:space="preserve"> ADDIN ZOTERO_ITEM CSL_CITATION {"citationID":"CA5cRFoj","properties":{"formattedCitation":"\\super 217,218\\nosupersub{}","plainCitation":"217,218","noteIndex":0},"citationItems":[{"id":4024,"uris":["http://zotero.org/users/9622455/items/8QJJBPIY"],"itemData":{"id":4024,"type":"article-journal","abstract":"Fever is a cardinal response to infection that has been conserved in warm-blooded and cold-blooded vertebrates for more than 600 million years of evolution. The fever response is executed by integrated physiological and neuronal circuitry and confers a survival benefit during infection. In this Review, we discuss our current understanding of how the inflammatory cues delivered by the thermal element of fever stimulate innate and adaptive immune responses. We further highlight the unexpected multiplicity of roles of the pyrogenic cytokine interleukin-6 (IL-6), both during fever induction and during the mobilization of lymphocytes to the lymphoid organs that are the staging ground for immune defence. We also discuss the emerging evidence suggesting that the adrenergic signalling pathways associated with thermogenesis shape immune cell function.","container-title":"Nature Reviews. Immunology","DOI":"10.1038/nri3843","ISSN":"1474-1741","issue":"6","journalAbbreviation":"Nat Rev Immunol","language":"eng","note":"PMID: 25976513\nPMCID: PMC4786079","page":"335-349","source":"PubMed","title":"Fever and the thermal regulation of immunity: the immune system feels the heat","title-short":"Fever and the thermal regulation of immunity","volume":"15","author":[{"family":"Evans","given":"Sharon S."},{"family":"Repasky","given":"Elizabeth A."},{"family":"Fisher","given":"Daniel T."}],"issued":{"date-parts":[["2015",6]]}}},{"id":4026,"uris":["http://zotero.org/users/9622455/items/IBKWYBCM"],"itemData":{"id":4026,"type":"article-journal","abstract":"Cold exposure in humans causes specific acute and chronic physiological responses. This paper will review both the acute and long-term physiological responses and external factors that impact these physiological responses. Acute physiological responses to cold exposure include cutaneous vasoconstriction and shivering thermogenesis which, respectively, decrease heat loss and increase metabolic heat production. Vasoconstriction is elicited through reflex and local cooling. In combination, vasoconstriction and shivering operate to maintain thermal balance when the body is losing heat. Factors (anthropometry, sex, race, fitness, thermoregulatory fatigue) that influence the acute physiological responses to cold exposure are also reviewed. The physiological responses to chronic cold exposure, also known as cold acclimation/acclimatization, are also presented. Three primary patterns of cold acclimatization have been observed, a) habituation, b) metabolic adjustment, and c) insulative adjustment. Habituation is characterized by physiological adjustments in which the response is attenuated compared to an unacclimatized state. Metabolic acclimatization is characterized by an increased thermogenesis, whereas insulative acclimatization is characterized by enhancing the mechanisms that conserve body heat. The pattern of acclimatization is dependent on changes in skin and core temperature and the exposure duration.","container-title":"Autonomic Neuroscience: Basic &amp; Clinical","DOI":"10.1016/j.autneu.2016.02.009","ISSN":"1872-7484","journalAbbreviation":"Auton Neurosci","language":"eng","note":"PMID: 26924539","page":"63-74","source":"PubMed","title":"Human physiological responses to cold exposure: Acute responses and acclimatization to prolonged exposure","title-short":"Human physiological responses to cold exposure","volume":"196","author":[{"family":"Castellani","given":"John W."},{"family":"Young","given":"Andrew J."}],"issued":{"date-parts":[["2016",4]]}}}],"schema":"https://github.com/citation-style-language/schema/raw/master/csl-citation.json"} </w:instrText>
      </w:r>
      <w:r w:rsidRPr="00735FCE">
        <w:fldChar w:fldCharType="separate"/>
      </w:r>
      <w:r w:rsidR="00281437" w:rsidRPr="00281437">
        <w:rPr>
          <w:vertAlign w:val="superscript"/>
        </w:rPr>
        <w:t>217,218</w:t>
      </w:r>
      <w:r w:rsidRPr="00735FCE">
        <w:fldChar w:fldCharType="end"/>
      </w:r>
      <w:r w:rsidRPr="00735FCE">
        <w:t xml:space="preserve">. The non-shivering thermogenesis </w:t>
      </w:r>
      <w:r>
        <w:t xml:space="preserve">is </w:t>
      </w:r>
      <w:r w:rsidRPr="00735FCE">
        <w:t>predominantly fueled by BAT and beige adipocytes</w:t>
      </w:r>
      <w:r>
        <w:t xml:space="preserve"> </w:t>
      </w:r>
      <w:r w:rsidRPr="00735FCE">
        <w:fldChar w:fldCharType="begin"/>
      </w:r>
      <w:r w:rsidR="00281437">
        <w:instrText xml:space="preserve"> ADDIN ZOTERO_ITEM CSL_CITATION {"citationID":"3WT67Wu8","properties":{"formattedCitation":"\\super 219\\nosupersub{}","plainCitation":"219","noteIndex":0},"citationItems":[{"id":2809,"uris":["http://zotero.org/users/9622455/items/83HQY46B"],"itemData":{"id":2809,"type":"article-journal","abstract":"Brown adipocytes constitute a specialized tissue in heat build-up (i.e., thermogenesis) due to their mitochondrial uncoupling capacity, as they express thermogenic genes, playing a role in the energy metabolism of the whole body in mammals through non-shivering thermogenesis. Beige adipocytes originate in white adipose tissue (WAT) through the tissue browning process and are phenotypically similar to brown adipocytes. Considering that the activity of these cells is essential to reduce the incidence of metabolic diseases, including obesity, type 2 diabetes, and dyslipidemia, the stimulation of the brown fat and the development of beige adipose tissue has become a promising therapeutic target to treat clinical conditions. Due to the low amount of brown adipose tissue (BAT) in human adults, both phenomena (i.e., activation of brown and development of beige adipocytes) are related to better control of body weight, adiposity, insulin resistance, and hyperlipidemia. This review focuses on the comprehensively discussion of the metabolic importance of BAT activation and/or browning of WAT, and approaches that lead to the biogenesis of these thermogenic fats, such as cold exposure, thyroid hormones, physical exercise, diet and pharmacological agents (i.e., β3-adrenergic receptor agonist, glucagon-like peptide 1, mineralocorticoid receptor antagonists, ephedrine). These stimulatory agents have shown promise in activating BAT in humans. Frow our review, concluded that there are still many obstacles to be overcome in the upcoming years to better assess the real impact of BAT activation on metabolic health (i.e., absence of insulin resistance and metabolic syndrome), and elucidate many questions surrounding BAT physiology, so that this organ can indeed be considered an attractive therapeutic target for the prevention and reversal of obesity and metabolic disorders.","container-title":"Health Sciences Review","DOI":"10.1016/j.hsr.2024.100148","ISSN":"2772-6320","journalAbbreviation":"Health Sciences Review","page":"100148","source":"ScienceDirect","title":"Brown and beige adipose tissue: New therapeutic targets for metabolic disorders","title-short":"Brown and beige adipose tissue","volume":"10","author":[{"family":"Magro","given":"Bruno Souza"},{"family":"Dias","given":"Daniel Penteado Martins"}],"issued":{"date-parts":[["2024",3,1]]}}}],"schema":"https://github.com/citation-style-language/schema/raw/master/csl-citation.json"} </w:instrText>
      </w:r>
      <w:r w:rsidRPr="00735FCE">
        <w:fldChar w:fldCharType="separate"/>
      </w:r>
      <w:r w:rsidR="00281437" w:rsidRPr="00281437">
        <w:rPr>
          <w:vertAlign w:val="superscript"/>
        </w:rPr>
        <w:t>219</w:t>
      </w:r>
      <w:r w:rsidRPr="00735FCE">
        <w:fldChar w:fldCharType="end"/>
      </w:r>
      <w:r w:rsidRPr="00735FCE">
        <w:t xml:space="preserve">. This process is initiated by thermal sensory input from cutaneous thermoreceptors, which </w:t>
      </w:r>
      <w:r>
        <w:t xml:space="preserve">are then </w:t>
      </w:r>
      <w:r w:rsidRPr="00735FCE">
        <w:t>transmitted through afferent nerves to the central nervous system (CNS)</w:t>
      </w:r>
      <w:r>
        <w:t xml:space="preserve"> </w:t>
      </w:r>
      <w:r w:rsidRPr="00735FCE">
        <w:fldChar w:fldCharType="begin"/>
      </w:r>
      <w:r w:rsidR="00281437">
        <w:instrText xml:space="preserve"> ADDIN ZOTERO_ITEM CSL_CITATION {"citationID":"9YTQkjMF","properties":{"formattedCitation":"\\super 220,221\\nosupersub{}","plainCitation":"220,221","noteIndex":0},"citationItems":[{"id":4030,"uris":["http://zotero.org/users/9622455/items/9GL8H5JF"],"itemData":{"id":4030,"type":"article-journal","abstract":"Central neural circuits orchestrate the homeostatic repertoire that maintains body temperature during environmental temperature challenges and alters body temperature during the inflammatory response. This review summarizes the experimental underpinnings of our current model of the CNS pathways controlling the principal thermoeffectors for body temperature regulation: cutaneous vasoconstriction controlling heat loss, and shivering and brown adipose tissue for thermogenesis. The activation of these effectors is regulated by parallel but distinct, effector-specific, core efferent pathways within the CNS that share a common peripheral thermal sensory input. Via the lateral parabrachial nucleus, skin thermal afferent input reaches the hypothalamic preoptic area to inhibit warm-sensitive, inhibitory output neurons which control heat production by inhibiting thermogenesis-promoting neurons in the dorsomedial hypothalamus that project to thermogenesis-controlling premotor neurons in the rostral ventromedial medulla, including the raphe pallidus, that descend to provide the excitation of spinal circuits necessary to drive thermogenic thermal effectors. A distinct population of warm-sensitive preoptic neurons controls heat loss through an inhibitory input to raphe pallidus sympathetic premotor neurons controlling cutaneous vasoconstriction. The model proposed for central thermoregulatory control provides a useful platform for further understanding of the functional organization of central thermoregulation and elucidating the hypothalamic circuitry and neurotransmitters involved in body temperature regulation.","container-title":"Autonomic Neuroscience: Basic &amp; Clinical","DOI":"10.1016/j.autneu.2016.02.010","ISSN":"1872-7484","journalAbbreviation":"Auton Neurosci","language":"eng","note":"PMID: 26924538\nPMCID: PMC4846468","page":"14-24","source":"PubMed","title":"Central neural control of thermoregulation and brown adipose tissue","volume":"196","author":[{"family":"Morrison","given":"Shaun F."}],"issued":{"date-parts":[["2016",4]]}}},{"id":4028,"uris":["http://zotero.org/users/9622455/items/YX5FK2GV"],"itemData":{"id":4028,"type":"article-journal","abstract":"In mammals and birds, conservation of body heat at around 37 °C is vital to life. Thermogenesis is the production of this heat which can be obligatory, as in basal metabolic rate, or it can be facultative such as the response to cold. A complex regulatory system has evolved which senses environmental or core temperature and integrates this information in hypothalamic regions such as the preoptic area and dorsomedial hypothalamus. These areas then send the appropriate signals to generate and conserve heat (or dissipate it). In this review, the importance of the sympathetic nervous system is discussed in relation to its role in basal metabolic rate and adaptive thermogenesis with a particular emphasis to human obesity. The efferent sympathetic pathway does not uniformly act on all tissues; different tissues can receive different levels of sympathetic drive at the same time. This is an important concept in the discussion of the pharmacotherapy of obesity. Despite decades of work the medicine chest contains only one pill for the long term treatment of obesity, orlistat, a lipase inhibitor that prevents the absorption of lipid from the gut and is itself not systemically absorbed. The central controlling system for thermogenesis has many potential intervention points. Several drugs, previously marketed, awaiting approval or in the earlier stages of development may have a thermogenic effect via activation of the sympathetic nervous system at some point in the thermoregulatory circuit and are discussed in this review. If the balance is weighted to the \"wrong\" side there is the burden of increased cardiovascular risk while a shift to the \"right\" side, if possible, will afford a thermogenic benefit that is conducive to weight loss maintenance. This article is part of a Special Issue entitled 'Central Control Food Intake'","container-title":"Neuropharmacology","DOI":"10.1016/j.neuropharm.2011.10.014","ISSN":"1873-7064","issue":"1","journalAbbreviation":"Neuropharmacology","language":"eng","note":"PMID: 22063719","page":"111-123","source":"PubMed","title":"Central control of thermogenesis","volume":"63","author":[{"family":"Clapham","given":"John C."}],"issued":{"date-parts":[["2012",7]]}}}],"schema":"https://github.com/citation-style-language/schema/raw/master/csl-citation.json"} </w:instrText>
      </w:r>
      <w:r w:rsidRPr="00735FCE">
        <w:fldChar w:fldCharType="separate"/>
      </w:r>
      <w:r w:rsidR="00281437" w:rsidRPr="00281437">
        <w:rPr>
          <w:vertAlign w:val="superscript"/>
        </w:rPr>
        <w:t>220,221</w:t>
      </w:r>
      <w:r w:rsidRPr="00735FCE">
        <w:fldChar w:fldCharType="end"/>
      </w:r>
      <w:r w:rsidRPr="00735FCE">
        <w:t>. Sympathetic nerves</w:t>
      </w:r>
      <w:r>
        <w:t>,</w:t>
      </w:r>
      <w:r w:rsidRPr="00735FCE">
        <w:t xml:space="preserve"> in turn</w:t>
      </w:r>
      <w:r>
        <w:t>,</w:t>
      </w:r>
      <w:r w:rsidRPr="00735FCE">
        <w:t xml:space="preserve"> release norepinephrine, which binds to β3-ARs and </w:t>
      </w:r>
      <w:r>
        <w:t>induces</w:t>
      </w:r>
      <w:r w:rsidRPr="00735FCE">
        <w:t xml:space="preserve"> </w:t>
      </w:r>
      <w:r>
        <w:t xml:space="preserve">the </w:t>
      </w:r>
      <w:r w:rsidRPr="00735FCE">
        <w:t>expression of thermogenic genes</w:t>
      </w:r>
      <w:r>
        <w:t xml:space="preserve">, such as </w:t>
      </w:r>
      <w:r w:rsidRPr="00735FCE">
        <w:t>UCP1</w:t>
      </w:r>
      <w:r>
        <w:t>,</w:t>
      </w:r>
      <w:r w:rsidRPr="00735FCE">
        <w:t xml:space="preserve"> and the</w:t>
      </w:r>
      <w:r>
        <w:t xml:space="preserve"> oxidation of</w:t>
      </w:r>
      <w:r w:rsidRPr="00735FCE">
        <w:t xml:space="preserve"> </w:t>
      </w:r>
      <w:r>
        <w:t>free fatty acids (</w:t>
      </w:r>
      <w:r w:rsidRPr="00735FCE">
        <w:t>F</w:t>
      </w:r>
      <w:r>
        <w:t>F</w:t>
      </w:r>
      <w:r w:rsidRPr="00735FCE">
        <w:t>As</w:t>
      </w:r>
      <w:r>
        <w:t xml:space="preserve">) </w:t>
      </w:r>
      <w:r w:rsidRPr="00735FCE">
        <w:fldChar w:fldCharType="begin"/>
      </w:r>
      <w:r w:rsidR="00281437">
        <w:instrText xml:space="preserve"> ADDIN ZOTERO_ITEM CSL_CITATION {"citationID":"a1voo4chu2t","properties":{"formattedCitation":"\\super 220\\nosupersub{}","plainCitation":"220","noteIndex":0},"citationItems":[{"id":4030,"uris":["http://zotero.org/users/9622455/items/9GL8H5JF"],"itemData":{"id":4030,"type":"article-journal","abstract":"Central neural circuits orchestrate the homeostatic repertoire that maintains body temperature during environmental temperature challenges and alters body temperature during the inflammatory response. This review summarizes the experimental underpinnings of our current model of the CNS pathways controlling the principal thermoeffectors for body temperature regulation: cutaneous vasoconstriction controlling heat loss, and shivering and brown adipose tissue for thermogenesis. The activation of these effectors is regulated by parallel but distinct, effector-specific, core efferent pathways within the CNS that share a common peripheral thermal sensory input. Via the lateral parabrachial nucleus, skin thermal afferent input reaches the hypothalamic preoptic area to inhibit warm-sensitive, inhibitory output neurons which control heat production by inhibiting thermogenesis-promoting neurons in the dorsomedial hypothalamus that project to thermogenesis-controlling premotor neurons in the rostral ventromedial medulla, including the raphe pallidus, that descend to provide the excitation of spinal circuits necessary to drive thermogenic thermal effectors. A distinct population of warm-sensitive preoptic neurons controls heat loss through an inhibitory input to raphe pallidus sympathetic premotor neurons controlling cutaneous vasoconstriction. The model proposed for central thermoregulatory control provides a useful platform for further understanding of the functional organization of central thermoregulation and elucidating the hypothalamic circuitry and neurotransmitters involved in body temperature regulation.","container-title":"Autonomic Neuroscience: Basic &amp; Clinical","DOI":"10.1016/j.autneu.2016.02.010","ISSN":"1872-7484","journalAbbreviation":"Auton Neurosci","language":"eng","note":"PMID: 26924538\nPMCID: PMC4846468","page":"14-24","source":"PubMed","title":"Central neural control of thermoregulation and brown adipose tissue","volume":"196","author":[{"family":"Morrison","given":"Shaun F."}],"issued":{"date-parts":[["2016",4]]}}}],"schema":"https://github.com/citation-style-language/schema/raw/master/csl-citation.json"} </w:instrText>
      </w:r>
      <w:r w:rsidRPr="00735FCE">
        <w:fldChar w:fldCharType="separate"/>
      </w:r>
      <w:r w:rsidR="00281437" w:rsidRPr="00281437">
        <w:rPr>
          <w:vertAlign w:val="superscript"/>
        </w:rPr>
        <w:t>220</w:t>
      </w:r>
      <w:r w:rsidRPr="00735FCE">
        <w:fldChar w:fldCharType="end"/>
      </w:r>
      <w:r w:rsidRPr="00735FCE">
        <w:t>. These alterations lead to increased heat production and browning of WAT</w:t>
      </w:r>
      <w:r>
        <w:t xml:space="preserve"> </w:t>
      </w:r>
      <w:r w:rsidRPr="00735FCE">
        <w:fldChar w:fldCharType="begin"/>
      </w:r>
      <w:r w:rsidR="00281437">
        <w:instrText xml:space="preserve"> ADDIN ZOTERO_ITEM CSL_CITATION {"citationID":"he2a1iqA","properties":{"formattedCitation":"\\super 214,222\\nosupersub{}","plainCitation":"214,222","noteIndex":0},"citationItems":[{"id":4016,"uris":["http://zotero.org/users/9622455/items/UC7RT6SP"],"itemData":{"id":4016,"type":"article-journal","abstract":"Increasing energy expenditure through activation of endogenous brown adipose tissue (BAT) is a potential approach to treat obesity and diabetes. The class of β3-adrenergic receptor (AR) agonists stimulates rodent BAT, but this activity has never been demonstrated in humans. Here we determined the ability of 200 mg oral mirabegron (Myrbetriq, Astellas Pharma, Inc.), a β3-AR agonist currently approved to treat overactive bladder, to stimulate BAT as compared to placebo. Mirabegron led to higher BAT metabolic activity as measured via (18)F-fluorodeoxyglucose ((18)F-FDG) using positron emission tomography (PET) combined with computed tomography (CT) in all twelve healthy male subjects (p = 0.001), and it increased resting metabolic rate (RMR) by 203 ± 40 kcal/day (+13%; p = 0.001). BAT metabolic activity was also a significant predictor of the changes in RMR (p = 0.006). Therefore, a β3-AR agonist can stimulate human BAT thermogenesis and may be a promising treatment for metabolic disease.","container-title":"Cell Metabolism","DOI":"10.1016/j.cmet.2014.12.009","ISSN":"1932-7420","issue":"1","journalAbbreviation":"Cell Metab","language":"eng","note":"PMID: 25565203\nPMCID: PMC4298351","page":"33-38","source":"PubMed","title":"Activation of human brown adipose tissue by a β3-adrenergic receptor agonist","volume":"21","author":[{"family":"Cypess","given":"Aaron M."},{"family":"Weiner","given":"Lauren S."},{"family":"Roberts-Toler","given":"Carla"},{"family":"Franquet Elía","given":"Elisa"},{"family":"Kessler","given":"Skyler H."},{"family":"Kahn","given":"Peter A."},{"family":"English","given":"Jeffrey"},{"family":"Chatman","given":"Kelly"},{"family":"Trauger","given":"Sunia A."},{"family":"Doria","given":"Alessandro"},{"family":"Kolodny","given":"Gerald M."}],"issued":{"date-parts":[["2015",1,6]]}}},{"id":4035,"uris":["http://zotero.org/users/9622455/items/8RGUTE72"],"itemData":{"id":4035,"type":"article-journal","abstract":"Cold exposure or β3-adrenoceptor agonist treatment induces the adipose tissues remodeling, relevant for beige adipogenesis within white adipose tissue (WAT). It remains unclear whether this process influences inflammatory adipokines expression in adipose tissues. We determine the temporal profile of cold or β3-adrenoceptor agonist (CL316,243)-induced changes in the expression of inflammatory adipokines in adipose tissues in mice or primary mice adipocytes. Male C57BL/6J mice at eight weeks old were exposed to 4 °C for 1–5 days. Interscapular brown adipose tissue (iBAT), inguinal subcutaneous WAT (sWAT) and epididymal WAT (eWAT) were harvested for gene and protein expression analysis. In addition, cultured primary mice brown adipocyte (BA) and white adipocyte (WA) treated with or without CL316,243 were harvested for gene expression analysis. The inflammatory adipokines expressed significantly higher in WAT than BAT at baseline. They were rapidly changed in iBAT, while down-regulated in sWAT and up-regulated in eWAT during the cold acclimation. Upon CL316,243 treatment, detected inflammatory adipokines except Leptin were transiently increased in both BA and WA. Our in vivo and in vitro data demonstrate that the browning process alters the inflammatory adipokines expression in adipose tissues, which is acutely responded to in iBAT, dynamically decreased in sWAT whilst increased in eWAT for compensation.","container-title":"International Journal of Molecular Sciences","DOI":"10.3390/ijms17050795","ISSN":"1422-0067","issue":"5","journalAbbreviation":"Int J Mol Sci","note":"PMID: 27223282\nPMCID: PMC4881611","page":"795","source":"PubMed Central","title":"Cold-Induced Browning Dynamically Alters the Expression Profiles of Inflammatory Adipokines with Tissue Specificity in Mice","volume":"17","author":[{"family":"Luo","given":"Xiao"},{"family":"Jia","given":"Ru"},{"family":"Zhang","given":"Qiangling"},{"family":"Sun","given":"Bo"},{"family":"Yan","given":"Jianqun"}],"issued":{"date-parts":[["2016",5,23]]}}}],"schema":"https://github.com/citation-style-language/schema/raw/master/csl-citation.json"} </w:instrText>
      </w:r>
      <w:r w:rsidRPr="00735FCE">
        <w:fldChar w:fldCharType="separate"/>
      </w:r>
      <w:r w:rsidR="00281437" w:rsidRPr="00281437">
        <w:rPr>
          <w:vertAlign w:val="superscript"/>
        </w:rPr>
        <w:t>214,222</w:t>
      </w:r>
      <w:r w:rsidRPr="00735FCE">
        <w:fldChar w:fldCharType="end"/>
      </w:r>
      <w:r w:rsidRPr="00735FCE">
        <w:t>. Other changes include</w:t>
      </w:r>
      <w:r>
        <w:t xml:space="preserve"> the</w:t>
      </w:r>
      <w:r w:rsidRPr="00735FCE">
        <w:t xml:space="preserve"> induction of Zinc-α2-glycoprotein (ZAG)</w:t>
      </w:r>
      <w:r>
        <w:t>,</w:t>
      </w:r>
      <w:r w:rsidRPr="00735FCE">
        <w:t xml:space="preserve"> leading to increased secretion of adipokines and metabolic activation in BAT and WAT tissues</w:t>
      </w:r>
      <w:r>
        <w:t xml:space="preserve"> </w:t>
      </w:r>
      <w:r w:rsidRPr="00735FCE">
        <w:fldChar w:fldCharType="begin"/>
      </w:r>
      <w:r w:rsidR="00281437">
        <w:instrText xml:space="preserve"> ADDIN ZOTERO_ITEM CSL_CITATION {"citationID":"Fo4iM3Fs","properties":{"formattedCitation":"\\super 223\\nosupersub{}","plainCitation":"223","noteIndex":0},"citationItems":[{"id":4033,"uris":["http://zotero.org/users/9622455/items/T65C2L2Q"],"itemData":{"id":4033,"type":"article-journal","abstract":"The promotion of white adipose tissue (WAT) browning has emerged as a promising therapeutic target to increase energy expenditure and decrease weight gain. Zinc-α2-glycoprotein (ZAG) is a newly identified adipokine that regulates lipid metabolism. It shows high expression in brown adipose tissue (BAT), but whether ZAG plays a key role in the browning of white adipose tissue is still largely unclear. In the present study, we explored the relationship between ZAG and the browning of WAT in cold-exposed ZAG knockout (KO) mice and 3T3-L1 adipocytes with overexpressed ZAG. The results showed that cold stress induced marked accumulation of ZAG in wild type (WT) mice. Additionally, ZAG deficiency inhibited the loss of body weight and adipose tissue weight in cold stressed mice. ZAG KO mice were resistant to cold-induced expression of browning markers and energy metabolism in WAT. Furthermore, replenishment ZAG plasmid improved the reduction in cold-induced browning of WAT in ZAG KO mice. In vitro, ZAG overexpression promoted browning and mitochondrial biogenesis and increased the expression of β3-AR and P-P38 in 3T3-L1 adipocytes. These findings demonstrate that ZAG can promote the browning of white adipose tissue and can serve as a potential therapeutic target for treating metabolic diseases such as obesity.","container-title":"Molecular and Cellular Endocrinology","DOI":"10.1016/j.mce.2019.110669","ISSN":"1872-8057","journalAbbreviation":"Mol Cell Endocrinol","language":"eng","note":"PMID: 31790716","page":"110669","source":"PubMed","title":"Zinc-α2-glycoprotein promotes browning of white adipose tissue in cold-exposed male mice","volume":"501","author":[{"family":"Fan","given":"Guoqiang"},{"family":"Dang","given":"Xiaobo"},{"family":"Li","given":"Yanfei"},{"family":"Chen","given":"Jinglong"},{"family":"Zhao","given":"Ruqian"},{"family":"Yang","given":"Xiaojing"}],"issued":{"date-parts":[["2020",2,5]]}}}],"schema":"https://github.com/citation-style-language/schema/raw/master/csl-citation.json"} </w:instrText>
      </w:r>
      <w:r w:rsidRPr="00735FCE">
        <w:fldChar w:fldCharType="separate"/>
      </w:r>
      <w:r w:rsidR="00281437" w:rsidRPr="00281437">
        <w:rPr>
          <w:vertAlign w:val="superscript"/>
        </w:rPr>
        <w:t>223</w:t>
      </w:r>
      <w:r w:rsidRPr="00735FCE">
        <w:fldChar w:fldCharType="end"/>
      </w:r>
      <w:r w:rsidRPr="00735FCE">
        <w:t>.</w:t>
      </w:r>
    </w:p>
    <w:p w14:paraId="7EDF950C" w14:textId="0D6BCDBF" w:rsidR="009117C0" w:rsidRPr="00735FCE" w:rsidRDefault="009117C0" w:rsidP="00F5471F">
      <w:pPr>
        <w:ind w:firstLine="720"/>
        <w:jc w:val="left"/>
      </w:pPr>
      <w:r w:rsidRPr="00735FCE">
        <w:t xml:space="preserve">Although compelling results were found from rodent models, the applicability of cold-induced browning in humans is challenging. Clinical studies have </w:t>
      </w:r>
      <w:r>
        <w:t>shown</w:t>
      </w:r>
      <w:r w:rsidRPr="00735FCE">
        <w:t xml:space="preserve"> that only around half of BAT in human subjects </w:t>
      </w:r>
      <w:r>
        <w:t>is</w:t>
      </w:r>
      <w:r w:rsidRPr="00735FCE">
        <w:t xml:space="preserve"> responsive to cold exposure, resulting in limited thermogenic activity</w:t>
      </w:r>
      <w:r>
        <w:t xml:space="preserve"> </w:t>
      </w:r>
      <w:r w:rsidRPr="00735FCE">
        <w:lastRenderedPageBreak/>
        <w:fldChar w:fldCharType="begin"/>
      </w:r>
      <w:r w:rsidR="00281437">
        <w:instrText xml:space="preserve"> ADDIN ZOTERO_ITEM CSL_CITATION {"citationID":"qiYCYHQd","properties":{"formattedCitation":"\\super 224\\nosupersub{}","plainCitation":"224","noteIndex":0},"citationItems":[{"id":3524,"uris":["http://zotero.org/users/9622455/items/CUI8MQ9Z"],"itemData":{"id":3524,"type":"article-journal","abstract":"Human brown adipose tissue (BAT) can be activated to increase glucose uptake and energy expenditure, making it a potential target for treating obesity and metabolic disease. Data on the functional and anatomic characteristics of BAT are limited, however. In 20 healthy young men [12 lean, mean body mass index (BMI) 23.2 ± 1.9 kg/m2; 8 obese, BMI 34.8 ± 3.3 kg/m2] after 5 h of tolerable cold exposure, we measured BAT volume and activity by 18F-labeled fluorodeoxyglucose positron emission tomography/computerized tomography (PET/CT). Obese men had less activated BAT than lean men (mean, 130 vs. 334 mL) but more fat in BAT-containing depots (mean, 1,646 vs. 855 mL) with a wide range (0.1–71%) in the ratio of activated BAT to inactive fat between individuals. Six anatomic regions had activated BAT—cervical, supraclavicular, axillary, mediastinal, paraspinal, and abdominal—with 67 ± 20% of all activated BAT concentrated in a continuous fascial layer comprising the first three depots in the upper torso. These nonsubcutaneous fat depots amounted to 1.5% of total body mass (4.3% of total fat mass), and up to 90% of each depot could be activated BAT. The amount and activity of BAT was significantly influenced by region of interest selection methods, PET threshold criteria, and PET resolutions. The present study suggests that active BAT can be found in specific adipose depots in adult humans, but less than one-half of the fat in these depots is stimulated by acute cold exposure, demonstrating a previously underappreciated thermogenic potential.","container-title":"Proceedings of the National Academy of Sciences","DOI":"10.1073/pnas.1705287114","issue":"32","note":"publisher: Proceedings of the National Academy of Sciences","page":"8649-8654","source":"pnas.org (Atypon)","title":"Mapping of human brown adipose tissue in lean and obese young men","volume":"114","author":[{"family":"Leitner","given":"Brooks P."},{"family":"Huang","given":"Shan"},{"family":"Brychta","given":"Robert J."},{"family":"Duckworth","given":"Courtney J."},{"family":"Baskin","given":"Alison S."},{"family":"McGehee","given":"Suzanne"},{"family":"Tal","given":"Ilan"},{"family":"Dieckmann","given":"William"},{"family":"Gupta","given":"Garima"},{"family":"Kolodny","given":"Gerald M."},{"family":"Pacak","given":"Karel"},{"family":"Herscovitch","given":"Peter"},{"family":"Cypess","given":"Aaron M."},{"family":"Chen","given":"Kong Y."}],"issued":{"date-parts":[["2017",8,8]]}}}],"schema":"https://github.com/citation-style-language/schema/raw/master/csl-citation.json"} </w:instrText>
      </w:r>
      <w:r w:rsidRPr="00735FCE">
        <w:fldChar w:fldCharType="separate"/>
      </w:r>
      <w:r w:rsidR="00281437" w:rsidRPr="00281437">
        <w:rPr>
          <w:vertAlign w:val="superscript"/>
        </w:rPr>
        <w:t>224</w:t>
      </w:r>
      <w:r w:rsidRPr="00735FCE">
        <w:fldChar w:fldCharType="end"/>
      </w:r>
      <w:r w:rsidRPr="00735FCE">
        <w:t xml:space="preserve">. In addition, </w:t>
      </w:r>
      <w:r>
        <w:t>individual</w:t>
      </w:r>
      <w:r w:rsidRPr="00735FCE">
        <w:t xml:space="preserve">s with obesity are noted to have impaired cold tolerance and lower energy expenditure in </w:t>
      </w:r>
      <w:r>
        <w:t xml:space="preserve">a </w:t>
      </w:r>
      <w:r w:rsidRPr="00735FCE">
        <w:t>cold environment</w:t>
      </w:r>
      <w:r>
        <w:t xml:space="preserve"> </w:t>
      </w:r>
      <w:r w:rsidRPr="00735FCE">
        <w:fldChar w:fldCharType="begin"/>
      </w:r>
      <w:r w:rsidR="00281437">
        <w:instrText xml:space="preserve"> ADDIN ZOTERO_ITEM CSL_CITATION {"citationID":"yvgW2DGe","properties":{"formattedCitation":"\\super 225\\nosupersub{}","plainCitation":"225","noteIndex":0},"citationItems":[{"id":3526,"uris":["http://zotero.org/users/9622455/items/4C3IB99Y"],"itemData":{"id":3526,"type":"article-journal","abstract":"Cold exposure increases energy expenditure (EE) and could have a role in combating obesity. To understand this potential, we determined the capacity for cold-induced thermogenesis (CIT), the EE increase above the basal metabolic rate at the individualized coldest tolerable temperature before overt shivering.During a 13-day inpatient protocol, we quantitated the EE of 12 lean men and 9 men with obesity at various randomly ordered ambient temperatures in a room calorimeter. Subjects underwent brown fat imaging after exposure to their coldest tolerable temperature.CIT capacity was 300 ± 218 kcal/d (mean ± SD) or 17 ± 11% in lean men and 125 ± 146 kcal/d or 6 ± 7% in men with obesity (P = 0.01). The temperature below which EE increased, lower critical temperature (Tlc), was warmer in lean men than men with obesity (22.9 ± 1.2 vs 21.1 ± 1.7°C, P = 0.03), but both had similar skin temperature (Tskin) changes and coldest tolerable temperatures. Whereas lean subjects had higher brown fat activity, skeletal muscle activity increased synchronously with CIT beginning at the Tlc in both groups, indicating that muscle is recruited for CIT in parallel with brown fat, not sequentially after nonshivering thermogenesis is maximal.Despite greater insulation from fat, men with obesity had a narrower range of tolerable cool temperatures available for increasing EE and less capacity for CIT than lean men, likely as a result of greater basal heat production and similar perception to Tskin cooling. Further study of the reduced CIT capacity in men with obesity may inform treatment opportunities for obesity.","container-title":"The Journal of Clinical Endocrinology &amp; Metabolism","DOI":"10.1210/jc.2019-00728","ISSN":"0021-972X","issue":"10","journalAbbreviation":"The Journal of Clinical Endocrinology &amp; Metabolism","page":"4865-4878","source":"Silverchair","title":"Quantification of the Capacity for Cold-Induced Thermogenesis in Young Men With and Without Obesity","volume":"104","author":[{"family":"Brychta","given":"Robert J"},{"family":"Huang","given":"Shan"},{"family":"Wang","given":"Juan"},{"family":"Leitner","given":"Brooks P"},{"family":"Hattenbach","given":"Jacob D"},{"family":"Bell","given":"Sarah L"},{"family":"Fletcher","given":"Laura A"},{"family":"Perron Wood","given":"Rachel"},{"family":"Idelson","given":"Christopher R"},{"family":"Duckworth","given":"Courtney J"},{"family":"McGehee","given":"Suzanne"},{"family":"Courville","given":"Amber B"},{"family":"Bernstein","given":"Shanna B"},{"family":"Reitman","given":"Marc L"},{"family":"Cypess","given":"Aaron M"},{"family":"Chen","given":"Kong Y"}],"issued":{"date-parts":[["2019",10,1]]}}}],"schema":"https://github.com/citation-style-language/schema/raw/master/csl-citation.json"} </w:instrText>
      </w:r>
      <w:r w:rsidRPr="00735FCE">
        <w:fldChar w:fldCharType="separate"/>
      </w:r>
      <w:r w:rsidR="00281437" w:rsidRPr="00281437">
        <w:rPr>
          <w:vertAlign w:val="superscript"/>
        </w:rPr>
        <w:t>225</w:t>
      </w:r>
      <w:r w:rsidRPr="00735FCE">
        <w:fldChar w:fldCharType="end"/>
      </w:r>
      <w:r w:rsidRPr="00735FCE">
        <w:t xml:space="preserve">. Systemic climate factors may also </w:t>
      </w:r>
      <w:r>
        <w:t>influence</w:t>
      </w:r>
      <w:r w:rsidRPr="00735FCE">
        <w:t xml:space="preserve"> BAT activity. For example, research conducted in the United States shows that higher ambient temperatures are associated with poorer glycemic control, increased rates of obesity, and lower BAT activity</w:t>
      </w:r>
      <w:r>
        <w:t xml:space="preserve"> </w:t>
      </w:r>
      <w:r w:rsidRPr="00735FCE">
        <w:fldChar w:fldCharType="begin"/>
      </w:r>
      <w:r w:rsidR="00281437">
        <w:instrText xml:space="preserve"> ADDIN ZOTERO_ITEM CSL_CITATION {"citationID":"Szx5XgkV","properties":{"formattedCitation":"\\super 226\\nosupersub{}","plainCitation":"226","noteIndex":0},"citationItems":[{"id":3522,"uris":["http://zotero.org/users/9622455/items/HGQC27LP"],"itemData":{"id":3522,"type":"article-journal","abstract":"Most published studies of thermoregulatory responses of mice to LPS involved a stressful injection of LPS, were run at a poorly controlled and often subneutral ambient temperature (Ta), and paid little attention to the dependence of the response on the LPS dose. These pitfalls have been overcome in the present study. Male C57BL/6 mice implanted with jugular vein catheters were kept in an environmental chamber at a tightly controlled Ta. The relationship between the Tas used and the thermoneutral zone of the mice was verified by measuring tail skin temperature, either by infrared thermography or thermocouple thermometry. Escherichia coli LPS in a wide dose range (100-104 μg/kg) was administered through an extension of the jugular catheter from outside the chamber. The responses observed were dose dependent. At a neutral Ta, low (just suprathreshold) doses of LPS (100-101 μg/kg) caused a monophasic fever. To a slightly higher dose (101.5 μg/kg), the mice responded with a biphasic fever. To even higher doses (101.75-104 μg/kg), they responded with a polyphasic fever, of which three distinct phases were identified. The dose dependence and dynamics of LPS fever in the mouse appeared to be remarkably similar to those seen in the rat. However, the thermoregulatory response of mice to LPS in a subthermoneutral environment is remarkably different from that of rats. Although very high doses of LPS (104 μg/kg) did cause a late (latency, </w:instrText>
      </w:r>
      <w:r w:rsidR="00281437">
        <w:rPr>
          <w:rFonts w:ascii="Cambria Math" w:hAnsi="Cambria Math" w:cs="Cambria Math"/>
        </w:rPr>
        <w:instrText>∼</w:instrText>
      </w:r>
      <w:r w:rsidR="00281437">
        <w:instrText xml:space="preserve">3 h) hypothermic response in mice, the typical early (latency, 10–30 min) hypothermic response seen in rats did not occur. The present investigation identifies experimental conditions to study LPS-induced mono-, bi-, and polyphasic fevers and late hypothermia in mice and provides detailed characteristics of these responses.","container-title":"American Journal of Physiology-Regulatory, Integrative and Comparative Physiology","DOI":"10.1152/ajpregu.00370.2005","ISSN":"0363-6119","issue":"5","note":"publisher: American Physiological Society","page":"R1244-R1252","source":"journals.physiology.org (Atypon)","title":"Thermoregulatory responses to lipopolysaccharide in the mouse: dependence on the dose and ambient temperature","title-short":"Thermoregulatory responses to lipopolysaccharide in the mouse","volume":"289","author":[{"family":"Rudaya","given":"Alla Y."},{"family":"Steiner","given":"Alexandre A."},{"family":"Robbins","given":"Jared R."},{"family":"Dragic","given":"Alexander S."},{"family":"Romanovsky","given":"Andrej A."}],"issued":{"date-parts":[["2005",11]]}}}],"schema":"https://github.com/citation-style-language/schema/raw/master/csl-citation.json"} </w:instrText>
      </w:r>
      <w:r w:rsidRPr="00735FCE">
        <w:fldChar w:fldCharType="separate"/>
      </w:r>
      <w:r w:rsidR="00281437" w:rsidRPr="00281437">
        <w:rPr>
          <w:vertAlign w:val="superscript"/>
        </w:rPr>
        <w:t>226</w:t>
      </w:r>
      <w:r w:rsidRPr="00735FCE">
        <w:fldChar w:fldCharType="end"/>
      </w:r>
      <w:r w:rsidRPr="00735FCE">
        <w:t xml:space="preserve">. Therefore, projections </w:t>
      </w:r>
      <w:r>
        <w:t>of</w:t>
      </w:r>
      <w:r w:rsidRPr="00735FCE">
        <w:t xml:space="preserve"> global climate change, alongside a rise in average temperatures, would lead to an increase in obesity prevalence by more than 10% over the next 120 years</w:t>
      </w:r>
      <w:r>
        <w:t xml:space="preserve"> </w:t>
      </w:r>
      <w:r w:rsidRPr="00735FCE">
        <w:fldChar w:fldCharType="begin"/>
      </w:r>
      <w:r w:rsidR="00281437">
        <w:instrText xml:space="preserve"> ADDIN ZOTERO_ITEM CSL_CITATION {"citationID":"Y3iah0IG","properties":{"formattedCitation":"\\super 227\\nosupersub{}","plainCitation":"227","noteIndex":0},"citationItems":[{"id":3520,"uris":["http://zotero.org/users/9622455/items/I57KH9W4"],"itemData":{"id":3520,"type":"article-journal","abstract":"Endotherms must expend more energy to digest colder food, so they acquire more calories by eating food at a higher temperature than eating the identical food cold. A recent study shows that ownership of a microwave is associated with a small increase in BMI and obesity. The same logic applies to other substances that endotherms introduce into their bodies, like air. An analysis of the National Longitudinal Study of Adolescent to Adult Health (Add Health) shows that, net of sex, age, race, education, earnings, neighborhood characteristics, and exercise activities, atmospheric temperature is associated with small but statistically significant increases in BMI, weight, overweight, and obesity. Atmospheric temperature is more strongly associated than most exercise activities, and as strongly associated as age and population density. An average American might reduce weight by 15.1 lbs, BMI by 2.52 (half the difference between normal weight and obesity), and the odds of obesity by 54% by moving from Phoenix, AZ, to Barrow, AK, or, less dramatically, 5.7 lbs in weight, .95 in BMI (a fifth of the difference between normal weight and obesity), and 25% in the odds of obesity by moving mere 150 miles north to Flagstaff, AZ. Global warming under the worst-case scenario might produce an increase of 2.2 lbs in weight, .37 in BMI, and 12% in odds of obesity from 1961 to 2081.","container-title":"Environmental Research","DOI":"10.1016/j.envres.2019.108962","ISSN":"0013-9351","journalAbbreviation":"Environmental Research","page":"108962","source":"ScienceDirect","title":"Does global warming contribute to the obesity epidemic?","volume":"182","author":[{"family":"Kanazawa","given":"Satoshi"}],"issued":{"date-parts":[["2020",3,1]]}}}],"schema":"https://github.com/citation-style-language/schema/raw/master/csl-citation.json"} </w:instrText>
      </w:r>
      <w:r w:rsidRPr="00735FCE">
        <w:fldChar w:fldCharType="separate"/>
      </w:r>
      <w:r w:rsidR="00281437" w:rsidRPr="00281437">
        <w:rPr>
          <w:vertAlign w:val="superscript"/>
        </w:rPr>
        <w:t>227</w:t>
      </w:r>
      <w:r w:rsidRPr="00735FCE">
        <w:fldChar w:fldCharType="end"/>
      </w:r>
      <w:r w:rsidRPr="00735FCE">
        <w:t>.</w:t>
      </w:r>
    </w:p>
    <w:p w14:paraId="6265F7C0" w14:textId="6D546D47" w:rsidR="009117C0" w:rsidRPr="00735FCE" w:rsidRDefault="009117C0" w:rsidP="00F5471F">
      <w:pPr>
        <w:ind w:firstLine="720"/>
        <w:jc w:val="left"/>
      </w:pPr>
      <w:r w:rsidRPr="00735FCE">
        <w:t>Due to the limitations and the systemic impacts of cold-induced browning in humans, alternative strategies have been considered. Beige adipocyte activation has been induced via localized photothermal therapy with hydrogels, without causing local tissue damage or systemic stress</w:t>
      </w:r>
      <w:r>
        <w:t xml:space="preserve"> </w:t>
      </w:r>
      <w:r w:rsidRPr="00735FCE">
        <w:fldChar w:fldCharType="begin"/>
      </w:r>
      <w:r w:rsidR="00281437">
        <w:instrText xml:space="preserve"> ADDIN ZOTERO_ITEM CSL_CITATION {"citationID":"eBUaIntu","properties":{"formattedCitation":"\\super 228\\nosupersub{}","plainCitation":"228","noteIndex":0},"citationItems":[{"id":3512,"uris":["http://zotero.org/users/9622455/items/YMDWRGUL"],"itemData":{"id":3512,"type":"article-journal","container-title":"Cell","DOI":"10.1016/j.cell.2022.02.004","ISSN":"0092-8674, 1097-4172","issue":"6","journalAbbreviation":"Cell","language":"English","note":"publisher: Elsevier\nPMID: 35247329","page":"949-966.e19","source":"www.cell.com","title":"Local hyperthermia therapy induces browning of white fat and treats obesity","volume":"185","author":[{"family":"Li","given":"Yu"},{"family":"Wang","given":"Dongmei"},{"family":"Ping","given":"Xiaodan"},{"family":"Zhang","given":"Yankang"},{"family":"Zhang","given":"Ting"},{"family":"Wang","given":"Li"},{"family":"Jin","given":"Li"},{"family":"Zhao","given":"Wenjun"},{"family":"Guo","given":"Mingwei"},{"family":"Shen","given":"Fei"},{"family":"Meng","given":"Meiyao"},{"family":"Chen","given":"Xin"},{"family":"Zheng","given":"Ying"},{"family":"Wang","given":"Jiqiu"},{"family":"Li","given":"Dali"},{"family":"Zhang","given":"Qiang"},{"family":"Hu","given":"Cheng"},{"family":"Xu","given":"Lingyan"},{"family":"Ma","given":"Xinran"}],"issued":{"date-parts":[["2022",3,17]]}}}],"schema":"https://github.com/citation-style-language/schema/raw/master/csl-citation.json"} </w:instrText>
      </w:r>
      <w:r w:rsidRPr="00735FCE">
        <w:fldChar w:fldCharType="separate"/>
      </w:r>
      <w:r w:rsidR="00281437" w:rsidRPr="00281437">
        <w:rPr>
          <w:vertAlign w:val="superscript"/>
        </w:rPr>
        <w:t>228</w:t>
      </w:r>
      <w:r w:rsidRPr="00735FCE">
        <w:fldChar w:fldCharType="end"/>
      </w:r>
      <w:r w:rsidRPr="00735FCE">
        <w:t xml:space="preserve">. In both mice and human subjects, active browning was </w:t>
      </w:r>
      <w:r>
        <w:t xml:space="preserve">observed when localized body temperature was elevated to approximately 41 °C </w:t>
      </w:r>
      <w:r w:rsidRPr="00735FCE">
        <w:fldChar w:fldCharType="begin"/>
      </w:r>
      <w:r w:rsidR="00281437">
        <w:instrText xml:space="preserve"> ADDIN ZOTERO_ITEM CSL_CITATION {"citationID":"9TytQ8ke","properties":{"formattedCitation":"\\super 228\\nosupersub{}","plainCitation":"228","noteIndex":0},"citationItems":[{"id":3512,"uris":["http://zotero.org/users/9622455/items/YMDWRGUL"],"itemData":{"id":3512,"type":"article-journal","container-title":"Cell","DOI":"10.1016/j.cell.2022.02.004","ISSN":"0092-8674, 1097-4172","issue":"6","journalAbbreviation":"Cell","language":"English","note":"publisher: Elsevier\nPMID: 35247329","page":"949-966.e19","source":"www.cell.com","title":"Local hyperthermia therapy induces browning of white fat and treats obesity","volume":"185","author":[{"family":"Li","given":"Yu"},{"family":"Wang","given":"Dongmei"},{"family":"Ping","given":"Xiaodan"},{"family":"Zhang","given":"Yankang"},{"family":"Zhang","given":"Ting"},{"family":"Wang","given":"Li"},{"family":"Jin","given":"Li"},{"family":"Zhao","given":"Wenjun"},{"family":"Guo","given":"Mingwei"},{"family":"Shen","given":"Fei"},{"family":"Meng","given":"Meiyao"},{"family":"Chen","given":"Xin"},{"family":"Zheng","given":"Ying"},{"family":"Wang","given":"Jiqiu"},{"family":"Li","given":"Dali"},{"family":"Zhang","given":"Qiang"},{"family":"Hu","given":"Cheng"},{"family":"Xu","given":"Lingyan"},{"family":"Ma","given":"Xinran"}],"issued":{"date-parts":[["2022",3,17]]}}}],"schema":"https://github.com/citation-style-language/schema/raw/master/csl-citation.json"} </w:instrText>
      </w:r>
      <w:r w:rsidRPr="00735FCE">
        <w:fldChar w:fldCharType="separate"/>
      </w:r>
      <w:r w:rsidR="00281437" w:rsidRPr="00281437">
        <w:rPr>
          <w:vertAlign w:val="superscript"/>
        </w:rPr>
        <w:t>228</w:t>
      </w:r>
      <w:r w:rsidRPr="00735FCE">
        <w:fldChar w:fldCharType="end"/>
      </w:r>
      <w:r w:rsidRPr="00735FCE">
        <w:t xml:space="preserve">. The results are consistent with previous studies </w:t>
      </w:r>
      <w:r>
        <w:t xml:space="preserve">on </w:t>
      </w:r>
      <w:r w:rsidRPr="00735FCE">
        <w:t xml:space="preserve">WAT browning after burn injuries, emphasizing the therapeutic </w:t>
      </w:r>
      <w:r>
        <w:t xml:space="preserve">potential </w:t>
      </w:r>
      <w:r w:rsidRPr="00735FCE">
        <w:t>of temperature control to induce browning</w:t>
      </w:r>
      <w:r>
        <w:t xml:space="preserve"> </w:t>
      </w:r>
      <w:r w:rsidRPr="00735FCE">
        <w:fldChar w:fldCharType="begin"/>
      </w:r>
      <w:r w:rsidR="00281437">
        <w:instrText xml:space="preserve"> ADDIN ZOTERO_ITEM CSL_CITATION {"citationID":"FATdHuV8","properties":{"formattedCitation":"\\super 229,230\\nosupersub{}","plainCitation":"229,230","noteIndex":0},"citationItems":[{"id":3518,"uris":["http://zotero.org/users/9622455/items/IR5CIPAL"],"itemData":{"id":3518,"type":"article-journal","abstract":"A hallmark after burn is the stress and inflammatory-induced hypermetabolic response. Recently, we and others found that browning of white adipose tissue (WAT) is a critical component of this complex detrimental response. Although browning and inflammation have been independently delineated to occur after injury, their interaction is currently not well defined. One of the master regulators of inflammation and adipose tissue remodeling after burns is nucleotide-binding and oligomerization domain, leucine rich repeat and pyrin domain containing 3 (NLRP3) inflammasome. The aim of this this study was to determine whether NLRP3 modulates and activates WAT browning after burn. To obtain molecular and mechanistic insights, we used an NLRP3 knockout (NLRP3\n              −/−\n              ) murine burn model. We demonstrated that genetic deletion of NLRP3 promoted persistent and augmented browning in adipocytes, evidenced by increased gene expression of peroxisome proliferator-activated receptor γ and CIDEA at 3 days (5.74 vs. 0.29, P &lt; 0.05; 26.0 vs. 0.71, P &lt; 0.05) and uncoupling protein 1 ( UCP1) and PGC1α at 7 days (7,406 vs. 3,894, P &lt; 0.05; 20.6 vs. 2.52, P &lt; 0.01) and enhanced UCP1 staining and multilocularity. Additionally, the main regulator of postburn WAT browning, IL-6, was elevated in the plasma acutely after burn in NLRP3\n              −/−\n              compared with wild-type counterparts (478.9 vs. 67.1 pg/mL, P &lt; 0.05 at 3 days). These results suggest that NLRP3 has antibrowning effects and that blocking NLRP3 increases thermogenesis and augments browning via increased levels of IL-6. Our findings provide insights into targeting innate inflammatory systems for regulation of adaptive thermogenesis, a critical response after burns and other hypermetabolic conditions.","container-title":"American Journal of Physiology-Endocrinology and Metabolism","DOI":"10.1152/ajpendo.00180.2019","ISSN":"0193-1849, 1522-1555","issue":"5","journalAbbreviation":"American Journal of Physiology-Endocrinology and Metabolism","language":"en","page":"E751-E759","source":"DOI.org (Crossref)","title":"NLRP3 inflammasome mediates white adipose tissue browning after burn","volume":"317","author":[{"family":"Vinaik","given":"Roohi"},{"family":"Barayan","given":"Dalia"},{"family":"Abdullahi","given":"Abdikarim"},{"family":"Jeschke","given":"Marc G."}],"issued":{"date-parts":[["2019",11,1]]}}},{"id":3515,"uris":["http://zotero.org/users/9622455/items/NPWQ8UZ3"],"itemData":{"id":3515,"type":"article-journal","container-title":"Cell Reports","DOI":"10.1016/j.celrep.2015.10.028","ISSN":"2211-1247","issue":"8","journalAbbreviation":"Cell Reports","language":"English","note":"publisher: Elsevier\nPMID: 26586436","page":"1538-1544","source":"www.cell.com","title":"Burn Induces Browning of the Subcutaneous White Adipose Tissue in Mice and Humans","volume":"13","author":[{"family":"Patsouris","given":"David"},{"family":"Qi","given":"Peter"},{"family":"Abdullahi","given":"Abdikarim"},{"family":"Stanojcic","given":"Mile"},{"family":"Chen","given":"Peter"},{"family":"Parousis","given":"Alexandra"},{"family":"Amini-Nik","given":"Saeid"},{"family":"Jeschke","given":"Marc G."}],"issued":{"date-parts":[["2015",11,24]]}}}],"schema":"https://github.com/citation-style-language/schema/raw/master/csl-citation.json"} </w:instrText>
      </w:r>
      <w:r w:rsidRPr="00735FCE">
        <w:fldChar w:fldCharType="separate"/>
      </w:r>
      <w:r w:rsidR="00281437" w:rsidRPr="00281437">
        <w:rPr>
          <w:vertAlign w:val="superscript"/>
        </w:rPr>
        <w:t>229,230</w:t>
      </w:r>
      <w:r w:rsidRPr="00735FCE">
        <w:fldChar w:fldCharType="end"/>
      </w:r>
      <w:r w:rsidRPr="00735FCE">
        <w:t xml:space="preserve">. However, considering the indiscriminate thermogenic variability and complexity of human </w:t>
      </w:r>
      <w:r>
        <w:t>responses</w:t>
      </w:r>
      <w:r w:rsidRPr="00735FCE">
        <w:t xml:space="preserve">, further studies </w:t>
      </w:r>
      <w:r>
        <w:t xml:space="preserve">are warranted to clarify the </w:t>
      </w:r>
      <w:r w:rsidRPr="00735FCE">
        <w:t xml:space="preserve">mechanisms </w:t>
      </w:r>
      <w:r>
        <w:t>for</w:t>
      </w:r>
      <w:r w:rsidRPr="00735FCE">
        <w:t xml:space="preserve"> optimiz</w:t>
      </w:r>
      <w:r>
        <w:t>ing</w:t>
      </w:r>
      <w:r w:rsidRPr="00735FCE">
        <w:t xml:space="preserve"> temperature application </w:t>
      </w:r>
      <w:r>
        <w:t>in</w:t>
      </w:r>
      <w:r w:rsidRPr="00735FCE">
        <w:t xml:space="preserve"> inducing browning.</w:t>
      </w:r>
    </w:p>
    <w:p w14:paraId="7CDE6D78" w14:textId="77777777" w:rsidR="009117C0" w:rsidRPr="00735FCE" w:rsidRDefault="009117C0" w:rsidP="00847BA5">
      <w:pPr>
        <w:pStyle w:val="Heading3"/>
        <w:jc w:val="left"/>
      </w:pPr>
      <w:bookmarkStart w:id="54" w:name="_Toc200988052"/>
      <w:bookmarkStart w:id="55" w:name="_Toc201001667"/>
      <w:bookmarkStart w:id="56" w:name="_Toc204848637"/>
      <w:r w:rsidRPr="00735FCE">
        <w:t>Nutrient-</w:t>
      </w:r>
      <w:r>
        <w:t>M</w:t>
      </w:r>
      <w:r w:rsidRPr="00735FCE">
        <w:t xml:space="preserve">ediated </w:t>
      </w:r>
      <w:r>
        <w:t>B</w:t>
      </w:r>
      <w:r w:rsidRPr="00735FCE">
        <w:t>rowning</w:t>
      </w:r>
      <w:bookmarkEnd w:id="54"/>
      <w:bookmarkEnd w:id="55"/>
      <w:bookmarkEnd w:id="56"/>
    </w:p>
    <w:p w14:paraId="7C1A83EF" w14:textId="254DCC1C" w:rsidR="009117C0" w:rsidRPr="00735FCE" w:rsidRDefault="009117C0" w:rsidP="00F5471F">
      <w:pPr>
        <w:ind w:firstLine="720"/>
        <w:jc w:val="left"/>
      </w:pPr>
      <w:r w:rsidRPr="00735FCE">
        <w:t>Recent studies have shown that activating thermogenesis with phytonutrients in WAT to treat obesity is promising</w:t>
      </w:r>
      <w:r>
        <w:t xml:space="preserve"> </w:t>
      </w:r>
      <w:r w:rsidRPr="00735FCE">
        <w:fldChar w:fldCharType="begin"/>
      </w:r>
      <w:r w:rsidR="00281437">
        <w:instrText xml:space="preserve"> ADDIN ZOTERO_ITEM CSL_CITATION {"citationID":"Vluoqldr","properties":{"formattedCitation":"\\super 231\\nosupersub{}","plainCitation":"231","noteIndex":0},"citationItems":[{"id":3145,"uris":["http://zotero.org/users/9622455/items/39KMC5V3"],"itemData":{"id":3145,"type":"article-journal","abstract":"The prevalence of obesity has steadily increased worldwide over the past three decades. The conventional approaches to prevent or treat this syndrome and its associated complications include a balanced diet, an increase energy expenditure, and lifestyle modification. Multiple pharmacological and non-pharmacological interventions have been developed with the aim of improving obesity complications. Recently, the use of functional foods and their bioactive components is considered a new approach in the prevention and management of this disease. Due to their biological properties, polyphenols may be considered as nutraceuticals and food supplement recommended for different syndromes. Polyphenols are a class of naturally-occurring phytochemicals, some of which have been shown to modulate physiological and molecular pathways involved in energy metabolism. Polyphenols could act in the stimulation of β-oxidation, adipocyte differentiation inhibition, counteract oxidative stress, etc. In this narrative review, we considered the association between polyphenols (resveratrol, quercetin, curcumin, and some polyphenolic extracts) and obesity, focusing on human trials. The health effects of polyphenols depend on the amount consumed and their bioavailability. Some results are contrasting, probably due to the various study designs and lengths, variation among subjects (age, gender, ethnicity), and chemical forms of the dietary polyphenols used. But, in conclusion, the data so far obtained encourage the setting of new trials, necessary to validate benefic role of polyphenols in obese individuals.","container-title":"International Journal of Molecular Sciences","DOI":"10.3390/ijms21165642","ISSN":"1422-0067","issue":"16","language":"en","license":"http://creativecommons.org/licenses/by/3.0/","note":"number: 16\npublisher: Multidisciplinary Digital Publishing Institute","page":"5642","source":"www.mdpi.com","title":"Anti-Obesity Effects of Polyphenol Intake: Current Status and Future Possibilities","title-short":"Anti-Obesity Effects of Polyphenol Intake","volume":"21","author":[{"family":"Boccellino","given":"Mariarosaria"},{"family":"D’Angelo","given":"Stefania"}],"issued":{"date-parts":[["2020",1]]}}}],"schema":"https://github.com/citation-style-language/schema/raw/master/csl-citation.json"} </w:instrText>
      </w:r>
      <w:r w:rsidRPr="00735FCE">
        <w:fldChar w:fldCharType="separate"/>
      </w:r>
      <w:r w:rsidR="00281437" w:rsidRPr="00281437">
        <w:rPr>
          <w:vertAlign w:val="superscript"/>
        </w:rPr>
        <w:t>231</w:t>
      </w:r>
      <w:r w:rsidRPr="00735FCE">
        <w:fldChar w:fldCharType="end"/>
      </w:r>
      <w:r w:rsidRPr="00735FCE">
        <w:t xml:space="preserve">. </w:t>
      </w:r>
      <w:r>
        <w:t>G</w:t>
      </w:r>
      <w:r w:rsidRPr="00735FCE">
        <w:t>reen tea extract (GTE)</w:t>
      </w:r>
      <w:r>
        <w:t xml:space="preserve"> is a</w:t>
      </w:r>
      <w:r w:rsidRPr="00735FCE">
        <w:t xml:space="preserve">mong the most extensively studied compounds </w:t>
      </w:r>
      <w:r>
        <w:t xml:space="preserve">and </w:t>
      </w:r>
      <w:r w:rsidRPr="00735FCE">
        <w:t>is rich in catechins</w:t>
      </w:r>
      <w:r>
        <w:t>,</w:t>
      </w:r>
      <w:r w:rsidRPr="00735FCE">
        <w:t xml:space="preserve"> such as (-)-epigallocatechin gallate (EGCG)</w:t>
      </w:r>
      <w:r w:rsidRPr="00B94CD7">
        <w:rPr>
          <w:vertAlign w:val="superscript"/>
        </w:rPr>
        <w:t xml:space="preserve"> </w:t>
      </w:r>
      <w:r w:rsidRPr="005D05E6">
        <w:rPr>
          <w:vertAlign w:val="superscript"/>
        </w:rPr>
        <w:t>215</w:t>
      </w:r>
      <w:r>
        <w:t xml:space="preserve">. GTE has been shown to </w:t>
      </w:r>
      <w:r w:rsidRPr="00735FCE">
        <w:t xml:space="preserve">promot the conversion of white </w:t>
      </w:r>
      <w:r>
        <w:t xml:space="preserve">adipocytes </w:t>
      </w:r>
      <w:r w:rsidRPr="00735FCE">
        <w:t xml:space="preserve">to beige adipocytes and </w:t>
      </w:r>
      <w:r>
        <w:t>enhancing</w:t>
      </w:r>
      <w:r w:rsidRPr="00735FCE">
        <w:t xml:space="preserve"> thermogenesis</w:t>
      </w:r>
      <w:r>
        <w:t xml:space="preserve"> </w:t>
      </w:r>
      <w:r w:rsidRPr="00735FCE">
        <w:fldChar w:fldCharType="begin"/>
      </w:r>
      <w:r w:rsidR="00281437">
        <w:instrText xml:space="preserve"> ADDIN ZOTERO_ITEM CSL_CITATION {"citationID":"eHhdRx1N","properties":{"formattedCitation":"\\super 232,233\\nosupersub{}","plainCitation":"232,233","noteIndex":0},"citationItems":[{"id":3152,"uris":["http://zotero.org/users/9622455/items/QI3YDELP"],"itemData":{"id":3152,"type":"article-journal","abstract":"Several foods and nutrients are being studied extensively because they have a positive effect on thermogenesis and the browning of white adipose tissue. Therefore, this study aims to evaluate, through a systematic review, the effect of green tea for inducing browning of adipose tissue. The systematic review was built following the recommendations of the Preferred Reporting Items for Systematic Reviews and Meta-Analyze. We searched the following electronic databases: PubMed (Medline), Science Direct, Scopus, and Web of Science. We included ten experimental articles that used green tea to treat induced obesity in rodents. Green tea reduced the weight of white and brown adipose tissue, positively regulated gene expression and microRNA that regulate the metabolism of adipose tissue, and morphological changes were identified as beige tissue. According to the results found, the factors involved in this induction to browning are PPARγ, PGC-1α, UCP1, CPT, and PRDM16. Therefore, green tea promotes the browning of adipose tissue in rodents. It is important to emphasize the need for studies in obese humans to identify whether the same metabolic response occurs.","container-title":"Obesities","DOI":"10.3390/obesities3030016","ISSN":"2673-4168","issue":"3","language":"en","license":"http://creativecommons.org/licenses/by/3.0/","note":"number: 3\npublisher: Multidisciplinary Digital Publishing Institute","page":"193-206","source":"www.mdpi.com","title":"Green Tea Induces the Browning of Adipose Tissue—Systematic Review","volume":"3","author":[{"family":"Macêdo","given":"Ana Paula Azevêdo"},{"family":"Gonçalves","given":"Mariane dos Santos"},{"family":"Barreto-Medeiros","given":"Jairza Maria"},{"family":"Silva Neto","given":"Oscar Caetano","non-dropping-particle":"da"},{"family":"David","given":"Jorge Mauricio"},{"family":"Villarreal","given":"Cristiane Flora"},{"family":"Macambira","given":"Simone Garcia"},{"family":"Pereira Soares","given":"Milena Botelho"},{"family":"Couto","given":"Ricardo David"}],"issued":{"date-parts":[["2023",9]]}}},{"id":3150,"uris":["http://zotero.org/users/9622455/items/SAMDZAUM"],"itemData":{"id":3150,"type":"article-journal","abstract":"Fat browning has emerged as an attractive target for the treatment of obesity and related metabolic disorders. Its activation leads to increased energy expenditure and reduced adiposity, thus contributing to a better energy homeostasis. Green tea extracts (GTEs) were shown to attenuate obesity and low-grade inflammation and to induce the lipolytic pathway in the white adipose tissue (WAT) of mice fed a high-fat diet. The aim of the present study was to determine whether the antiobesity effect of an extract from green tea leaves was associated with the activation of browning in the WAT and/or the inhibition of whitening in the brown adipose tissue (BAT) in HF-diet induced obese mice. Mice were fed a control diet or an HF diet supplemented with or without 0.5% polyphenolic GTE for 8 weeks. GTE supplementation significantly reduced HF-induced adiposity (WAT and BAT) and HF-induced inflammation in WAT. Histological analysis revealed that GTE reduced the adipocyte size in the WAT and the lipid droplet size in the BAT. Markers of browning were induced in the WAT upon GTE treatment, whereas markers of HF-induced whitening were reduced in the BAT. These results suggest that browning activation in the WAT and whitening reduction in the BAT by the GTE could participate to the improvement of metabolic and inflammatory disorders mediated by GTE upon HF diet. Our study emphasizes the importance of using GTE as a nutritional tool to activate browning and to decrease fat storage in all adipose tissues, which attenuate obesity.","container-title":"The Journal of Nutritional Biochemistry","DOI":"10.1016/j.jnutbio.2017.07.008","ISSN":"0955-2863","journalAbbreviation":"The Journal of Nutritional Biochemistry","page":"15-21","source":"ScienceDirect","title":"A polyphenolic extract from green tea leaves activates fat browning in high-fat-diet-induced obese mice","volume":"49","author":[{"family":"Neyrinck","given":"Audrey M."},{"family":"Bindels","given":"Laure B."},{"family":"Geurts","given":"Lucie"},{"family":"Van Hul","given":"Matthias"},{"family":"Cani","given":"Patrice D."},{"family":"Delzenne","given":"Nathalie M."}],"issued":{"date-parts":[["2017",11,1]]}}}],"schema":"https://github.com/citation-style-language/schema/raw/master/csl-citation.json"} </w:instrText>
      </w:r>
      <w:r w:rsidRPr="00735FCE">
        <w:fldChar w:fldCharType="separate"/>
      </w:r>
      <w:r w:rsidR="00281437" w:rsidRPr="00281437">
        <w:rPr>
          <w:vertAlign w:val="superscript"/>
        </w:rPr>
        <w:t>232,233</w:t>
      </w:r>
      <w:r w:rsidRPr="00735FCE">
        <w:fldChar w:fldCharType="end"/>
      </w:r>
      <w:r w:rsidRPr="00735FCE">
        <w:t>. A human study has shown that subjects supplemented with 856.8</w:t>
      </w:r>
      <w:r>
        <w:t xml:space="preserve"> </w:t>
      </w:r>
      <w:r w:rsidRPr="00735FCE">
        <w:t xml:space="preserve">mg of </w:t>
      </w:r>
      <w:r w:rsidRPr="00735FCE">
        <w:lastRenderedPageBreak/>
        <w:t xml:space="preserve">EGCG per day over </w:t>
      </w:r>
      <w:r>
        <w:t>3 months</w:t>
      </w:r>
      <w:r w:rsidRPr="00735FCE">
        <w:t xml:space="preserve"> had significant decrease</w:t>
      </w:r>
      <w:r>
        <w:t>s</w:t>
      </w:r>
      <w:r w:rsidRPr="00735FCE">
        <w:t xml:space="preserve"> in adipose tissue mass, body weight, and LDL-C levels</w:t>
      </w:r>
      <w:r>
        <w:t xml:space="preserve"> </w:t>
      </w:r>
      <w:r w:rsidRPr="00735FCE">
        <w:fldChar w:fldCharType="begin"/>
      </w:r>
      <w:r w:rsidR="00281437">
        <w:instrText xml:space="preserve"> ADDIN ZOTERO_ITEM CSL_CITATION {"citationID":"Frw0FFtE","properties":{"formattedCitation":"\\super 234\\nosupersub{}","plainCitation":"234","noteIndex":0},"citationItems":[{"id":3132,"uris":["http://zotero.org/users/9622455/items/D4JEZV6D"],"itemData":{"id":3132,"type":"article-journal","container-title":"Clinical Nutrition","DOI":"10.1016/j.clnu.2015.05.003","ISSN":"0261-5614, 1532-1983","issue":"3","journalAbbreviation":"Clinical Nutrition","language":"English","note":"publisher: Elsevier\nPMID: 26093535","page":"592-599","source":"www.clinicalnutritionjournal.com","title":"Therapeutic effect of high-dose green tea extract on weight reduction: A randomized, double-blind, placebo-controlled clinical trial","title-short":"Therapeutic effect of high-dose green tea extract on weight reduction","volume":"35","author":[{"family":"Chen","given":"I.-Ju"},{"family":"Liu","given":"Chia-Yu"},{"family":"Chiu","given":"Jung-Peng"},{"family":"Hsu","given":"Chung-Hua"}],"issued":{"date-parts":[["2016",6,1]]}}}],"schema":"https://github.com/citation-style-language/schema/raw/master/csl-citation.json"} </w:instrText>
      </w:r>
      <w:r w:rsidRPr="00735FCE">
        <w:fldChar w:fldCharType="separate"/>
      </w:r>
      <w:r w:rsidR="00281437" w:rsidRPr="00281437">
        <w:rPr>
          <w:vertAlign w:val="superscript"/>
        </w:rPr>
        <w:t>234</w:t>
      </w:r>
      <w:r w:rsidRPr="00735FCE">
        <w:fldChar w:fldCharType="end"/>
      </w:r>
      <w:r w:rsidRPr="00735FCE">
        <w:t xml:space="preserve">. Similar results were observed in diet-induced obese rodents given GTE supplements at 500 mg/kg body weight for 12 weeks, </w:t>
      </w:r>
      <w:r>
        <w:t>and</w:t>
      </w:r>
      <w:r w:rsidRPr="00735FCE">
        <w:t xml:space="preserve"> the potential mechanisms of these results were linked to activation of AMPK and suppression of microRNA-335 expression in adipose tissue</w:t>
      </w:r>
      <w:r>
        <w:t xml:space="preserve"> </w:t>
      </w:r>
      <w:r w:rsidRPr="00735FCE">
        <w:fldChar w:fldCharType="begin"/>
      </w:r>
      <w:r w:rsidR="00281437">
        <w:instrText xml:space="preserve"> ADDIN ZOTERO_ITEM CSL_CITATION {"citationID":"TRD09mSJ","properties":{"formattedCitation":"\\super 235,236\\nosupersub{}","plainCitation":"235,236","noteIndex":0},"citationItems":[{"id":3137,"uris":["http://zotero.org/users/9622455/items/RD3EZPAJ"],"itemData":{"id":3137,"type":"article-journal","abstract":"Obesity leads to changes in miRNA expression in adipose tissue, and this modulation is linked to the pathophysiology of the disease. Green tea (GT) is a natural source of polyphenols that have been shown to confer health benefits, particularly preventing metabolic diseases. Here, we investigated if the beneficial effects of GT in obesity results from changes in the miRNA profile in white adipose tissue. GT treatment [500 mg/body weight (BW)/12 weeks] increased energy expenditure of high-fat diet-fed mice (16 weeks), leading to reduced weight gain, decreased adiposity, reduced inflammation and improved insulin sensitivity. These phenotypes were associated with a decrease in the expression of miR-335 in the adipose tissue. miR-335 was up-regulated by TNF-α in adipocytes and, in turn, down-regulated genes involved in insulin signaling and lipid metabolism. On the other hand, GT inhibited TNF-α effect. In conclusion, miR-335 serves as a link between inflammation and impaired metabolism in adipose tissue, providing an important mechanistic insight into the molecular basis underlying GT action during obesity.","container-title":"The Journal of Nutritional Biochemistry","DOI":"10.1016/j.jnutbio.2018.03.024","ISSN":"0955-2863","journalAbbreviation":"The Journal of Nutritional Biochemistry","page":"170-179","source":"ScienceDirect","title":"Polyphenol-rich green tea extract improves adipose tissue metabolism by down-regulating miR-335 expression and mitigating insulin resistance and inflammation","volume":"57","author":[{"family":"Otton","given":"Rosemari"},{"family":"Bolin","given":"Anaysa Paola"},{"family":"Ferreira","given":"Leticia Torres"},{"family":"Marinovic","given":"Marcelo Paradiso"},{"family":"Rocha","given":"Andrea Livia Silva"},{"family":"Mori","given":"Marcelo Alves"}],"issued":{"date-parts":[["2018",7,1]]}}},{"id":3135,"uris":["http://zotero.org/users/9622455/items/9HY6BQV6"],"itemData":{"id":3135,"type":"article-journal","abstract":"Beneficial effects of green tea (GT) polyphenols against obesity have been reported. However, until this moment the molecular mechanisms of how green tea can modulate obesity and regulates fat metabolism, particularly in adipose tissue, remain poorly understood. The aim of this study was to evaluate the role of GT extract in the adipose tissue of obese animals and its effect on weight gain, metabolism and function (de novo lipogenesis and lipolysis), and the involvement of AMP-activated protein kinase (AMPK).","container-title":"European Journal of Nutrition","DOI":"10.1007/s00394-015-1033-8","ISSN":"1436-6215","issue":"7","journalAbbreviation":"Eur J Nutr","language":"en","page":"2231-2244","source":"Springer Link","title":"Green tea extract activates AMPK and ameliorates white adipose tissue metabolic dysfunction induced by obesity","volume":"55","author":[{"family":"Rocha","given":"Andréa"},{"family":"Bolin","given":"Anaysa Paola"},{"family":"Cardoso","given":"Claudia Andrea Lima"},{"family":"Otton","given":"Rosemari"}],"issued":{"date-parts":[["2016",10,1]]}}}],"schema":"https://github.com/citation-style-language/schema/raw/master/csl-citation.json"} </w:instrText>
      </w:r>
      <w:r w:rsidRPr="00735FCE">
        <w:fldChar w:fldCharType="separate"/>
      </w:r>
      <w:r w:rsidR="00281437" w:rsidRPr="00281437">
        <w:rPr>
          <w:vertAlign w:val="superscript"/>
        </w:rPr>
        <w:t>235,236</w:t>
      </w:r>
      <w:r w:rsidRPr="00735FCE">
        <w:fldChar w:fldCharType="end"/>
      </w:r>
      <w:r w:rsidRPr="00735FCE">
        <w:t>. Furthermore, EGCG supplementation has been shown to reduce inflammation along with increasing energy expenditure and enhancing insulin sensitivity</w:t>
      </w:r>
      <w:r>
        <w:t xml:space="preserve"> </w:t>
      </w:r>
      <w:r w:rsidRPr="00735FCE">
        <w:fldChar w:fldCharType="begin"/>
      </w:r>
      <w:r w:rsidR="00281437">
        <w:instrText xml:space="preserve"> ADDIN ZOTERO_ITEM CSL_CITATION {"citationID":"SULoCaWN","properties":{"formattedCitation":"\\super 237,238\\nosupersub{}","plainCitation":"237,238","noteIndex":0},"citationItems":[{"id":3141,"uris":["http://zotero.org/users/9622455/items/JP6VQHSR"],"itemData":{"id":3141,"type":"article-journal","abstract":"Insulin resistance, a hallmark of metabolic disorders, is a risk factor for diabetes and cardiovascular disease. Impairment of insulin responsiveness in vascular endothelium contributes to insulin resistance. The reciprocal relationship between insulin resistance and endothelial dysfunction augments the pathophysiology of metabolism and cardiovascular functions. The most abundant green tea polyphenol, epigallocatechin-3-gallate (EGCG), has been shown to have vasodilator action in vessels by activation of endothelial nitric oxide synthase (eNOS). However, it is not known whether EGCG has a beneficial effect in high-fat diet (HFD)-induced endothelial dysfunction. Male C57BL/6J mice were fed either a normal chow diet (NCD) or HFD with or without EGCG supplement (50 mg·kg−1·day−1) for 10 wk. Mice fed a HFD with EGCG supplement gained less body weight and showed improved insulin sensitivity. In vehicle-treated HFD mice, endothelial function was impaired in response to insulin but not to acetylcholine, whereas the EGCG-treated HFD group showed improved insulin-stimulated vasodilation. Interestingly, EGCG intake reduced macrophage infiltration into aortic tissues in HFD mice. Treatment with EGCG restored the insulin-stimulated phosphorylation of eNOS, insulin receptor substrate-1 (IRS-1), and protein kinase B (Akt), which was inhibited by palmitate (200 μM, 5 h) in primary bovine aortic endothelial cells. From these results, we conclude that supplementation of EGCG improves glucose tolerance, insulin sensitivity, and endothelial function. The results suggest that EGCG may have beneficial health effects in glucose metabolism and endothelial function through modulating HFD-induced inflammatory response.","container-title":"American Journal of Physiology - Endocrinology and Metabolism","DOI":"10.1152/ajpendo.00434.2013","ISSN":"0193-1849","issue":"12","journalAbbreviation":"Am J Physiol Endocrinol Metab","note":"PMID: 24148349\nPMCID: PMC3882381","page":"E1444-E1451","source":"PubMed Central","title":"Effects of the green tea polyphenol epigallocatechin-3-gallate on high-fat diet-induced insulin resistance and endothelial dysfunction","volume":"305","author":[{"family":"Jang","given":"Hyun-Ju"},{"family":"Ridgeway","given":"Simone D."},{"family":"Kim","given":"Jeong-a"}],"issued":{"date-parts":[["2013",12,15]]}}},{"id":3139,"uris":["http://zotero.org/users/9622455/items/KUHKLV8W"],"itemData":{"id":3139,"type":"article-journal","abstract":"Obesity is an escalating global epidemic caused by an imbalance between energy intake and expenditure. (−)-Epigallocatechin-3-gallate (EGCG), the major polyphenol in green tea, has been reported to be conducive to preventing obesity and alleviating obesity-related chronic diseases. However, the role of EGCG in energy metabolism disorders and central nervous system dysfunction induced by a high-fat diet (HFD) remains to be elucidated. The aim of this study was to evaluate the effects of EGCG on brown adipose tissue (BAT) thermogenesis and neuroinflammation in HFD-induced obese C57BL/6J mice. Mice were randomly divided into four groups with different diets: normal chow diet (NCD), normal chow diet supplemented with 1% EGCG (NCD + EGCG), high-fat diet (HFD), and high-fat diet supplemented with 1% EGCG (HFD + EGCG). Investigations based on a four-week experiment were carried out including the BAT activity, energy consumption, mRNA expression of major inflammatory cytokines in the hypothalamus, nuclear factor-kappa B (NF-κB) and signal transducer and activator of transcription 3 (STAT3) phosphorylation, and immunofluorescence staining of microglial marker Iba1 in hypothalamic arcuate nucleus (ARC). Experimental results demonstrated that dietary supplementation of EGCG significantly inhibited HFD-induced obesity by enhancing BAT thermogenesis, and attenuated the hypothalamic inflammation and microglia overactivation by regulating the NF-κB and STAT3 signaling pathways.","container-title":"Nutrients","DOI":"10.3390/nu10111681","ISSN":"2072-6643","issue":"11","language":"en","license":"http://creativecommons.org/licenses/by/3.0/","note":"number: 11\npublisher: Multidisciplinary Digital Publishing Institute","page":"1681","source":"www.mdpi.com","title":"Effects of (−)-Epigallocatechin Gallate (EGCG) on Energy Expenditure and Microglia-Mediated Hypothalamic Inflammation in Mice Fed a High-Fat Diet","volume":"10","author":[{"family":"Zhou","given":"Jihong"},{"family":"Mao","given":"Limin"},{"family":"Xu","given":"Ping"},{"family":"Wang","given":"Yuefei"}],"issued":{"date-parts":[["2018",11]]}}}],"schema":"https://github.com/citation-style-language/schema/raw/master/csl-citation.json"} </w:instrText>
      </w:r>
      <w:r w:rsidRPr="00735FCE">
        <w:fldChar w:fldCharType="separate"/>
      </w:r>
      <w:r w:rsidR="00281437" w:rsidRPr="00281437">
        <w:rPr>
          <w:vertAlign w:val="superscript"/>
        </w:rPr>
        <w:t>237,238</w:t>
      </w:r>
      <w:r w:rsidRPr="00735FCE">
        <w:fldChar w:fldCharType="end"/>
      </w:r>
      <w:r w:rsidRPr="00735FCE">
        <w:t>.</w:t>
      </w:r>
    </w:p>
    <w:p w14:paraId="20446508" w14:textId="4D529051" w:rsidR="009117C0" w:rsidRPr="00735FCE" w:rsidRDefault="009117C0" w:rsidP="00F5471F">
      <w:pPr>
        <w:ind w:firstLine="720"/>
        <w:jc w:val="left"/>
      </w:pPr>
      <w:r w:rsidRPr="00735FCE">
        <w:t xml:space="preserve">Curcumin, another active flavonoid, was found to enhance the </w:t>
      </w:r>
      <w:r>
        <w:t xml:space="preserve">mRNA </w:t>
      </w:r>
      <w:r w:rsidRPr="00735FCE">
        <w:t xml:space="preserve">expression of several brown adipocyte markers, such as </w:t>
      </w:r>
      <w:r w:rsidRPr="00DE5EC2">
        <w:rPr>
          <w:i/>
          <w:iCs/>
        </w:rPr>
        <w:t>Ucp1</w:t>
      </w:r>
      <w:r w:rsidRPr="00735FCE">
        <w:t xml:space="preserve">, </w:t>
      </w:r>
      <w:r w:rsidRPr="00DE5EC2">
        <w:rPr>
          <w:i/>
          <w:iCs/>
        </w:rPr>
        <w:t>Prdm16</w:t>
      </w:r>
      <w:r w:rsidRPr="00735FCE">
        <w:t xml:space="preserve">, </w:t>
      </w:r>
      <w:r w:rsidRPr="00DE5EC2">
        <w:rPr>
          <w:i/>
          <w:iCs/>
        </w:rPr>
        <w:t>Pgc1α</w:t>
      </w:r>
      <w:r w:rsidRPr="00735FCE">
        <w:t xml:space="preserve">, and </w:t>
      </w:r>
      <w:r w:rsidRPr="00DE5EC2">
        <w:rPr>
          <w:i/>
          <w:iCs/>
        </w:rPr>
        <w:t>Tmem26</w:t>
      </w:r>
      <w:r w:rsidRPr="00735FCE">
        <w:t xml:space="preserve">, in 3T3-L1 </w:t>
      </w:r>
      <w:r>
        <w:t>adipocyte</w:t>
      </w:r>
      <w:r w:rsidRPr="00735FCE">
        <w:t>s</w:t>
      </w:r>
      <w:r>
        <w:t xml:space="preserve"> </w:t>
      </w:r>
      <w:r w:rsidRPr="00735FCE">
        <w:fldChar w:fldCharType="begin"/>
      </w:r>
      <w:r w:rsidR="00281437">
        <w:instrText xml:space="preserve"> ADDIN ZOTERO_ITEM CSL_CITATION {"citationID":"Opo4UD38","properties":{"formattedCitation":"\\super 239,240\\nosupersub{}","plainCitation":"239,240","noteIndex":0},"citationItems":[{"id":3455,"uris":["http://zotero.org/users/9622455/items/TXJWNEEB"],"itemData":{"id":3455,"type":"article-journal","abstract":"Dietary phytochemicals from food and herbs have been studied for their health benefits for a long time. The incidence of obesity has seen an incredible increase worldwide. Although dieting, along with increased physical activity, seems an easy method in theory to manage obesity, it is hard to apply in real life. Obesity treatment drugs and surgery are not successful or targeted for everyone and can have significant side effects. This low rate of success is the major reason that the overweight as well as the pharmaceutical industry seek alternative methods, including phytochemicals. Therefore, more and more research has focused on the role of phytochemicals to alleviate lipid accumulation or enhance energy expenditure in adipocytes. This review discusses selected phytochemicals from food and herbs and their effects on adipogenesis, lipogenesis, lipolysis, oxidation of fatty acids, and browning in 3T3-L1 preadipocytes.","container-title":"Journal of Food and Drug Analysis","DOI":"10.1016/j.jfda.2016.10.018","ISSN":"1021-9498","issue":"1","journalAbbreviation":"J Food Drug Anal","note":"PMID: 28911527\nPMCID: PMC9333434","page":"100-110","source":"PubMed Central","title":"Cellular models for the evaluation of the antiobesity effect of selected phytochemicals from food and herbs","volume":"25","author":[{"family":"Tung","given":"Yen-Chen"},{"family":"Hsieh","given":"Pei-Hsuan"},{"family":"Pan","given":"Min-Hsiung"},{"family":"Ho","given":"Chi-Tang"}]}},{"id":4149,"uris":["http://zotero.org/users/9622455/items/EZT7DC63"],"itemData":{"id":4149,"type":"article-journal","abstract":"Recent advances have been made in the understanding of pharmacological and dietary agents that contribute to browning of white adipose tissue in order to combat obesity by promoting energy expenditure. Here, we show that curcumin induces browning of 3T3-L1 and primary white adipocytes via enhanced expression of brown fatspecific genes. Curcumin-induced browning in white adipocytes was investigated by determining expression levels of brown adipocyte-specific genes/proteins by realtime reverse transcriptase polymerase chain reaction, immunoblot analysis and immunocytochemical staining. Curcumin increased mitochondrial biogenesis, as evidenced by transmission electronic microscopic detection and enhanced expression of proteins involved in fat oxidation. Cucurmin also increased protein levels of hormone-sensitive lipase and p-acyl-CoA carboxylase, suggesting its possible role in augmentation of lipolysis and suppression of lipogenesis. Increased expression of UCP1 and other brown adipocyte-specific markers was possibly mediated by curcumin-induced activation of AMP-activated protein kinase (AMPK) based on the fact that inhibition of AMPK by dorsomorphin abolished expression of PRDM16, UCP1 and peroxisome proliferator-activated receptor gamma co-activator 1-alpha while the activator 5-Aminoimidazole-4-carboxamide ribonucleotide elevated expression of these brown marker proteins. Our findings suggest that curcumin plays a dual modulatory role in inhibition of adipogenesis as well as induction of the brown fat-like phenotype and thus may have potential therapeutic implications for treatment of obesity.","container-title":"The Journal of Nutritional Biochemistry","DOI":"10.1016/j.jnutbio.2015.09.006","ISSN":"09552863","journalAbbreviation":"The Journal of Nutritional Biochemistry","language":"en","page":"193-202","source":"DOI.org (Crossref)","title":"Curcumin induces brown fat-like phenotype in 3T3-L1 and primary white adipocytes","volume":"27","author":[{"family":"Lone","given":"Jameel"},{"family":"Choi","given":"Jae Heon"},{"family":"Kim","given":"Sang Woo"},{"family":"Yun","given":"Jong Won"}],"issued":{"date-parts":[["2016",1]]}}}],"schema":"https://github.com/citation-style-language/schema/raw/master/csl-citation.json"} </w:instrText>
      </w:r>
      <w:r w:rsidRPr="00735FCE">
        <w:fldChar w:fldCharType="separate"/>
      </w:r>
      <w:r w:rsidR="00281437" w:rsidRPr="00281437">
        <w:rPr>
          <w:vertAlign w:val="superscript"/>
        </w:rPr>
        <w:t>239,240</w:t>
      </w:r>
      <w:r w:rsidRPr="00735FCE">
        <w:fldChar w:fldCharType="end"/>
      </w:r>
      <w:r w:rsidRPr="00735FCE">
        <w:t xml:space="preserve">. Furthermore, it increased fat oxidation and mitochondrial activity by upregulating CPT1 and cytochrome C, and increasing </w:t>
      </w:r>
      <w:r>
        <w:t xml:space="preserve">the ratio of phosphorylated </w:t>
      </w:r>
      <w:r w:rsidRPr="00735FCE">
        <w:t xml:space="preserve">AMPK/AMPK </w:t>
      </w:r>
      <w:r>
        <w:t xml:space="preserve">and </w:t>
      </w:r>
      <w:r w:rsidRPr="00735FCE">
        <w:t>p</w:t>
      </w:r>
      <w:r>
        <w:t xml:space="preserve">hosphorylated </w:t>
      </w:r>
      <w:r w:rsidRPr="00735FCE">
        <w:t xml:space="preserve">ACC </w:t>
      </w:r>
      <w:r>
        <w:t xml:space="preserve">protein </w:t>
      </w:r>
      <w:r w:rsidRPr="00735FCE">
        <w:t>levels, th</w:t>
      </w:r>
      <w:r>
        <w:t>ereby</w:t>
      </w:r>
      <w:r w:rsidRPr="00735FCE">
        <w:t xml:space="preserve"> promoting lipolysis</w:t>
      </w:r>
      <w:r>
        <w:t xml:space="preserve"> </w:t>
      </w:r>
      <w:r w:rsidRPr="00735FCE">
        <w:fldChar w:fldCharType="begin"/>
      </w:r>
      <w:r w:rsidR="00281437">
        <w:instrText xml:space="preserve"> ADDIN ZOTERO_ITEM CSL_CITATION {"citationID":"MIHio0iZ","properties":{"formattedCitation":"\\super 239,240\\nosupersub{}","plainCitation":"239,240","noteIndex":0},"citationItems":[{"id":3455,"uris":["http://zotero.org/users/9622455/items/TXJWNEEB"],"itemData":{"id":3455,"type":"article-journal","abstract":"Dietary phytochemicals from food and herbs have been studied for their health benefits for a long time. The incidence of obesity has seen an incredible increase worldwide. Although dieting, along with increased physical activity, seems an easy method in theory to manage obesity, it is hard to apply in real life. Obesity treatment drugs and surgery are not successful or targeted for everyone and can have significant side effects. This low rate of success is the major reason that the overweight as well as the pharmaceutical industry seek alternative methods, including phytochemicals. Therefore, more and more research has focused on the role of phytochemicals to alleviate lipid accumulation or enhance energy expenditure in adipocytes. This review discusses selected phytochemicals from food and herbs and their effects on adipogenesis, lipogenesis, lipolysis, oxidation of fatty acids, and browning in 3T3-L1 preadipocytes.","container-title":"Journal of Food and Drug Analysis","DOI":"10.1016/j.jfda.2016.10.018","ISSN":"1021-9498","issue":"1","journalAbbreviation":"J Food Drug Anal","note":"PMID: 28911527\nPMCID: PMC9333434","page":"100-110","source":"PubMed Central","title":"Cellular models for the evaluation of the antiobesity effect of selected phytochemicals from food and herbs","volume":"25","author":[{"family":"Tung","given":"Yen-Chen"},{"family":"Hsieh","given":"Pei-Hsuan"},{"family":"Pan","given":"Min-Hsiung"},{"family":"Ho","given":"Chi-Tang"}]}},{"id":4149,"uris":["http://zotero.org/users/9622455/items/EZT7DC63"],"itemData":{"id":4149,"type":"article-journal","abstract":"Recent advances have been made in the understanding of pharmacological and dietary agents that contribute to browning of white adipose tissue in order to combat obesity by promoting energy expenditure. Here, we show that curcumin induces browning of 3T3-L1 and primary white adipocytes via enhanced expression of brown fatspecific genes. Curcumin-induced browning in white adipocytes was investigated by determining expression levels of brown adipocyte-specific genes/proteins by realtime reverse transcriptase polymerase chain reaction, immunoblot analysis and immunocytochemical staining. Curcumin increased mitochondrial biogenesis, as evidenced by transmission electronic microscopic detection and enhanced expression of proteins involved in fat oxidation. Cucurmin also increased protein levels of hormone-sensitive lipase and p-acyl-CoA carboxylase, suggesting its possible role in augmentation of lipolysis and suppression of lipogenesis. Increased expression of UCP1 and other brown adipocyte-specific markers was possibly mediated by curcumin-induced activation of AMP-activated protein kinase (AMPK) based on the fact that inhibition of AMPK by dorsomorphin abolished expression of PRDM16, UCP1 and peroxisome proliferator-activated receptor gamma co-activator 1-alpha while the activator 5-Aminoimidazole-4-carboxamide ribonucleotide elevated expression of these brown marker proteins. Our findings suggest that curcumin plays a dual modulatory role in inhibition of adipogenesis as well as induction of the brown fat-like phenotype and thus may have potential therapeutic implications for treatment of obesity.","container-title":"The Journal of Nutritional Biochemistry","DOI":"10.1016/j.jnutbio.2015.09.006","ISSN":"09552863","journalAbbreviation":"The Journal of Nutritional Biochemistry","language":"en","page":"193-202","source":"DOI.org (Crossref)","title":"Curcumin induces brown fat-like phenotype in 3T3-L1 and primary white adipocytes","volume":"27","author":[{"family":"Lone","given":"Jameel"},{"family":"Choi","given":"Jae Heon"},{"family":"Kim","given":"Sang Woo"},{"family":"Yun","given":"Jong Won"}],"issued":{"date-parts":[["2016",1]]}}}],"schema":"https://github.com/citation-style-language/schema/raw/master/csl-citation.json"} </w:instrText>
      </w:r>
      <w:r w:rsidRPr="00735FCE">
        <w:fldChar w:fldCharType="separate"/>
      </w:r>
      <w:r w:rsidR="00281437" w:rsidRPr="00281437">
        <w:rPr>
          <w:vertAlign w:val="superscript"/>
        </w:rPr>
        <w:t>239,240</w:t>
      </w:r>
      <w:r w:rsidRPr="00735FCE">
        <w:fldChar w:fldCharType="end"/>
      </w:r>
      <w:r w:rsidRPr="00735FCE">
        <w:t xml:space="preserve">. </w:t>
      </w:r>
    </w:p>
    <w:p w14:paraId="7AE4AB76" w14:textId="233640B8" w:rsidR="009117C0" w:rsidRPr="00735FCE" w:rsidRDefault="009117C0" w:rsidP="00F5471F">
      <w:pPr>
        <w:ind w:firstLine="720"/>
        <w:jc w:val="left"/>
      </w:pPr>
      <w:r w:rsidRPr="00735FCE">
        <w:t>The terpenoid is the largest class of secondary metabolites in nature, which can be found in plants, fungi, marine life, and animals</w:t>
      </w:r>
      <w:r>
        <w:t xml:space="preserve"> </w:t>
      </w:r>
      <w:r w:rsidRPr="00735FCE">
        <w:fldChar w:fldCharType="begin"/>
      </w:r>
      <w:r w:rsidR="00281437">
        <w:instrText xml:space="preserve"> ADDIN ZOTERO_ITEM CSL_CITATION {"citationID":"nP2pYsg3","properties":{"formattedCitation":"\\super 241\\nosupersub{}","plainCitation":"241","noteIndex":0},"citationItems":[{"id":3466,"uris":["http://zotero.org/users/9622455/items/VPJH4ZBA"],"itemData":{"id":3466,"type":"article-journal","abstract":"Obesity is a complex medical condition mainly caused by eating habits, genetics, lifestyle, and medicine. The present study deals with traditional diets like the Mediterranean diet, Nordic diet, African Heritage diet, Asian diet, and DASH, as these are considered to be sustainable diets for curing obesity. However, the bioavailability of phytonutrients consumed in the diet may vary, depending on several factors such as digestion and absorption of phytonutrients, interaction with other substances, cooking processes, and individual differences. Hence, several phytochemicals, like polyphenols, alkaloids, saponins, terpenoids, etc., have been investigated to assess their efficiencies and safety in the prevention and treatment of obesity. These phytochemicals have anti-obesity effects, mediated via modulation of many pathways, such as decreased lipogenesis, lipid absorption, accelerated lipolysis, energy intake, expenditure, and preadipocyte differentiation and proliferation. Owing to these anti-obesity effects, new food formulations incorporating these phytonutrients were introduced that can be beneficial in reducing the prevalence of obesity and promoting public health.","container-title":"Foods","DOI":"10.3390/foods12193610","ISSN":"2304-8158","issue":"19","language":"en","license":"http://creativecommons.org/licenses/by/3.0/","note":"number: 19\npublisher: Multidisciplinary Digital Publishing Institute","page":"3610","source":"www.mdpi.com","title":"A Comprehensive Review of Phytonutrients as a Dietary Therapy for Obesity","volume":"12","author":[{"family":"Siddiqui","given":"Shahida Anusha"},{"family":"Azmy Harahap","given":"Iskandar"},{"family":"Suthar","given":"Priyanka"},{"family":"Wu","given":"Yuan Seng"},{"family":"Ghosh","given":"Nibedita"},{"family":"Castro-Muñoz","given":"Roberto"}],"issued":{"date-parts":[["2023",1]]}}}],"schema":"https://github.com/citation-style-language/schema/raw/master/csl-citation.json"} </w:instrText>
      </w:r>
      <w:r w:rsidRPr="00735FCE">
        <w:fldChar w:fldCharType="separate"/>
      </w:r>
      <w:r w:rsidR="00281437" w:rsidRPr="00281437">
        <w:rPr>
          <w:vertAlign w:val="superscript"/>
        </w:rPr>
        <w:t>241</w:t>
      </w:r>
      <w:r w:rsidRPr="00735FCE">
        <w:fldChar w:fldCharType="end"/>
      </w:r>
      <w:r w:rsidRPr="00735FCE">
        <w:t>. Terpenes are composed of isoprene subunits (C₅H₈) that are repetitively bonded together, hence, classification is done according to the number of units into: monoterpenes (C10), sesquiterpenes (C15), diterpenes (C20), sesterterpenes (C25), triterpenes (C30), and tetraterpenes (C40)</w:t>
      </w:r>
      <w:r>
        <w:t xml:space="preserve"> </w:t>
      </w:r>
      <w:r w:rsidRPr="00735FCE">
        <w:fldChar w:fldCharType="begin"/>
      </w:r>
      <w:r w:rsidR="00281437">
        <w:instrText xml:space="preserve"> ADDIN ZOTERO_ITEM CSL_CITATION {"citationID":"gnLa4oIH","properties":{"formattedCitation":"\\super 242\\nosupersub{}","plainCitation":"242","noteIndex":0},"citationItems":[{"id":3472,"uris":["http://zotero.org/users/9622455/items/3QM4W5S8"],"itemData":{"id":3472,"type":"article-journal","abstract":"The effects of the addition of nitrite at 200 ppm (N), sodium lactate 1.5% (L) and thyme essential oil at 100 ppm (T1) on Listeria monocytogenes behaviour and ATPase activity inhibition were evaluated, as well as lipid oxidation through the quantification of malonaldehydes, in sausage stored at 8 </w:instrText>
      </w:r>
      <w:r w:rsidR="00281437">
        <w:rPr>
          <w:rFonts w:hint="eastAsia"/>
        </w:rPr>
        <w:instrText>℃</w:instrText>
      </w:r>
      <w:r w:rsidR="00281437">
        <w:instrText xml:space="preserve"> for 41 days and at 30 </w:instrText>
      </w:r>
      <w:r w:rsidR="00281437">
        <w:rPr>
          <w:rFonts w:hint="eastAsia"/>
        </w:rPr>
        <w:instrText>℃</w:instrText>
      </w:r>
      <w:r w:rsidR="00281437">
        <w:instrText xml:space="preserve"> for 14 days. The changes in the colour profile were performed during storage time at 8 </w:instrText>
      </w:r>
      <w:r w:rsidR="00281437">
        <w:rPr>
          <w:rFonts w:hint="eastAsia"/>
        </w:rPr>
        <w:instrText>℃</w:instrText>
      </w:r>
      <w:r w:rsidR="00281437">
        <w:instrText>. Quantitative descriptive sensory analyses were performed after two days at 4 </w:instrText>
      </w:r>
      <w:r w:rsidR="00281437">
        <w:rPr>
          <w:rFonts w:hint="eastAsia"/>
        </w:rPr>
        <w:instrText>℃</w:instrText>
      </w:r>
      <w:r w:rsidR="00281437">
        <w:instrText>. At 8 </w:instrText>
      </w:r>
      <w:r w:rsidR="00281437">
        <w:rPr>
          <w:rFonts w:hint="eastAsia"/>
        </w:rPr>
        <w:instrText>℃</w:instrText>
      </w:r>
      <w:r w:rsidR="00281437">
        <w:instrText>, the treatments with the highest inhibition on L. monocytogenes were L and N, without significant differences. In turn, at 30 </w:instrText>
      </w:r>
      <w:r w:rsidR="00281437">
        <w:rPr>
          <w:rFonts w:hint="eastAsia"/>
        </w:rPr>
        <w:instrText>℃</w:instrText>
      </w:r>
      <w:r w:rsidR="00281437">
        <w:instrText>, the bacterium was most inhibited with treatment L, followed by T1 and N, without significant differences. A 44.1% and 19% inhibition of ATPase activity was detected in L and T1 treatments, respectively. At 8 </w:instrText>
      </w:r>
      <w:r w:rsidR="00281437">
        <w:rPr>
          <w:rFonts w:hint="eastAsia"/>
        </w:rPr>
        <w:instrText>℃</w:instrText>
      </w:r>
      <w:r w:rsidR="00281437">
        <w:instrText xml:space="preserve"> and 30 </w:instrText>
      </w:r>
      <w:r w:rsidR="00281437">
        <w:rPr>
          <w:rFonts w:hint="eastAsia"/>
        </w:rPr>
        <w:instrText>℃</w:instrText>
      </w:r>
      <w:r w:rsidR="00281437">
        <w:instrText>, malonaldehydes content was not different between the treatments. N presented the highest values of a* and concentration of metmyoglobin after 41 days at 8 </w:instrText>
      </w:r>
      <w:r w:rsidR="00281437">
        <w:rPr>
          <w:rFonts w:hint="eastAsia"/>
        </w:rPr>
        <w:instrText>℃</w:instrText>
      </w:r>
      <w:r w:rsidR="00281437">
        <w:instrText xml:space="preserve">. The panel detected differences between T1 and N for the aroma in the descriptors spices and herbal.","container-title":"Food Science and Technology International","DOI":"10.1177/1082013216686464","ISSN":"1082-0132","issue":"3","journalAbbreviation":"Food sci. technol. int.","language":"EN","note":"publisher: SAGE Publications Ltd STM","page":"277-288","source":"SAGE Journals","title":"Listeria monocytogenes behaviour and quality attributes during sausage storage affected by sodium nitrite, sodium lactate and thyme essential oil","volume":"23","author":[{"family":"Blanco-Lizarazo","given":"Carla María"},{"family":"Betancourt-Cortés","given":"Rubén"},{"family":"Lombana","given":"Angélica"},{"family":"Carrillo-Castro","given":"Katerine"},{"family":"Sotelo-Díaz","given":"Indira"}],"issued":{"date-parts":[["2017",4,1]]}}}],"schema":"https://github.com/citation-style-language/schema/raw/master/csl-citation.json"} </w:instrText>
      </w:r>
      <w:r w:rsidRPr="00735FCE">
        <w:fldChar w:fldCharType="separate"/>
      </w:r>
      <w:r w:rsidR="00281437" w:rsidRPr="00281437">
        <w:rPr>
          <w:vertAlign w:val="superscript"/>
        </w:rPr>
        <w:t>242</w:t>
      </w:r>
      <w:r w:rsidRPr="00735FCE">
        <w:fldChar w:fldCharType="end"/>
      </w:r>
      <w:r w:rsidRPr="00735FCE">
        <w:t xml:space="preserve">. </w:t>
      </w:r>
      <w:r>
        <w:t>Among</w:t>
      </w:r>
      <w:r w:rsidRPr="00735FCE">
        <w:t xml:space="preserve"> all terpenoids, carotenoids have attracted significant attention due to their role in modulati</w:t>
      </w:r>
      <w:r>
        <w:t>ng</w:t>
      </w:r>
      <w:r w:rsidRPr="00735FCE">
        <w:t xml:space="preserve"> adipose tissue and lipid metabolism</w:t>
      </w:r>
      <w:r>
        <w:t xml:space="preserve"> </w:t>
      </w:r>
      <w:r w:rsidRPr="00735FCE">
        <w:fldChar w:fldCharType="begin"/>
      </w:r>
      <w:r w:rsidR="00281437">
        <w:instrText xml:space="preserve"> ADDIN ZOTERO_ITEM CSL_CITATION {"citationID":"mPP0i8CC","properties":{"formattedCitation":"\\super 243\\nosupersub{}","plainCitation":"243","noteIndex":0},"citationItems":[{"id":3473,"uris":["http://zotero.org/users/9622455/items/SEUZZ3WY"],"itemData":{"id":3473,"type":"chapter","abstract":"Cell, animal and human studies dealing with carotenoids and carotenoid derivatives as nutritional regulators of adipose tissue biology with implications for the etiology and management of obesity and obesity-related metabolic diseases are reviewed. Most studied carotenoids in this context are β-carotene, cryptoxanthin, astaxanthin and fucoxanthin, together with β-carotene-derived retinoids and some other apocarotenoids. Studies indicate an impact of these compounds on essential aspects of adipose tissue biology including the control of adipocyte differentiation (adipogenesis), adipocyte metabolism, oxidative stress and the production of adipose tissue-derived regulatory signals and inflammatory mediators. Specific carotenoids and carotenoid derivatives restrain adipogenesis and adipocyte hypertrophy while enhancing fat oxidation and energy dissipation in brown and white adipocytes, and counteract obesity in animal models. Intake, blood levels and adipocyte content of carotenoids are reduced in human obesity. Specifically designed human intervention studies in the field, though still sparse, indicate a beneficial effect of carotenoid supplementation in the accrual of abdominal adiposity. In summary, studies support a role of specific carotenoids and carotenoid derivatives in the prevention of excess adiposity, and suggest that carotenoid requirements may be dependent on body composition.","container-title":"Carotenoids in Nature: Biosynthesis, Regulation and Function","event-place":"Cham","ISBN":"978-3-319-39126-7","language":"en","note":"DOI: 10.1007/978-3-319-39126-7_15","page":"377-414","publisher":"Springer International Publishing","publisher-place":"Cham","source":"Springer Link","title":"Carotenoids in Adipose Tissue Biology and Obesity","URL":"https://doi.org/10.1007/978-3-319-39126-7_15","author":[{"family":"Bonet","given":"M. Luisa"},{"family":"Canas","given":"Jose A."},{"family":"Ribot","given":"Joan"},{"family":"Palou","given":"Andreu"}],"editor":[{"family":"Stange","given":"Claudia"}],"accessed":{"date-parts":[["2025",6,11]]},"issued":{"date-parts":[["2016"]]}}}],"schema":"https://github.com/citation-style-language/schema/raw/master/csl-citation.json"} </w:instrText>
      </w:r>
      <w:r w:rsidRPr="00735FCE">
        <w:fldChar w:fldCharType="separate"/>
      </w:r>
      <w:r w:rsidR="00281437" w:rsidRPr="00281437">
        <w:rPr>
          <w:vertAlign w:val="superscript"/>
        </w:rPr>
        <w:t>243</w:t>
      </w:r>
      <w:r w:rsidRPr="00735FCE">
        <w:fldChar w:fldCharType="end"/>
      </w:r>
      <w:r w:rsidRPr="00735FCE">
        <w:t>. Retinol and carotenoids are mostly stored in non-esterified forms within adipocytes, often associated with triacylglycerol in lipid droplets and cell membranes</w:t>
      </w:r>
      <w:r>
        <w:t xml:space="preserve"> </w:t>
      </w:r>
      <w:r w:rsidRPr="00735FCE">
        <w:fldChar w:fldCharType="begin"/>
      </w:r>
      <w:r w:rsidR="00281437">
        <w:instrText xml:space="preserve"> ADDIN ZOTERO_ITEM CSL_CITATION {"citationID":"ywg1Lkvb","properties":{"formattedCitation":"\\super 244\\nosupersub{}","plainCitation":"244","noteIndex":0},"citationItems":[{"id":3475,"uris":["http://zotero.org/users/9622455/items/5HWGAILT"],"itemData":{"id":3475,"type":"article-journal","abstract":"A novel perspective of the function of carotenoids and carotenoid-derived products − including, but not restricted to, the retinoids − is emerging in recent years which connects these compounds to the control of adipocyte biology and body fat accumulation, with implications for the management of obesity, diabetes and cardiovascular disease. Cell and animal studies indicate that carotenoids and carotenoids derivatives can reduce adiposity and impact key aspects of adipose tissue biology including adipocyte differentiation, hypertrophy, capacity for fatty acid oxidation and thermogenesis (including browning of white adipose tissue) and secretory function. Epidemiological studies in humans associate higher dietary intakes and serum levels of carotenoids with decreased adiposity. Specifically designed human intervention studies, though still sparse, indicate a beneficial effect of carotenoid supplementation in the accrual of abdominal adiposity. The objective of this review is to summarize recent findings in this area, place them in physiological contexts, and provide likely regulatory schemes whenever possible. The focus will be on the effects of carotenoids as nutritional regulators of adipose tissue biology and both animal and human studies, which support a role of carotenoids and retinoids in the prevention of abdominal adiposity.","collection-title":"Highlights of Carotenoid Research from the 17th International Carotenoid Symposium","container-title":"Archives of Biochemistry and Biophysics","DOI":"10.1016/j.abb.2015.02.022","ISSN":"0003-9861","journalAbbreviation":"Archives of Biochemistry and Biophysics","page":"112-125","source":"ScienceDirect","title":"Carotenoids and their conversion products in the control of adipocyte function, adiposity and obesity","volume":"572","author":[{"family":"Luisa Bonet","given":"M."},{"family":"Canas","given":"Jose A."},{"family":"Ribot","given":"Joan"},{"family":"Palou","given":"Andreu"}],"issued":{"date-parts":[["2015",4,15]]}}}],"schema":"https://github.com/citation-style-language/schema/raw/master/csl-citation.json"} </w:instrText>
      </w:r>
      <w:r w:rsidRPr="00735FCE">
        <w:fldChar w:fldCharType="separate"/>
      </w:r>
      <w:r w:rsidR="00281437" w:rsidRPr="00281437">
        <w:rPr>
          <w:vertAlign w:val="superscript"/>
        </w:rPr>
        <w:t>244</w:t>
      </w:r>
      <w:r w:rsidRPr="00735FCE">
        <w:fldChar w:fldCharType="end"/>
      </w:r>
      <w:r w:rsidRPr="00735FCE">
        <w:t>. Carotenoids inhibit adipocyte differentiation and lipid accumulation by binding nuclear receptors such as Retinoic Acid Receptor</w:t>
      </w:r>
      <w:r>
        <w:t xml:space="preserve"> (</w:t>
      </w:r>
      <w:r w:rsidRPr="00735FCE">
        <w:t>RAR), Retinoid X Receptor</w:t>
      </w:r>
      <w:r>
        <w:t xml:space="preserve"> (</w:t>
      </w:r>
      <w:r w:rsidRPr="00735FCE">
        <w:t>R</w:t>
      </w:r>
      <w:r>
        <w:t>X</w:t>
      </w:r>
      <w:r w:rsidRPr="00735FCE">
        <w:t>R), and</w:t>
      </w:r>
      <w:r>
        <w:t xml:space="preserve"> </w:t>
      </w:r>
      <w:r w:rsidRPr="00735FCE">
        <w:t xml:space="preserve">Peroxisome Proliferator-Activated </w:t>
      </w:r>
      <w:r w:rsidRPr="00735FCE">
        <w:lastRenderedPageBreak/>
        <w:t>Receptor</w:t>
      </w:r>
      <w:r>
        <w:t xml:space="preserve"> (PPAR</w:t>
      </w:r>
      <w:r w:rsidRPr="00735FCE">
        <w:t>)</w:t>
      </w:r>
      <w:r>
        <w:t xml:space="preserve"> </w:t>
      </w:r>
      <w:r w:rsidRPr="00735FCE">
        <w:fldChar w:fldCharType="begin"/>
      </w:r>
      <w:r w:rsidR="00281437">
        <w:instrText xml:space="preserve"> ADDIN ZOTERO_ITEM CSL_CITATION {"citationID":"R5h6n7rU","properties":{"formattedCitation":"\\super 245\\nosupersub{}","plainCitation":"245","noteIndex":0},"citationItems":[{"id":3478,"uris":["http://zotero.org/users/9622455/items/BIH5CGP7"],"itemData":{"id":3478,"type":"article-journal","abstract":"This review summarizes current knowledge on the biological relevance of carotenoids and some of their metabolites in obesity management. The relationship between carotenoids and obesity is considered in clinical studies and in preclinical studies. Adipose tissue is a key organ in obesity etiology and the main storage site for carotenoids. We thus first describe carotenoid metabolism in adipocyte and adipose tissue and the effects of carotenoids on biological processes in adipose tissue that may be linked to obesity management in in vitro and preclinical studies. It is also now well established that the brain is strongly involved in obesity processes. A section is accordingly devoted to the potential effect of carotenoids on obesity via their direct and/or adipose tissue-driven indirect biological effects on the brain.","container-title":"Nutrients","DOI":"10.3390/nu11071562","ISSN":"2072-6643","issue":"7","language":"en","license":"http://creativecommons.org/licenses/by/3.0/","note":"number: 7\npublisher: Multidisciplinary Digital Publishing Institute","page":"1562","source":"www.mdpi.com","title":"Anti-Obesity Effect of Carotenoids: Direct Impact on Adipose Tissue and Adipose Tissue-Driven Indirect Effects","title-short":"Anti-Obesity Effect of Carotenoids","volume":"11","author":[{"family":"Mounien","given":"Lourdes"},{"family":"Tourniaire","given":"Franck"},{"family":"Landrier","given":"Jean-Francois"}],"issued":{"date-parts":[["2019",7]]}}}],"schema":"https://github.com/citation-style-language/schema/raw/master/csl-citation.json"} </w:instrText>
      </w:r>
      <w:r w:rsidRPr="00735FCE">
        <w:fldChar w:fldCharType="separate"/>
      </w:r>
      <w:r w:rsidR="00281437" w:rsidRPr="00281437">
        <w:rPr>
          <w:vertAlign w:val="superscript"/>
        </w:rPr>
        <w:t>245</w:t>
      </w:r>
      <w:r w:rsidRPr="00735FCE">
        <w:fldChar w:fldCharType="end"/>
      </w:r>
      <w:r w:rsidRPr="00735FCE">
        <w:t xml:space="preserve">. For example, β-carotene suppresses adipogenesis by being converted into all-trans retinoic acid and Apo-14’-carotenal, which both </w:t>
      </w:r>
      <w:r>
        <w:t>inhibit</w:t>
      </w:r>
      <w:r w:rsidRPr="00735FCE">
        <w:t xml:space="preserve"> PPAR and RXR signaling</w:t>
      </w:r>
      <w:r>
        <w:t xml:space="preserve"> </w:t>
      </w:r>
      <w:r w:rsidRPr="00735FCE">
        <w:fldChar w:fldCharType="begin"/>
      </w:r>
      <w:r w:rsidR="00281437">
        <w:instrText xml:space="preserve"> ADDIN ZOTERO_ITEM CSL_CITATION {"citationID":"gZltduhs","properties":{"formattedCitation":"\\super 246\\nosupersub{}","plainCitation":"246","noteIndex":0},"citationItems":[{"id":3480,"uris":["http://zotero.org/users/9622455/items/V6ZVT9UI"],"itemData":{"id":3480,"type":"article-journal","abstract":"&lt;p&gt;Increasing evidence has been provided for a connection between retinoid metabolism and the activity of peroxisome proliferator receptors (Ppars) in the control of body fat reserves. Two different precursors for retinoids exist in the diet as preformed vitamin A (all-&lt;i&gt;trans&lt;/i&gt;-retinol) and provitamin A (β,β-carotene). For retinoid production, β,β-carotene is converted to retinaldehyde by β,β-carotene monooxygenase 1 (Bcmo1). Previous analysis showed that &lt;i&gt;Bcmo1&lt;/i&gt; knock-out mice develop dyslipidemia and are more susceptible to diet-induced obesity. However, the role of Bcmo1 for adipocyte retinoid metabolism has yet not been well defined. Here, we showed that &lt;i&gt;Bcmo1&lt;/i&gt; mRNA and protein expression are induced during adipogenesis in NIH 3T3-L1 cells. In mature adipocytes, β,β-carotene but not all-&lt;i&gt;trans&lt;/i&gt;-retinol was metabolized to retinoic acid (RA). RA decreased the expression of Pparγ and CCAAT/enhancer-binding protein α, key lipogenic transcription factors, and reduced the lipid content of mature adipocytes. This process was inhibited by the retinoic acid receptor antagonist LE450, showing that it involves canonical retinoid signaling. Accordingly, gavage of β,β-carotene but not all-&lt;i&gt;trans&lt;/i&gt;-retinol induced retinoid signaling and decreased &lt;i&gt;Ppar&lt;/i&gt;γ expression in white adipose tissue of vitamin A-deficient mice. Our study identifies β,β-carotene as a critical physiological precursor for RA production in adipocytes and implicates provitamin A as a dietary regulator of body fat reserves.&lt;/p&gt;","container-title":"Journal of Biological Chemistry","DOI":"10.1074/jbc.M110.132571","ISSN":"0021-9258, 1083-351X","issue":"36","journalAbbreviation":"Journal of Biological Chemistry","language":"English","note":"publisher: Elsevier","page":"27891-27899","source":"www.jbc.org","title":"β,β-Carotene Decreases Peroxisome Proliferator Receptor γ Activity and Reduces Lipid Storage Capacity of Adipocytes in a β,β-Carotene Oxygenase 1-dependent Manner *","volume":"285","author":[{"family":"Lobo","given":"Glenn P."},{"family":"Amengual","given":"Jaume"},{"family":"Li","given":"Hua Nan M."},{"family":"Golczak","given":"Marcin"},{"family":"Bonet","given":"M. Luisa"},{"family":"Palczewski","given":"Krzysztof"},{"family":"Lintig","given":"Johannes","dropping-particle":"von"}],"issued":{"date-parts":[["2010",9,3]]}}}],"schema":"https://github.com/citation-style-language/schema/raw/master/csl-citation.json"} </w:instrText>
      </w:r>
      <w:r w:rsidRPr="00735FCE">
        <w:fldChar w:fldCharType="separate"/>
      </w:r>
      <w:r w:rsidR="00281437" w:rsidRPr="00281437">
        <w:rPr>
          <w:vertAlign w:val="superscript"/>
        </w:rPr>
        <w:t>246</w:t>
      </w:r>
      <w:r w:rsidRPr="00735FCE">
        <w:fldChar w:fldCharType="end"/>
      </w:r>
      <w:r w:rsidRPr="00735FCE">
        <w:t>.</w:t>
      </w:r>
    </w:p>
    <w:p w14:paraId="3192B99E" w14:textId="68A2B7AF" w:rsidR="009117C0" w:rsidRPr="00735FCE" w:rsidRDefault="009117C0" w:rsidP="00F5471F">
      <w:pPr>
        <w:ind w:firstLine="720"/>
        <w:jc w:val="left"/>
      </w:pPr>
      <w:r w:rsidRPr="00735FCE">
        <w:t xml:space="preserve">Lycopene, a tetraterpene found in tomatoes and other red fruits, has been researched and found to have anti-obesity properties in </w:t>
      </w:r>
      <w:r>
        <w:t>specific</w:t>
      </w:r>
      <w:r w:rsidRPr="00735FCE">
        <w:t xml:space="preserve"> tissues, </w:t>
      </w:r>
      <w:r>
        <w:t xml:space="preserve">such as </w:t>
      </w:r>
      <w:r w:rsidRPr="00735FCE">
        <w:t>the liver and adipose tissue</w:t>
      </w:r>
      <w:r>
        <w:t xml:space="preserve"> </w:t>
      </w:r>
      <w:r w:rsidRPr="00735FCE">
        <w:fldChar w:fldCharType="begin"/>
      </w:r>
      <w:r w:rsidR="00281437">
        <w:instrText xml:space="preserve"> ADDIN ZOTERO_ITEM CSL_CITATION {"citationID":"nvDqZ6G6","properties":{"formattedCitation":"\\super 247,248\\nosupersub{}","plainCitation":"247,248","noteIndex":0},"citationItems":[{"id":3485,"uris":["http://zotero.org/users/9622455/items/R6DCJ6RU"],"itemData":{"id":3485,"type":"article-journal","abstract":"Lycopene is a naturally occurring carotenoid predominantly found in tomatoes and tomato-based products. Like other phytochemicals, it exhibits health beneficial biological activities that can be exploited when it is used as a dietary supplement. In vitro and in vivo, lycopene has been demonstrated to mitigate oxidative stress-induced metabolic dysfunctions and diseases including inflammation, obesity, and diabetes mellitus. Lycopene has been shown to alleviate metabolic diseases that affect the bone, eye, kidney, liver, lungs, heart, and nervous system. This review presents the state of the art regarding lycopene’s health benefits and its potential applications in health system delivery. Furthermore, lycopene’s protective effects against toxins, safety in its use, and possible toxicity are explored.","container-title":"Journal of Nutrition and Metabolism","DOI":"10.1155/2024/6252426","ISSN":"2090-0732","issue":"1","language":"en","license":"Copyright © 2024 Mercy Omoye Shafe et al.","note":"_eprint: https://onlinelibrary.wiley.com/doi/pdf/10.1155/2024/6252426","page":"6252426","source":"Wiley Online Library","title":"Lycopene: A Potent Antioxidant with Multiple Health Benefits","title-short":"Lycopene","volume":"2024","author":[{"family":"Shafe","given":"Mercy Omoye"},{"family":"Gumede","given":"Nontobeko Myllet"},{"family":"Nyakudya","given":"Trevor Tapiwa"},{"family":"Chivandi","given":"Eliton"}],"issued":{"date-parts":[["2024"]]}}},{"id":3482,"uris":["http://zotero.org/users/9622455/items/GRW4Y4RP"],"itemData":{"id":3482,"type":"article-journal","abstract":"Lycopene, belonging to the carotenoids, is a tetraterpene compound abundantly found in tomato and tomato-based products. It is fundamentally recognized as a potent antioxidant and a non-pro-vitamin A carotenoid. Lycopene has been found to be efficient in ameliorating cancer insurgences, diabetes mellitus, cardiac complications, oxidative stress-mediated malfunctions, inflammatory events, skin and bone diseases, hepatic, neural and reproductive disorders. This review summarizes information regarding its sources and uses amongst different societies, its biochemistry aspects, and the potential utilization of lycopene and possible mechanisms involved in alleviating the abovementioned disorders. Furthermore, future directions with the possible use of this nutraceutical against lifestyle-related disorders are emphasized. Its protective effects against recommended doses of toxic agents and toxicity and safety are also discussed.","container-title":"Antioxidants","DOI":"10.3390/antiox9080706","ISSN":"2076-3921","issue":"8","journalAbbreviation":"Antioxidants (Basel)","note":"PMID: 32759751\nPMCID: PMC7464847","page":"706","source":"PubMed Central","title":"Lycopene as a Natural Antioxidant Used to Prevent Human Health Disorders","volume":"9","author":[{"family":"Imran","given":"Muhammad"},{"family":"Ghorat","given":"Fereshteh"},{"family":"Ul-Haq","given":"Iahtisham"},{"family":"Ur-Rehman","given":"Habib"},{"family":"Aslam","given":"Farhan"},{"family":"Heydari","given":"Mojtaba"},{"family":"Shariati","given":"Mohammad Ali"},{"family":"Okuskhanova","given":"Eleonora"},{"family":"Yessimbekov","given":"Zhanibek"},{"family":"Thiruvengadam","given":"Muthu"},{"family":"Hashempur","given":"Mohammad Hashem"},{"family":"Rebezov","given":"Maksim"}],"issued":{"date-parts":[["2020",8,4]]}}}],"schema":"https://github.com/citation-style-language/schema/raw/master/csl-citation.json"} </w:instrText>
      </w:r>
      <w:r w:rsidRPr="00735FCE">
        <w:fldChar w:fldCharType="separate"/>
      </w:r>
      <w:r w:rsidR="00281437" w:rsidRPr="00281437">
        <w:rPr>
          <w:vertAlign w:val="superscript"/>
        </w:rPr>
        <w:t>247,248</w:t>
      </w:r>
      <w:r w:rsidRPr="00735FCE">
        <w:fldChar w:fldCharType="end"/>
      </w:r>
      <w:r w:rsidRPr="00735FCE">
        <w:t xml:space="preserve">. Cis isomers are more bioavailable than </w:t>
      </w:r>
      <w:r>
        <w:t xml:space="preserve">the </w:t>
      </w:r>
      <w:r w:rsidRPr="00735FCE">
        <w:t>trans form, due to the cis form preferentially accumulating in the liver and adipose tissues</w:t>
      </w:r>
      <w:r>
        <w:t xml:space="preserve"> </w:t>
      </w:r>
      <w:r w:rsidRPr="00735FCE">
        <w:fldChar w:fldCharType="begin"/>
      </w:r>
      <w:r w:rsidR="00281437">
        <w:instrText xml:space="preserve"> ADDIN ZOTERO_ITEM CSL_CITATION {"citationID":"FjHLgxcY","properties":{"formattedCitation":"\\super 249\\nosupersub{}","plainCitation":"249","noteIndex":0},"citationItems":[{"id":3489,"uris":["http://zotero.org/users/9622455/items/5RQUBICV"],"itemData":{"id":3489,"type":"article-journal","container-title":"Pharmacological Research","DOI":"10.1016/j.phrs.2020.104966","ISSN":"10436618","journalAbbreviation":"Pharmacological Research","language":"en","page":"104966","source":"DOI.org (Crossref)","title":"Lycopene in protection against obesity and diabetes: A mechanistic review","title-short":"Lycopene in protection against obesity and diabetes","volume":"159","author":[{"family":"Zhu","given":"Ruyuan"},{"family":"Chen","given":"Beibei"},{"family":"Bai","given":"Ying"},{"family":"Miao","given":"Tianyi"},{"family":"Rui","given":"Li"},{"family":"Zhang","given":"Hao"},{"family":"Xia","given":"Bingke"},{"family":"Li","given":"Yu"},{"family":"Gao","given":"Sihua"},{"family":"Wang","given":"Xiang-Dong"},{"family":"Zhang","given":"Dongwei"}],"issued":{"date-parts":[["2020",9]]}}}],"schema":"https://github.com/citation-style-language/schema/raw/master/csl-citation.json"} </w:instrText>
      </w:r>
      <w:r w:rsidRPr="00735FCE">
        <w:fldChar w:fldCharType="separate"/>
      </w:r>
      <w:r w:rsidR="00281437" w:rsidRPr="00281437">
        <w:rPr>
          <w:vertAlign w:val="superscript"/>
        </w:rPr>
        <w:t>249</w:t>
      </w:r>
      <w:r w:rsidRPr="00735FCE">
        <w:fldChar w:fldCharType="end"/>
      </w:r>
      <w:r w:rsidRPr="00735FCE">
        <w:t xml:space="preserve">. </w:t>
      </w:r>
      <w:r>
        <w:t>Studies have</w:t>
      </w:r>
      <w:r w:rsidRPr="00735FCE">
        <w:t xml:space="preserve"> indicated that lycopene assists with the browning of WAT by activating thermogenic markers such as UCP1, PPAR, and SIRT1</w:t>
      </w:r>
      <w:r>
        <w:t xml:space="preserve"> </w:t>
      </w:r>
      <w:r w:rsidRPr="00735FCE">
        <w:fldChar w:fldCharType="begin"/>
      </w:r>
      <w:r w:rsidR="00281437">
        <w:instrText xml:space="preserve"> ADDIN ZOTERO_ITEM CSL_CITATION {"citationID":"LmnO8cPc","properties":{"formattedCitation":"\\super 249\\nosupersub{}","plainCitation":"249","noteIndex":0},"citationItems":[{"id":3489,"uris":["http://zotero.org/users/9622455/items/5RQUBICV"],"itemData":{"id":3489,"type":"article-journal","container-title":"Pharmacological Research","DOI":"10.1016/j.phrs.2020.104966","ISSN":"10436618","journalAbbreviation":"Pharmacological Research","language":"en","page":"104966","source":"DOI.org (Crossref)","title":"Lycopene in protection against obesity and diabetes: A mechanistic review","title-short":"Lycopene in protection against obesity and diabetes","volume":"159","author":[{"family":"Zhu","given":"Ruyuan"},{"family":"Chen","given":"Beibei"},{"family":"Bai","given":"Ying"},{"family":"Miao","given":"Tianyi"},{"family":"Rui","given":"Li"},{"family":"Zhang","given":"Hao"},{"family":"Xia","given":"Bingke"},{"family":"Li","given":"Yu"},{"family":"Gao","given":"Sihua"},{"family":"Wang","given":"Xiang-Dong"},{"family":"Zhang","given":"Dongwei"}],"issued":{"date-parts":[["2020",9]]}}}],"schema":"https://github.com/citation-style-language/schema/raw/master/csl-citation.json"} </w:instrText>
      </w:r>
      <w:r w:rsidRPr="00735FCE">
        <w:fldChar w:fldCharType="separate"/>
      </w:r>
      <w:r w:rsidR="00281437" w:rsidRPr="00281437">
        <w:rPr>
          <w:vertAlign w:val="superscript"/>
        </w:rPr>
        <w:t>249</w:t>
      </w:r>
      <w:r w:rsidRPr="00735FCE">
        <w:fldChar w:fldCharType="end"/>
      </w:r>
      <w:r w:rsidRPr="00735FCE">
        <w:t xml:space="preserve">. Moreover, some clinical research </w:t>
      </w:r>
      <w:r>
        <w:t xml:space="preserve">has </w:t>
      </w:r>
      <w:r w:rsidRPr="00735FCE">
        <w:t>sho</w:t>
      </w:r>
      <w:r>
        <w:t>wn</w:t>
      </w:r>
      <w:r w:rsidRPr="00735FCE">
        <w:t xml:space="preserve"> that young women </w:t>
      </w:r>
      <w:r>
        <w:t>who consumed</w:t>
      </w:r>
      <w:r w:rsidRPr="00735FCE">
        <w:t xml:space="preserve"> raw and ripe tomatoes, rich in lycopene</w:t>
      </w:r>
      <w:r>
        <w:t>,</w:t>
      </w:r>
      <w:r w:rsidRPr="00735FCE">
        <w:t xml:space="preserve"> before meals exhibited a considerable decline in body fat, triglycerides, blood glucose, and cholesterol levels</w:t>
      </w:r>
      <w:r w:rsidRPr="00735FCE">
        <w:fldChar w:fldCharType="begin"/>
      </w:r>
      <w:r w:rsidR="00281437">
        <w:instrText xml:space="preserve"> ADDIN ZOTERO_ITEM CSL_CITATION {"citationID":"O6HmW4YZ","properties":{"formattedCitation":"\\super 250\\nosupersub{}","plainCitation":"250","noteIndex":0},"citationItems":[{"id":3495,"uris":["http://zotero.org/users/9622455/items/IY8DD4BH"],"itemData":{"id":3495,"type":"article-journal","abstract":"The effect of pre-meal tomato intake in the anthropometric indices and blood levels of triglycerides, cholesterol, glucose, and uric acid of a young women population (n = 35, 19.6 ± 1.3 years) was evaluated. During 4 weeks, daily, participants ingested a raw ripe tomato (</w:instrText>
      </w:r>
      <w:r w:rsidR="00281437">
        <w:rPr>
          <w:rFonts w:ascii="Cambria Math" w:hAnsi="Cambria Math" w:cs="Cambria Math"/>
        </w:rPr>
        <w:instrText>∼</w:instrText>
      </w:r>
      <w:r w:rsidR="00281437">
        <w:instrText xml:space="preserve">90 g) before lunch. Their anthropometric and biochemical parameters were measured repeatedly during the follow-up time. At the end of the 4 weeks, significant reductions were observed on body weight (−1.09 ± 0.12 kg on average), % fat (−1.54 ± 0.52%), fasting blood glucose (−5.29 ± 0.80 mg/dl), triglycerides (−8.31 ± 1.34 mg/dl), cholesterol (−10.17 ± 1.21 mg/dl), and uric acid (−0.16 ± 0.04 mg/dl) of the participants. The tomato pre-meal ingestion seemed to interfere positively in body weight, fat percentage, and blood levels of glucose, triglycerides, cholesterol, and uric acid of the young adult women that participated in this study.","container-title":"International Journal of Food Sciences and Nutrition","DOI":"10.3109/09637486.2014.950206","ISSN":"0963-7486","issue":"8","note":"publisher: Taylor &amp; Francis\n_eprint: https://doi.org/10.3109/09637486.2014.950206\nPMID: 25156566","page":"1019-1026","source":"Taylor and Francis+NEJM","title":"Pre-meal tomato (Lycopersicon esculentum) intake can have anti-obesity effects in young women?","volume":"65","author":[{"family":"Vinha","given":"Ana F."},{"family":"","given":"Barreira ,Sérgio V. P."},{"family":"","given":"Costa ,Anabela S. G."},{"family":"","given":"Alves ,Rita C."},{"family":"Oliveira","given":"M. Beatriz P. P.","non-dropping-particle":"and"}],"issued":{"date-parts":[["2014",12,1]]}}}],"schema":"https://github.com/citation-style-language/schema/raw/master/csl-citation.json"} </w:instrText>
      </w:r>
      <w:r w:rsidRPr="00735FCE">
        <w:fldChar w:fldCharType="separate"/>
      </w:r>
      <w:r w:rsidR="00281437" w:rsidRPr="00281437">
        <w:rPr>
          <w:vertAlign w:val="superscript"/>
        </w:rPr>
        <w:t>250</w:t>
      </w:r>
      <w:r w:rsidRPr="00735FCE">
        <w:fldChar w:fldCharType="end"/>
      </w:r>
      <w:r w:rsidRPr="00735FCE">
        <w:t>. Xanthophylls from marine sources, especially fucoxanthin, have also been reported to promote adaptive thermogenesis</w:t>
      </w:r>
      <w:r>
        <w:t xml:space="preserve"> </w:t>
      </w:r>
      <w:r w:rsidRPr="00735FCE">
        <w:fldChar w:fldCharType="begin"/>
      </w:r>
      <w:r w:rsidR="00281437">
        <w:instrText xml:space="preserve"> ADDIN ZOTERO_ITEM CSL_CITATION {"citationID":"WIb9K0UF","properties":{"formattedCitation":"\\super 251\\nosupersub{}","plainCitation":"251","noteIndex":0},"citationItems":[{"id":3497,"uris":["http://zotero.org/users/9622455/items/6VTWAEKL"],"itemData":{"id":3497,"type":"article-journal","abstract":"Obesity is a chronic metabolic disease caused by a long-term imbalance between energy intake and expenditure. The discovery of three different shades of adipose tissues has implications in terms of understanding the pathogenesis and potential interventions for obesity and its related complications. Fat browning, as well as activation of brown adipocytes and new beige adipocytes differentiated from adipogenic progenitor cells, are emerging as interesting and promising methods to curb obesity because of their unique capacity to upregulate non-shivering thermogenesis. This capacity is due to catabolism of stored energy to generate heat through the best characterized thermogenic effector uncoupling protein 1 (UCP1). A variety of phytochemicals have been shown in the literature to contribute to thermogenesis by acting as chemical uncouplers, UCP1 inducers or regulators of fat differentiation and browning. In this review, we summarize the mechanisms and strategies for targeting adipose-mediated thermogenesis and highlight the role of phytochemicals in targeting adipose thermogenesis to fight against obesity. We also discuss proposed targets for how these phytochemical molecules promote BAT activity, WAT browning and beige cell development, thereby offering novel insights into interventional strategies of how phytochemicals may help prevent and manage obesity via adipose thermogenesis.","container-title":"Pharmacological Research","DOI":"10.1016/j.phrs.2019.104393","ISSN":"1043-6618","journalAbbreviation":"Pharmacological Research","page":"104393","source":"ScienceDirect","title":"Phytochemicals as potential candidates to combat obesity &lt;i&gt;via&lt;/i&gt; adipose non-shivering thermogenesis","volume":"147","author":[{"family":"Li","given":"Hanbing"},{"family":"Qi","given":"Jiameng"},{"family":"Li","given":"Linghuan"}],"issued":{"date-parts":[["2019",9,1]]}}}],"schema":"https://github.com/citation-style-language/schema/raw/master/csl-citation.json"} </w:instrText>
      </w:r>
      <w:r w:rsidRPr="00735FCE">
        <w:fldChar w:fldCharType="separate"/>
      </w:r>
      <w:r w:rsidR="00281437" w:rsidRPr="00281437">
        <w:rPr>
          <w:vertAlign w:val="superscript"/>
        </w:rPr>
        <w:t>251</w:t>
      </w:r>
      <w:r w:rsidRPr="00735FCE">
        <w:fldChar w:fldCharType="end"/>
      </w:r>
      <w:r w:rsidRPr="00735FCE">
        <w:t xml:space="preserve">. Research indicates that fucoxanthin enhances the expression of </w:t>
      </w:r>
      <w:r w:rsidRPr="00DE5EC2">
        <w:rPr>
          <w:i/>
          <w:iCs/>
        </w:rPr>
        <w:t>Adrb3</w:t>
      </w:r>
      <w:r w:rsidRPr="00735FCE">
        <w:t xml:space="preserve"> mRNA in WAT, which may increase the activity of the SNS and </w:t>
      </w:r>
      <w:r w:rsidRPr="006D1DD9">
        <w:t>U</w:t>
      </w:r>
      <w:r>
        <w:t>CP</w:t>
      </w:r>
      <w:r w:rsidRPr="006D1DD9">
        <w:t>1</w:t>
      </w:r>
      <w:r w:rsidRPr="00735FCE">
        <w:t xml:space="preserve"> expression</w:t>
      </w:r>
      <w:r>
        <w:t xml:space="preserve"> </w:t>
      </w:r>
      <w:r w:rsidRPr="00735FCE">
        <w:fldChar w:fldCharType="begin"/>
      </w:r>
      <w:r w:rsidR="00281437">
        <w:instrText xml:space="preserve"> ADDIN ZOTERO_ITEM CSL_CITATION {"citationID":"aeHn3IR5","properties":{"formattedCitation":"\\super 251\\nosupersub{}","plainCitation":"251","noteIndex":0},"citationItems":[{"id":3497,"uris":["http://zotero.org/users/9622455/items/6VTWAEKL"],"itemData":{"id":3497,"type":"article-journal","abstract":"Obesity is a chronic metabolic disease caused by a long-term imbalance between energy intake and expenditure. The discovery of three different shades of adipose tissues has implications in terms of understanding the pathogenesis and potential interventions for obesity and its related complications. Fat browning, as well as activation of brown adipocytes and new beige adipocytes differentiated from adipogenic progenitor cells, are emerging as interesting and promising methods to curb obesity because of their unique capacity to upregulate non-shivering thermogenesis. This capacity is due to catabolism of stored energy to generate heat through the best characterized thermogenic effector uncoupling protein 1 (UCP1). A variety of phytochemicals have been shown in the literature to contribute to thermogenesis by acting as chemical uncouplers, UCP1 inducers or regulators of fat differentiation and browning. In this review, we summarize the mechanisms and strategies for targeting adipose-mediated thermogenesis and highlight the role of phytochemicals in targeting adipose thermogenesis to fight against obesity. We also discuss proposed targets for how these phytochemical molecules promote BAT activity, WAT browning and beige cell development, thereby offering novel insights into interventional strategies of how phytochemicals may help prevent and manage obesity via adipose thermogenesis.","container-title":"Pharmacological Research","DOI":"10.1016/j.phrs.2019.104393","ISSN":"1043-6618","journalAbbreviation":"Pharmacological Research","page":"104393","source":"ScienceDirect","title":"Phytochemicals as potential candidates to combat obesity &lt;i&gt;via&lt;/i&gt; adipose non-shivering thermogenesis","volume":"147","author":[{"family":"Li","given":"Hanbing"},{"family":"Qi","given":"Jiameng"},{"family":"Li","given":"Linghuan"}],"issued":{"date-parts":[["2019",9,1]]}}}],"schema":"https://github.com/citation-style-language/schema/raw/master/csl-citation.json"} </w:instrText>
      </w:r>
      <w:r w:rsidRPr="00735FCE">
        <w:fldChar w:fldCharType="separate"/>
      </w:r>
      <w:r w:rsidR="00281437" w:rsidRPr="00281437">
        <w:rPr>
          <w:vertAlign w:val="superscript"/>
        </w:rPr>
        <w:t>251</w:t>
      </w:r>
      <w:r w:rsidRPr="00735FCE">
        <w:fldChar w:fldCharType="end"/>
      </w:r>
      <w:r w:rsidRPr="00735FCE">
        <w:t xml:space="preserve">. </w:t>
      </w:r>
      <w:r>
        <w:t>Ano</w:t>
      </w:r>
      <w:r w:rsidRPr="00735FCE">
        <w:t>ther xanthophyll, zeaxanthin, decreased lipid accumulation, adipocyte size, and total adipose tissue mass by modulating AMPK phosphorylation and downregulating adipogenic transcription factors in 3T3-L1 cells and high-fat diet</w:t>
      </w:r>
      <w:r>
        <w:t xml:space="preserve">-induced </w:t>
      </w:r>
      <w:r w:rsidRPr="00735FCE">
        <w:t>obese mice</w:t>
      </w:r>
      <w:r>
        <w:t xml:space="preserve"> </w:t>
      </w:r>
      <w:r w:rsidRPr="00735FCE">
        <w:fldChar w:fldCharType="begin"/>
      </w:r>
      <w:r w:rsidR="00281437">
        <w:instrText xml:space="preserve"> ADDIN ZOTERO_ITEM CSL_CITATION {"citationID":"6rkRndM5","properties":{"formattedCitation":"\\super 252\\nosupersub{}","plainCitation":"252","noteIndex":0},"citationItems":[{"id":3501,"uris":["http://zotero.org/users/9622455/items/7JC8HIBM"],"itemData":{"id":3501,"type":"article-journal","abstract":"Zeaxanthin, a type of carotenoid, has been proven to exhibit anti-lipogenesis effect; however, the detailed mechanism of this effect is less known. Herein, we evaluated the effects of zeaxanthin on the inhibition of adipogenesis in 3T3-L1 adipocytes and obesity in high-fat diet fed C57BL/6J mice. Zeaxanthin significantly decreased the intracellular lipid content in a dose-dependent manner (5–15 μM) in adipocytes without causing cytotoxicity. In high-fat-diet-induced obese mice, oral administration of 20 mg kg−1 zeaxanthin attenuated the progression of obesity and improved dyslipidemia. It exhibits an anti-adipogenic effect via down-regulating the transcriptional factors and adipocyte-specific genes involved in adipogenesis, both in vitro and in vivo. Furthermore, zeaxanthin treatment reversed the MDI (0.5 mM 3-isobutyl-1-methylxanthine, 1.0 μM dexamethasone, and 1.0 μg mL−1 insulin) and HFD (high-fat diet)-induced inhibition of AMPK phosphorylation in adipocytes and epididymal adipose tissues, respectively, thereby modulating the energy metabolism. These results indicated that zeaxanthin plays anti-adipogenic and anti-obesity roles by inducing AMPK activation, inhibiting lipogenesis, and decreasing intracellular lipid content, adipocyte size, and adipose weight.","container-title":"Food &amp; Function","DOI":"10.1039/C7FO00486A","ISSN":"2042-650X","issue":"9","journalAbbreviation":"Food Funct.","language":"en","note":"publisher: The Royal Society of Chemistry","page":"3327-3338","source":"pubs.rsc.org","title":"Anti-obesity effects of zeaxanthin on 3T3-L1 preadipocyte and high fat induced obese mice","volume":"8","author":[{"family":"Liu","given":"Meihong"},{"family":"Liu","given":"Huimin"},{"family":"Xie","given":"Jiahan"},{"family":"Xu","given":"Qian"},{"family":"Pan","given":"Cong"},{"family":"Wang","given":"Jiaojiao"},{"family":"Wu","given":"Xi"},{"family":"Sanabil","given":""},{"family":"Zheng","given":"Mingzhu"},{"family":"Liu","given":"Jingsheng"}],"issued":{"date-parts":[["2017",9,20]]}}}],"schema":"https://github.com/citation-style-language/schema/raw/master/csl-citation.json"} </w:instrText>
      </w:r>
      <w:r w:rsidRPr="00735FCE">
        <w:fldChar w:fldCharType="separate"/>
      </w:r>
      <w:r w:rsidR="00281437" w:rsidRPr="00281437">
        <w:rPr>
          <w:vertAlign w:val="superscript"/>
        </w:rPr>
        <w:t>252</w:t>
      </w:r>
      <w:r w:rsidRPr="00735FCE">
        <w:fldChar w:fldCharType="end"/>
      </w:r>
      <w:r w:rsidRPr="00735FCE">
        <w:t>.</w:t>
      </w:r>
    </w:p>
    <w:p w14:paraId="64E79DAA" w14:textId="448B6DCE" w:rsidR="009117C0" w:rsidRPr="00735FCE" w:rsidRDefault="009117C0" w:rsidP="00F5471F">
      <w:pPr>
        <w:ind w:firstLine="720"/>
        <w:jc w:val="left"/>
      </w:pPr>
      <w:r w:rsidRPr="00735FCE">
        <w:t>Besides well-known compounds, some lesser-known phytonutrients</w:t>
      </w:r>
      <w:r>
        <w:t>,</w:t>
      </w:r>
      <w:r w:rsidRPr="00735FCE">
        <w:t xml:space="preserve"> as well as fiber-rich extracts</w:t>
      </w:r>
      <w:r>
        <w:t>,</w:t>
      </w:r>
      <w:r w:rsidRPr="00735FCE">
        <w:t xml:space="preserve"> have also demonstrated promising effects on inducing browning of adipose tissue. For example, gallic acid, a simple phenolic acid, has been shown to promote lipolysis, </w:t>
      </w:r>
      <w:r>
        <w:t xml:space="preserve">inhibit </w:t>
      </w:r>
      <w:r w:rsidRPr="00735FCE">
        <w:t>fatty acid synthesis</w:t>
      </w:r>
      <w:r>
        <w:t xml:space="preserve">, and reduce </w:t>
      </w:r>
      <w:r w:rsidRPr="00735FCE">
        <w:t>lipid accumulation within adipocytes</w:t>
      </w:r>
      <w:r>
        <w:t xml:space="preserve"> </w:t>
      </w:r>
      <w:r w:rsidRPr="00735FCE">
        <w:fldChar w:fldCharType="begin"/>
      </w:r>
      <w:r w:rsidR="00281437">
        <w:instrText xml:space="preserve"> ADDIN ZOTERO_ITEM CSL_CITATION {"citationID":"E49brvZT","properties":{"formattedCitation":"\\super 253,254\\nosupersub{}","plainCitation":"253,254","noteIndex":0},"citationItems":[{"id":3505,"uris":["http://zotero.org/users/9622455/items/I6FGYUDL"],"itemData":{"id":3505,"type":"article-journal","abstract":"Metabolic complications in an obese state can be aggravated by an abnormal inflammatory response and enhanced production of reactive oxygen species. Pro-inflammatory response is known to be associated with the formation of toxic reactive oxygen species and subsequent generation of oxidative stress. Indeed, adipocytes from obese individuals display an altered adipokine profile, with upregulated expression and secretion of pro-inflammatory cytokines such as tumor necrosis factor alpha (TNF-α) and interleukin (IL-6). Interestingly, natural compounds, including phenolic enriched foods are increasingly explored for their ameliorative effects against various metabolic diseases. Of interest is gallic acid, a trihydroxybenzoic acid that has progressively demonstrated robust anti-obesity capabilities in various experimental models. In addition to reducing excessive lipid storage in obese subjects, gallic acid has been shown to specifically target the adipose tissue to suppress lipogenesis, improve insulin signaling, and concomitantly combat raised pro-inflammatory response and oxidative stress. This review will revise mechanisms involved in the pathophysiological effects of inflammation and oxidative stress in an obese state. To better inform on its therapeutic potential and improvement of human health, available evidence reporting on the anti-obesity properties of gallic acid and its derivatives will be discussed, with emphases on its modulatory effect on molecular mechanisms involved in insulin signaling, inflammation and oxidative stress.","container-title":"Nutrients","DOI":"10.3390/nu11010023","ISSN":"2072-6643","issue":"1","language":"en","license":"http://creativecommons.org/licenses/by/3.0/","note":"number: 1\npublisher: Multidisciplinary Digital Publishing Institute","page":"23","source":"www.mdpi.com","title":"Inflammation and Oxidative Stress in an Obese State and the Protective Effects of Gallic Acid","volume":"11","author":[{"family":"Dludla","given":"Phiwayinkosi V."},{"family":"Nkambule","given":"Bongani B."},{"family":"Jack","given":"Babalwa"},{"family":"Mkandla","given":"Zibusiso"},{"family":"Mutize","given":"Tinashe"},{"family":"Silvestri","given":"Sonia"},{"family":"Orlando","given":"Patrick"},{"family":"Tiano","given":"Luca"},{"family":"Louw","given":"Johan"},{"family":"Mazibuko-Mbeje","given":"Sithandiwe E."}],"issued":{"date-parts":[["2019",1]]}}},{"id":3503,"uris":["http://zotero.org/users/9622455/items/RTDVZS84"],"itemData":{"id":3503,"type":"article-journal","abstract":"Phenolic compounds and flavonoids are potential substitutes for bioactive agents in pharmaceutical and medicinal sections to promote human health and prevent and cure different diseases. The most common flavonoids found in nature are anthocyanins, flavones, flavanones, flavonols, flavanonols, isoflavones, and other sub-classes. The impacts of plant flavonoids and other phenolics on human health promoting and diseases curing and preventing are antioxidant effects, antibacterial impacts, cardioprotective effects, anticancer impacts, immune system promoting, anti-inflammatory effects, and skin protective effects from UV radiation. This work aims to provide an overview of phenolic compounds and flavonoids as potential and important sources of pharmaceutical and medical application according to recently published studies, as well as some interesting directions for future research. The keyword searches for flavonoids, phenolics, isoflavones, tannins, coumarins, lignans, quinones, xanthones, curcuminoids, stilbenes, cucurmin, phenylethanoids, and secoiridoids medicinal plant were performed by using Web of Science, Scopus, Google scholar, and PubMed. Phenolic acids contain a carboxylic acid group in addition to the basic phenolic structure and are mainly divided into hydroxybenzoic and hydroxycinnamic acids. Hydroxybenzoic acids are based on a C6-C1 skeleton and are often found bound to small organic acids, glycosyl moieties, or cell structural components. Common hydroxybenzoic acids include gallic, syringic, protocatechuic, p-hydroxybenzoic, vanillic, gentistic, and salicylic acids. Hydroxycinnamic acids are based on a C6-C3 skeleton and are also often bound to other molecules such as quinic acid and glucose. The main hydroxycinnamic acids are caffeic, p-coumaric, ferulic, and sinapic acids.","container-title":"Molecules","DOI":"10.3390/molecules28041845","ISSN":"1420-3049","issue":"4","language":"en","license":"http://creativecommons.org/licenses/by/3.0/","note":"number: 4\npublisher: Multidisciplinary Digital Publishing Institute","page":"1845","source":"www.mdpi.com","title":"Therapeutic Potential of Phenolic Compounds in Medicinal Plants—Natural Health Products for Human Health","volume":"28","author":[{"family":"Sun","given":"Wenli"},{"family":"Shahrajabian","given":"Mohamad Hesam"}],"issued":{"date-parts":[["2023",1]]}}}],"schema":"https://github.com/citation-style-language/schema/raw/master/csl-citation.json"} </w:instrText>
      </w:r>
      <w:r w:rsidRPr="00735FCE">
        <w:fldChar w:fldCharType="separate"/>
      </w:r>
      <w:r w:rsidR="00281437" w:rsidRPr="00281437">
        <w:rPr>
          <w:vertAlign w:val="superscript"/>
        </w:rPr>
        <w:t>253,254</w:t>
      </w:r>
      <w:r w:rsidRPr="00735FCE">
        <w:fldChar w:fldCharType="end"/>
      </w:r>
      <w:r w:rsidRPr="00735FCE">
        <w:t xml:space="preserve">. An </w:t>
      </w:r>
      <w:r>
        <w:t>apple-derived</w:t>
      </w:r>
      <w:r w:rsidRPr="00735FCE">
        <w:t xml:space="preserve"> bioactive compound</w:t>
      </w:r>
      <w:r>
        <w:t>,</w:t>
      </w:r>
      <w:r w:rsidRPr="00735FCE">
        <w:t xml:space="preserve"> Phlorizin</w:t>
      </w:r>
      <w:r>
        <w:t>,</w:t>
      </w:r>
      <w:r w:rsidRPr="00735FCE">
        <w:t xml:space="preserve"> showed anti-obesity actions by reducing fat and adipocyte volume independent of food intake</w:t>
      </w:r>
      <w:r>
        <w:t xml:space="preserve"> </w:t>
      </w:r>
      <w:r w:rsidRPr="00735FCE">
        <w:fldChar w:fldCharType="begin"/>
      </w:r>
      <w:r w:rsidR="00281437">
        <w:instrText xml:space="preserve"> ADDIN ZOTERO_ITEM CSL_CITATION {"citationID":"ZmNywUBK","properties":{"formattedCitation":"\\super 255\\nosupersub{}","plainCitation":"255","noteIndex":0},"citationItems":[{"id":3507,"uris":["http://zotero.org/users/9622455/items/C3UFA797"],"itemData":{"id":3507,"type":"article-journal","abstract":"Various types of vinegars have been developed as interest in their health benefits has increased. In this study, we prepared Jeju citrus blended vinegars (CBVs) by mixing premature mandarin vinegar and mandarin vinegar, with mandarin vinegar used as a control. The physicochemical properties of the vinegars, including pH, total acidity, and sugar content was determined. Moreover, antioxidant, anti-obesity, and anti-aging activities of the vinegars were investigated. Physicochemical analysis revealed that the CBVs had a pH similar to that of mandarin vinegar, whereas CBVs with relatively high premature mandarin vinegar content showed higher acidity and lower sugar content (p &lt; 0.05). Moreover, the antioxidant activities and phenol contents of CBVs were significantly higher than those of mandarin vinegar (p &lt; 0.05). Meanwhile, CBVs showed significantly decreased intracellular triglyceride, lipid accumulation, and anti-obesity related gene levels (p &lt; 0.05), thereby highlighting their anti-obesity activity. In addition, CBVs showed anti-aging activity by increasing cell viability and cell lifespan, while decreasing the expression of senescence-related genes under H2O2-induced oxidative stress. Therefore, CBVs may be useful as a functional food with antioxidant, anti-obesity, and anti-aging effects in various food fields.","container-title":"Foods","DOI":"10.3390/foods10071441","ISSN":"2304-8158","issue":"7","language":"en","license":"http://creativecommons.org/licenses/by/3.0/","note":"number: 7\npublisher: Multidisciplinary Digital Publishing Institute","page":"1441","source":"www.mdpi.com","title":"Antioxidant, Anti-Obesity, and Anti-Aging Activities of Jeju Citrus Blended Vinegar","volume":"10","author":[{"family":"Yun","given":"Ye-Rang"},{"family":"Park","given":"Bo-Yeon"},{"family":"Kim","given":"Sung-Hyun"},{"family":"Jung","given":"Ji-Hye"}],"issued":{"date-parts":[["2021",7]]}}}],"schema":"https://github.com/citation-style-language/schema/raw/master/csl-citation.json"} </w:instrText>
      </w:r>
      <w:r w:rsidRPr="00735FCE">
        <w:fldChar w:fldCharType="separate"/>
      </w:r>
      <w:r w:rsidR="00281437" w:rsidRPr="00281437">
        <w:rPr>
          <w:vertAlign w:val="superscript"/>
        </w:rPr>
        <w:t>255</w:t>
      </w:r>
      <w:r w:rsidRPr="00735FCE">
        <w:fldChar w:fldCharType="end"/>
      </w:r>
      <w:r w:rsidRPr="00735FCE">
        <w:t xml:space="preserve">. </w:t>
      </w:r>
      <w:r>
        <w:t>This</w:t>
      </w:r>
      <w:r w:rsidRPr="00735FCE">
        <w:t xml:space="preserve"> is possibly due to </w:t>
      </w:r>
      <w:r>
        <w:t xml:space="preserve">the </w:t>
      </w:r>
      <w:r w:rsidRPr="00735FCE">
        <w:t xml:space="preserve">modulation of gut microbiota </w:t>
      </w:r>
      <w:r w:rsidRPr="00735FCE">
        <w:lastRenderedPageBreak/>
        <w:t>and lipid absorption</w:t>
      </w:r>
      <w:r>
        <w:t xml:space="preserve"> </w:t>
      </w:r>
      <w:r w:rsidRPr="00735FCE">
        <w:fldChar w:fldCharType="begin"/>
      </w:r>
      <w:r w:rsidR="00281437">
        <w:instrText xml:space="preserve"> ADDIN ZOTERO_ITEM CSL_CITATION {"citationID":"c4ih62UI","properties":{"formattedCitation":"\\super 255\\nosupersub{}","plainCitation":"255","noteIndex":0},"citationItems":[{"id":3507,"uris":["http://zotero.org/users/9622455/items/C3UFA797"],"itemData":{"id":3507,"type":"article-journal","abstract":"Various types of vinegars have been developed as interest in their health benefits has increased. In this study, we prepared Jeju citrus blended vinegars (CBVs) by mixing premature mandarin vinegar and mandarin vinegar, with mandarin vinegar used as a control. The physicochemical properties of the vinegars, including pH, total acidity, and sugar content was determined. Moreover, antioxidant, anti-obesity, and anti-aging activities of the vinegars were investigated. Physicochemical analysis revealed that the CBVs had a pH similar to that of mandarin vinegar, whereas CBVs with relatively high premature mandarin vinegar content showed higher acidity and lower sugar content (p &lt; 0.05). Moreover, the antioxidant activities and phenol contents of CBVs were significantly higher than those of mandarin vinegar (p &lt; 0.05). Meanwhile, CBVs showed significantly decreased intracellular triglyceride, lipid accumulation, and anti-obesity related gene levels (p &lt; 0.05), thereby highlighting their anti-obesity activity. In addition, CBVs showed anti-aging activity by increasing cell viability and cell lifespan, while decreasing the expression of senescence-related genes under H2O2-induced oxidative stress. Therefore, CBVs may be useful as a functional food with antioxidant, anti-obesity, and anti-aging effects in various food fields.","container-title":"Foods","DOI":"10.3390/foods10071441","ISSN":"2304-8158","issue":"7","language":"en","license":"http://creativecommons.org/licenses/by/3.0/","note":"number: 7\npublisher: Multidisciplinary Digital Publishing Institute","page":"1441","source":"www.mdpi.com","title":"Antioxidant, Anti-Obesity, and Anti-Aging Activities of Jeju Citrus Blended Vinegar","volume":"10","author":[{"family":"Yun","given":"Ye-Rang"},{"family":"Park","given":"Bo-Yeon"},{"family":"Kim","given":"Sung-Hyun"},{"family":"Jung","given":"Ji-Hye"}],"issued":{"date-parts":[["2021",7]]}}}],"schema":"https://github.com/citation-style-language/schema/raw/master/csl-citation.json"} </w:instrText>
      </w:r>
      <w:r w:rsidRPr="00735FCE">
        <w:fldChar w:fldCharType="separate"/>
      </w:r>
      <w:r w:rsidR="00281437" w:rsidRPr="00281437">
        <w:rPr>
          <w:vertAlign w:val="superscript"/>
        </w:rPr>
        <w:t>255</w:t>
      </w:r>
      <w:r w:rsidRPr="00735FCE">
        <w:fldChar w:fldCharType="end"/>
      </w:r>
      <w:r w:rsidRPr="00735FCE">
        <w:t xml:space="preserve">. Grape seed flour (GSF), rich in polyphenols and dietary fiber, was found to promote thermogenesis in </w:t>
      </w:r>
      <w:r>
        <w:t>BAT</w:t>
      </w:r>
      <w:r w:rsidRPr="00735FCE">
        <w:t xml:space="preserve"> and induce browning in WAT via upregulation of </w:t>
      </w:r>
      <w:r w:rsidRPr="00DE5EC2">
        <w:rPr>
          <w:i/>
          <w:iCs/>
        </w:rPr>
        <w:t>Ucp1</w:t>
      </w:r>
      <w:r w:rsidRPr="00735FCE">
        <w:t xml:space="preserve"> </w:t>
      </w:r>
      <w:r>
        <w:t xml:space="preserve">mRNA </w:t>
      </w:r>
      <w:r w:rsidRPr="00735FCE">
        <w:t>expression</w:t>
      </w:r>
      <w:r>
        <w:t xml:space="preserve"> </w:t>
      </w:r>
      <w:r w:rsidRPr="00735FCE">
        <w:fldChar w:fldCharType="begin"/>
      </w:r>
      <w:r w:rsidR="00281437">
        <w:instrText xml:space="preserve"> ADDIN ZOTERO_ITEM CSL_CITATION {"citationID":"H3OPuTUa","properties":{"formattedCitation":"\\super 256\\nosupersub{}","plainCitation":"256","noteIndex":0},"citationItems":[{"id":3509,"uris":["http://zotero.org/users/9622455/items/TW8YFEKP"],"itemData":{"id":3509,"type":"article-journal","abstract":"During the last decades, a dramatic global rise in the prevalence of obesity has become evident. Therefore, effective therapeutic approaches are necessary to help combat this condition. Grape seed is known as a rich source of biologically active polyphenols, which can be used as one of the candidates to resolve problems associated with obesity. This paper investigated the anti-obesity effects of grape seed flour (GSF) and showed that GSF ameliorated weight gain, hepatic lipid levels and part of the serum profiles. Moreover, GSF increased energy expenditure (EE) and thermogenesis in brown adipose tissue (BAT) in high-fat diet (HFD) induced obese mice. GSF also affected expressions of uncoupling protein 1 (UCP1) and other metabolism-related genes in white adipose tissue (WAT). In conclusion, our results showed that GSF prevented diet-induced obesity in C57BL/6J mice, and suggested that the mechanism responsible was related to the promotion of energy metabolism.","container-title":"Journal of Functional Foods","DOI":"10.1016/j.jff.2019.103509","ISSN":"1756-4646","journalAbbreviation":"Journal of Functional Foods","page":"103509","source":"ScienceDirect","title":"Grape seed flour intake decreases adiposity gain in high-fat-diet induced obese mice by activating thermogenesis","volume":"62","author":[{"family":"Zhou","given":"Fang"},{"family":"Yin","given":"Manwen"},{"family":"Liu","given":"Yiwen"},{"family":"Han","given":"Xue"},{"family":"Guo","given":"Jielong"},{"family":"Ren","given":"Chenglong"},{"family":"Wang","given":"Wei"},{"family":"Huang","given":"Weidong"},{"family":"Zhan","given":"Jicheng"},{"family":"You","given":"Yilin"}],"issued":{"date-parts":[["2019",11,1]]}}}],"schema":"https://github.com/citation-style-language/schema/raw/master/csl-citation.json"} </w:instrText>
      </w:r>
      <w:r w:rsidRPr="00735FCE">
        <w:fldChar w:fldCharType="separate"/>
      </w:r>
      <w:r w:rsidR="00281437" w:rsidRPr="00281437">
        <w:rPr>
          <w:vertAlign w:val="superscript"/>
        </w:rPr>
        <w:t>256</w:t>
      </w:r>
      <w:r w:rsidRPr="00735FCE">
        <w:fldChar w:fldCharType="end"/>
      </w:r>
      <w:r w:rsidRPr="00735FCE">
        <w:t xml:space="preserve">. Extracts from germinated waxy black rice also promoted </w:t>
      </w:r>
      <w:r>
        <w:t xml:space="preserve">the mRNA </w:t>
      </w:r>
      <w:r w:rsidRPr="00735FCE">
        <w:t>expression of browning-related genes</w:t>
      </w:r>
      <w:r>
        <w:t xml:space="preserve"> </w:t>
      </w:r>
      <w:r w:rsidRPr="00DE5EC2">
        <w:rPr>
          <w:i/>
          <w:iCs/>
        </w:rPr>
        <w:t>Ucp1</w:t>
      </w:r>
      <w:r w:rsidRPr="00735FCE">
        <w:t xml:space="preserve">, </w:t>
      </w:r>
      <w:r w:rsidRPr="00DE5EC2">
        <w:rPr>
          <w:i/>
          <w:iCs/>
        </w:rPr>
        <w:t>Ucp2</w:t>
      </w:r>
      <w:r w:rsidRPr="00735FCE">
        <w:t xml:space="preserve">, </w:t>
      </w:r>
      <w:r w:rsidRPr="00DE5EC2">
        <w:rPr>
          <w:i/>
          <w:iCs/>
        </w:rPr>
        <w:t>Cpt-1</w:t>
      </w:r>
      <w:r w:rsidRPr="00735FCE">
        <w:t>, and</w:t>
      </w:r>
      <w:r w:rsidRPr="00DE5EC2">
        <w:rPr>
          <w:i/>
          <w:iCs/>
        </w:rPr>
        <w:t xml:space="preserve"> Pgc1α</w:t>
      </w:r>
      <w:r w:rsidRPr="00735FCE">
        <w:t>, th</w:t>
      </w:r>
      <w:r>
        <w:t>ereby</w:t>
      </w:r>
      <w:r w:rsidRPr="00735FCE">
        <w:t xml:space="preserve"> increasing mitochondrial oxidative metabolism and </w:t>
      </w:r>
      <w:r>
        <w:t xml:space="preserve">suppressing </w:t>
      </w:r>
      <w:r w:rsidRPr="00735FCE">
        <w:t>lipogenesis</w:t>
      </w:r>
      <w:r w:rsidRPr="00735FCE">
        <w:fldChar w:fldCharType="begin"/>
      </w:r>
      <w:r w:rsidR="00281437">
        <w:instrText xml:space="preserve"> ADDIN ZOTERO_ITEM CSL_CITATION {"citationID":"t5LIhikV","properties":{"formattedCitation":"\\super 257\\nosupersub{}","plainCitation":"257","noteIndex":0},"citationItems":[{"id":3511,"uris":["http://zotero.org/users/9622455/items/PM9AZYYZ"],"itemData":{"id":3511,"type":"article-journal","abstract":"The aim of this study was to investigate the anti-obesity effects of germinated waxy black rice (GWBR) extract in 3T3-L1 adipocytes. The inhibitory effect of GWBR extract against adipocyte differentiation was evaluated using Oil Red O staining and glycerol-3-phosphate dehydrogenase (GPDH) assay. GWBR extract inhibited adipocyte differentiation, but was not found to elicit any cytotoxicity. The mRNA levels of adipogenic transcriptional factors such as C/EBP-α and -β, PPAR-γ, and SREBP-1c, as well as adipogenic enzymes, including aP2, LPL, and FAS were significantly downregulated by treatment with GWBR extract compared to untreated control cells. However, mRNA levels of lipolytic genes such as HSL and ATGL, β-oxidation related genes CPT1, and UCP2 involved in thermogenesis were significantly up-regulated by treatment with GWBR extract. These data suggest that GWBR extract may be a potential functional food, and may have pharmacological applications in both the prevention and treatment of obesity.","container-title":"Food Science and Biotechnology","DOI":"10.1007/s10068-016-0137-0","ISSN":"2092-6456","issue":"3","journalAbbreviation":"Food Sci Biotechnol","language":"en","page":"821-827","source":"Springer Link","title":"Germinated waxy black rice extract inhibits lipid accumulation with regulation of multiple gene expression in 3T3-L1 adipocytes","volume":"25","author":[{"family":"Lim","given":"Won Chul"},{"family":"Ho","given":"Jin Nyoung"},{"family":"Lee","given":"Hee Seop"},{"family":"Cho","given":"Hong Yon"}],"issued":{"date-parts":[["2016",6,1]]}}}],"schema":"https://github.com/citation-style-language/schema/raw/master/csl-citation.json"} </w:instrText>
      </w:r>
      <w:r w:rsidRPr="00735FCE">
        <w:fldChar w:fldCharType="separate"/>
      </w:r>
      <w:r w:rsidR="00281437" w:rsidRPr="00281437">
        <w:rPr>
          <w:vertAlign w:val="superscript"/>
        </w:rPr>
        <w:t>257</w:t>
      </w:r>
      <w:r w:rsidRPr="00735FCE">
        <w:fldChar w:fldCharType="end"/>
      </w:r>
      <w:r w:rsidRPr="00735FCE">
        <w:t>.</w:t>
      </w:r>
    </w:p>
    <w:p w14:paraId="24987699" w14:textId="77777777" w:rsidR="009117C0" w:rsidRPr="00735FCE" w:rsidRDefault="009117C0" w:rsidP="00F5471F">
      <w:pPr>
        <w:ind w:firstLine="720"/>
        <w:jc w:val="left"/>
      </w:pPr>
      <w:r w:rsidRPr="00735FCE">
        <w:t xml:space="preserve">In summary, numerous dietary nutrients have </w:t>
      </w:r>
      <w:r>
        <w:t xml:space="preserve">been shown </w:t>
      </w:r>
      <w:r w:rsidRPr="00735FCE">
        <w:t xml:space="preserve">to </w:t>
      </w:r>
      <w:r>
        <w:t xml:space="preserve">promote </w:t>
      </w:r>
      <w:r w:rsidRPr="00735FCE">
        <w:t>brown</w:t>
      </w:r>
      <w:r>
        <w:t>ing</w:t>
      </w:r>
      <w:r w:rsidRPr="00735FCE">
        <w:t xml:space="preserve"> </w:t>
      </w:r>
      <w:r>
        <w:t>of WAT</w:t>
      </w:r>
      <w:r w:rsidRPr="00735FCE">
        <w:t xml:space="preserve"> and increase thermogenesis. A variety of mechanisms are involved in the action of these bioactive compounds, including </w:t>
      </w:r>
      <w:r>
        <w:t xml:space="preserve">the </w:t>
      </w:r>
      <w:r w:rsidRPr="00735FCE">
        <w:t xml:space="preserve">stimulation of AMPK, SIRT1, and PPAR pathways; </w:t>
      </w:r>
      <w:r>
        <w:t xml:space="preserve">the </w:t>
      </w:r>
      <w:r w:rsidRPr="00735FCE">
        <w:t xml:space="preserve">upregulation of thermogenic genes such as UCP1 and PGC1α; </w:t>
      </w:r>
      <w:r>
        <w:t xml:space="preserve">the </w:t>
      </w:r>
      <w:r w:rsidRPr="00735FCE">
        <w:t xml:space="preserve">suppression of adipogenesis; and </w:t>
      </w:r>
      <w:r>
        <w:t xml:space="preserve">the </w:t>
      </w:r>
      <w:r w:rsidRPr="00735FCE">
        <w:t>enhancement of mitochondrial function. These findings underscore the potential of nutritional interventions in obesity management through browning and highlight the need for further mechanistic and translational research to harness their therapeutic utility.</w:t>
      </w:r>
    </w:p>
    <w:p w14:paraId="080A9E62" w14:textId="77777777" w:rsidR="009117C0" w:rsidRPr="00735FCE" w:rsidRDefault="009117C0" w:rsidP="00847BA5">
      <w:pPr>
        <w:pStyle w:val="Heading3"/>
        <w:jc w:val="left"/>
      </w:pPr>
      <w:bookmarkStart w:id="57" w:name="_Toc200988053"/>
      <w:bookmarkStart w:id="58" w:name="_Toc201001668"/>
      <w:bookmarkStart w:id="59" w:name="_Toc204848638"/>
      <w:r w:rsidRPr="00735FCE">
        <w:t xml:space="preserve">Sex </w:t>
      </w:r>
      <w:r>
        <w:t>D</w:t>
      </w:r>
      <w:r w:rsidRPr="00735FCE">
        <w:t xml:space="preserve">ifferences in </w:t>
      </w:r>
      <w:r>
        <w:t>B</w:t>
      </w:r>
      <w:r w:rsidRPr="00735FCE">
        <w:t>rowning</w:t>
      </w:r>
      <w:bookmarkEnd w:id="57"/>
      <w:bookmarkEnd w:id="58"/>
      <w:bookmarkEnd w:id="59"/>
    </w:p>
    <w:p w14:paraId="1A6ABE11" w14:textId="1F766900" w:rsidR="009117C0" w:rsidRPr="00735FCE" w:rsidRDefault="009117C0" w:rsidP="00F5471F">
      <w:pPr>
        <w:ind w:firstLine="720"/>
        <w:jc w:val="left"/>
      </w:pPr>
      <w:r w:rsidRPr="00735FCE">
        <w:t xml:space="preserve">Recent </w:t>
      </w:r>
      <w:r>
        <w:t>studies</w:t>
      </w:r>
      <w:r w:rsidRPr="00735FCE">
        <w:t xml:space="preserve"> ha</w:t>
      </w:r>
      <w:r>
        <w:t>ve</w:t>
      </w:r>
      <w:r w:rsidRPr="00735FCE">
        <w:t xml:space="preserve"> </w:t>
      </w:r>
      <w:r>
        <w:t xml:space="preserve">revealed notable sex differences in the browning processes of WAT, with females consistently exhibiting </w:t>
      </w:r>
      <w:r w:rsidRPr="00735FCE">
        <w:t>greater browning capacit</w:t>
      </w:r>
      <w:r>
        <w:t>ies</w:t>
      </w:r>
      <w:r w:rsidRPr="00735FCE">
        <w:t xml:space="preserve"> than males. A study </w:t>
      </w:r>
      <w:r>
        <w:t xml:space="preserve">has </w:t>
      </w:r>
      <w:r w:rsidRPr="00735FCE">
        <w:t>noted differences in the browning response by fat depot and sex</w:t>
      </w:r>
      <w:r>
        <w:t xml:space="preserve"> when </w:t>
      </w:r>
      <w:r w:rsidRPr="00735FCE">
        <w:t>assess</w:t>
      </w:r>
      <w:r>
        <w:t>ing</w:t>
      </w:r>
      <w:r w:rsidRPr="00735FCE">
        <w:t xml:space="preserve"> the impact of β3-adrenergic stimulation via CL316,243</w:t>
      </w:r>
      <w:r>
        <w:t xml:space="preserve">, the </w:t>
      </w:r>
      <w:r w:rsidRPr="00735FCE">
        <w:t>β3-adrenergic</w:t>
      </w:r>
      <w:r>
        <w:t xml:space="preserve"> agonist,</w:t>
      </w:r>
      <w:r w:rsidRPr="00735FCE">
        <w:t xml:space="preserve"> on male and female C57BL/6 mice </w:t>
      </w:r>
      <w:r w:rsidRPr="00735FCE">
        <w:fldChar w:fldCharType="begin"/>
      </w:r>
      <w:r w:rsidR="00281437">
        <w:instrText xml:space="preserve"> ADDIN ZOTERO_ITEM CSL_CITATION {"citationID":"DUoQKqcI","properties":{"formattedCitation":"\\super 258\\nosupersub{}","plainCitation":"258","noteIndex":0},"citationItems":[{"id":3430,"uris":["http://zotero.org/users/9622455/items/CT45C76V"],"itemData":{"id":3430,"type":"article-journal","abstract":"The higher prevalence of obesity-related metabolic disease in males suggests that female sex hormones provide protective mechanisms against the pathogenesis of metabolic syndrome. Because browning of white adipose tissue (WAT) is protective against obesity-related metabolic disease, we examined sex differences in β3-adrenergic remodeling of WAT in mice.","container-title":"Biology of Sex Differences","DOI":"10.1186/s13293-016-0121-7","ISSN":"2042-6410","issue":"1","journalAbbreviation":"Biol Sex Differ","language":"en","page":"67","source":"Springer Link","title":"Sex differences in sympathetic innervation and browning of white adipose tissue of mice","volume":"7","author":[{"family":"Kim","given":"Sang-Nam"},{"family":"Jung","given":"Young-Suk"},{"family":"Kwon","given":"Hyun-Jung"},{"family":"Seong","given":"Je Kyung"},{"family":"Granneman","given":"James G."},{"family":"Lee","given":"Yun-Hee"}],"issued":{"date-parts":[["2016",12,9]]}}}],"schema":"https://github.com/citation-style-language/schema/raw/master/csl-citation.json"} </w:instrText>
      </w:r>
      <w:r w:rsidRPr="00735FCE">
        <w:fldChar w:fldCharType="separate"/>
      </w:r>
      <w:r w:rsidR="00281437" w:rsidRPr="00281437">
        <w:rPr>
          <w:vertAlign w:val="superscript"/>
        </w:rPr>
        <w:t>258</w:t>
      </w:r>
      <w:r w:rsidRPr="00735FCE">
        <w:fldChar w:fldCharType="end"/>
      </w:r>
      <w:r w:rsidRPr="00735FCE">
        <w:t>. In gonadal WAT (gWAT), female</w:t>
      </w:r>
      <w:r>
        <w:t xml:space="preserve">, but not male, mice </w:t>
      </w:r>
      <w:r w:rsidRPr="00735FCE">
        <w:t>showed significant upregulation of thermogenic markers</w:t>
      </w:r>
      <w:r>
        <w:t xml:space="preserve"> protein expression</w:t>
      </w:r>
      <w:r w:rsidRPr="00735FCE">
        <w:t xml:space="preserve">, including UCP1 and PGC1α, as well as increased </w:t>
      </w:r>
      <w:r>
        <w:t xml:space="preserve">mRNA </w:t>
      </w:r>
      <w:r w:rsidRPr="00735FCE">
        <w:t xml:space="preserve">expression of </w:t>
      </w:r>
      <w:r w:rsidRPr="00DE5EC2">
        <w:rPr>
          <w:i/>
          <w:iCs/>
        </w:rPr>
        <w:t>Cox8b</w:t>
      </w:r>
      <w:r w:rsidRPr="00735FCE">
        <w:t xml:space="preserve"> and tyrosine hydroxylase (TH)</w:t>
      </w:r>
      <w:r>
        <w:t xml:space="preserve"> protein level</w:t>
      </w:r>
      <w:r w:rsidRPr="00735FCE">
        <w:t>, suggesting enhanced mitochondrial activity and sympathetic innervation</w:t>
      </w:r>
      <w:r>
        <w:t xml:space="preserve"> </w:t>
      </w:r>
      <w:r w:rsidRPr="00735FCE">
        <w:fldChar w:fldCharType="begin"/>
      </w:r>
      <w:r w:rsidR="00281437">
        <w:instrText xml:space="preserve"> ADDIN ZOTERO_ITEM CSL_CITATION {"citationID":"ebRDFGZT","properties":{"formattedCitation":"\\super 258\\nosupersub{}","plainCitation":"258","noteIndex":0},"citationItems":[{"id":3430,"uris":["http://zotero.org/users/9622455/items/CT45C76V"],"itemData":{"id":3430,"type":"article-journal","abstract":"The higher prevalence of obesity-related metabolic disease in males suggests that female sex hormones provide protective mechanisms against the pathogenesis of metabolic syndrome. Because browning of white adipose tissue (WAT) is protective against obesity-related metabolic disease, we examined sex differences in β3-adrenergic remodeling of WAT in mice.","container-title":"Biology of Sex Differences","DOI":"10.1186/s13293-016-0121-7","ISSN":"2042-6410","issue":"1","journalAbbreviation":"Biol Sex Differ","language":"en","page":"67","source":"Springer Link","title":"Sex differences in sympathetic innervation and browning of white adipose tissue of mice","volume":"7","author":[{"family":"Kim","given":"Sang-Nam"},{"family":"Jung","given":"Young-Suk"},{"family":"Kwon","given":"Hyun-Jung"},{"family":"Seong","given":"Je Kyung"},{"family":"Granneman","given":"James G."},{"family":"Lee","given":"Yun-Hee"}],"issued":{"date-parts":[["2016",12,9]]}}}],"schema":"https://github.com/citation-style-language/schema/raw/master/csl-citation.json"} </w:instrText>
      </w:r>
      <w:r w:rsidRPr="00735FCE">
        <w:fldChar w:fldCharType="separate"/>
      </w:r>
      <w:r w:rsidR="00281437" w:rsidRPr="00281437">
        <w:rPr>
          <w:vertAlign w:val="superscript"/>
        </w:rPr>
        <w:t>258</w:t>
      </w:r>
      <w:r w:rsidRPr="00735FCE">
        <w:fldChar w:fldCharType="end"/>
      </w:r>
      <w:r w:rsidRPr="00735FCE">
        <w:t>. Furthermore, neurotrophic factors</w:t>
      </w:r>
      <w:r>
        <w:t>,</w:t>
      </w:r>
      <w:r w:rsidRPr="00735FCE">
        <w:t xml:space="preserve"> </w:t>
      </w:r>
      <w:r>
        <w:t>such as</w:t>
      </w:r>
      <w:r w:rsidRPr="00735FCE">
        <w:t xml:space="preserve"> nerve growth factor (NGF) and brain-derived neurotrophic factor (BDNF)</w:t>
      </w:r>
      <w:r>
        <w:t>,</w:t>
      </w:r>
      <w:r w:rsidRPr="00735FCE">
        <w:t xml:space="preserve"> known to enhance </w:t>
      </w:r>
      <w:r w:rsidRPr="00735FCE">
        <w:lastRenderedPageBreak/>
        <w:t>sympathetic nerve activity</w:t>
      </w:r>
      <w:r>
        <w:t>,</w:t>
      </w:r>
      <w:r w:rsidRPr="00735FCE">
        <w:t xml:space="preserve"> were markedly elevated in female gWAT</w:t>
      </w:r>
      <w:r>
        <w:t xml:space="preserve"> </w:t>
      </w:r>
      <w:r w:rsidRPr="00735FCE">
        <w:fldChar w:fldCharType="begin"/>
      </w:r>
      <w:r w:rsidR="00281437">
        <w:instrText xml:space="preserve"> ADDIN ZOTERO_ITEM CSL_CITATION {"citationID":"rnGKFV9K","properties":{"formattedCitation":"\\super 258\\nosupersub{}","plainCitation":"258","noteIndex":0},"citationItems":[{"id":3430,"uris":["http://zotero.org/users/9622455/items/CT45C76V"],"itemData":{"id":3430,"type":"article-journal","abstract":"The higher prevalence of obesity-related metabolic disease in males suggests that female sex hormones provide protective mechanisms against the pathogenesis of metabolic syndrome. Because browning of white adipose tissue (WAT) is protective against obesity-related metabolic disease, we examined sex differences in β3-adrenergic remodeling of WAT in mice.","container-title":"Biology of Sex Differences","DOI":"10.1186/s13293-016-0121-7","ISSN":"2042-6410","issue":"1","journalAbbreviation":"Biol Sex Differ","language":"en","page":"67","source":"Springer Link","title":"Sex differences in sympathetic innervation and browning of white adipose tissue of mice","volume":"7","author":[{"family":"Kim","given":"Sang-Nam"},{"family":"Jung","given":"Young-Suk"},{"family":"Kwon","given":"Hyun-Jung"},{"family":"Seong","given":"Je Kyung"},{"family":"Granneman","given":"James G."},{"family":"Lee","given":"Yun-Hee"}],"issued":{"date-parts":[["2016",12,9]]}}}],"schema":"https://github.com/citation-style-language/schema/raw/master/csl-citation.json"} </w:instrText>
      </w:r>
      <w:r w:rsidRPr="00735FCE">
        <w:fldChar w:fldCharType="separate"/>
      </w:r>
      <w:r w:rsidR="00281437" w:rsidRPr="00281437">
        <w:rPr>
          <w:vertAlign w:val="superscript"/>
        </w:rPr>
        <w:t>258</w:t>
      </w:r>
      <w:r w:rsidRPr="00735FCE">
        <w:fldChar w:fldCharType="end"/>
      </w:r>
      <w:r w:rsidRPr="00735FCE">
        <w:t>. These differences were not observed in inguinal WAT (iWAT)</w:t>
      </w:r>
      <w:r>
        <w:t xml:space="preserve"> </w:t>
      </w:r>
      <w:r w:rsidRPr="00735FCE">
        <w:fldChar w:fldCharType="begin"/>
      </w:r>
      <w:r w:rsidR="00281437">
        <w:instrText xml:space="preserve"> ADDIN ZOTERO_ITEM CSL_CITATION {"citationID":"QrP41W2z","properties":{"formattedCitation":"\\super 258\\nosupersub{}","plainCitation":"258","noteIndex":0},"citationItems":[{"id":3430,"uris":["http://zotero.org/users/9622455/items/CT45C76V"],"itemData":{"id":3430,"type":"article-journal","abstract":"The higher prevalence of obesity-related metabolic disease in males suggests that female sex hormones provide protective mechanisms against the pathogenesis of metabolic syndrome. Because browning of white adipose tissue (WAT) is protective against obesity-related metabolic disease, we examined sex differences in β3-adrenergic remodeling of WAT in mice.","container-title":"Biology of Sex Differences","DOI":"10.1186/s13293-016-0121-7","ISSN":"2042-6410","issue":"1","journalAbbreviation":"Biol Sex Differ","language":"en","page":"67","source":"Springer Link","title":"Sex differences in sympathetic innervation and browning of white adipose tissue of mice","volume":"7","author":[{"family":"Kim","given":"Sang-Nam"},{"family":"Jung","given":"Young-Suk"},{"family":"Kwon","given":"Hyun-Jung"},{"family":"Seong","given":"Je Kyung"},{"family":"Granneman","given":"James G."},{"family":"Lee","given":"Yun-Hee"}],"issued":{"date-parts":[["2016",12,9]]}}}],"schema":"https://github.com/citation-style-language/schema/raw/master/csl-citation.json"} </w:instrText>
      </w:r>
      <w:r w:rsidRPr="00735FCE">
        <w:fldChar w:fldCharType="separate"/>
      </w:r>
      <w:r w:rsidR="00281437" w:rsidRPr="00281437">
        <w:rPr>
          <w:vertAlign w:val="superscript"/>
        </w:rPr>
        <w:t>258</w:t>
      </w:r>
      <w:r w:rsidRPr="00735FCE">
        <w:fldChar w:fldCharType="end"/>
      </w:r>
      <w:r w:rsidRPr="00735FCE">
        <w:t xml:space="preserve">. In addition, ovarian failure induced by 4-vinylcyclohexene resulted in decreased </w:t>
      </w:r>
      <w:r>
        <w:t>protein levels</w:t>
      </w:r>
      <w:r w:rsidRPr="00735FCE">
        <w:t xml:space="preserve"> of UCP1, TH</w:t>
      </w:r>
      <w:r>
        <w:t>, as well as mRNA expression of</w:t>
      </w:r>
      <w:r w:rsidRPr="00735FCE">
        <w:t xml:space="preserve"> </w:t>
      </w:r>
      <w:r w:rsidRPr="00DE5EC2">
        <w:rPr>
          <w:i/>
          <w:iCs/>
        </w:rPr>
        <w:t>Bdnf</w:t>
      </w:r>
      <w:r w:rsidRPr="00735FCE">
        <w:t xml:space="preserve"> in female gWAT, emphasizing the essential role of sex hormones in mediating browning responses</w:t>
      </w:r>
      <w:r>
        <w:t xml:space="preserve"> </w:t>
      </w:r>
      <w:r w:rsidRPr="00735FCE">
        <w:fldChar w:fldCharType="begin"/>
      </w:r>
      <w:r w:rsidR="00281437">
        <w:instrText xml:space="preserve"> ADDIN ZOTERO_ITEM CSL_CITATION {"citationID":"uZFvunb7","properties":{"formattedCitation":"\\super 258\\nosupersub{}","plainCitation":"258","noteIndex":0},"citationItems":[{"id":3430,"uris":["http://zotero.org/users/9622455/items/CT45C76V"],"itemData":{"id":3430,"type":"article-journal","abstract":"The higher prevalence of obesity-related metabolic disease in males suggests that female sex hormones provide protective mechanisms against the pathogenesis of metabolic syndrome. Because browning of white adipose tissue (WAT) is protective against obesity-related metabolic disease, we examined sex differences in β3-adrenergic remodeling of WAT in mice.","container-title":"Biology of Sex Differences","DOI":"10.1186/s13293-016-0121-7","ISSN":"2042-6410","issue":"1","journalAbbreviation":"Biol Sex Differ","language":"en","page":"67","source":"Springer Link","title":"Sex differences in sympathetic innervation and browning of white adipose tissue of mice","volume":"7","author":[{"family":"Kim","given":"Sang-Nam"},{"family":"Jung","given":"Young-Suk"},{"family":"Kwon","given":"Hyun-Jung"},{"family":"Seong","given":"Je Kyung"},{"family":"Granneman","given":"James G."},{"family":"Lee","given":"Yun-Hee"}],"issued":{"date-parts":[["2016",12,9]]}}}],"schema":"https://github.com/citation-style-language/schema/raw/master/csl-citation.json"} </w:instrText>
      </w:r>
      <w:r w:rsidRPr="00735FCE">
        <w:fldChar w:fldCharType="separate"/>
      </w:r>
      <w:r w:rsidR="00281437" w:rsidRPr="00281437">
        <w:rPr>
          <w:vertAlign w:val="superscript"/>
        </w:rPr>
        <w:t>258</w:t>
      </w:r>
      <w:r w:rsidRPr="00735FCE">
        <w:fldChar w:fldCharType="end"/>
      </w:r>
      <w:r w:rsidRPr="00735FCE">
        <w:t>.</w:t>
      </w:r>
    </w:p>
    <w:p w14:paraId="0C0A48F4" w14:textId="5C07EB9E" w:rsidR="009117C0" w:rsidRPr="00735FCE" w:rsidRDefault="009117C0" w:rsidP="00F5471F">
      <w:pPr>
        <w:ind w:firstLine="720"/>
        <w:jc w:val="left"/>
      </w:pPr>
      <w:r w:rsidRPr="00735FCE">
        <w:t xml:space="preserve">In another study, neuropeptide Y (NPY) was examined for its impact on thermoregulation </w:t>
      </w:r>
      <w:r>
        <w:t>and</w:t>
      </w:r>
      <w:r w:rsidRPr="00735FCE">
        <w:t xml:space="preserve"> its sexually dimorphic effects. In female NPY knockout (NPY−/−) mice, upregulation of key thermogenic genes, including </w:t>
      </w:r>
      <w:r w:rsidRPr="00DE5EC2">
        <w:rPr>
          <w:i/>
          <w:iCs/>
        </w:rPr>
        <w:t>Ucp1</w:t>
      </w:r>
      <w:r w:rsidRPr="00735FCE">
        <w:t xml:space="preserve">, </w:t>
      </w:r>
      <w:r w:rsidRPr="00DE5EC2">
        <w:rPr>
          <w:i/>
          <w:iCs/>
        </w:rPr>
        <w:t>Cox7a1</w:t>
      </w:r>
      <w:r w:rsidRPr="00735FCE">
        <w:t xml:space="preserve">, </w:t>
      </w:r>
      <w:r w:rsidRPr="00DE5EC2">
        <w:rPr>
          <w:i/>
          <w:iCs/>
        </w:rPr>
        <w:t>Cox8b</w:t>
      </w:r>
      <w:r w:rsidRPr="00735FCE">
        <w:t xml:space="preserve">, </w:t>
      </w:r>
      <w:r w:rsidRPr="00DE5EC2">
        <w:rPr>
          <w:i/>
          <w:iCs/>
        </w:rPr>
        <w:t>Pparα</w:t>
      </w:r>
      <w:r w:rsidRPr="00735FCE">
        <w:t xml:space="preserve">, and </w:t>
      </w:r>
      <w:r w:rsidRPr="00DE5EC2">
        <w:rPr>
          <w:i/>
          <w:iCs/>
        </w:rPr>
        <w:t>Dio2</w:t>
      </w:r>
      <w:r w:rsidRPr="00735FCE">
        <w:t>, was observed in iWAT compared with wild-type controls</w:t>
      </w:r>
      <w:r>
        <w:t xml:space="preserve"> </w:t>
      </w:r>
      <w:r w:rsidRPr="00735FCE">
        <w:fldChar w:fldCharType="begin"/>
      </w:r>
      <w:r w:rsidR="00281437">
        <w:instrText xml:space="preserve"> ADDIN ZOTERO_ITEM CSL_CITATION {"citationID":"TDwAQoRW","properties":{"formattedCitation":"\\super 259\\nosupersub{}","plainCitation":"259","noteIndex":0},"citationItems":[{"id":3432,"uris":["http://zotero.org/users/9622455/items/LZCKDNFJ"],"itemData":{"id":3432,"type":"article-journal","abstract":"The orexigenic hormone neuropeptide Y (NPY) plays a pivotal role in the peripheral regulation of fat metabolism. However, the mechanisms underlying the effects of sex on NPY function have not been extensively analyzed. In this study, we examined the effects of NPY deficiency on fat metabolism in male and female mice. Body weight was slightly decreased, whereas white adipose tissue (WAT) mass was significantly decreased as the thermogenic program was upregulated in NPY-/- female mice compared with that in wild-type mice; these factors were not altered in response to NPY deficiency in male mice. Moreover, lack of NPY resulted in an increase in luteinizing hormone (LH) expression in the pituitary gland, with concomitant activation of the estradiol-mediated thermogenic program in inguinal WAT, and alleviated age-related modification of adiposity in female mice. Taken together, these data revealed a novel intracellular mechanism of NPY in the regulation of fat metabolism and highlighted the sexual dimorphism of NPY as a promising target for drug development to reduce postmenopausal adiposity.","container-title":"The Journals of Gerontology: Series A","DOI":"10.1093/gerona/gly282","ISSN":"1079-5006","issue":"6","journalAbbreviation":"The Journals of Gerontology: Series A","page":"1042-1049","source":"Silverchair","title":"NPY Deficiency Prevents Postmenopausal Adiposity by Augmenting Estradiol-Mediated Browning","volume":"75","author":[{"family":"Park","given":"Seongjoon"},{"family":"Nayantai","given":"Erkhembayar"},{"family":"Komatsu","given":"Toshimitsu"},{"family":"Hayashi","given":"Hiroko"},{"family":"Mori","given":"Ryoichi"},{"family":"Shimokawa","given":"Isao"}],"issued":{"date-parts":[["2020",5,22]]}}}],"schema":"https://github.com/citation-style-language/schema/raw/master/csl-citation.json"} </w:instrText>
      </w:r>
      <w:r w:rsidRPr="00735FCE">
        <w:fldChar w:fldCharType="separate"/>
      </w:r>
      <w:r w:rsidR="00281437" w:rsidRPr="00281437">
        <w:rPr>
          <w:vertAlign w:val="superscript"/>
        </w:rPr>
        <w:t>259</w:t>
      </w:r>
      <w:r w:rsidRPr="00735FCE">
        <w:fldChar w:fldCharType="end"/>
      </w:r>
      <w:r w:rsidRPr="00735FCE">
        <w:t>. On the other hand, male mice did not show any noticeable changes</w:t>
      </w:r>
      <w:r>
        <w:t xml:space="preserve"> </w:t>
      </w:r>
      <w:r w:rsidRPr="00735FCE">
        <w:fldChar w:fldCharType="begin"/>
      </w:r>
      <w:r w:rsidR="00281437">
        <w:instrText xml:space="preserve"> ADDIN ZOTERO_ITEM CSL_CITATION {"citationID":"6TNW5djT","properties":{"formattedCitation":"\\super 259\\nosupersub{}","plainCitation":"259","noteIndex":0},"citationItems":[{"id":3432,"uris":["http://zotero.org/users/9622455/items/LZCKDNFJ"],"itemData":{"id":3432,"type":"article-journal","abstract":"The orexigenic hormone neuropeptide Y (NPY) plays a pivotal role in the peripheral regulation of fat metabolism. However, the mechanisms underlying the effects of sex on NPY function have not been extensively analyzed. In this study, we examined the effects of NPY deficiency on fat metabolism in male and female mice. Body weight was slightly decreased, whereas white adipose tissue (WAT) mass was significantly decreased as the thermogenic program was upregulated in NPY-/- female mice compared with that in wild-type mice; these factors were not altered in response to NPY deficiency in male mice. Moreover, lack of NPY resulted in an increase in luteinizing hormone (LH) expression in the pituitary gland, with concomitant activation of the estradiol-mediated thermogenic program in inguinal WAT, and alleviated age-related modification of adiposity in female mice. Taken together, these data revealed a novel intracellular mechanism of NPY in the regulation of fat metabolism and highlighted the sexual dimorphism of NPY as a promising target for drug development to reduce postmenopausal adiposity.","container-title":"The Journals of Gerontology: Series A","DOI":"10.1093/gerona/gly282","ISSN":"1079-5006","issue":"6","journalAbbreviation":"The Journals of Gerontology: Series A","page":"1042-1049","source":"Silverchair","title":"NPY Deficiency Prevents Postmenopausal Adiposity by Augmenting Estradiol-Mediated Browning","volume":"75","author":[{"family":"Park","given":"Seongjoon"},{"family":"Nayantai","given":"Erkhembayar"},{"family":"Komatsu","given":"Toshimitsu"},{"family":"Hayashi","given":"Hiroko"},{"family":"Mori","given":"Ryoichi"},{"family":"Shimokawa","given":"Isao"}],"issued":{"date-parts":[["2020",5,22]]}}}],"schema":"https://github.com/citation-style-language/schema/raw/master/csl-citation.json"} </w:instrText>
      </w:r>
      <w:r w:rsidRPr="00735FCE">
        <w:fldChar w:fldCharType="separate"/>
      </w:r>
      <w:r w:rsidR="00281437" w:rsidRPr="00281437">
        <w:rPr>
          <w:vertAlign w:val="superscript"/>
        </w:rPr>
        <w:t>259</w:t>
      </w:r>
      <w:r w:rsidRPr="00735FCE">
        <w:fldChar w:fldCharType="end"/>
      </w:r>
      <w:r w:rsidRPr="00735FCE">
        <w:t xml:space="preserve">. Similarly, an </w:t>
      </w:r>
      <w:r w:rsidR="004B354A" w:rsidRPr="004B354A">
        <w:rPr>
          <w:i/>
        </w:rPr>
        <w:t>in vivo</w:t>
      </w:r>
      <w:r w:rsidRPr="00735FCE">
        <w:t xml:space="preserve"> study also demonstrated the significance of estrogen receptor β (ERβ) by showing that its activation with LY3201 stimulated </w:t>
      </w:r>
      <w:r>
        <w:t xml:space="preserve">mRNA </w:t>
      </w:r>
      <w:r w:rsidRPr="00735FCE">
        <w:t xml:space="preserve">expression of </w:t>
      </w:r>
      <w:r w:rsidRPr="00DE5EC2">
        <w:rPr>
          <w:i/>
          <w:iCs/>
        </w:rPr>
        <w:t>Ucp1</w:t>
      </w:r>
      <w:r w:rsidRPr="00735FCE">
        <w:t xml:space="preserve">, </w:t>
      </w:r>
      <w:r w:rsidRPr="00DE5EC2">
        <w:rPr>
          <w:i/>
          <w:iCs/>
        </w:rPr>
        <w:t>Cidea</w:t>
      </w:r>
      <w:r w:rsidRPr="00735FCE">
        <w:t xml:space="preserve">, </w:t>
      </w:r>
      <w:r w:rsidRPr="00DE5EC2">
        <w:rPr>
          <w:i/>
          <w:iCs/>
        </w:rPr>
        <w:t>Pparγ</w:t>
      </w:r>
      <w:r w:rsidRPr="00735FCE">
        <w:t xml:space="preserve">, </w:t>
      </w:r>
      <w:r w:rsidRPr="00DE5EC2">
        <w:rPr>
          <w:i/>
          <w:iCs/>
        </w:rPr>
        <w:t>Pgc1β</w:t>
      </w:r>
      <w:r w:rsidRPr="00735FCE">
        <w:t xml:space="preserve">, and </w:t>
      </w:r>
      <w:r w:rsidRPr="00DE5EC2">
        <w:rPr>
          <w:i/>
          <w:iCs/>
        </w:rPr>
        <w:t>Dio2</w:t>
      </w:r>
      <w:r w:rsidRPr="00735FCE">
        <w:t xml:space="preserve"> in mammary WAT of older female mice, whereas age-matched male and younger mice did not respond</w:t>
      </w:r>
      <w:r>
        <w:t xml:space="preserve"> </w:t>
      </w:r>
      <w:r w:rsidRPr="00735FCE">
        <w:fldChar w:fldCharType="begin"/>
      </w:r>
      <w:r w:rsidR="00281437">
        <w:instrText xml:space="preserve"> ADDIN ZOTERO_ITEM CSL_CITATION {"citationID":"SognZbb0","properties":{"formattedCitation":"\\super 260\\nosupersub{}","plainCitation":"260","noteIndex":0},"citationItems":[{"id":3436,"uris":["http://zotero.org/users/9622455/items/EFVQE6RB"],"itemData":{"id":3436,"type":"article-journal","abstract":"Abstract\n            \n              Estrogen, via estrogen receptor alpha (ERα), exerts several beneficial effects on metabolism and energy homeostasis by controlling size, enzymatic activity and hormonal content of adipose tissue. The actions of estrogen on sympathetic ganglia, which are key players in the browning process, are less well known. In the present study we show that ERβ influences browning of subcutaneous adipose tissue (SAT) via its actions both on sympathetic ganglia and on the SAT itself. A 3-day-treatment with a selective ERβ agonist, LY3201, induced browning of SAT in 1-year-old obese WT and ERα\n              −/−\n              female mice. Browning was associated with increased expression of ERβ in the nuclei of neurons in the sympathetic ganglia, increase in tyrosine hydroxylase in both nerve terminals in the SAT and sympathetic ganglia neurons and an increase of β3-adrenoceptor in the SAT. LY3201 had no effect on browning in young female or male mice. In the case of young females browning was already maximal while in males there was very little expression of ERβ in the SAT and very little expression of the β3-adrenoceptor. The increase in both sympathetic tone and responsiveness of adipocytes to catecholamines reveals a novel role for ERβ in controlling browning of adipose tissue.","container-title":"Scientific Reports","DOI":"10.1038/srep38579","ISSN":"2045-2322","issue":"1","journalAbbreviation":"Sci Rep","language":"en","page":"38579","source":"DOI.org (Crossref)","title":"An ERβ agonist induces browning of subcutaneous abdominal fat pad in obese female mice","volume":"6","author":[{"family":"Miao","given":"Yi-fei"},{"family":"Su","given":"Wen"},{"family":"Dai","given":"Yu-bing"},{"family":"Wu","given":"Wan-fu"},{"family":"Huang","given":"Bo"},{"family":"Barros","given":"Rodrigo P. A."},{"family":"Nguyen","given":"Hao"},{"family":"Maneix","given":"Laure"},{"family":"Guan","given":"You-fei"},{"family":"Warner","given":"Margaret"},{"family":"Gustafsson","given":"Jan-Åke"}],"issued":{"date-parts":[["2016",12,6]]}}}],"schema":"https://github.com/citation-style-language/schema/raw/master/csl-citation.json"} </w:instrText>
      </w:r>
      <w:r w:rsidRPr="00735FCE">
        <w:fldChar w:fldCharType="separate"/>
      </w:r>
      <w:r w:rsidR="00281437" w:rsidRPr="00281437">
        <w:rPr>
          <w:vertAlign w:val="superscript"/>
        </w:rPr>
        <w:t>260</w:t>
      </w:r>
      <w:r w:rsidRPr="00735FCE">
        <w:fldChar w:fldCharType="end"/>
      </w:r>
      <w:r w:rsidRPr="00735FCE">
        <w:t xml:space="preserve">. Treatment with LY3201 also elevated the </w:t>
      </w:r>
      <w:r>
        <w:t>protein expression</w:t>
      </w:r>
      <w:r w:rsidRPr="00735FCE">
        <w:t xml:space="preserve"> of TH and β3-adrenoceptor in female WAT, suggesting that ERβ promotes the mobilization of sympathetic nerves and the responsiveness to adrenergic signals in a sex-specific </w:t>
      </w:r>
      <w:r>
        <w:t xml:space="preserve">manner </w:t>
      </w:r>
      <w:r w:rsidRPr="00735FCE">
        <w:fldChar w:fldCharType="begin"/>
      </w:r>
      <w:r w:rsidR="00281437">
        <w:instrText xml:space="preserve"> ADDIN ZOTERO_ITEM CSL_CITATION {"citationID":"v7qrGxvL","properties":{"formattedCitation":"\\super 260\\nosupersub{}","plainCitation":"260","noteIndex":0},"citationItems":[{"id":3436,"uris":["http://zotero.org/users/9622455/items/EFVQE6RB"],"itemData":{"id":3436,"type":"article-journal","abstract":"Abstract\n            \n              Estrogen, via estrogen receptor alpha (ERα), exerts several beneficial effects on metabolism and energy homeostasis by controlling size, enzymatic activity and hormonal content of adipose tissue. The actions of estrogen on sympathetic ganglia, which are key players in the browning process, are less well known. In the present study we show that ERβ influences browning of subcutaneous adipose tissue (SAT) via its actions both on sympathetic ganglia and on the SAT itself. A 3-day-treatment with a selective ERβ agonist, LY3201, induced browning of SAT in 1-year-old obese WT and ERα\n              −/−\n              female mice. Browning was associated with increased expression of ERβ in the nuclei of neurons in the sympathetic ganglia, increase in tyrosine hydroxylase in both nerve terminals in the SAT and sympathetic ganglia neurons and an increase of β3-adrenoceptor in the SAT. LY3201 had no effect on browning in young female or male mice. In the case of young females browning was already maximal while in males there was very little expression of ERβ in the SAT and very little expression of the β3-adrenoceptor. The increase in both sympathetic tone and responsiveness of adipocytes to catecholamines reveals a novel role for ERβ in controlling browning of adipose tissue.","container-title":"Scientific Reports","DOI":"10.1038/srep38579","ISSN":"2045-2322","issue":"1","journalAbbreviation":"Sci Rep","language":"en","page":"38579","source":"DOI.org (Crossref)","title":"An ERβ agonist induces browning of subcutaneous abdominal fat pad in obese female mice","volume":"6","author":[{"family":"Miao","given":"Yi-fei"},{"family":"Su","given":"Wen"},{"family":"Dai","given":"Yu-bing"},{"family":"Wu","given":"Wan-fu"},{"family":"Huang","given":"Bo"},{"family":"Barros","given":"Rodrigo P. A."},{"family":"Nguyen","given":"Hao"},{"family":"Maneix","given":"Laure"},{"family":"Guan","given":"You-fei"},{"family":"Warner","given":"Margaret"},{"family":"Gustafsson","given":"Jan-Åke"}],"issued":{"date-parts":[["2016",12,6]]}}}],"schema":"https://github.com/citation-style-language/schema/raw/master/csl-citation.json"} </w:instrText>
      </w:r>
      <w:r w:rsidRPr="00735FCE">
        <w:fldChar w:fldCharType="separate"/>
      </w:r>
      <w:r w:rsidR="00281437" w:rsidRPr="00281437">
        <w:rPr>
          <w:vertAlign w:val="superscript"/>
        </w:rPr>
        <w:t>260</w:t>
      </w:r>
      <w:r w:rsidRPr="00735FCE">
        <w:fldChar w:fldCharType="end"/>
      </w:r>
      <w:r w:rsidRPr="00735FCE">
        <w:t>.</w:t>
      </w:r>
    </w:p>
    <w:p w14:paraId="019D63A7" w14:textId="7D5E1178" w:rsidR="009117C0" w:rsidRPr="00735FCE" w:rsidRDefault="009117C0" w:rsidP="00F5471F">
      <w:pPr>
        <w:ind w:firstLine="720"/>
        <w:jc w:val="left"/>
      </w:pPr>
      <w:r w:rsidRPr="00735FCE">
        <w:t xml:space="preserve">Further studies reinforce the important influence of estrogen on the browning of white adipose tissue. Tamoxifen, an estrogen receptor ligand, was reported to increase </w:t>
      </w:r>
      <w:r w:rsidRPr="00DE5EC2">
        <w:rPr>
          <w:i/>
          <w:iCs/>
        </w:rPr>
        <w:t>Ucp1</w:t>
      </w:r>
      <w:r w:rsidRPr="00735FCE">
        <w:t xml:space="preserve"> </w:t>
      </w:r>
      <w:r>
        <w:t xml:space="preserve">mRNA </w:t>
      </w:r>
      <w:r w:rsidRPr="00735FCE">
        <w:t xml:space="preserve">expression in iWAT of female mice at both room temperature and cold conditions, </w:t>
      </w:r>
      <w:r>
        <w:t>while the response</w:t>
      </w:r>
      <w:r w:rsidRPr="00735FCE">
        <w:t xml:space="preserve"> was not </w:t>
      </w:r>
      <w:r>
        <w:t>observed</w:t>
      </w:r>
      <w:r w:rsidRPr="00735FCE">
        <w:t xml:space="preserve"> in males</w:t>
      </w:r>
      <w:r>
        <w:t xml:space="preserve"> </w:t>
      </w:r>
      <w:r w:rsidRPr="00735FCE">
        <w:fldChar w:fldCharType="begin"/>
      </w:r>
      <w:r w:rsidR="00281437">
        <w:instrText xml:space="preserve"> ADDIN ZOTERO_ITEM CSL_CITATION {"citationID":"tusdmej1","properties":{"formattedCitation":"\\super 261\\nosupersub{}","plainCitation":"261","noteIndex":0},"citationItems":[{"id":3437,"uris":["http://zotero.org/users/9622455/items/NH9ERNKA"],"itemData":{"id":3437,"type":"article-journal","abstract":"Tamoxifen-inducible Cre/lox site-specific recombination technology has been widely used to generate conditional transgenic mice. As an estrogen receptor ligand, tamoxifen itself potentially affects energy metabolism, which may confound interpretation of data especially in metabolic studies. Considering sexual dimorphism, in this study, the effects of low-dose tamoxifen administration on energy metabolism, and browning of adipose tissues in female and male mice were investigated.","container-title":"International Journal of Obesity","DOI":"10.1038/s41366-019-0330-3","ISSN":"1476-5497","issue":"1","journalAbbreviation":"Int J Obes","language":"en","license":"2019 Springer Nature Limited","note":"publisher: Nature Publishing Group","page":"226-234","source":"www.nature.com","title":"Even a low dose of tamoxifen profoundly induces adipose tissue browning in female mice","volume":"44","author":[{"family":"Zhao","given":"Liang"},{"family":"Wang","given":"Bo"},{"family":"Gomez","given":"Noe Alberto"},{"family":"Avila","given":"Jeanene M.","non-dropping-particle":"de"},{"family":"Zhu","given":"Mei-Jun"},{"family":"Du","given":"Min"}],"issued":{"date-parts":[["2020",1]]}}}],"schema":"https://github.com/citation-style-language/schema/raw/master/csl-citation.json"} </w:instrText>
      </w:r>
      <w:r w:rsidRPr="00735FCE">
        <w:fldChar w:fldCharType="separate"/>
      </w:r>
      <w:r w:rsidR="00281437" w:rsidRPr="00281437">
        <w:rPr>
          <w:vertAlign w:val="superscript"/>
        </w:rPr>
        <w:t>261</w:t>
      </w:r>
      <w:r w:rsidRPr="00735FCE">
        <w:fldChar w:fldCharType="end"/>
      </w:r>
      <w:r w:rsidRPr="00735FCE">
        <w:t>. Leucine supplementation</w:t>
      </w:r>
      <w:r>
        <w:rPr>
          <w:rFonts w:hint="eastAsia"/>
          <w:lang w:eastAsia="zh-CN"/>
        </w:rPr>
        <w:t xml:space="preserve"> during</w:t>
      </w:r>
      <w:r>
        <w:rPr>
          <w:lang w:eastAsia="zh-CN"/>
        </w:rPr>
        <w:t xml:space="preserve"> the lactation</w:t>
      </w:r>
      <w:r w:rsidRPr="00735FCE">
        <w:t xml:space="preserve"> </w:t>
      </w:r>
      <w:r w:rsidR="002C32A4">
        <w:t xml:space="preserve">during lactation and adulthood </w:t>
      </w:r>
      <w:r w:rsidR="00F76835">
        <w:t>under</w:t>
      </w:r>
      <w:r w:rsidRPr="00735FCE">
        <w:t xml:space="preserve"> a subsequent high-fat diet increased </w:t>
      </w:r>
      <w:r w:rsidRPr="00DA31D1">
        <w:rPr>
          <w:i/>
          <w:iCs/>
        </w:rPr>
        <w:t>leptin</w:t>
      </w:r>
      <w:r>
        <w:t xml:space="preserve"> and </w:t>
      </w:r>
      <w:r w:rsidRPr="00DA31D1">
        <w:rPr>
          <w:i/>
          <w:iCs/>
        </w:rPr>
        <w:t>Ppar</w:t>
      </w:r>
      <w:r w:rsidRPr="00DA31D1">
        <w:rPr>
          <w:i/>
          <w:iCs/>
        </w:rPr>
        <w:sym w:font="Symbol" w:char="F067"/>
      </w:r>
      <w:r w:rsidRPr="00735FCE">
        <w:t xml:space="preserve"> </w:t>
      </w:r>
      <w:r w:rsidR="00F76835">
        <w:t xml:space="preserve">mRNA expression </w:t>
      </w:r>
      <w:r w:rsidRPr="00735FCE">
        <w:t xml:space="preserve">in both </w:t>
      </w:r>
      <w:r>
        <w:t>sexes</w:t>
      </w:r>
      <w:bookmarkStart w:id="60" w:name="_Hlk203214020"/>
      <w:r>
        <w:t>;</w:t>
      </w:r>
      <w:bookmarkEnd w:id="60"/>
      <w:r>
        <w:t xml:space="preserve"> however, </w:t>
      </w:r>
      <w:r w:rsidRPr="00DE5EC2">
        <w:rPr>
          <w:i/>
          <w:iCs/>
        </w:rPr>
        <w:t>Cidea</w:t>
      </w:r>
      <w:r w:rsidRPr="00735FCE">
        <w:t xml:space="preserve">, </w:t>
      </w:r>
      <w:r w:rsidRPr="00DE5EC2">
        <w:rPr>
          <w:i/>
          <w:iCs/>
        </w:rPr>
        <w:t>HoxC9</w:t>
      </w:r>
      <w:r w:rsidRPr="00735FCE">
        <w:t xml:space="preserve">, and </w:t>
      </w:r>
      <w:r w:rsidRPr="00DE5EC2">
        <w:rPr>
          <w:i/>
          <w:iCs/>
        </w:rPr>
        <w:t>Shox2</w:t>
      </w:r>
      <w:r w:rsidRPr="00735FCE">
        <w:t xml:space="preserve"> showed greater </w:t>
      </w:r>
      <w:r>
        <w:t xml:space="preserve">mRNA </w:t>
      </w:r>
      <w:r w:rsidRPr="00735FCE">
        <w:t xml:space="preserve">expression </w:t>
      </w:r>
      <w:r w:rsidRPr="00735FCE">
        <w:lastRenderedPageBreak/>
        <w:t>in males</w:t>
      </w:r>
      <w:r>
        <w:t xml:space="preserve"> </w:t>
      </w:r>
      <w:r w:rsidRPr="00735FCE">
        <w:fldChar w:fldCharType="begin"/>
      </w:r>
      <w:r w:rsidR="00281437">
        <w:instrText xml:space="preserve"> ADDIN ZOTERO_ITEM CSL_CITATION {"citationID":"WGTY0fwB","properties":{"formattedCitation":"\\super 262\\nosupersub{}","plainCitation":"262","noteIndex":0},"citationItems":[{"id":3441,"uris":["http://zotero.org/users/9622455/items/Z3WA4GP7"],"itemData":{"id":3441,"type":"article-journal","abstract":"Induction of brown-like adipocytes (brite) in white adipose tissues may allow the conversion of lipid storage cells in fat-burning cells. Little is known concerning browning potential in males compared with females. In this study, we aimed to analyse whether gender differences were present in gene expression of “brite” markers as well as the impact of dietary manipulation at both early stages and adulthood in rats. We have determined the expression of brite markers and genes associated with lipid and energy metabolism in inguinal adipose tissue in adult male and female rats. We have analysed the impact of high-fat (HF) diet in adult life and of early leucine supplementation (2 %) during lactation. Results show that although both genders have the potential to induce brite genes in inguinal adipose tissue, males expressed higher levels (CIDEA, HOXC9 and SHOX2), which would imply a higher browning capacity in comparison with females. Minor impact of HF diet in adult life was observed in most of the genes studied. Interestingly, results showed that early Leu was able to compromise the metabolic fate of white and brite adipocytes later in adult life. Leucine supplementation programmed higher expression of cell death-inducing DFFA-like effector, accompanied with induction of sterol regulatory element binding transcription 1c factor and lower UPC2 expression, particularly in females. In addition, Leucine supplementation was associated with higher expression of leptin and PPARγ and decreased carnitine palmitoyl transferase in both genders. Although the exact role of these adaptations needs further comprehensive analysis, dietary Leu supplementation at early age programmed inguinal adipose tissue in a gender specific manner.","container-title":"Genes &amp; Nutrition","DOI":"10.1007/s12263-013-0372-4","ISSN":"1865-3499","issue":"1","journalAbbreviation":"Genes Nutr","language":"en","license":"2013 Springer-Verlag Berlin Heidelberg","note":"number: 1\npublisher: BioMed Central","page":"1-9","source":"genesandnutrition.biomedcentral.com","title":"Expression of “brown-in-white” adipocyte biomarkers shows gender differences and the influence of early dietary exposure","volume":"9","author":[{"family":"Servera","given":"María"},{"family":"López","given":"Nora"},{"family":"Serra","given":"Francisca"},{"family":"Palou","given":"Andreu"}],"issued":{"date-parts":[["2014",1]]}}}],"schema":"https://github.com/citation-style-language/schema/raw/master/csl-citation.json"} </w:instrText>
      </w:r>
      <w:r w:rsidRPr="00735FCE">
        <w:fldChar w:fldCharType="separate"/>
      </w:r>
      <w:r w:rsidR="00281437" w:rsidRPr="00281437">
        <w:rPr>
          <w:vertAlign w:val="superscript"/>
        </w:rPr>
        <w:t>262</w:t>
      </w:r>
      <w:r w:rsidRPr="00735FCE">
        <w:fldChar w:fldCharType="end"/>
      </w:r>
      <w:r w:rsidRPr="00735FCE">
        <w:t xml:space="preserve">. Moreover, in mice with </w:t>
      </w:r>
      <w:r>
        <w:t xml:space="preserve">a </w:t>
      </w:r>
      <w:r w:rsidRPr="00735FCE">
        <w:t>methionine and choline-deficient (MCD) diet,</w:t>
      </w:r>
      <w:r>
        <w:t xml:space="preserve"> only </w:t>
      </w:r>
      <w:r w:rsidRPr="00735FCE">
        <w:t>female mice showed upregulated</w:t>
      </w:r>
      <w:r>
        <w:t xml:space="preserve"> mRNA</w:t>
      </w:r>
      <w:r w:rsidRPr="00735FCE">
        <w:t xml:space="preserve"> </w:t>
      </w:r>
      <w:r>
        <w:t xml:space="preserve">expression of </w:t>
      </w:r>
      <w:r w:rsidRPr="00DE5EC2">
        <w:rPr>
          <w:i/>
          <w:iCs/>
        </w:rPr>
        <w:t>Ucp1</w:t>
      </w:r>
      <w:r w:rsidRPr="00735FCE">
        <w:t xml:space="preserve">, </w:t>
      </w:r>
      <w:r w:rsidRPr="00DE5EC2">
        <w:rPr>
          <w:i/>
          <w:iCs/>
        </w:rPr>
        <w:t>Elovl3</w:t>
      </w:r>
      <w:r w:rsidRPr="00735FCE">
        <w:t xml:space="preserve">, and </w:t>
      </w:r>
      <w:r w:rsidRPr="00DE5EC2">
        <w:rPr>
          <w:i/>
          <w:iCs/>
        </w:rPr>
        <w:t>Cox8b</w:t>
      </w:r>
      <w:r w:rsidRPr="00735FCE">
        <w:t xml:space="preserve"> in gWAT</w:t>
      </w:r>
      <w:r>
        <w:t xml:space="preserve"> </w:t>
      </w:r>
      <w:r w:rsidRPr="00735FCE">
        <w:fldChar w:fldCharType="begin"/>
      </w:r>
      <w:r w:rsidR="00281437">
        <w:instrText xml:space="preserve"> ADDIN ZOTERO_ITEM CSL_CITATION {"citationID":"ixW5IbGI","properties":{"formattedCitation":"\\super 263\\nosupersub{}","plainCitation":"263","noteIndex":0},"citationItems":[{"id":3443,"uris":["http://zotero.org/users/9622455/items/5ZQQGIIK"],"itemData":{"id":3443,"type":"article-journal","abstract":"Higher susceptibility to metabolic disease in male exemplifies the importance of sexual dimorphism in pathogenesis. We hypothesized that the higher incidence of non-alcoholic fatty liver disease in males involves sex-specific metabolic interactions between liver and adipose tissue. In the present study, we used a methionine-choline deficient (MCD) diet-induced fatty liver mouse model to investigate sex differences in the metabolic response of the liver and adipose tissue. After 2 weeks on an MCD-diet, fatty liver was induced in a sex-specific manner, affecting male mice more severely than females. The MCD-diet increased lipolytic enzymes in the gonadal white adipose tissue (gWAT) of male mice, whereas it increased expression of uncoupling protein 1 and other brown adipocyte markers in the gWAT of female mice. Moreover, gWAT from female mice demonstrated higher levels of oxygen consumption and mitochondrial content compared to gWAT from male mice. FGF21 expression was increased in liver tissue by the MCD diet, and the degree of upregulation was significantly higher in the livers of female mice. The endocrine effect of FGF21 was responsible, in part, for the sex-specific browning of gonadal white adipose tissue. Collectively, these data demonstrated that distinctively female-specific browning of white adipose tissue aids in protecting female mice against MCD diet-induced fatty liver disease.","container-title":"Oncotarget","DOI":"10.18632/oncotarget.10506","ISSN":"1949-2553","issue":"30","journalAbbreviation":"Oncotarget","note":"PMID: 27409675\nPMCID: PMC5216916","page":"46959-46971","source":"PubMed Central","title":"Sex-specific metabolic interactions between liver and adipose tissue in MCD diet-induced non-alcoholic fatty liver disease","volume":"7","author":[{"family":"Lee","given":"Yun-Hee"},{"family":"Kim","given":"Sou Hyun"},{"family":"Kim","given":"Sang-Nam"},{"family":"Kwon","given":"Hyun-Jung"},{"family":"Kim","given":"Jeong-Dong"},{"family":"Oh","given":"Ji Youn"},{"family":"Jung","given":"Young-Suk"}],"issued":{"date-parts":[["2016",7,9]]}}}],"schema":"https://github.com/citation-style-language/schema/raw/master/csl-citation.json"} </w:instrText>
      </w:r>
      <w:r w:rsidRPr="00735FCE">
        <w:fldChar w:fldCharType="separate"/>
      </w:r>
      <w:r w:rsidR="00281437" w:rsidRPr="00281437">
        <w:rPr>
          <w:vertAlign w:val="superscript"/>
        </w:rPr>
        <w:t>263</w:t>
      </w:r>
      <w:r w:rsidRPr="00735FCE">
        <w:fldChar w:fldCharType="end"/>
      </w:r>
      <w:r w:rsidRPr="00735FCE">
        <w:t xml:space="preserve">. Based on this observation, another study using a high-fat, high-sucrose diet showed that female mice had greater </w:t>
      </w:r>
      <w:r w:rsidRPr="00DE5EC2">
        <w:rPr>
          <w:i/>
          <w:iCs/>
        </w:rPr>
        <w:t>Ucp1</w:t>
      </w:r>
      <w:r w:rsidRPr="00735FCE">
        <w:t xml:space="preserve"> </w:t>
      </w:r>
      <w:r>
        <w:t xml:space="preserve">mRNA </w:t>
      </w:r>
      <w:r w:rsidRPr="00735FCE">
        <w:t>expression in gWAT than males</w:t>
      </w:r>
      <w:r>
        <w:t xml:space="preserve"> </w:t>
      </w:r>
      <w:r w:rsidRPr="00735FCE">
        <w:fldChar w:fldCharType="begin"/>
      </w:r>
      <w:r w:rsidR="00281437">
        <w:instrText xml:space="preserve"> ADDIN ZOTERO_ITEM CSL_CITATION {"citationID":"1nLcoVNH","properties":{"formattedCitation":"\\super 264\\nosupersub{}","plainCitation":"264","noteIndex":0},"citationItems":[{"id":3446,"uris":["http://zotero.org/users/9622455/items/LP7M98QG"],"itemData":{"id":3446,"type":"article-journal","container-title":"Cell Metabolism","DOI":"10.1016/j.cmet.2018.12.013","ISSN":"1550-4131","issue":"4","journalAbbreviation":"Cell Metabolism","language":"English","note":"publisher: Elsevier\nPMID: 30639359","page":"932-949.e4","source":"www.cell.com","title":"Gene-by-Sex Interactions in Mitochondrial Functions and Cardio-Metabolic Traits","volume":"29","author":[{"family":"Norheim","given":"Frode"},{"family":"Hasin-Brumshtein","given":"Yehudit"},{"family":"Vergnes","given":"Laurent"},{"family":"Krishnan","given":"Karthickeyan Chella"},{"family":"Pan","given":"Calvin"},{"family":"Seldin","given":"Marcus M."},{"family":"Hui","given":"Simon T."},{"family":"Mehrabian","given":"Margarete"},{"family":"Zhou","given":"Zhiqiang"},{"family":"Gupta","given":"Sonul"},{"family":"Parks","given":"Brian W."},{"family":"Walch","given":"Axel"},{"family":"Reue","given":"Karen"},{"family":"Hofmann","given":"Susanna M."},{"family":"Arnold","given":"Arthur P."},{"family":"Lusis","given":"Aldons J."}],"issued":{"date-parts":[["2019",4,2]]}}}],"schema":"https://github.com/citation-style-language/schema/raw/master/csl-citation.json"} </w:instrText>
      </w:r>
      <w:r w:rsidRPr="00735FCE">
        <w:fldChar w:fldCharType="separate"/>
      </w:r>
      <w:r w:rsidR="00281437" w:rsidRPr="00281437">
        <w:rPr>
          <w:vertAlign w:val="superscript"/>
        </w:rPr>
        <w:t>264</w:t>
      </w:r>
      <w:r w:rsidRPr="00735FCE">
        <w:fldChar w:fldCharType="end"/>
      </w:r>
      <w:r w:rsidRPr="00735FCE">
        <w:t>. Gonadectomy further revealed that U</w:t>
      </w:r>
      <w:r>
        <w:t>CP</w:t>
      </w:r>
      <w:r w:rsidRPr="00735FCE">
        <w:t>1 staining persisted in females under both chow and obesogenic conditions but was nearly absent in males, underscoring the influence of sex hormones</w:t>
      </w:r>
      <w:r>
        <w:t xml:space="preserve"> </w:t>
      </w:r>
      <w:r w:rsidRPr="00735FCE">
        <w:fldChar w:fldCharType="begin"/>
      </w:r>
      <w:r w:rsidR="00281437">
        <w:instrText xml:space="preserve"> ADDIN ZOTERO_ITEM CSL_CITATION {"citationID":"XKq8osJg","properties":{"formattedCitation":"\\super 264\\nosupersub{}","plainCitation":"264","noteIndex":0},"citationItems":[{"id":3446,"uris":["http://zotero.org/users/9622455/items/LP7M98QG"],"itemData":{"id":3446,"type":"article-journal","container-title":"Cell Metabolism","DOI":"10.1016/j.cmet.2018.12.013","ISSN":"1550-4131","issue":"4","journalAbbreviation":"Cell Metabolism","language":"English","note":"publisher: Elsevier\nPMID: 30639359","page":"932-949.e4","source":"www.cell.com","title":"Gene-by-Sex Interactions in Mitochondrial Functions and Cardio-Metabolic Traits","volume":"29","author":[{"family":"Norheim","given":"Frode"},{"family":"Hasin-Brumshtein","given":"Yehudit"},{"family":"Vergnes","given":"Laurent"},{"family":"Krishnan","given":"Karthickeyan Chella"},{"family":"Pan","given":"Calvin"},{"family":"Seldin","given":"Marcus M."},{"family":"Hui","given":"Simon T."},{"family":"Mehrabian","given":"Margarete"},{"family":"Zhou","given":"Zhiqiang"},{"family":"Gupta","given":"Sonul"},{"family":"Parks","given":"Brian W."},{"family":"Walch","given":"Axel"},{"family":"Reue","given":"Karen"},{"family":"Hofmann","given":"Susanna M."},{"family":"Arnold","given":"Arthur P."},{"family":"Lusis","given":"Aldons J."}],"issued":{"date-parts":[["2019",4,2]]}}}],"schema":"https://github.com/citation-style-language/schema/raw/master/csl-citation.json"} </w:instrText>
      </w:r>
      <w:r w:rsidRPr="00735FCE">
        <w:fldChar w:fldCharType="separate"/>
      </w:r>
      <w:r w:rsidR="00281437" w:rsidRPr="00281437">
        <w:rPr>
          <w:vertAlign w:val="superscript"/>
        </w:rPr>
        <w:t>264</w:t>
      </w:r>
      <w:r w:rsidRPr="00735FCE">
        <w:fldChar w:fldCharType="end"/>
      </w:r>
      <w:r w:rsidRPr="00735FCE">
        <w:t>.</w:t>
      </w:r>
    </w:p>
    <w:p w14:paraId="0E04BB30" w14:textId="570348A2" w:rsidR="009117C0" w:rsidRPr="00735FCE" w:rsidRDefault="009117C0" w:rsidP="00F5471F">
      <w:pPr>
        <w:ind w:firstLine="720"/>
        <w:jc w:val="left"/>
      </w:pPr>
      <w:r>
        <w:t>However, some</w:t>
      </w:r>
      <w:r w:rsidRPr="00735FCE">
        <w:t xml:space="preserve"> studies d</w:t>
      </w:r>
      <w:r>
        <w:t>id</w:t>
      </w:r>
      <w:r w:rsidRPr="00735FCE">
        <w:t xml:space="preserve"> not find differences based on sex. Dietary arachidonic acid supplementation found no sex differences in upregulating browning markers in gWAT in diet-induced obes</w:t>
      </w:r>
      <w:r>
        <w:t>e</w:t>
      </w:r>
      <w:r w:rsidRPr="00735FCE">
        <w:t xml:space="preserve"> (DIO) mice</w:t>
      </w:r>
      <w:r>
        <w:t xml:space="preserve"> </w:t>
      </w:r>
      <w:r w:rsidRPr="00735FCE">
        <w:fldChar w:fldCharType="begin"/>
      </w:r>
      <w:r w:rsidR="00281437">
        <w:instrText xml:space="preserve"> ADDIN ZOTERO_ITEM CSL_CITATION {"citationID":"MlDdDqoN","properties":{"formattedCitation":"\\super 265\\nosupersub{}","plainCitation":"265","noteIndex":0},"citationItems":[{"id":3449,"uris":["http://zotero.org/users/9622455/items/94LPMNMN"],"itemData":{"id":3449,"type":"article-journal","abstract":"Unraveling the role of dietary lipids is beneficial to treat obesity and metabolic dysfunction. Nonetheless, how dietary lipids affect existing obesity remains unknown. Arachidonic acid (AA), a derivative of linoleic acid, is one of the crucial n-6 fatty acids. The aim of this study was to investigate whether AA affects obesity through associating microbiota-driven inflammation with hypothalamus-adipose-liver axis. Four-week old C57BL/6J mice were fed with a high-fat diet (HFD, 45% fat) for 10weeks to induce obesity, and then fed a HFD enriched with 10g/kg of AA or a continuous HFD in the following 15weeks. Systemic adiposity and inflammation, metabolic profiles, gut microbiota composition, short-chain fatty acids production, hypothalamic feeding regulators, browning process of adipocytes, hepatosteatosis, and insulin resistance in adipose were investigated. The results indicated that AA aggravates obesity for both genders whereas sex-dependently affects gut microbiota composition. Also, AA favors pro-inflammatory microbiota and reduces butyrate production and circulating serotonin, which augments global inflammation and triggers hypothalamic leptin resistance via microglia accumulation in male. AA exacerbates non-alcoholic steatohepatitis along with amplified inflammation through TLR4-NF-κB pathway and induces insulin resistance. Reversely, AA alleviates obesity-related disorders via rescuing anti-inflammatory and butyrate-producing microbiota, up-regulating GPR41 and GPR109A and controlling hypothalamic inflammation in female. Nevertheless, AA modifies adipocyte browning and promotes lipid mobilization for both genders. We show that AA affects obesity likely through a gut-hypothalamus-adipose-liver axis. Our findings formulate recommendations of n-6 fatty acids like AA from dietary intake for obese subjects preferably in a sexually dimorphic way.","container-title":"Biochimica et Biophysica Acta (BBA) - Molecular Basis of Disease","DOI":"10.1016/j.bbadis.2017.07.003","ISSN":"0925-4439","issue":"11","journalAbbreviation":"Biochimica et Biophysica Acta (BBA) - Molecular Basis of Disease","page":"2715-2726","source":"ScienceDirect","title":"Arachidonic acid sex-dependently affects obesity through linking gut microbiota-driven inflammation to hypothalamus-adipose-liver axis","volume":"1863","author":[{"family":"Zhuang","given":"Pan"},{"family":"Shou","given":"Qiyang"},{"family":"Lu","given":"Yanhua"},{"family":"Wang","given":"Guangfa"},{"family":"Qiu","given":"Jieni"},{"family":"Wang","given":"Jun"},{"family":"He","given":"Lilin"},{"family":"Chen","given":"Jingnan"},{"family":"Jiao","given":"Jingjing"},{"family":"Zhang","given":"Yu"}],"issued":{"date-parts":[["2017",11,1]]}}}],"schema":"https://github.com/citation-style-language/schema/raw/master/csl-citation.json"} </w:instrText>
      </w:r>
      <w:r w:rsidRPr="00735FCE">
        <w:fldChar w:fldCharType="separate"/>
      </w:r>
      <w:r w:rsidR="00281437" w:rsidRPr="00281437">
        <w:rPr>
          <w:vertAlign w:val="superscript"/>
        </w:rPr>
        <w:t>265</w:t>
      </w:r>
      <w:r w:rsidRPr="00735FCE">
        <w:fldChar w:fldCharType="end"/>
      </w:r>
      <w:r w:rsidRPr="00735FCE">
        <w:t xml:space="preserve">. Overall, the existing literature suggests that the browning of WAT is more easily triggered in females compared to males </w:t>
      </w:r>
      <w:r>
        <w:t>in response to</w:t>
      </w:r>
      <w:r w:rsidRPr="00735FCE">
        <w:t xml:space="preserve"> a wide range of physiological, hormonal, and dietary factors</w:t>
      </w:r>
      <w:r>
        <w:t xml:space="preserve"> </w:t>
      </w:r>
      <w:r w:rsidRPr="00735FCE">
        <w:fldChar w:fldCharType="begin"/>
      </w:r>
      <w:r w:rsidR="00281437">
        <w:instrText xml:space="preserve"> ADDIN ZOTERO_ITEM CSL_CITATION {"citationID":"mqJvNd8h","properties":{"formattedCitation":"\\super 266\\nosupersub{}","plainCitation":"266","noteIndex":0},"citationItems":[{"id":3425,"uris":["http://zotero.org/users/9622455/items/J74LNP8A"],"itemData":{"id":3425,"type":"article-journal","abstract":"Objective Brown adipose tissue (BAT) can generate heat by burning fatty acids, a process mediated by uncoupling protein 1 (UCP1). White adipose tissue (WAT) depots can gain BAT-like properties, and various studies have suggested that females have more active BAT or BAT-like WAT. We studied sex differences in BAT-like properties of human perirenal adipose tissue. Methods Perirenal and subcutaneous adipose tissue was obtained from 20 male and 24 female healthy live kidney donors. Mesenchymal stem cells (MSCs), adipocyte precursor cells, were isolated from these depots to study whether intrinsic factors control BAT-like properties of the adipose tissue depots. Results When average outside temperature a week before harvesting was below 11°C, brown-like adipocytes expressing UCP1 were present in perirenal adipose tissue of women, but not of men. MSCs derived from perirenal adipose tissue expressed significantly more UCP1 when from female origin compared to male origin (P = 0.009). However, UCP1 protein content and oxygen consumption rate did not differ between adipocytes derived from male and female perirenal MSCs. Conclusions Female perirenal adipose tissue has a higher potency to gain BAT-like properties than male perirenal adipose tissue. The degree of gaining BAT-like properties depends on sex-specific intrinsic factors and environmental triggers such as temperature.","container-title":"Obesity","DOI":"10.1002/oby.21166","ISSN":"1930-739X","issue":"8","language":"en","license":"© 2015 The Obesity Society","note":"_eprint: https://onlinelibrary.wiley.com/doi/pdf/10.1002/oby.21166","page":"1671-1679","source":"Wiley Online Library","title":"Women have more potential to induce browning of perirenal adipose tissue than men","volume":"23","author":[{"family":"Beukel","given":"Johanna C.","non-dropping-particle":"van den"},{"family":"Grefhorst","given":"Aldo"},{"family":"Hoogduijn","given":"Martin J."},{"family":"Steenbergen","given":"Jacobie"},{"family":"Mastroberardino","given":"Pier G."},{"family":"Dor","given":"Frank J.M.F."},{"family":"Themmen","given":"Axel P.N."}],"issued":{"date-parts":[["2015"]]}}}],"schema":"https://github.com/citation-style-language/schema/raw/master/csl-citation.json"} </w:instrText>
      </w:r>
      <w:r w:rsidRPr="00735FCE">
        <w:fldChar w:fldCharType="separate"/>
      </w:r>
      <w:r w:rsidR="00281437" w:rsidRPr="00281437">
        <w:rPr>
          <w:vertAlign w:val="superscript"/>
        </w:rPr>
        <w:t>266</w:t>
      </w:r>
      <w:r w:rsidRPr="00735FCE">
        <w:fldChar w:fldCharType="end"/>
      </w:r>
      <w:r w:rsidRPr="00735FCE">
        <w:t>. The enhanced responsiveness is particularly related to estrogen signaling dependence</w:t>
      </w:r>
      <w:r>
        <w:t xml:space="preserve"> </w:t>
      </w:r>
      <w:r w:rsidRPr="00735FCE">
        <w:fldChar w:fldCharType="begin"/>
      </w:r>
      <w:r w:rsidR="00281437">
        <w:instrText xml:space="preserve"> ADDIN ZOTERO_ITEM CSL_CITATION {"citationID":"0RM9J9Zz","properties":{"formattedCitation":"\\super 267\\nosupersub{}","plainCitation":"267","noteIndex":0},"citationItems":[{"id":3451,"uris":["http://zotero.org/users/9622455/items/H4PVYM8S"],"itemData":{"id":3451,"type":"article-journal","abstract":"Tamoxifen-inducible Cre/lox site-specific recombination technology has been widely used to generate conditional transgenic mice. As an estrogen receptor ligand, tamoxifen itself potentially affects energy metabolism, which may confound interpretation of data especially in metabolic studies. Considering sexual dimorphism, in this study, the effects of low-dose tamoxifen administration on energy metabolism, and browning of adipose tissues in female and male mice were investigated.","container-title":"International Journal of Obesity","DOI":"10.1038/s41366-019-0330-3","ISSN":"1476-5497","issue":"1","journalAbbreviation":"Int J Obes","language":"en","license":"2019 Springer Nature Limited","note":"publisher: Nature Publishing Group","page":"226-234","source":"www.nature.com","title":"Even a low dose of tamoxifen profoundly induces adipose tissue browning in female mice","volume":"44","author":[{"family":"Zhao","given":"Liang"},{"family":"Wang","given":"Bo"},{"family":"Gomez","given":"Noe Alberto"},{"family":"Avila","given":"Jeanene M.","non-dropping-particle":"de"},{"family":"Zhu","given":"Mei-Jun"},{"family":"Du","given":"Min"}],"issued":{"date-parts":[["2020",1]]}}}],"schema":"https://github.com/citation-style-language/schema/raw/master/csl-citation.json"} </w:instrText>
      </w:r>
      <w:r w:rsidRPr="00735FCE">
        <w:fldChar w:fldCharType="separate"/>
      </w:r>
      <w:r w:rsidR="00281437" w:rsidRPr="00281437">
        <w:rPr>
          <w:vertAlign w:val="superscript"/>
        </w:rPr>
        <w:t>267</w:t>
      </w:r>
      <w:r w:rsidRPr="00735FCE">
        <w:fldChar w:fldCharType="end"/>
      </w:r>
      <w:r w:rsidRPr="00735FCE">
        <w:t>. Estrogen signaling inhibition reduces browning in females</w:t>
      </w:r>
      <w:r>
        <w:t>,</w:t>
      </w:r>
      <w:r w:rsidRPr="00735FCE">
        <w:t xml:space="preserve"> wh</w:t>
      </w:r>
      <w:r>
        <w:t>ereas</w:t>
      </w:r>
      <w:r w:rsidRPr="00735FCE">
        <w:t xml:space="preserve"> receptor activation increases thermogenic gene expression and sympathetic innervation</w:t>
      </w:r>
      <w:r>
        <w:t xml:space="preserve"> </w:t>
      </w:r>
      <w:r w:rsidRPr="00735FCE">
        <w:fldChar w:fldCharType="begin"/>
      </w:r>
      <w:r w:rsidR="00281437">
        <w:instrText xml:space="preserve"> ADDIN ZOTERO_ITEM CSL_CITATION {"citationID":"3WtFjivK","properties":{"formattedCitation":"\\super 267\\nosupersub{}","plainCitation":"267","noteIndex":0},"citationItems":[{"id":3451,"uris":["http://zotero.org/users/9622455/items/H4PVYM8S"],"itemData":{"id":3451,"type":"article-journal","abstract":"Tamoxifen-inducible Cre/lox site-specific recombination technology has been widely used to generate conditional transgenic mice. As an estrogen receptor ligand, tamoxifen itself potentially affects energy metabolism, which may confound interpretation of data especially in metabolic studies. Considering sexual dimorphism, in this study, the effects of low-dose tamoxifen administration on energy metabolism, and browning of adipose tissues in female and male mice were investigated.","container-title":"International Journal of Obesity","DOI":"10.1038/s41366-019-0330-3","ISSN":"1476-5497","issue":"1","journalAbbreviation":"Int J Obes","language":"en","license":"2019 Springer Nature Limited","note":"publisher: Nature Publishing Group","page":"226-234","source":"www.nature.com","title":"Even a low dose of tamoxifen profoundly induces adipose tissue browning in female mice","volume":"44","author":[{"family":"Zhao","given":"Liang"},{"family":"Wang","given":"Bo"},{"family":"Gomez","given":"Noe Alberto"},{"family":"Avila","given":"Jeanene M.","non-dropping-particle":"de"},{"family":"Zhu","given":"Mei-Jun"},{"family":"Du","given":"Min"}],"issued":{"date-parts":[["2020",1]]}}}],"schema":"https://github.com/citation-style-language/schema/raw/master/csl-citation.json"} </w:instrText>
      </w:r>
      <w:r w:rsidRPr="00735FCE">
        <w:fldChar w:fldCharType="separate"/>
      </w:r>
      <w:r w:rsidR="00281437" w:rsidRPr="00281437">
        <w:rPr>
          <w:vertAlign w:val="superscript"/>
        </w:rPr>
        <w:t>267</w:t>
      </w:r>
      <w:r w:rsidRPr="00735FCE">
        <w:fldChar w:fldCharType="end"/>
      </w:r>
      <w:r w:rsidRPr="00735FCE">
        <w:t xml:space="preserve">. </w:t>
      </w:r>
      <w:r w:rsidRPr="003545AE">
        <w:t xml:space="preserve">These results emphasize sex as a </w:t>
      </w:r>
      <w:r>
        <w:t xml:space="preserve">significant </w:t>
      </w:r>
      <w:r w:rsidRPr="003545AE">
        <w:t>biological variable in adipose tissue thermogenesis and suggest that effective interventions to enhance browning may require sex-specific approaches</w:t>
      </w:r>
      <w:r>
        <w:t xml:space="preserve"> </w:t>
      </w:r>
      <w:r w:rsidRPr="00735FCE">
        <w:fldChar w:fldCharType="begin"/>
      </w:r>
      <w:r w:rsidR="00281437">
        <w:instrText xml:space="preserve"> ADDIN ZOTERO_ITEM CSL_CITATION {"citationID":"IAMNAlMn","properties":{"formattedCitation":"\\super 268\\nosupersub{}","plainCitation":"268","noteIndex":0},"citationItems":[{"id":3428,"uris":["http://zotero.org/users/9622455/items/SDP58YHB"],"itemData":{"id":3428,"type":"article-journal","abstract":"The present narrative review gathers the studies reported so far, addressing sex differences in the effects of cold exposure, feeding pattern and age on brown adipose tissue (BAT) thermogenesis and white adipose tissue (WAT) browning. In rodents, when exposed to decreasing temperatures, females activate thermogenesis earlier. Results obtained in humans go in the same line, although they do not provide results as solid as those obtained in rodents. Regarding the effects of overfeeding, interesting sex differences on BAT thermogenic capacity have been reported, and the greater or lower sensitivity of each sex to this dietary situation seems to be dependent on the type of feeding. In the case of energy restriction, females are more sensitive than males. In addition, sex differences have also been observed in thermogenesis changes induced by phenolic compound administration. During sexual development, an increase in BAT mass and BAT activity takes place. This phenomenon is greater in boys than in girls, probably due to its relation to muscle-mass growth. The opposite situation takes place during ageing, a lifespan period where thermogenic capacity declines, this being more acute in men than in women. Finally, the vast majority of the studies have reported a higher susceptibility to developing WAT browning amongst females. The scarcity of results highlights the need for further studies devoted to analysing this issue, in order to provide valuable information for a more personalised approach.","container-title":"International Journal of Molecular Sciences","DOI":"10.3390/ijms23158250","ISSN":"1422-0067","issue":"15","language":"en","license":"http://creativecommons.org/licenses/by/3.0/","note":"number: 15\npublisher: Multidisciplinary Digital Publishing Institute","page":"8250","source":"www.mdpi.com","title":"Sexual Dimorphism in Brown Adipose Tissue Activation and White Adipose Tissue Browning","volume":"23","author":[{"family":"Gómez-García","given":"Iker"},{"family":"Trepiana","given":"Jenifer"},{"family":"Fernández-Quintela","given":"Alfredo"},{"family":"Giralt","given":"Marta"},{"family":"Portillo","given":"María P."}],"issued":{"date-parts":[["2022",1]]}}}],"schema":"https://github.com/citation-style-language/schema/raw/master/csl-citation.json"} </w:instrText>
      </w:r>
      <w:r w:rsidRPr="00735FCE">
        <w:fldChar w:fldCharType="separate"/>
      </w:r>
      <w:r w:rsidR="00281437" w:rsidRPr="00281437">
        <w:rPr>
          <w:vertAlign w:val="superscript"/>
        </w:rPr>
        <w:t>268</w:t>
      </w:r>
      <w:r w:rsidRPr="00735FCE">
        <w:fldChar w:fldCharType="end"/>
      </w:r>
      <w:r w:rsidRPr="00735FCE">
        <w:t>.</w:t>
      </w:r>
    </w:p>
    <w:p w14:paraId="668DD8C8" w14:textId="77777777" w:rsidR="009117C0" w:rsidRPr="00735FCE" w:rsidRDefault="009117C0" w:rsidP="00847BA5">
      <w:pPr>
        <w:pStyle w:val="Heading2"/>
        <w:jc w:val="left"/>
      </w:pPr>
      <w:bookmarkStart w:id="61" w:name="_Toc200988054"/>
      <w:bookmarkStart w:id="62" w:name="_Toc201001669"/>
      <w:bookmarkStart w:id="63" w:name="_Toc204848639"/>
      <w:r w:rsidRPr="00735FCE">
        <w:t>Resveratrol as a Browning Agent</w:t>
      </w:r>
      <w:bookmarkEnd w:id="61"/>
      <w:bookmarkEnd w:id="62"/>
      <w:bookmarkEnd w:id="63"/>
    </w:p>
    <w:p w14:paraId="6AC26CC6" w14:textId="77777777" w:rsidR="009117C0" w:rsidRPr="00735FCE" w:rsidRDefault="009117C0" w:rsidP="00847BA5">
      <w:pPr>
        <w:pStyle w:val="Heading3"/>
        <w:jc w:val="left"/>
      </w:pPr>
      <w:bookmarkStart w:id="64" w:name="_Toc200988055"/>
      <w:bookmarkStart w:id="65" w:name="_Toc201001670"/>
      <w:bookmarkStart w:id="66" w:name="_Toc204848640"/>
      <w:r w:rsidRPr="00735FCE">
        <w:t xml:space="preserve">Structure and </w:t>
      </w:r>
      <w:r>
        <w:t>S</w:t>
      </w:r>
      <w:r w:rsidRPr="00735FCE">
        <w:t xml:space="preserve">ources of </w:t>
      </w:r>
      <w:r>
        <w:t>R</w:t>
      </w:r>
      <w:r w:rsidRPr="00735FCE">
        <w:t>esveratrol</w:t>
      </w:r>
      <w:bookmarkEnd w:id="64"/>
      <w:bookmarkEnd w:id="65"/>
      <w:bookmarkEnd w:id="66"/>
    </w:p>
    <w:p w14:paraId="3FD3D0AE" w14:textId="45CFC331" w:rsidR="009117C0" w:rsidRPr="00735FCE" w:rsidRDefault="009117C0" w:rsidP="00F5471F">
      <w:pPr>
        <w:ind w:firstLine="720"/>
        <w:jc w:val="left"/>
      </w:pPr>
      <w:r w:rsidRPr="00735FCE">
        <w:t xml:space="preserve">Resveratrol (E-5-(4-hydroxystyryl) benzene-1,3-diol) is classified as a polyphenol and </w:t>
      </w:r>
      <w:r>
        <w:t>belongs to</w:t>
      </w:r>
      <w:r w:rsidRPr="00735FCE">
        <w:t xml:space="preserve"> a class of </w:t>
      </w:r>
      <w:r>
        <w:t>phytoestrogens</w:t>
      </w:r>
      <w:r w:rsidRPr="00735FCE">
        <w:t xml:space="preserve">. Other members of </w:t>
      </w:r>
      <w:r>
        <w:t xml:space="preserve">the </w:t>
      </w:r>
      <w:r w:rsidRPr="00735FCE">
        <w:t>phytoestrogens</w:t>
      </w:r>
      <w:r>
        <w:t xml:space="preserve"> family</w:t>
      </w:r>
      <w:r w:rsidRPr="00735FCE">
        <w:t xml:space="preserve"> include isoflavonoids, flavonoids, and lignans</w:t>
      </w:r>
      <w:r>
        <w:t xml:space="preserve"> </w:t>
      </w:r>
      <w:r w:rsidRPr="00735FCE">
        <w:fldChar w:fldCharType="begin"/>
      </w:r>
      <w:r w:rsidR="00281437">
        <w:instrText xml:space="preserve"> ADDIN ZOTERO_ITEM CSL_CITATION {"citationID":"SXab80k4","properties":{"formattedCitation":"\\super 269\\nosupersub{}","plainCitation":"269","noteIndex":0},"citationItems":[{"id":3396,"uris":["http://zotero.org/users/9622455/items/AKUHWET8"],"itemData":{"id":3396,"type":"article-journal","abstract":"Resveratrol is naturally present in certain fruits and vegetables including grape skins and especially in red wine. Similar to red wine, resveratrol possesses diverse biochemical and physiological properties including anti-inflammatory and immunomulatory activities as well as wide range of health benefits ranging from chemoprevention to cardioprotection. Recent studies implicated that resveratrol also possesses antiaging properties. The present review describes some of the important physiological properties of resveratrol that accounts for its diverse physiological actions.","container-title":"BioFactors","DOI":"10.1002/biof.100","ISSN":"1872-8081","issue":"5","language":"en","note":"_eprint: https://iubmb.onlinelibrary.wiley.com/doi/pdf/10.1002/biof.100","page":"401-406","source":"Wiley Online Library","title":"Physiological effects of resveratrol","volume":"36","author":[{"family":"Kalantari","given":"Heibatullah"},{"family":"Das","given":"Dipak K."}],"issued":{"date-parts":[["2010"]]}}}],"schema":"https://github.com/citation-style-language/schema/raw/master/csl-citation.json"} </w:instrText>
      </w:r>
      <w:r w:rsidRPr="00735FCE">
        <w:fldChar w:fldCharType="separate"/>
      </w:r>
      <w:r w:rsidR="00281437" w:rsidRPr="00281437">
        <w:rPr>
          <w:vertAlign w:val="superscript"/>
        </w:rPr>
        <w:t>269</w:t>
      </w:r>
      <w:r w:rsidRPr="00735FCE">
        <w:fldChar w:fldCharType="end"/>
      </w:r>
      <w:r w:rsidRPr="00735FCE">
        <w:t xml:space="preserve">. These compounds </w:t>
      </w:r>
      <w:bookmarkStart w:id="67" w:name="_Hlk200550252"/>
      <w:r w:rsidRPr="00735FCE">
        <w:t xml:space="preserve">are </w:t>
      </w:r>
      <w:r>
        <w:t>found</w:t>
      </w:r>
      <w:r w:rsidRPr="00735FCE">
        <w:t xml:space="preserve"> in soy, fruits, and vegetables</w:t>
      </w:r>
      <w:bookmarkEnd w:id="67"/>
      <w:r>
        <w:t xml:space="preserve"> </w:t>
      </w:r>
      <w:r w:rsidRPr="00735FCE">
        <w:fldChar w:fldCharType="begin"/>
      </w:r>
      <w:r w:rsidR="00281437">
        <w:instrText xml:space="preserve"> ADDIN ZOTERO_ITEM CSL_CITATION {"citationID":"PKTWrL1u","properties":{"formattedCitation":"\\super 270\\nosupersub{}","plainCitation":"270","noteIndex":0},"citationItems":[{"id":3380,"uris":["http://zotero.org/users/9622455/items/KANYZNXW"],"itemData":{"id":3380,"type":"article-journal","abstract":"Resveratrol (RV) is a well-known polyphenolic compound in various plants, including grape, peanut, and berry fruits, which is quite famous for its association with several health benefits such as anti-obesity, cardioprotective neuroprotective, antitumor, antidiabetic, antioxidants, anti-age effects, and glucose metabolism. Significantly, promising therapeutic properties have been reported in various cancer, neurodegeneration, and atherosclerosis and are regulated by several synergistic pathways that control oxidative stress, cell death, and inflammation. Similarly, RV possesses a strong anti-adipogenic effect by inhibiting fat accumulation processes and activating oxidative and lipolytic pathways, exhibiting their cardioprotective effects by inhibiting platelet aggregation. The RV also shows significant antibacterial effects against various food-borne pathogens (Listeria, Campylobacter, Staphylococcus aureus, and E. coli) by inhibiting an electron transport chain (ETC) and F0F1-ATPase, which decreases the production of cellular energy that leads to the spread of pathogens. After collecting and analyzing scientific literature, it may be concluded that RV is well tolerated and favorably affects cardiovascular, neurological, and diabetic disorders. As such, it is possible that RV can be considered the best nutritional additive and a complementary drug, especially a therapeutic candidate. Therefore, this review would increase knowledge about the blend of RV as well as inspire researchers around the world to consider RV as a pharmaceutical drug to combat future health crises against various inhumane diseases. In the future, this article will be aware of discoveries about the potential of this promising natural compound as the best nutraceuticals and therapeutic drugs in medicine.","container-title":"Biomedicine &amp; Pharmacotherapy","DOI":"10.1016/j.biopha.2021.112164","ISSN":"0753-3322","journalAbbreviation":"Biomedicine &amp; Pharmacotherapy","page":"112164","source":"ScienceDirect","title":"Resveratrol (RV): A pharmacological review and call for further research","title-short":"Resveratrol (RV)","volume":"143","author":[{"family":"Zhang","given":"Li-Xue"},{"family":"Li","given":"Chang-Xing"},{"family":"Kakar","given":"Mohib Ullah"},{"family":"Khan","given":"Muhammad Sajjad"},{"family":"Wu","given":"Pei-Feng"},{"family":"Amir","given":"Rai Muhammad"},{"family":"Dai","given":"Dong-Fang"},{"family":"Naveed","given":"Muhammad"},{"family":"Li","given":"Qin-Yuan"},{"family":"Saeed","given":"Muhammad"},{"family":"Shen","given":"Ji-Qiang"},{"family":"Rajput","given":"Shahid Ali"},{"family":"Li","given":"Jian-Hua"}],"issued":{"date-parts":[["2021",11,1]]}}}],"schema":"https://github.com/citation-style-language/schema/raw/master/csl-citation.json"} </w:instrText>
      </w:r>
      <w:r w:rsidRPr="00735FCE">
        <w:fldChar w:fldCharType="separate"/>
      </w:r>
      <w:r w:rsidR="00281437" w:rsidRPr="00281437">
        <w:rPr>
          <w:vertAlign w:val="superscript"/>
        </w:rPr>
        <w:t>270</w:t>
      </w:r>
      <w:r w:rsidRPr="00735FCE">
        <w:fldChar w:fldCharType="end"/>
      </w:r>
      <w:r w:rsidRPr="00735FCE">
        <w:t>. Specifically</w:t>
      </w:r>
      <w:r>
        <w:t>,</w:t>
      </w:r>
      <w:r w:rsidRPr="00735FCE">
        <w:t xml:space="preserve"> trans-RES and its glycoside form have attracted the most interest due </w:t>
      </w:r>
      <w:r w:rsidRPr="00735FCE">
        <w:lastRenderedPageBreak/>
        <w:t>to their various health benefits</w:t>
      </w:r>
      <w:r>
        <w:t>,</w:t>
      </w:r>
      <w:r w:rsidRPr="00735FCE">
        <w:t xml:space="preserve"> which include antioxidant, anti-inflammatory, anticarcinogenic, and estrogenic or anti-estrogenic activities</w:t>
      </w:r>
      <w:r>
        <w:t xml:space="preserve"> </w:t>
      </w:r>
      <w:r w:rsidRPr="00735FCE">
        <w:fldChar w:fldCharType="begin"/>
      </w:r>
      <w:r w:rsidR="00281437">
        <w:instrText xml:space="preserve"> ADDIN ZOTERO_ITEM CSL_CITATION {"citationID":"UPpleimn","properties":{"formattedCitation":"\\super 271\\nosupersub{}","plainCitation":"271","noteIndex":0},"citationItems":[{"id":3382,"uris":["http://zotero.org/users/9622455/items/FKKQWHF5"],"itemData":{"</w:instrText>
      </w:r>
      <w:r w:rsidR="00281437">
        <w:rPr>
          <w:rFonts w:hint="eastAsia"/>
        </w:rPr>
        <w:instrText>id":3382,"type":"article-journal","abstract":"Resveratrol (3,5,4</w:instrText>
      </w:r>
      <w:r w:rsidR="00281437">
        <w:rPr>
          <w:rFonts w:hint="eastAsia"/>
        </w:rPr>
        <w:instrText>′</w:instrText>
      </w:r>
      <w:r w:rsidR="00281437">
        <w:rPr>
          <w:rFonts w:hint="eastAsia"/>
        </w:rPr>
        <w:instrText>-trihydroxy-trans-stilbene) belongs to polyphenols</w:instrText>
      </w:r>
      <w:r w:rsidR="00281437">
        <w:rPr>
          <w:rFonts w:hint="eastAsia"/>
        </w:rPr>
        <w:instrText>’</w:instrText>
      </w:r>
      <w:r w:rsidR="00281437">
        <w:rPr>
          <w:rFonts w:hint="eastAsia"/>
        </w:rPr>
        <w:instrText xml:space="preserve"> stilbenoids group, possessing two phenol rings linked to each other by an ethylene bridge. This natural polyphenol has been detected in mo</w:instrText>
      </w:r>
      <w:r w:rsidR="00281437">
        <w:instrText xml:space="preserve">re than 70 plant species, especially in grapes’ skin and seeds, and was found in discrete amounts in red wines and various human foods. It is a phytoalexin that acts against pathogens, including bacteria and fungi. As a natural food ingredient, numerous studies have demonstrated that resveratrol possesses a very high antioxidant potential. Resveratrol also exhibit antitumor activity, and is considered a potential candidate for prevention and treatment of several types of cancer. Indeed, resveratrol anticancer properties have been confirmed by many in vitro and in vivo studies, which shows that resveratrol is able to inhibit all carcinogenesis stages (e.g., initiation, promotion and progression). Even more, other bioactive effects, namely as anti-inflammatory, anticarcinogenic, cardioprotective, vasorelaxant, phytoestrogenic and neuroprotective have also been reported. Nonetheless, resveratrol application is still being a major challenge for pharmaceutical industry, due to its poor solubility and bioavailability, as well as adverse effects. In this sense, this review summarized current data on resveratrol pharmacological effects.","container-title":"Biomedicines","DOI":"10.3390/biomedicines6030091","ISSN":"2227-9059","issue":"3","journalAbbreviation":"Biomedicines","note":"PMID: 30205595\nPMCID: PMC6164842","page":"91","source":"PubMed Central","title":"Resveratrol: A Double-Edged Sword in Health Benefits","title-short":"Resveratrol","volume":"6","author":[{"family":"Salehi","given":"Bahare"},{"family":"Mishra","given":"Abhay Prakash"},{"family":"Nigam","given":"Manisha"},{"family":"Sener","given":"Bilge"},{"family":"Kilic","given":"Mehtap"},{"family":"Sharifi-Rad","given":"Mehdi"},{"family":"Fokou","given":"Patrick Valere Tsouh"},{"family":"Martins","given":"Natália"},{"family":"Sharifi-Rad","given":"Javad"}],"issued":{"date-parts":[["2018",9,9]]}}}],"schema":"https://github.com/citation-style-language/schema/raw/master/csl-citation.json"} </w:instrText>
      </w:r>
      <w:r w:rsidRPr="00735FCE">
        <w:fldChar w:fldCharType="separate"/>
      </w:r>
      <w:r w:rsidR="00281437" w:rsidRPr="00281437">
        <w:rPr>
          <w:vertAlign w:val="superscript"/>
        </w:rPr>
        <w:t>271</w:t>
      </w:r>
      <w:r w:rsidRPr="00735FCE">
        <w:fldChar w:fldCharType="end"/>
      </w:r>
      <w:r w:rsidRPr="00735FCE">
        <w:t>. "French Paradox" theory first brought RES to light by linking moderate consumption of red wine with cardiovascular benefits, leading to the discovery of new RES sources</w:t>
      </w:r>
      <w:r>
        <w:t xml:space="preserve"> </w:t>
      </w:r>
      <w:r w:rsidRPr="00735FCE">
        <w:fldChar w:fldCharType="begin"/>
      </w:r>
      <w:r w:rsidR="00281437">
        <w:instrText xml:space="preserve"> ADDIN ZOTERO_ITEM CSL_CITATION {"citationID":"eUPFq0s1","properties":{"formattedCitation":"\\super 272\\nosupersub{}","plainCitation":"272","noteIndex":0},"citationItems":[{"id":3398,"uris":["http://zotero.org/users/9622455/items/UA97WKKX"],"itemData":{"id":3398,"type":"article-journal","container-title":"The Lancet","DOI":"10.1016/0140-6736(92)91277-F","ISSN":"0140-6736, 1474-547X","issue":"8808","journalAbbreviation":"The Lancet","language":"English","note":"publisher: Elsevier\nPMID: 1351198","page":"1523-1526","source":"www.thelancet.com","title":"Wine, alcohol, platelets, and the French paradox for coronary heart disease","volume":"339","author":[{"family":"Renaud","given":"S."},{"family":"Lorgeril","given":"M.","dropping-particle":"de"}],"issued":{"date-parts":[["1992",6,20]]}}}],"schema":"https://github.com/citation-style-language/schema/raw/master/csl-citation.json"} </w:instrText>
      </w:r>
      <w:r w:rsidRPr="00735FCE">
        <w:fldChar w:fldCharType="separate"/>
      </w:r>
      <w:r w:rsidR="00281437" w:rsidRPr="00281437">
        <w:rPr>
          <w:vertAlign w:val="superscript"/>
        </w:rPr>
        <w:t>272</w:t>
      </w:r>
      <w:r w:rsidRPr="00735FCE">
        <w:fldChar w:fldCharType="end"/>
      </w:r>
      <w:r w:rsidRPr="00735FCE">
        <w:t xml:space="preserve">. It has been reported </w:t>
      </w:r>
      <w:r>
        <w:t>in</w:t>
      </w:r>
      <w:r w:rsidRPr="00735FCE">
        <w:t xml:space="preserve"> more than 70 species of plants and is particularly abundant in red grapes</w:t>
      </w:r>
      <w:r>
        <w:t>,</w:t>
      </w:r>
      <w:r w:rsidRPr="00735FCE">
        <w:t xml:space="preserve"> </w:t>
      </w:r>
      <w:r>
        <w:t>as</w:t>
      </w:r>
      <w:r w:rsidRPr="00735FCE">
        <w:t xml:space="preserve"> it acts as a phytoalexin produced </w:t>
      </w:r>
      <w:r>
        <w:t>in response to</w:t>
      </w:r>
      <w:r w:rsidRPr="00735FCE">
        <w:t xml:space="preserve"> fungal infection</w:t>
      </w:r>
      <w:r>
        <w:t xml:space="preserve"> </w:t>
      </w:r>
      <w:r w:rsidRPr="00735FCE">
        <w:fldChar w:fldCharType="begin"/>
      </w:r>
      <w:r w:rsidR="00281437">
        <w:instrText xml:space="preserve"> ADDIN ZOTERO_ITEM CSL_CITATION {"citationID":"QAwPqRuR","properties":{"formattedCitation":"\\super 271\\nosupersub{}","plainCitation":"271","noteIndex":0},"citationItems":[{"id":3382,"uris":["http://zotero.org/users/9622455/items/FKKQWHF5"],"itemData":{"</w:instrText>
      </w:r>
      <w:r w:rsidR="00281437">
        <w:rPr>
          <w:rFonts w:hint="eastAsia"/>
        </w:rPr>
        <w:instrText>id":3382,"type":"article-journal","abstract":"Resveratrol (3,5,4</w:instrText>
      </w:r>
      <w:r w:rsidR="00281437">
        <w:rPr>
          <w:rFonts w:hint="eastAsia"/>
        </w:rPr>
        <w:instrText>′</w:instrText>
      </w:r>
      <w:r w:rsidR="00281437">
        <w:rPr>
          <w:rFonts w:hint="eastAsia"/>
        </w:rPr>
        <w:instrText>-trihydroxy-trans-stilbene) belongs to polyphenols</w:instrText>
      </w:r>
      <w:r w:rsidR="00281437">
        <w:rPr>
          <w:rFonts w:hint="eastAsia"/>
        </w:rPr>
        <w:instrText>’</w:instrText>
      </w:r>
      <w:r w:rsidR="00281437">
        <w:rPr>
          <w:rFonts w:hint="eastAsia"/>
        </w:rPr>
        <w:instrText xml:space="preserve"> stilbenoids group, possessing two phenol rings linked to each other by an ethylene bridge. This natural polyphenol has been detected in mo</w:instrText>
      </w:r>
      <w:r w:rsidR="00281437">
        <w:instrText xml:space="preserve">re than 70 plant species, especially in grapes’ skin and seeds, and was found in discrete amounts in red wines and various human foods. It is a phytoalexin that acts against pathogens, including bacteria and fungi. As a natural food ingredient, numerous studies have demonstrated that resveratrol possesses a very high antioxidant potential. Resveratrol also exhibit antitumor activity, and is considered a potential candidate for prevention and treatment of several types of cancer. Indeed, resveratrol anticancer properties have been confirmed by many in vitro and in vivo studies, which shows that resveratrol is able to inhibit all carcinogenesis stages (e.g., initiation, promotion and progression). Even more, other bioactive effects, namely as anti-inflammatory, anticarcinogenic, cardioprotective, vasorelaxant, phytoestrogenic and neuroprotective have also been reported. Nonetheless, resveratrol application is still being a major challenge for pharmaceutical industry, due to its poor solubility and bioavailability, as well as adverse effects. In this sense, this review summarized current data on resveratrol pharmacological effects.","container-title":"Biomedicines","DOI":"10.3390/biomedicines6030091","ISSN":"2227-9059","issue":"3","journalAbbreviation":"Biomedicines","note":"PMID: 30205595\nPMCID: PMC6164842","page":"91","source":"PubMed Central","title":"Resveratrol: A Double-Edged Sword in Health Benefits","title-short":"Resveratrol","volume":"6","author":[{"family":"Salehi","given":"Bahare"},{"family":"Mishra","given":"Abhay Prakash"},{"family":"Nigam","given":"Manisha"},{"family":"Sener","given":"Bilge"},{"family":"Kilic","given":"Mehtap"},{"family":"Sharifi-Rad","given":"Mehdi"},{"family":"Fokou","given":"Patrick Valere Tsouh"},{"family":"Martins","given":"Natália"},{"family":"Sharifi-Rad","given":"Javad"}],"issued":{"date-parts":[["2018",9,9]]}}}],"schema":"https://github.com/citation-style-language/schema/raw/master/csl-citation.json"} </w:instrText>
      </w:r>
      <w:r w:rsidRPr="00735FCE">
        <w:fldChar w:fldCharType="separate"/>
      </w:r>
      <w:r w:rsidR="00281437" w:rsidRPr="00281437">
        <w:rPr>
          <w:vertAlign w:val="superscript"/>
        </w:rPr>
        <w:t>271</w:t>
      </w:r>
      <w:r w:rsidRPr="00735FCE">
        <w:fldChar w:fldCharType="end"/>
      </w:r>
      <w:r w:rsidRPr="00735FCE">
        <w:t>. Besides dietary sources</w:t>
      </w:r>
      <w:r>
        <w:t>,</w:t>
      </w:r>
      <w:r w:rsidRPr="00735FCE">
        <w:t xml:space="preserve"> such as berries, peanuts, and wine, industrial RES is usually produced through chemical or microbial processes, including fermentation with Saccharomyces cerevisiae</w:t>
      </w:r>
      <w:r>
        <w:t xml:space="preserve"> </w:t>
      </w:r>
      <w:r w:rsidRPr="00735FCE">
        <w:fldChar w:fldCharType="begin"/>
      </w:r>
      <w:r w:rsidR="00281437">
        <w:instrText xml:space="preserve"> ADDIN ZOTERO_ITEM CSL_CITATION {"citationID":"M9VzqdtV","properties":{"formattedCitation":"\\super 273\\uc0\\u8211{}275\\nosupersub{}","plainCitation":"273–275","noteIndex":0},"citationItems":[{"id":3405,"uris":["http://zotero.org/users/9622455/items/4VTJB8QM"],"itemData":{"id":3405,"type":"article-journal","abstract":"Resveratrol is a unique, natural polyphenolic compound with diverse health benefits. In the present study, we attempted to improve resveratrol biosynthesis in yeast by different methods of metabolic engineering. We first mutated and then re-synthesized tyrosine ammonia lyase (TAL) by replacing the bacteria codons with yeast-preferred codons, which increased translation and improved p-coumaric acid and resveratrol biosynthesis drastically. We then demonstrated that low-affinity, high-capacity bacterial araE transporter could enhance resveratrol accumulation, without transporting resveratrol directly. Yeast cells carrying the araE gene produced up to 2.44-fold higher resveratrol than control cells. For commercial applications, resveratrol biosynthesis was detected in sucrose medium and fresh grape juice using our engineered yeast cells. In collaboration with the Chaumette Winery of Missouri, we were able to produce resveratrol-containing white wines, with levels comparable to the resveratrol levels found in most red wines.","container-title":"Metabolic Engineering","DOI":"10.1016/j.ymben.2011.04.005","ISSN":"1096-7176","issue":"5","journalAbbreviation":"Metabolic Engineering","page":"455-463","source":"ScienceDirect","title":"Stepwise increase of resveratrol biosynthesis in yeast &lt;i&gt;Saccharomyces cerevisiae&lt;/i&gt; by metabolic engineering","volume":"13","author":[{"family":"Wang","given":"Yechun"},{"family":"Halls","given":"Coralie"},{"family":"Zhang","given":"Juan"},{"family":"Matsuno","given":"Michiyo"},{"family":"Zhang","given":"Yansheng"},{"family":"Yu","given":"Oliver"}],"issued":{"date-parts":[["2011",9,1]]}}},{"id":3400,"uris":["http://zotero.org/users/9622455/items/WF9ARNAD"],"itemData":{"id":3400,"type":"article-journal","abstract":"Resveratrol, a natural phytoalexin, exhibits a remarkable range of biological activities, such as anticancer, cardioprotective, neuroprotective and antioxidant properties. However, the therapeutic application of resveratrol was encumbered for its low bioavailability. Therefore, many researchers focused on designing and synthesizing the derivatives of resveratrol to enhance the bioavailability and the pharmacological activity of resveratrol. During the past decades, a large number of natural and synthetic resveratrol derivatives were extensively studied, and the methoxylated, hydroxylated and halogenated derivatives of resveratrol received particular more attention for their beneficial bioactivity. So, in this review, we will summarize the chemical structure and the therapeutic versatility of resveratrol derivatives, and thus provide the related structure activity relationship reference for their practical applications.","container-title":"Nutrients","DOI":"10.3390/nu9111188","ISSN":"2072-6643","issue":"11","journalAbbreviation":"Nutrients","note":"PMID: 29109374\nPMCID: PMC5707660","page":"1188","source":"PubMed Central","title":"Therapeutic Versatility of Resveratrol Derivatives","volume":"9","author":[{"family":"Nawaz","given":"Waqas"},{"family":"Zhou","given":"Zhongqin"},{"family":"Deng","given":"Sa"},{"family":"Ma","given":"Xiaodong"},{"family":"Ma","given":"Xiaochi"},{"family":"Li","given":"Chuangang"},{"family":"Shu","given":"Xiaohong"}],"issued":{"date-parts":[["2017",10,29]]}}},{"id":3403,"uris":["http://zotero.org/users/9622455/items/Z7KU6JW6"],"itemData":{"id":3403,"type":"article-journal","abstract":"Resveratrol is a natural antioxidant compound, used as food supplement and cosmetic ingredient. Microbial production of resveratrol has until now been achieved by supplementation of expensive substrates, p-coumaric acid or aromatic amino acids. Here we engineered the yeast Saccharomyces cerevisiae to produce resveratrol directly from glucose or ethanol via tyrosine intermediate. First we introduced the biosynthetic pathway, consisting of tyrosine ammonia-lyase from Herpetosiphon aurantiacus, 4-coumaryl-CoA ligase from Arabidopsis thaliana and resveratrol synthase from Vitis vinifera, and obtained 2.73±0.05mgL−1 resveratrol from glucose. Then we over-expressed feedback-insensitive alleles of ARO4 encoding 3-deoxy-D-arabino-heptulosonate-7-phosphate and ARO7 encoding chorismate mutase, resulting in production of 4.85±0.31mgL−1 resveratrol from glucose as the sole carbon source. Next we improved the supply of the precursor malonyl-CoA by over-expressing a post-translational de-regulated version of the acetyl-CoA carboxylase encoding gene ACC1; this strategy further increased resveratrol production to 6.39±0.03mgL−1. Subsequently, we improved the strain by performing multiple-integration of pathway genes resulting in resveratrol production of 235.57±7.00mgL−1. Finally, fed-batch fermentation of the final strain with glucose or ethanol as carbon source resulted in a resveratrol titer of 415.65 and 531.41mgL−1, respectively.","container-title":"Metabolic Engineering","DOI":"10.1016/j.ymben.2015.08.007","ISSN":"1096-7176","journalAbbreviation":"Metabolic Engineering","page":"1-11","source":"ScienceDirect","title":"&lt;i&gt;De novo&lt;/i&gt; production of resveratrol from glucose or ethanol by engineered &lt;i&gt;Saccharomyces cerevisiae&lt;/i&gt;","volume":"32","author":[{"family":"Li","given":"Mingji"},{"family":"Kildegaard","given":"Kanchana R."},{"family":"Chen","given":"Yun"},{"family":"Rodriguez","given":"Angelica"},{"family":"Borodina","given":"Irina"},{"family":"Nielsen","given":"Jens"}],"issued":{"date-parts":[["2015",11,1]]}}}],"schema":"https://github.com/citation-style-language/schema/raw/master/csl-citation.json"} </w:instrText>
      </w:r>
      <w:r w:rsidRPr="00735FCE">
        <w:fldChar w:fldCharType="separate"/>
      </w:r>
      <w:r w:rsidR="00281437" w:rsidRPr="00281437">
        <w:rPr>
          <w:vertAlign w:val="superscript"/>
        </w:rPr>
        <w:t>273–275</w:t>
      </w:r>
      <w:r w:rsidRPr="00735FCE">
        <w:fldChar w:fldCharType="end"/>
      </w:r>
      <w:r w:rsidRPr="00735FCE">
        <w:t>.</w:t>
      </w:r>
    </w:p>
    <w:p w14:paraId="3BF97A81" w14:textId="53C81FC5" w:rsidR="009117C0" w:rsidRPr="00735FCE" w:rsidRDefault="009117C0" w:rsidP="00F5471F">
      <w:pPr>
        <w:ind w:firstLine="720"/>
        <w:jc w:val="left"/>
      </w:pPr>
      <w:r w:rsidRPr="00735FCE">
        <w:t xml:space="preserve">Resveratrol is a stilbenoid wherein </w:t>
      </w:r>
      <w:r>
        <w:t>an ethylene linkage joins two aromatic moieties</w:t>
      </w:r>
      <w:r w:rsidRPr="00735FCE">
        <w:t xml:space="preserve">. The molecule exists as two geometric isomers: </w:t>
      </w:r>
      <w:r>
        <w:t xml:space="preserve">the </w:t>
      </w:r>
      <w:r w:rsidRPr="00735FCE">
        <w:t>cis and trans forms</w:t>
      </w:r>
      <w:r>
        <w:t xml:space="preserve"> </w:t>
      </w:r>
      <w:r w:rsidRPr="00735FCE">
        <w:fldChar w:fldCharType="begin"/>
      </w:r>
      <w:r w:rsidR="00281437">
        <w:instrText xml:space="preserve"> ADDIN ZOTERO_ITEM CSL_CITATION {"citationID":"d758wNIY","properties":{"formattedCitation":"\\super 276\\nosupersub{}","plainCitation":"276","noteIndex":0},"citationItems":[{"id":3387,"uris":["http://zotero.org/users/9622455/items/XTNCVJMA"],"itemData":{"id":3387,"type":"article-journal","abstract":"A simple, accurate, precise, specific and reproducible high-performance liquid chromatography (HPLC) method was developed for simultaneous determination of resveratrol isomers in rat plasma. Cis-resveratrol was made by exposure of a trans-resveratrol solution to sunlight for 5 days followed by separation by HPLC and identification by mass spectrometry (MS). The assay procedure involved simple liquid–liquid extraction of resveratrol isomers and internal standard (IS, caffeine) from a small plasma volume directly into acetonitrile. The supernatant liquid was added an equal volume of water and injected onto a Hypersil ODS2 C18 column (5 µm, 4.6 × 250 mm). Mobile phase consisting of methanol and distilled water was used at a flow rate of 1.0 mL/min for the effective separation of cis-, trans-resveratrol and caffeine (IS). The detection of the analyte peak was achieved by monitoring the eluate using a UV detector set at 303 nm. The ratio of peak area of analyte to IS was used for quantification of plasma samples. Nominal retention times of cis-, trans-resveratrol and IS were 3.2, 4.3 and 6.1 min, respectively. The calibration curve was linear ranging from 0.066 to 6.64 and 0.134 to 13.4 µg/mL with correlation coefficients of 0.9998 and 0.9997 for trans and cis isomers, respectively. The absolute recovery of both isomers was more than 85%. The inter- and intra-day precisions in the measurement of quality control (QC) samples, 0.066, 0.664 and 6.64 µg/mL of trans-resveratrol, were in the range 2.37–6.95% relative standard deviation (RSD) and 0.77–6.97% RSD, respectively. The inter- and intra-day precisions in the measurement of quality control (QC) samples, 0.134, 1.34 and 13.4 µg/mL of cis-resveratrol, were in the range 1.93–3.72% relative standard deviation (RSD) and 1.13–6.57% RSD, respectively. Both analytes and IS were stable in the battery of stability studies and freeze–thaw cycles. Resveratrol isomers were found to be stable for a period of 30 days on storage at −20°C. The application of the assay to determine the pharmacokinetic disposition after a single oral dose to rats is described. Copyright © 2007 John Wiley &amp; Sons, Ltd.","container-title":"Biomedical Chromatography","DOI":"10.1002/bmc.747","ISSN":"1099-0801","issue":"3","language":"en","license":"Copyright © 2007 John Wiley &amp; Sons, Ltd.","note":"_eprint: https://analyticalsciencejournals.onlinelibrary.wiley.com/doi/pdf/10.1002/bmc.747","page":"257-265","source":"Wiley Online Library","title":"Stereospecific determination of cis- and trans-resveratrol in rat plasma by HPLC: application to pharmacokinetic studies","title-short":"Stereospecific determination of cis- and trans-resveratrol in rat plasma by HPLC","volume":"21","author":[{"family":"Chen","given":"Xijing"},{"family":"He","given":"Hui"},{"family":"Wang","given":"Guangji"},{"family":"Yang","given":"Bing"},{"family":"Ren","given":"Weichao"},{"family":"Ma","given":"Le"},{"family":"Yu","given":"Qiaoling"}],"issued":{"date-parts":[["2007"]]}}}],"schema":"https://github.com/citation-style-language/schema/raw/master/csl-citation.json"} </w:instrText>
      </w:r>
      <w:r w:rsidRPr="00735FCE">
        <w:fldChar w:fldCharType="separate"/>
      </w:r>
      <w:r w:rsidR="00281437" w:rsidRPr="00281437">
        <w:rPr>
          <w:vertAlign w:val="superscript"/>
        </w:rPr>
        <w:t>276</w:t>
      </w:r>
      <w:r w:rsidRPr="00735FCE">
        <w:fldChar w:fldCharType="end"/>
      </w:r>
      <w:r w:rsidRPr="00735FCE">
        <w:t xml:space="preserve">. The </w:t>
      </w:r>
      <w:r>
        <w:t xml:space="preserve">trans-RES </w:t>
      </w:r>
      <w:r w:rsidRPr="00735FCE">
        <w:t>is predominant in nature and is more biologically active in inducing anti-proliferative cellular responses</w:t>
      </w:r>
      <w:r>
        <w:t>,</w:t>
      </w:r>
      <w:r w:rsidRPr="00735FCE">
        <w:t xml:space="preserve"> such as cell cycle arrest, differentiation, and apoptosis</w:t>
      </w:r>
      <w:r>
        <w:t xml:space="preserve"> </w:t>
      </w:r>
      <w:r w:rsidRPr="00735FCE">
        <w:fldChar w:fldCharType="begin"/>
      </w:r>
      <w:r w:rsidR="00281437">
        <w:instrText xml:space="preserve"> ADDIN ZOTERO_ITEM CSL_CITATION {"citationID":"wKrPEdXt","properties":{"formattedCitation":"\\super 277\\nosupersub{}","plainCitation":"277","noteIndex":0},"citationItems":[{"id":3389,"uris":["http://zotero.org/users/9622455/items/G7Y79IV4"],"itemData":{"id":3389,"type":"article-journal","abstract":"Plants containing resveratrol have been used effectively in traditional medicine for over 2000 years. It can be found in some plants, fruits, and derivatives, such as red wine. Therefore, it can be administered by either consuming these natural products or intaking nutraceutical pills. Resveratrol exhibits a wide range of beneficial properties, and this may be due to its molecular structure, which endow resveratrol with the ability to bind to many biomolecules. Among these properties its activity as an anticancer agent, a platelet antiaggregation agent, and an antioxidant, as well as its antiaging, antifrailty, anti-inflammatory, antiallergenic, and so forth activities, is worth highlighting. These beneficial biological properties have been extensively studied in humans and animal models, both in vitro and in vivo. The issue of bioavailability of resveratrol is of paramount importance and is determined by its rapid elimination and the fact that its absorption is highly effective, but the first hepatic step leaves little free resveratrol. Clarifying aspects like stability and pharmacokinetics of resveratrol metabolites would be fundamental to understand and apply the therapeutic properties of resveratrol.","container-title":"Oxidative Medicine and Cellular Longevity","DOI":"10.1155/2015/837042","ISSN":"1942-0900","journalAbbreviation":"Oxid Med Cell Longev","note":"PMID: 26221416\nPMCID: PMC4499410","page":"837042","source":"PubMed Central","title":"Properties of Resveratrol: In Vitro and In Vivo Studies about Metabolism, Bioavailability, and Biological Effects in Animal Models and Humans","title-short":"Properties of Resveratrol","volume":"2015","author":[{"family":"Gambini","given":"J."},{"family":"Inglés","given":"M."},{"family":"Olaso","given":"G."},{"family":"Lopez-Grueso","given":"R."},{"family":"Bonet-Costa","given":"V."},{"family":"Gimeno-Mallench","given":"L."},{"family":"Mas-Bargues","given":"C."},{"family":"Abdelaziz","given":"K. M."},{"family":"Gomez-Cabrera","given":"M. C."},{"family":"Vina","given":"J."},{"family":"Borras","given":"C."}],"issued":{"date-parts":[["2015"]]}}}],"schema":"https://github.com/citation-style-language/schema/raw/master/csl-citation.json"} </w:instrText>
      </w:r>
      <w:r w:rsidRPr="00735FCE">
        <w:fldChar w:fldCharType="separate"/>
      </w:r>
      <w:r w:rsidR="00281437" w:rsidRPr="00281437">
        <w:rPr>
          <w:vertAlign w:val="superscript"/>
        </w:rPr>
        <w:t>277</w:t>
      </w:r>
      <w:r w:rsidRPr="00735FCE">
        <w:fldChar w:fldCharType="end"/>
      </w:r>
      <w:r w:rsidRPr="00735FCE">
        <w:t xml:space="preserve">. Ultraviolet (UV) radiation </w:t>
      </w:r>
      <w:r>
        <w:t>can</w:t>
      </w:r>
      <w:r w:rsidRPr="00735FCE">
        <w:t xml:space="preserve"> convert the </w:t>
      </w:r>
      <w:r>
        <w:t>trans form</w:t>
      </w:r>
      <w:r w:rsidRPr="00735FCE">
        <w:t xml:space="preserve"> to its cis isomer</w:t>
      </w:r>
      <w:r>
        <w:t xml:space="preserve"> </w:t>
      </w:r>
      <w:r w:rsidRPr="00735FCE">
        <w:fldChar w:fldCharType="begin"/>
      </w:r>
      <w:r w:rsidR="00281437">
        <w:instrText xml:space="preserve"> ADDIN ZOTERO_ITEM CSL_CITATION {"citationID":"UFWkjEtS","properties":{"formattedCitation":"\\super 278\\nosupersub{}","plainCitation":"278","noteIndex":0},"citationItems":[{"id":3392,"uris":["http://zotero.org/users/9622455/items/FXMVEDMZ"],"itemData":{"id":3392,"type":"article-journal","abstract":"A reversed-phase high-performance liquid chromatography method with diode array detection was developed for the determination of trans- and cis-resveratrol in red wines. Separation was achieved after direct injection by the use of a BDS Hypersil C18 column (250 × 4.6 mm) with gradient elution (solvent A: acetic acid 2%, solvent B: acetonitrile). Detection of trans- and cis-resveratrol was performed at 306 and 286 nm, respectively. The retention times of trans- and cis-resveratrol were 22.2 and 26.1 min, respectively. Good linearity and precision were obtained for the two isomers. Detection limits of 0.004 mg/L for trans-resveratrol and 0.02 mg/L for cis-reveratrol were obtained. The developed method was applied to determine cis- and trans-resveratrol in 30 red wines produced in Oltenia (southwestern Romania). The wines came from different vineyards harvested in various vintages. The concentration of trans-resveratrol ranged from 0.287 to 7.188 mg/L, while the content of cis-resveratrol ranged from 0.718 to 6.587 mg/L. The highest amount of trans-resveratrol was found in Merlot from Vanju Mare, Mehedinti (7.188 mg/L), followed by Sirah from Corcova, Mehedinti (4.738 mg/L), both from the 2010 harvest. The paper also approaches the study of the transformation of trans-resveratrol into the cis form after ultraviolet irradiation through glass and quartz. At the irradiation of a trans-resveratrol solution through quartz, the formation of another two compounds apart from cis-resveratrol was observed.","container-title":"Journal of Chromatographic Science","DOI":"10.1093/chromsci/bms091","ISSN":"0021-9665","issue":"10","journalAbbreviation":"Journal of Chromatographic Science","page":"920-927","source":"Silverchair","title":"Ultraviolet Irradiation of Trans-Resveratrol and HPLC Determination of Trans-Resveratrol and Cis-Resveratrol in Romanian Red Wines","volume":"50","author":[{"family":"Nour","given":"Violeta"},{"family":"Trandafir","given":"Ion"},{"family":"Muntean","given":"Camelia"}],"issued":{"date-parts":[["2012",11,1]]}}}],"schema":"https://github.com/citation-style-language/schema/raw/master/csl-citation.json"} </w:instrText>
      </w:r>
      <w:r w:rsidRPr="00735FCE">
        <w:fldChar w:fldCharType="separate"/>
      </w:r>
      <w:r w:rsidR="00281437" w:rsidRPr="00281437">
        <w:rPr>
          <w:vertAlign w:val="superscript"/>
        </w:rPr>
        <w:t>278</w:t>
      </w:r>
      <w:r w:rsidRPr="00735FCE">
        <w:fldChar w:fldCharType="end"/>
      </w:r>
      <w:r w:rsidRPr="00735FCE">
        <w:t>. Most therapeutic studies focused on trans-RES due to its relative stability and increased activity. Despite having many biological functions,</w:t>
      </w:r>
      <w:r>
        <w:t xml:space="preserve"> the</w:t>
      </w:r>
      <w:bookmarkStart w:id="68" w:name="_Hlk200550941"/>
      <w:r w:rsidRPr="00735FCE">
        <w:t xml:space="preserve"> efficacy</w:t>
      </w:r>
      <w:r>
        <w:t xml:space="preserve"> of RES</w:t>
      </w:r>
      <w:r w:rsidRPr="00735FCE">
        <w:t xml:space="preserve"> is </w:t>
      </w:r>
      <w:r>
        <w:t>low</w:t>
      </w:r>
      <w:r w:rsidRPr="00735FCE">
        <w:t xml:space="preserve"> due to </w:t>
      </w:r>
      <w:r>
        <w:t xml:space="preserve">its </w:t>
      </w:r>
      <w:r w:rsidRPr="00735FCE">
        <w:t>low bioavailability and rapid metabolism</w:t>
      </w:r>
      <w:bookmarkEnd w:id="68"/>
      <w:r>
        <w:t xml:space="preserve"> </w:t>
      </w:r>
      <w:r w:rsidRPr="00735FCE">
        <w:fldChar w:fldCharType="begin"/>
      </w:r>
      <w:r w:rsidR="00281437">
        <w:instrText xml:space="preserve"> ADDIN ZOTERO_ITEM CSL_CITATION {"citationID":"fZVgFVaQ","properties":{"formattedCitation":"\\super 279\\nosupersub{}","plainCitation":"279","noteIndex":0},"citationItems":[{"id":3394,"uris":["http://zotero.org/users/9622455/items/IQ5CQSKC"],"itemData":{"</w:instrText>
      </w:r>
      <w:r w:rsidR="00281437">
        <w:rPr>
          <w:rFonts w:hint="eastAsia"/>
        </w:rPr>
        <w:instrText>id":3394,"type":"article-journal","abstract":"Purpose\nResveratrol (3,5,4</w:instrText>
      </w:r>
      <w:r w:rsidR="00281437">
        <w:rPr>
          <w:rFonts w:hint="eastAsia"/>
        </w:rPr>
        <w:instrText>′</w:instrText>
      </w:r>
      <w:r w:rsidR="00281437">
        <w:rPr>
          <w:rFonts w:hint="eastAsia"/>
        </w:rPr>
        <w:instrText>-trihydroxy-trans-stilbene) is a naturally occurring polyphenol with a broad range of possible health benefits, including anti-cancer activity. However, the biological activity of r</w:instrText>
      </w:r>
      <w:r w:rsidR="00281437">
        <w:instrText>esveratrol may be limited by poor absorption and first-pass metabolism: only low plasma concentrations of resveratrol are seen following oral administration, and metabolism to glucuronide and sulfate conjugates is rapid. Methylated polyphenol analogs (suc</w:instrText>
      </w:r>
      <w:r w:rsidR="00281437">
        <w:rPr>
          <w:rFonts w:hint="eastAsia"/>
        </w:rPr>
        <w:instrText>h as pterostilbene [3,5-dimethoxy-4</w:instrText>
      </w:r>
      <w:r w:rsidR="00281437">
        <w:rPr>
          <w:rFonts w:hint="eastAsia"/>
        </w:rPr>
        <w:instrText>′</w:instrText>
      </w:r>
      <w:r w:rsidR="00281437">
        <w:rPr>
          <w:rFonts w:hint="eastAsia"/>
        </w:rPr>
        <w:instrText>-hydroxy-trans-stilbene], the dimethylether analog of resveratrol) may overcome these limitations to pharmacologic efficacy. The present study was designed to compare the bioavailability, pharmacokinetics, and metabolis</w:instrText>
      </w:r>
      <w:r w:rsidR="00281437">
        <w:instrText xml:space="preserve">m of resveratrol and pterostilbene following equimolar oral dosing in rats.\n\nMethods\nThe agents were administered orally via gavage for 14 consecutive days at 50 or 150 mg/kg/day for resveratrol and 56 or 168 mg/kg/day for pterostilbene. Two additional groups were dosed once intravenously with 10 and 11.2 mg/kg for resveratrol and pterostilbene, respectively. Plasma concentrations of agents and metabolites were measured using a high-pressure liquid chromatograph-tandem mass spectrometer system. Noncompartmental analysis was used to derive pharmacokinetic parameters.\n\nResults\nResveratrol and pterostilbene were approximately 20 and 80% bioavailable, respectively. Following oral dosing, plasma levels of pterostilbene and pterostilbene sulfate were markedly greater than were plasma levels of resveratrol and resveratrol sulfate. Although plasma levels of resveratrol glucuronide exceeded those of pterostilbene glucuronide, those differences were smaller than those of the parent drugs and sulfate metabolites.\n\nConclusions\nWhen administered orally, pterostilbene demonstrates greater bioavailability and total plasma levels of both the parent compound and metabolites than does resveratrol. These differences in agent pharmacokinetics suggest that the in vivo biological activity of equimolar doses of pterostilbene may be greater than that of resveratrol.","container-title":"Cancer chemotherapy and pharmacology","DOI":"10.1007/s00280-010-1525-4","ISSN":"0344-5704","issue":"3","journalAbbreviation":"Cancer Chemother Pharmacol","note":"PMID: 21116625\nPMCID: PMC3090701","page":"593-601","source":"PubMed Central","title":"Pharmacokinetics, oral bioavailability, and metabolic profile of resveratrol and its dimethylether analog, pterostilbene, in rats","volume":"68","author":[{"family":"Kapetanovic","given":"Izet M."},{"family":"Muzzio","given":"Miguel"},{"family":"Huang","given":"Zhihua"},{"family":"Thompson","given":"Thomas N."},{"family":"McCormick","given":"David L."}],"issued":{"date-parts":[["2011",9]]}}}],"schema":"https://github.com/citation-style-language/schema/raw/master/csl-citation.json"} </w:instrText>
      </w:r>
      <w:r w:rsidRPr="00735FCE">
        <w:fldChar w:fldCharType="separate"/>
      </w:r>
      <w:r w:rsidR="00281437" w:rsidRPr="00281437">
        <w:rPr>
          <w:vertAlign w:val="superscript"/>
        </w:rPr>
        <w:t>279</w:t>
      </w:r>
      <w:r w:rsidRPr="00735FCE">
        <w:fldChar w:fldCharType="end"/>
      </w:r>
      <w:r w:rsidRPr="00735FCE">
        <w:t xml:space="preserve">. In plants and foods, RES exists as a glycoside (most often as piceid), which </w:t>
      </w:r>
      <w:r>
        <w:t>enhances</w:t>
      </w:r>
      <w:r w:rsidRPr="00735FCE">
        <w:t xml:space="preserve"> its chemical stability by preventing oxidation and enzymatic degradation</w:t>
      </w:r>
      <w:r>
        <w:t xml:space="preserve"> </w:t>
      </w:r>
      <w:r w:rsidRPr="00735FCE">
        <w:fldChar w:fldCharType="begin"/>
      </w:r>
      <w:r w:rsidR="00281437">
        <w:instrText xml:space="preserve"> ADDIN ZOTERO_ITEM CSL_CITATION {"citationID":"V3DI9bo2","properties":{"formattedCitation":"\\super 280\\nosupersub{}","plainCitation":"280","noteIndex":0},"citationItems":[{"id":3407,"uris":["http://zotero.org/users/9622455/items/9A8Z5FRF"],"itemData":{"id":3407,"type":"article-journal","abstract":"This paper reviews our current understanding of the absorption, bioavailability, and metabolism of resveratrol, with an emphasis on humans. The oral absorption of resveratrol in humans is about 75% and is thought to occur mainly by transepithelial diffusion. Extensive metabolism in the intestine and liver results in an oral bioavailability considerably less than 1%. Dose escalation and repeated dose administration of resveratrol does not appear to alter this significantly. Metabolic studies, both in plasma and in urine, have revealed major metabolites to be glucuronides and sulfates of resveratrol. However, reduced dihydroresveratrol conjugates, in addition to highly polar unknown products, may account for as much as 50% of an oral resveratrol dose. Although major sites of metabolism include the intestine and liver (as expected), colonic bacterial metabolism may be more important than previously thought. Deconjugation enzymes such as β-glucuronidase and sulfatase, as well as specific tissue accumulation of resveratrol, may enhance resveratrol efficacy at target sites. Resveratrol analogs, such as methylated derivatives with improved bioavailability, may be important in future research.","container-title":"Annals of the New York Academy of Sciences","DOI":"10.1111/j.1749-6632.2010.05842.x","ISSN":"1749-6632","issue":"1","language":"en","license":"© 2011 New York Academy of Sciences","note":"_eprint: https://nyaspubs.onlinelibrary.wiley.com/doi/pdf/10.1111/j.1749-6632.2010.05842.x","page":"9-15","source":"Wiley Online Library","title":"Bioavailability of resveratrol","volume":"1215","author":[{"family":"Walle","given":"Thomas"}],"issued":{"date-parts":[["2011"]]}}}],"schema":"https://github.com/citation-style-language/schema/raw/master/csl-citation.json"} </w:instrText>
      </w:r>
      <w:r w:rsidRPr="00735FCE">
        <w:fldChar w:fldCharType="separate"/>
      </w:r>
      <w:r w:rsidR="00281437" w:rsidRPr="00281437">
        <w:rPr>
          <w:vertAlign w:val="superscript"/>
        </w:rPr>
        <w:t>280</w:t>
      </w:r>
      <w:r w:rsidRPr="00735FCE">
        <w:fldChar w:fldCharType="end"/>
      </w:r>
      <w:r w:rsidRPr="00735FCE">
        <w:t>. The only form of RES that can be actively absorbed by the intestine is</w:t>
      </w:r>
      <w:r>
        <w:t xml:space="preserve"> the</w:t>
      </w:r>
      <w:r w:rsidRPr="00735FCE">
        <w:t xml:space="preserve"> aglycone</w:t>
      </w:r>
      <w:r>
        <w:t>, the non-sugar component of the glycoside, which must be released through the action of</w:t>
      </w:r>
      <w:r w:rsidRPr="00735FCE">
        <w:t xml:space="preserve"> glycosidases</w:t>
      </w:r>
      <w:r>
        <w:t xml:space="preserve"> </w:t>
      </w:r>
      <w:r w:rsidRPr="00735FCE">
        <w:fldChar w:fldCharType="begin"/>
      </w:r>
      <w:r w:rsidR="00281437">
        <w:instrText xml:space="preserve"> ADDIN ZOTERO_ITEM CSL_CITATION {"citationID":"MO84ChzI","properties":{"formattedCitation":"\\super 281\\nosupersub{}","plainCitation":"281","noteIndex":0},"citationItems":[{"id":3411,"uris":["http://zotero.org/users/9622455/items/MKSB4C6Y"],"itemData":{"id":3411,"type":"article-journal","abstract":"Three glucosylated resveratrol analogues (piceid, piceatannol glucoside, resveratroloside) were successfully isolated from the crude MeOH extract of the invasive plant species Polygonum cuspidatum by semi-preparative high-speed countercurrent chromatography with a two-phase solvent system composed of cyclohexane-ethyl acetate-methanol-water (1:5:1:5, v/v/v/v). Piceid (23 mg), resveratroloside (17 mg), piceatannol glucoside (15 mg) of purities over 80% were isolated from 500 mg crude MeOH extract in one step. Subsequent passage over a SPE column was used to quickly bring their purities to over 90%. The purities were determined by HPLC analysis and their structures were elucidated by proton nuclear magnetic resonance (1H-NMR), HMBC, ESI-MS and HR-MS.","container-title":"Journal of Separation Science","DOI":"10.1002/jssc.200900057","ISSN":"1615-9314","issue":"17","language":"en","license":"Copyright © 2009 WILEY-VCH Verlag GmbH &amp; Co. KGaA, Weinheim","note":"_eprint: https://analyticalsciencejournals.onlinelibrary.wiley.com/doi/pdf/10.1002/jssc.200900057","page":"2979-2984","source":"Wiley Online Library","title":"Rapid separation of three glucosylated resveratrol analogues from the invasive plant Polygonum cuspidatum by high-speed countercurrent chromatography","volume":"32","author":[{"family":"Fan","given":"Peihong"},{"family":"Marston","given":"Andrew"},{"family":"Hay","given":"Anne-Emmanuelle"},{"family":"Hostettmann","given":"Kurt"}],"issued":{"date-parts":[["2009"]]}}}],"schema":"https://github.com/citation-style-language/schema/raw/master/csl-citation.json"} </w:instrText>
      </w:r>
      <w:r w:rsidRPr="00735FCE">
        <w:fldChar w:fldCharType="separate"/>
      </w:r>
      <w:r w:rsidR="00281437" w:rsidRPr="00281437">
        <w:rPr>
          <w:vertAlign w:val="superscript"/>
        </w:rPr>
        <w:t>281</w:t>
      </w:r>
      <w:r w:rsidRPr="00735FCE">
        <w:fldChar w:fldCharType="end"/>
      </w:r>
      <w:r w:rsidRPr="00735FCE">
        <w:t xml:space="preserve">. Consequently, the </w:t>
      </w:r>
      <w:r>
        <w:rPr>
          <w:rFonts w:hint="eastAsia"/>
          <w:lang w:eastAsia="zh-CN"/>
        </w:rPr>
        <w:t>ratio</w:t>
      </w:r>
      <w:r w:rsidRPr="00735FCE">
        <w:t xml:space="preserve"> of glycosylated to free forms in food is critical for absorption efficacy</w:t>
      </w:r>
      <w:r>
        <w:t xml:space="preserve"> </w:t>
      </w:r>
      <w:r w:rsidRPr="00735FCE">
        <w:fldChar w:fldCharType="begin"/>
      </w:r>
      <w:r w:rsidR="00281437">
        <w:instrText xml:space="preserve"> ADDIN ZOTERO_ITEM CSL_CITATION {"citationID":"HX0hAAwo","properties":{"formattedCitation":"\\super 281\\nosupersub{}","plainCitation":"281","noteIndex":0},"citationItems":[{"id":3411,"uris":["http://zotero.org/users/9622455/items/MKSB4C6Y"],"itemData":{"id":3411,"type":"article-journal","abstract":"Three glucosylated resveratrol analogues (piceid, piceatannol glucoside, resveratroloside) were successfully isolated from the crude MeOH extract of the invasive plant species Polygonum cuspidatum by semi-preparative high-speed countercurrent chromatography with a two-phase solvent system composed of cyclohexane-ethyl acetate-methanol-water (1:5:1:5, v/v/v/v). Piceid (23 mg), resveratroloside (17 mg), piceatannol glucoside (15 mg) of purities over 80% were isolated from 500 mg crude MeOH extract in one step. Subsequent passage over a SPE column was used to quickly bring their purities to over 90%. The purities were determined by HPLC analysis and their structures were elucidated by proton nuclear magnetic resonance (1H-NMR), HMBC, ESI-MS and HR-MS.","container-title":"Journal of Separation Science","DOI":"10.1002/jssc.200900057","ISSN":"1615-9314","issue":"17","language":"en","license":"Copyright © 2009 WILEY-VCH Verlag GmbH &amp; Co. KGaA, Weinheim","note":"_eprint: https://analyticalsciencejournals.onlinelibrary.wiley.com/doi/pdf/10.1002/jssc.200900057","page":"2979-2984","source":"Wiley Online Library","title":"Rapid separation of three glucosylated resveratrol analogues from the invasive plant Polygonum cuspidatum by high-speed countercurrent chromatography","volume":"32","author":[{"family":"Fan","given":"Peihong"},{"family":"Marston","given":"Andrew"},{"family":"Hay","given":"Anne-Emmanuelle"},{"family":"Hostettmann","given":"Kurt"}],"issued":{"date-parts":[["2009"]]}}}],"schema":"https://github.com/citation-style-language/schema/raw/master/csl-citation.json"} </w:instrText>
      </w:r>
      <w:r w:rsidRPr="00735FCE">
        <w:fldChar w:fldCharType="separate"/>
      </w:r>
      <w:r w:rsidR="00281437" w:rsidRPr="00281437">
        <w:rPr>
          <w:vertAlign w:val="superscript"/>
        </w:rPr>
        <w:t>281</w:t>
      </w:r>
      <w:r w:rsidRPr="00735FCE">
        <w:fldChar w:fldCharType="end"/>
      </w:r>
      <w:r w:rsidRPr="00735FCE">
        <w:t>.</w:t>
      </w:r>
    </w:p>
    <w:p w14:paraId="6CDD71CA" w14:textId="3D06A682" w:rsidR="009117C0" w:rsidRPr="00735FCE" w:rsidRDefault="009117C0" w:rsidP="00F5471F">
      <w:pPr>
        <w:ind w:firstLine="720"/>
        <w:jc w:val="left"/>
      </w:pPr>
      <w:r w:rsidRPr="00735FCE">
        <w:t xml:space="preserve">In order to overcome the challenges associated with bioavailability, multiple systems based on nanotechnology have been </w:t>
      </w:r>
      <w:r>
        <w:t xml:space="preserve">developed </w:t>
      </w:r>
      <w:r w:rsidRPr="00735FCE">
        <w:fldChar w:fldCharType="begin"/>
      </w:r>
      <w:r w:rsidR="00281437">
        <w:instrText xml:space="preserve"> ADDIN ZOTERO_ITEM CSL_CITATION {"citationID":"92U1zroN","properties":{"formattedCitation":"\\super 282\\nosupersub{}","plainCitation":"282","noteIndex":0},"citationItems":[{"id":3414,"uris":["http://zotero.org/users/9622455/items/HYPJS3I5"],"itemData":{"id":3414,"type":"article-journal","DOI":"10.1691/ph.2015.5571","ISSN":"0031-7144","issue":"8","journalAbbreviation":"Pharmazie","language":"en","page":"501–506","source":"DOI.org (CSL JSON)","title":"Properties and molecular mechanisms of resveratrol: a review","title-short":"Properties and molecular mechanisms of resveratrol","author":[{"family":"Tingting Yang","given":"Tingting Yang"},{"family":"Li Wang","given":"Li Wang"},{"family":"Meixiao Zhu","given":"Meixiao Zhu"},{"family":"Lirong Zhang","given":"Lirong Zhang"},{"family":"Lianhe Yan","given":"Lianhe Yan"}],"issued":{"date-parts":[["2015",8]]}}}],"schema":"https://github.com/citation-style-language/schema/raw/master/csl-citation.json"} </w:instrText>
      </w:r>
      <w:r w:rsidRPr="00735FCE">
        <w:fldChar w:fldCharType="separate"/>
      </w:r>
      <w:r w:rsidR="00281437" w:rsidRPr="00281437">
        <w:rPr>
          <w:vertAlign w:val="superscript"/>
        </w:rPr>
        <w:t>282</w:t>
      </w:r>
      <w:r w:rsidRPr="00735FCE">
        <w:fldChar w:fldCharType="end"/>
      </w:r>
      <w:r w:rsidRPr="00735FCE">
        <w:t xml:space="preserve">. These systems include solid lipid </w:t>
      </w:r>
      <w:r w:rsidRPr="00735FCE">
        <w:lastRenderedPageBreak/>
        <w:t>nanoparticles (SLNPs), polycaprolactone and polyethylene glycol micelles, and nanostructured lipid carriers</w:t>
      </w:r>
      <w:r>
        <w:t xml:space="preserve"> </w:t>
      </w:r>
      <w:r w:rsidRPr="00735FCE">
        <w:fldChar w:fldCharType="begin"/>
      </w:r>
      <w:r w:rsidR="00281437">
        <w:instrText xml:space="preserve"> ADDIN ZOTERO_ITEM CSL_CITATION {"citationID":"kPTR6BC1","properties":{"formattedCitation":"\\super 283\\nosupersub{}","plainCitation":"283","noteIndex":0},"citationItems":[{"id":3418,"uris":["http://zotero.org/users/9622455/items/824C7DA6"],"itemData":{"id":3418,"type":"article-journal","abstract":"Background\nExcessive generation of radical oxygen species (ROS) is a contributor to skin pathologies. Resveratrol (RSV) is a potent antioxidant. Solid lipid nanoparticles (SLN) and nanostructured lipid carriers (NLC) can ensure close contact and increase the amount of drug absorbed into the skin. In this study, RSV was loaded into SLN and NLC for dermal applications.\n\nMethods\nNanoparticles were prepared by high shear homogenization using Compritol 888ATO, Myglyol, Poloxamer188, and Tween80. Particle size (PS), polydispersity index (PI), zeta potential (ZP), drug entrapment efficiency (EE), and production yield were determined. Differential scanning calorimetry (DSC) analysis and morphological transmission electron microscopy (TEM) examination were conducted. RSV concentration was optimized with cytotoxicity studies, and net intracellular accumulation of ROS was monitored with cytofluorimetry. The amount of RSV was determined from different layers of rat abdominal skin.\n\nResults\nPS of uniform RSV-SLN and RSV-NLC were determined as 287.2 nm ± 5.1 and 110.5 nm ± 1.3, respectively. ZP was −15.3 mV ± 0.4 and −13.8 mV ± 0.1 in the same order. The drug EE was 18% higher in NLC systems. TEM studies showed that the drug in the shell model was relevant for SLN, and that the melting point of the lipid in NLC was slightly lower. Concentrations below 50 μM were determined as suitable RSV concentrations for both SLN and NLC in cell culture studies. RSV-NLC showed less fluorescence, indicating less ROS production in cytofluorometric studies. Ex vivo skin studies revealed that NLC are more efficient in carrying RSV to the epidermis.\n\nConclusion\nThis study suggests that both of the lipid nanoparticles had antioxidant properties at a concentration of 50 μM. When the two systems were compared, NLC penetrated deeper into the skin. RSV-loaded NLC with smaller PS and higher drug loading appears to be superior to SLN for dermal applications.","container-title":"International Journal of Nanomedicine","DOI":"10.2147/IJN.S29710","ISSN":"1176-9114","journalAbbreviation":"Int J Nanomedicine","note":"PMID: 22605933\nPMCID: PMC3352689","page":"1841-1850","source":"PubMed Central","title":"Resveratrol-loaded solid lipid nanoparticles versus nanostructured lipid carriers: evaluation of antioxidant potential for dermal applications","title-short":"Resveratrol-loaded solid lipid nanoparticles versus nanostructured lipid carriers","volume":"7","author":[{"family":"Gokce","given":"Evren H"},{"family":"Korkmaz","given":"Emrah"},{"family":"Dellera","given":"Eleonora"},{"family":"Sandri","given":"Giuseppina"},{"family":"Bonferoni","given":"M Cristina"},{"family":"Ozer","given":"Ozgen"}],"issued":{"date-parts":[["2012"]]}}}],"schema":"https://github.com/citation-style-language/schema/raw/master/csl-citation.json"} </w:instrText>
      </w:r>
      <w:r w:rsidRPr="00735FCE">
        <w:fldChar w:fldCharType="separate"/>
      </w:r>
      <w:r w:rsidR="00281437" w:rsidRPr="00281437">
        <w:rPr>
          <w:vertAlign w:val="superscript"/>
        </w:rPr>
        <w:t>283</w:t>
      </w:r>
      <w:r w:rsidRPr="00735FCE">
        <w:fldChar w:fldCharType="end"/>
      </w:r>
      <w:r w:rsidRPr="00735FCE">
        <w:t xml:space="preserve">. Suspended formulations of RES are reported to improve </w:t>
      </w:r>
      <w:r>
        <w:t>their</w:t>
      </w:r>
      <w:r w:rsidRPr="00735FCE">
        <w:t xml:space="preserve"> solubility, retention in the body, and absorption, thereby increasing bioavailability over </w:t>
      </w:r>
      <w:r>
        <w:t xml:space="preserve">threefold </w:t>
      </w:r>
      <w:r w:rsidRPr="00735FCE">
        <w:fldChar w:fldCharType="begin"/>
      </w:r>
      <w:r w:rsidR="00281437">
        <w:instrText xml:space="preserve"> ADDIN ZOTERO_ITEM CSL_CITATION {"citationID":"0iC7eZf8","properties":{"formattedCitation":"\\super 284\\nosupersub{}","plainCitation":"284","noteIndex":0},"citationItems":[{"id":3421,"uris":["http://zotero.org/users/9622455/items/PMUWK4GD"],"itemData":{"id":3421,"type":"article-journal","abstract":"Resveratrol oligomers (REVs), a major class of stilbenoids, are biosynthesized by regioselective oxidative coupling of two to eight units of resveratrol monomer. Due to their unique structures and pleiotropic biological activities, natural product chemists are increasingly focusing on REVs in the last few decades. This study presents a detailed and thorough examination of REVs, including chemical structures, natural resources, and biological activities, during the period of 2010–2017. Ninety-two new REVs compounds, including 39 dimers, 23 trimers, 13 tetramers, six resveratrol monomers, six hexamers, four pentamers, and one octamer, have been reported from the families of Dipterocarpaceae, Paeoniaceae, Vitaceae, Leguminosae, Gnetaceae, Cyperaceae, Polygonaceae Gramineae, and Poaceae. Amongst these families, Dipterocarpaceae, with 50 REVs, accounts for the majority, and seven genera of Dipterocarpaceae are involved, including Vatica, Vateria, Shorea, Hopea, Neobalanocarpus, Dipterocarpus, and Dryobalanops. These REVs have shown a wide range of bioactivities. Pharmacological studies have mainly focused on potential efficacy on tumors, bacteria, Alzheimer’s disease, cardiovascular diseases, and others. The information updated in this review might assist further research and development of novel REVs as potential therapeutic agents.","container-title":"Molecules","DOI":"10.3390/molecules22122050","ISSN":"1420-3049","issue":"12","language":"en","license":"http://creativecommons.org/licenses/by/3.0/","note":"number: 12\npublisher: Multidisciplinary Digital Publishing Institute","page":"2050","source":"www.mdpi.com","title":"Update on Phytochemistry and Pharmacology of Naturally Occurring Resveratrol Oligomers","volume":"22","author":[{"family":"Shen","given":"Jie"},{"family":"Zhou","given":"Qiang"},{"family":"Li","given":"Pei"},{"family":"Wang","given":"Zhiqiang"},{"family":"Liu","given":"Shuangshuang"},{"family":"He","given":"Chunnian"},{"family":"Zhang","given":"Chunhong"},{"family":"Xiao","given":"Peigen"}],"issued":{"date-parts":[["2017",12]]}}}],"schema":"https://github.com/citation-style-language/schema/raw/master/csl-citation.json"} </w:instrText>
      </w:r>
      <w:r w:rsidRPr="00735FCE">
        <w:fldChar w:fldCharType="separate"/>
      </w:r>
      <w:r w:rsidR="00281437" w:rsidRPr="00281437">
        <w:rPr>
          <w:vertAlign w:val="superscript"/>
        </w:rPr>
        <w:t>284</w:t>
      </w:r>
      <w:r w:rsidRPr="00735FCE">
        <w:fldChar w:fldCharType="end"/>
      </w:r>
      <w:r w:rsidRPr="00735FCE">
        <w:t xml:space="preserve">. For instance, methylated-β-cyclodextrin complexes not only preserve the bioactive properties of RES but also </w:t>
      </w:r>
      <w:r>
        <w:t>exhibit</w:t>
      </w:r>
      <w:r w:rsidRPr="00735FCE">
        <w:t xml:space="preserve"> 400-fold enhanced solubility in water</w:t>
      </w:r>
      <w:r>
        <w:t xml:space="preserve"> </w:t>
      </w:r>
      <w:r w:rsidRPr="00735FCE">
        <w:fldChar w:fldCharType="begin"/>
      </w:r>
      <w:r w:rsidR="00281437">
        <w:instrText xml:space="preserve"> ADDIN ZOTERO_ITEM CSL_CITATION {"citationID":"xVKjt6XD","properties":{"formattedCitation":"\\super 285\\nosupersub{}","plainCitation":"285","noteIndex":0},"citationItems":[{"id":3423,"uris":["http://zotero.org/users/9622455/items/8WVC9N6C"],"itemData":{"id":3423,"type":"article-journal","abstract":"Resveratrol has been described to possesses several biological activities such as antioxidant, antimicrobial, anti-inflammatory and anticarcinogenic. However, its in vivo efficacy is still limited owing to its low aqueous solubility. The main goal of this study is to increase resveratrol aqueous solubility using for this purpose randomly methylated-β-cyclodextrin. Inclusion complex (IC) characterization and dissolution studies were performed as well as the evaluation of the IC antioxidant, cytotoxicity and anti-Campylobacter activities. Resveratrol complexation caused an effective 400 fold improvement in its aqueous dissolution. Both resveratrol and IC showed good antibacterial activity against Campylobacter spp. with minimum inhibitory concentration values ranging from 50 to 100 μg/mL for pure resveratrol and from 64 to 512 μg/mL for the IC, while also exhibiting a very good antioxidant activity and no haemolytic activity. Resveratrol complexation with methylated-β-cyclodextrin increased its solubility while maintaining resveratrol's biological properties.","container-title":"LWT - Food Science and Technology","DOI":"10.1016/j.lwt.2015.04.004","ISSN":"0023-6438","issue":"2","journalAbbreviation":"LWT - Food Science and Technology","page":"1254-1260","source":"ScienceDirect","title":"Resveratrol encapsulation with methyl-β-cyclodextrin for antibacterial and antioxidant delivery applications","volume":"63","author":[{"family":"Duarte","given":"Andreia"},{"family":"Martinho","given":"Ana"},{"family":"Luís","given":"Ângelo"},{"family":"Figueiras","given":"Ana"},{"family":"Oleastro","given":"Mónica"},{"family":"Domingues","given":"Fernanda C."},{"family":"Silva","given":"Filomena"}],"issued":{"date-parts":[["2015",10,1]]}}}],"schema":"https://github.com/citation-style-language/schema/raw/master/csl-citation.json"} </w:instrText>
      </w:r>
      <w:r w:rsidRPr="00735FCE">
        <w:fldChar w:fldCharType="separate"/>
      </w:r>
      <w:r w:rsidR="00281437" w:rsidRPr="00281437">
        <w:rPr>
          <w:vertAlign w:val="superscript"/>
        </w:rPr>
        <w:t>285</w:t>
      </w:r>
      <w:r w:rsidRPr="00735FCE">
        <w:fldChar w:fldCharType="end"/>
      </w:r>
      <w:r w:rsidRPr="00735FCE">
        <w:t>.</w:t>
      </w:r>
    </w:p>
    <w:p w14:paraId="066344CD" w14:textId="77777777" w:rsidR="009117C0" w:rsidRPr="00735FCE" w:rsidRDefault="009117C0" w:rsidP="00847BA5">
      <w:pPr>
        <w:pStyle w:val="Heading3"/>
        <w:jc w:val="left"/>
      </w:pPr>
      <w:bookmarkStart w:id="69" w:name="_Toc200988056"/>
      <w:bookmarkStart w:id="70" w:name="_Toc201001671"/>
      <w:bookmarkStart w:id="71" w:name="_Toc204848641"/>
      <w:r w:rsidRPr="00735FCE">
        <w:t xml:space="preserve">Biological </w:t>
      </w:r>
      <w:r>
        <w:t>E</w:t>
      </w:r>
      <w:r w:rsidRPr="00735FCE">
        <w:t>ffects of Resveratrol</w:t>
      </w:r>
      <w:bookmarkEnd w:id="69"/>
      <w:bookmarkEnd w:id="70"/>
      <w:bookmarkEnd w:id="71"/>
    </w:p>
    <w:p w14:paraId="29532E09" w14:textId="77777777" w:rsidR="009117C0" w:rsidRPr="00735FCE" w:rsidRDefault="009117C0" w:rsidP="00847BA5">
      <w:pPr>
        <w:pStyle w:val="Heading4"/>
      </w:pPr>
      <w:bookmarkStart w:id="72" w:name="_Toc200988057"/>
      <w:bookmarkStart w:id="73" w:name="_Toc201001672"/>
      <w:r w:rsidRPr="00735FCE">
        <w:t xml:space="preserve">Cardioprotective </w:t>
      </w:r>
      <w:r w:rsidRPr="00477976">
        <w:t>Effects</w:t>
      </w:r>
      <w:bookmarkEnd w:id="72"/>
      <w:bookmarkEnd w:id="73"/>
    </w:p>
    <w:p w14:paraId="7719E6A2" w14:textId="4906D928" w:rsidR="009117C0" w:rsidRPr="00735FCE" w:rsidRDefault="009117C0" w:rsidP="00F5471F">
      <w:pPr>
        <w:ind w:firstLine="720"/>
        <w:jc w:val="left"/>
      </w:pPr>
      <w:r w:rsidRPr="00735FCE">
        <w:t xml:space="preserve">Cardiovascular diseases continue to be a major </w:t>
      </w:r>
      <w:r>
        <w:t>cause</w:t>
      </w:r>
      <w:r w:rsidRPr="00735FCE">
        <w:t xml:space="preserve"> of global morbidity and mortality, notably in the elderly and diabetic patients</w:t>
      </w:r>
      <w:r>
        <w:t xml:space="preserve"> </w:t>
      </w:r>
      <w:r w:rsidRPr="00735FCE">
        <w:fldChar w:fldCharType="begin"/>
      </w:r>
      <w:r w:rsidR="00281437">
        <w:instrText xml:space="preserve"> ADDIN ZOTERO_ITEM CSL_CITATION {"citationID":"chVLXlP8","properties":{"formattedCitation":"\\super 286\\nosupersub{}","plainCitation":"286","noteIndex":0},"citationItems":[{"id":3343,"uris":["http://zotero.org/users/9622455/items/NAP8ZDF9"],"itemData":{"id":3343,"type":"article-journal","abstract":"The global prevalence of diabetes is predicted to increase dramatically in the coming decades as the population grows and ages, in parallel with the rising burden of overweight and obesity, in both developed and developing countries. Cardiovascular disease represents the principal cause of death and morbidity among people with diabetes, especially in those with type 2 diabetes mellitus. Adults with diabetes have 2–4 times increased cardiovascular risk compared with adults without diabetes, and the risk rises with worsening glycaemic control. Diabetes has been associated with 75% increase in mortality rate in adults, and cardiovascular disease accounts for a large part of the excess mortality. Diabetes-related macrovascular and microvascular complications, including coronary heart disease, cerebrovascular disease, heart failure, peripheral vascular disease, chronic renal disease, diabetic retinopathy and cardiovascular autonomic neuropathy are responsible for the impaired quality of life, disability and premature death associated with diabetes. Given the substantial clinical impact of diabetes as a cardiovascular risk factor, there has been a growing focus on diabetes-related complications. While some population-based studies suggest that the epidemiology of such complications is changing and that rates of all-cause and cardiovascular mortality among individuals with diabetes are decreasing in high-income countries, the economic and social burden of diabetes is expected to rise due to changing demographics and lifestyle especially in middle- and low-income countries. In this review we outline data from population-based studies on recent and long-term trends in diabetes-related complications.","container-title":"European Journal of Preventive Cardiology","DOI":"10.1177/2047487319878371","ISSN":"2047-4873","issue":"2_suppl","journalAbbreviation":"European Journal of Preventive Cardiology","page":"25-32","source":"Silverchair","title":"Diabetes as a cardiovascular risk factor: An overview of global trends of macro and micro vascular complications","title-short":"Diabetes as a cardiovascular risk factor","volume":"26","author":[{"family":"Dal Canto","given":"Elisa"},{"family":"Ceriello","given":"Antonio"},{"family":"Rydén","given":"Lars"},{"family":"Ferrini","given":"Marc"},{"family":"Hansen","given":"Tina B"},{"family":"Schnell","given":"Oliver"},{"family":"Standl","given":"Eberhard"},{"family":"Beulens","given":"Joline WJ"}],"issued":{"date-parts":[["2019",12,1]]}}}],"schema":"https://github.com/citation-style-language/schema/raw/master/csl-citation.json"} </w:instrText>
      </w:r>
      <w:r w:rsidRPr="00735FCE">
        <w:fldChar w:fldCharType="separate"/>
      </w:r>
      <w:r w:rsidR="00281437" w:rsidRPr="00281437">
        <w:rPr>
          <w:vertAlign w:val="superscript"/>
        </w:rPr>
        <w:t>286</w:t>
      </w:r>
      <w:r w:rsidRPr="00735FCE">
        <w:fldChar w:fldCharType="end"/>
      </w:r>
      <w:r w:rsidRPr="00735FCE">
        <w:t xml:space="preserve">. There is increasing evidence of </w:t>
      </w:r>
      <w:r>
        <w:t xml:space="preserve">the </w:t>
      </w:r>
      <w:r w:rsidRPr="00735FCE">
        <w:t>multifaceted benefits of RES</w:t>
      </w:r>
      <w:r>
        <w:t>,</w:t>
      </w:r>
      <w:r w:rsidRPr="00735FCE">
        <w:t xml:space="preserve"> focusing on inflammation, oxidative stress, cardiac remodeling</w:t>
      </w:r>
      <w:r>
        <w:t>,</w:t>
      </w:r>
      <w:r w:rsidRPr="00735FCE">
        <w:t xml:space="preserve"> and metabolic dysregulation at the cellular level, which suggests profound cardioprotective effects of RES</w:t>
      </w:r>
      <w:r>
        <w:t xml:space="preserve"> </w:t>
      </w:r>
      <w:r w:rsidRPr="00735FCE">
        <w:fldChar w:fldCharType="begin"/>
      </w:r>
      <w:r w:rsidR="00281437">
        <w:instrText xml:space="preserve"> ADDIN ZOTERO_ITEM CSL_CITATION {"citationID":"jg0lPPjA","properties":{"formattedCitation":"\\super 287\\nosupersub{}","plainCitation":"287","noteIndex":0},"citationItems":[{"id":3317,"uris":["http://zotero.org/users/9622455/items/TSSEAGJ5"],"itemData":{"</w:instrText>
      </w:r>
      <w:r w:rsidR="00281437">
        <w:rPr>
          <w:rFonts w:hint="eastAsia"/>
        </w:rPr>
        <w:instrText>id":3317,"type":"article-journal","abstract":"Resveratrol (3,5,4</w:instrText>
      </w:r>
      <w:r w:rsidR="00281437">
        <w:rPr>
          <w:rFonts w:hint="eastAsia"/>
        </w:rPr>
        <w:instrText>′</w:instrText>
      </w:r>
      <w:r w:rsidR="00281437">
        <w:rPr>
          <w:rFonts w:hint="eastAsia"/>
        </w:rPr>
        <w:instrText>-trihydroxy-trans-stilbene) belongs to polyphenols</w:instrText>
      </w:r>
      <w:r w:rsidR="00281437">
        <w:rPr>
          <w:rFonts w:hint="eastAsia"/>
        </w:rPr>
        <w:instrText>’</w:instrText>
      </w:r>
      <w:r w:rsidR="00281437">
        <w:rPr>
          <w:rFonts w:hint="eastAsia"/>
        </w:rPr>
        <w:instrText xml:space="preserve"> stilbenoids group, possessing two phenol rings linked to each other by an ethylene bridge. This natural polyphenol has been detected in mo</w:instrText>
      </w:r>
      <w:r w:rsidR="00281437">
        <w:instrText xml:space="preserve">re than 70 plant species, especially in grapes’ skin and seeds, and was found in discrete amounts in red wines and various human foods. It is a phytoalexin that acts against pathogens, including bacteria and fungi. As a natural food ingredient, numerous studies have demonstrated that resveratrol possesses a very high antioxidant potential. Resveratrol also exhibit antitumor activity, and is considered a potential candidate for prevention and treatment of several types of cancer. Indeed, resveratrol anticancer properties have been confirmed by many in vitro and in vivo studies, which shows that resveratrol is able to inhibit all carcinogenesis stages (e.g., initiation, promotion and progression). Even more, other bioactive effects, namely as anti-inflammatory, anticarcinogenic, cardioprotective, vasorelaxant, phytoestrogenic and neuroprotective have also been reported. Nonetheless, resveratrol application is still being a major challenge for pharmaceutical industry, due to its poor solubility and bioavailability, as well as adverse effects. In this sense, this review summarized current data on resveratrol pharmacological effects.","container-title":"Biomedicines","DOI":"10.3390/biomedicines6030091","ISSN":"2227-9059","issue":"3","journalAbbreviation":"Biomedicines","note":"PMID: 30205595\nPMCID: PMC6164842","page":"91","source":"PubMed Central","title":"Resveratrol: A Double-Edged Sword in Health Benefits","title-short":"Resveratrol","volume":"6","author":[{"family":"Salehi","given":"Bahare"},{"family":"Mishra","given":"Abhay Prakash"},{"family":"Nigam","given":"Manisha"},{"family":"Sener","given":"Bilge"},{"family":"Kilic","given":"Mehtap"},{"family":"Sharifi-Rad","given":"Mehdi"},{"family":"Fokou","given":"Patrick Valere Tsouh"},{"family":"Martins","given":"Natália"},{"family":"Sharifi-Rad","given":"Javad"}],"issued":{"date-parts":[["2018",9,9]]}}}],"schema":"https://github.com/citation-style-language/schema/raw/master/csl-citation.json"} </w:instrText>
      </w:r>
      <w:r w:rsidRPr="00735FCE">
        <w:fldChar w:fldCharType="separate"/>
      </w:r>
      <w:r w:rsidR="00281437" w:rsidRPr="00281437">
        <w:rPr>
          <w:vertAlign w:val="superscript"/>
        </w:rPr>
        <w:t>287</w:t>
      </w:r>
      <w:r w:rsidRPr="00735FCE">
        <w:fldChar w:fldCharType="end"/>
      </w:r>
      <w:r w:rsidRPr="00735FCE">
        <w:t>. RES has been shown to improve cardiovascular function in diabetic rat models by preserving both the regenerative capacity of cardiac stem and progenitor cells and the viability of mature cardiomyocytes</w:t>
      </w:r>
      <w:r>
        <w:t xml:space="preserve"> </w:t>
      </w:r>
      <w:r w:rsidRPr="00735FCE">
        <w:fldChar w:fldCharType="begin"/>
      </w:r>
      <w:r w:rsidR="00281437">
        <w:instrText xml:space="preserve"> ADDIN ZOTERO_ITEM CSL_CITATION {"citationID":"OqNXhpWz","properties":{"formattedCitation":"\\super 288,289\\nosupersub{}","plainCitation":"288,289","noteIndex":0},"citationItems":[{"id":3349,"uris":["http://zotero.org/users/9622455/items/GVRIY9L4"],"itemData":{"id":3349,"type":"article-journal","abstract":"Emerging evidence suggests that both adult cardiac cell and the cardiac stem/progenitor cell (CSPC) compartments are involved in the patho-physiology of diabetic cardiomyopathy (DCM). We evaluated whether early administration of Resveratrol, a natural antioxidant polyphenolic compound, in addition to improving cardiomyocyte function, exerts a protective role on (i) the progenitor cell pool, and (ii) the myocardial environment and its impact on CSPCs, positively interfering with the onset of DCM phenotype. Adult Wistar rats (n = 128) with streptozotocin-induced type-1 diabetes were either untreated (D group; n = 54) or subjected to administration of trans-Resveratrol (i.p. injection: 2.5 mg/Kg/day; DR group; n = 64). Twenty-five rats constituted the control group (C). After 1, 3 or 8 weeks of hyperglycemia, we evaluated cardiac hemodynamic performance, and cardiomyocyte contractile properties and intracellular calcium dynamics. Myocardial remodeling and tissue inflammation were also assessed by morphometry, immunohistochemistry and immunoblotting. Eventually, the impact of the diabetic “milieu” on CSPC turnover was analyzed in co-cultures of healthy CSPCs and cardiomyocytes isolated from D and DR diabetic hearts. In untreated animals, cardiac function was maintained during the first 3 weeks of hyperglycemia, although a definite ventricular remodeling was already present, mainly characterized by a marked loss of CSPCs and adult cardiac cells. Relevant signs of ventricular dysfunction appeared after 8 weeks of diabetes, and included: 1) a significant reduction in ±dP/dt in comparison with C group, 2) a prolongation of isovolumic contraction/relaxation times, 3) an impaired contraction of isolated cardiomyocytes associated with altered intracellular calcium dynamics. Resveratrol administration reduced atrial CSPC loss, succeeded in preserving the functional abilities of CSPCs and mature cardiac cells, improved cardiac environment by reducing inflammatory state and decreased unfavorable ventricular remodeling of the diabetic heart, leading to a marked recovery of ventricular function. These findings indicate that RSV can constitute an adjuvant therapeutic option in DCM prevention.","container-title":"PLOS ONE","DOI":"10.1371/journal.pone.0039836","ISSN":"1932-6203","issue":"6","journalAbbreviation":"PLOS ONE","language":"en","note":"publisher: Public Library of Science","page":"e39836","source":"PLoS Journals","title":"Resveratrol Treatment Reduces Cardiac Progenitor Cell Dysfunction and Prevents Morpho-Functional Ventricular Remodeling in Type-1 Diabetic Rats","volume":"7","author":[{"family":"Delucchi","given":"Francesca"},{"family":"Berni","given":"Roberta"},{"family":"Frati","given":"Caterina"},{"family":"Cavalli","given":"Stefano"},{"family":"Graiani","given":"Gallia"},{"family":"Sala","given":"Roberto"},{"family":"Chaponnier","given":"Christine"},{"family":"Gabbiani","given":"Giulio"},{"family":"Calani","given":"Luca"},{"family":"Rio","given":"Daniele Del"},{"family":"Bocchi","given":"Leonardo"},{"family":"Lagrasta","given":"Costanza"},{"family":"Quaini","given":"Federico"},{"family":"Stilli","given":"Donatella"}],"issued":{"date-parts":[["2012",6,29]]}}},{"id":3346,"uris":["http://zotero.org/users/9622455/items/3SXNAWFD"],"itemData":{"id":3346,"type":"article-journal","abstract":"Resveratrol is a flavonoid with a stilbene structure that is able to suppress acute pulmonary thromboembolism-induced pulmonary artery hypertension. Furthermore, it possesses anti-cancer and antioxidant properties, is able to regulate blood lipids and increase life expectancy. In the present study, it was evaluated whether the protective effect of resveratrol was able to improve cardiovascular function in rats with diabetes. The effects of resveratrol on blood glucose, body weight, heart/body weight ratio, plasma triglyceride levels, heart rate, aspartate transaminase (AST)/alanine transaminase (ALT) ratio and total plasma insulin were evaluated. Levels of inflammation and oxidative stress were also evaluated using ELISA kits, and the expressions of endothelial nitric oxide synthase (eNOS), vascular endothelial growth factor (VEGF) and phosphorylated (p)-p38 protein were evaluated via western blot analysis. The results demonstrated that administration of resveratrol in rats with diabetes-related myocardial infarction (DRMI) significantly reduced blood glucose, body weight, plasma triglyceride levels, heart rate and AST/ALT ratio (all P&lt;0.01) and significantly increased total plasma insulin (P&lt;0.01). Furthermore, resveratrol significantly reduced levels of inflammation factors (P&lt;0.01) and malondialdehyde, a marker for oxidative stress, in rats with DRMI (P&lt;0.01). Resveratrol significantly increased the expression of eNOS (P&lt;0.01) and suppressed the expression of VEGF and p-p38 (both P&lt;0.01) in rats with DRMI. These results suggest that treatment with resveratrol is able to improve cardiovascular function via inhibition of eNOS and VEGF, and suppression of p38 phosphorylation in rats with DRMI.","container-title":"Experimental and Therapeutic Medicine","DOI":"10.3892/etm.2017.5537","ISSN":"1792-0981","issue":"2","journalAbbreviation":"Exp Ther Med","note":"PMID: 29434758\nPMCID: PMC5774431","page":"1728-1734","source":"PubMed Central","title":"Protective effects of resveratrol improve cardiovascular function in rats with diabetes","volume":"15","author":[{"family":"Yan","given":"Fuqin"},{"family":"Sun","given":"Xiaomeng"},{"family":"Xu","given":"Chun"}],"issued":{"date-parts":[["2018",2]]}}}],"schema":"https://github.com/citation-style-language/schema/raw/master/csl-citation.json"} </w:instrText>
      </w:r>
      <w:r w:rsidRPr="00735FCE">
        <w:fldChar w:fldCharType="separate"/>
      </w:r>
      <w:r w:rsidR="00281437" w:rsidRPr="00281437">
        <w:rPr>
          <w:vertAlign w:val="superscript"/>
        </w:rPr>
        <w:t>288,289</w:t>
      </w:r>
      <w:r w:rsidRPr="00735FCE">
        <w:fldChar w:fldCharType="end"/>
      </w:r>
      <w:r w:rsidRPr="00735FCE">
        <w:t>. This was accompanied by a reduction in local inflammation and attenuation of adverse ventricular remodeling, resulting in improved ventricular performance</w:t>
      </w:r>
      <w:r>
        <w:t xml:space="preserve"> </w:t>
      </w:r>
      <w:r w:rsidRPr="00735FCE">
        <w:fldChar w:fldCharType="begin"/>
      </w:r>
      <w:r w:rsidR="00281437">
        <w:instrText xml:space="preserve"> ADDIN ZOTERO_ITEM CSL_CITATION {"citationID":"hft0Iy4P","properties":{"formattedCitation":"\\super 290\\nosupersub{}","plainCitation":"290","noteIndex":0},"citationItems":[{"id":3352,"uris":["http://zotero.org/users/9622455/items/V4R78HDM"],"itemData":{"id":3352,"type":"article-journal","abstract":"Despite great advances in therapies observed during the last decades, heart failure (HF) remained a major health problem in western countries. In order to further improve symptoms and survival in patients with heart failure, novel therapeutic strategies are needed. In some animal models of HF resveratrol (RES), it was able to prevent cardiac hypertrophy, contractile dysfunction, and remodeling. Several molecular mechanisms are thought to be involved in its protective effects, such as inhibition of prohypertrophic signaling molecules, improvement of myocardial Ca2+ handling, regulation of autophagy, and the reduction of oxidative stress and inflammation. In our present study, we wished to further examine the effects of RES on prosurvival (Akt-1, GSK-3β) and stress signaling (p38-MAPK, ERK 1/2, and MKP-1) pathways, on oxidative stress (iNOS, COX-2 activity, and ROS formation), and ultimately on left ventricular function, hypertrophy and fibrosis in a murine, and isoproterenol- (ISO-) induced postinfarction heart failure model. RES treatment improved left ventricle function, decreased interstitial fibrosis, cardiac hypertrophy, and the level of plasma BNP induced by ISO treatment. ISO also increased the activation of P38-MAPK, ERK1/2Thr183-Tyr185, COX-2, iNOS, and ROS formation and decreased the phosphorylation of Akt-1, GSK-3β, and MKP-1, which were favorably influenced by RES. According to our results, regulation of these pathways may also contribute to the beneficial effects of RES in HF.","container-title":"Oxidative Medicine and Cellular Longevity","DOI":"10.1155/2017/6819281","ISSN":"1942-0994","issue":"1","language":"en","license":"Copyright © 2017 Adam Riba et al.","note":"_eprint: https://onlinelibrary.wiley.com/doi/pdf/10.1155/2017/6819281","page":"6819281","source":"Wiley Online Library","title":"Cardioprotective Effect of Resveratrol in a Postinfarction Heart Failure Model","volume":"2017","author":[{"family":"Riba","given":"Adam"},{"family":"Deres","given":"Laszlo"},{"family":"Sumegi","given":"Balazs"},{"family":"Toth","given":"Kalman"},{"family":"Szabados","given":"Eszter"},{"family":"Halmosi","given":"Robert"}],"issued":{"date-parts":[["2017"]]}}}],"schema":"https://github.com/citation-style-language/schema/raw/master/csl-citation.json"} </w:instrText>
      </w:r>
      <w:r w:rsidRPr="00735FCE">
        <w:fldChar w:fldCharType="separate"/>
      </w:r>
      <w:r w:rsidR="00281437" w:rsidRPr="00281437">
        <w:rPr>
          <w:vertAlign w:val="superscript"/>
        </w:rPr>
        <w:t>290</w:t>
      </w:r>
      <w:r w:rsidRPr="00735FCE">
        <w:fldChar w:fldCharType="end"/>
      </w:r>
      <w:r w:rsidRPr="00735FCE">
        <w:t xml:space="preserve">. In heart failure, RES </w:t>
      </w:r>
      <w:r>
        <w:t>has been</w:t>
      </w:r>
      <w:r w:rsidRPr="00735FCE">
        <w:t xml:space="preserve"> shown to improve left ventricular function</w:t>
      </w:r>
      <w:r>
        <w:t xml:space="preserve">, </w:t>
      </w:r>
      <w:r w:rsidRPr="00735FCE">
        <w:t>decrease cardiac hypertrophy and contractile dysfunction</w:t>
      </w:r>
      <w:r>
        <w:t>,</w:t>
      </w:r>
      <w:r w:rsidRPr="00735FCE">
        <w:t xml:space="preserve"> as well as myocardial remodeling and interstitial fibrosis</w:t>
      </w:r>
      <w:r>
        <w:t xml:space="preserve"> </w:t>
      </w:r>
      <w:r w:rsidRPr="00735FCE">
        <w:fldChar w:fldCharType="begin"/>
      </w:r>
      <w:r w:rsidR="00281437">
        <w:instrText xml:space="preserve"> ADDIN ZOTERO_ITEM CSL_CITATION {"citationID":"Nx3uQlM6","properties":{"formattedCitation":"\\super 290\\nosupersub{}","plainCitation":"290","noteIndex":0},"citationItems":[{"id":3352,"uris":["http://zotero.org/users/9622455/items/V4R78HDM"],"itemData":{"id":3352,"type":"article-journal","abstract":"Despite great advances in therapies observed during the last decades, heart failure (HF) remained a major health problem in western countries. In order to further improve symptoms and survival in patients with heart failure, novel therapeutic strategies are needed. In some animal models of HF resveratrol (RES), it was able to prevent cardiac hypertrophy, contractile dysfunction, and remodeling. Several molecular mechanisms are thought to be involved in its protective effects, such as inhibition of prohypertrophic signaling molecules, improvement of myocardial Ca2+ handling, regulation of autophagy, and the reduction of oxidative stress and inflammation. In our present study, we wished to further examine the effects of RES on prosurvival (Akt-1, GSK-3β) and stress signaling (p38-MAPK, ERK 1/2, and MKP-1) pathways, on oxidative stress (iNOS, COX-2 activity, and ROS formation), and ultimately on left ventricular function, hypertrophy and fibrosis in a murine, and isoproterenol- (ISO-) induced postinfarction heart failure model. RES treatment improved left ventricle function, decreased interstitial fibrosis, cardiac hypertrophy, and the level of plasma BNP induced by ISO treatment. ISO also increased the activation of P38-MAPK, ERK1/2Thr183-Tyr185, COX-2, iNOS, and ROS formation and decreased the phosphorylation of Akt-1, GSK-3β, and MKP-1, which were favorably influenced by RES. According to our results, regulation of these pathways may also contribute to the beneficial effects of RES in HF.","container-title":"Oxidative Medicine and Cellular Longevity","DOI":"10.1155/2017/6819281","ISSN":"1942-0994","issue":"1","language":"en","license":"Copyright © 2017 Adam Riba et al.","note":"_eprint: https://onlinelibrary.wiley.com/doi/pdf/10.1155/2017/6819281","page":"6819281","source":"Wiley Online Library","title":"Cardioprotective Effect of Resveratrol in a Postinfarction Heart Failure Model","volume":"2017","author":[{"family":"Riba","given":"Adam"},{"family":"Deres","given":"Laszlo"},{"family":"Sumegi","given":"Balazs"},{"family":"Toth","given":"Kalman"},{"family":"Szabados","given":"Eszter"},{"family":"Halmosi","given":"Robert"}],"issued":{"date-parts":[["2017"]]}}}],"schema":"https://github.com/citation-style-language/schema/raw/master/csl-citation.json"} </w:instrText>
      </w:r>
      <w:r w:rsidRPr="00735FCE">
        <w:fldChar w:fldCharType="separate"/>
      </w:r>
      <w:r w:rsidR="00281437" w:rsidRPr="00281437">
        <w:rPr>
          <w:vertAlign w:val="superscript"/>
        </w:rPr>
        <w:t>290</w:t>
      </w:r>
      <w:r w:rsidRPr="00735FCE">
        <w:fldChar w:fldCharType="end"/>
      </w:r>
      <w:r w:rsidRPr="00735FCE">
        <w:t>. A significant decrease in plasma brain natriuretic peptide (BNP) levels was also observed, indicating systemic cardiovascular improvement</w:t>
      </w:r>
      <w:r>
        <w:t xml:space="preserve"> </w:t>
      </w:r>
      <w:r w:rsidRPr="00735FCE">
        <w:fldChar w:fldCharType="begin"/>
      </w:r>
      <w:r w:rsidR="00281437">
        <w:instrText xml:space="preserve"> ADDIN ZOTERO_ITEM CSL_CITATION {"citationID":"qTiU7g5G","properties":{"formattedCitation":"\\super 290\\nosupersub{}","plainCitation":"290","noteIndex":0},"citationItems":[{"id":3352,"uris":["http://zotero.org/users/9622455/items/V4R78HDM"],"itemData":{"id":3352,"type":"article-journal","abstract":"Despite great advances in therapies observed during the last decades, heart failure (HF) remained a major health problem in western countries. In order to further improve symptoms and survival in patients with heart failure, novel therapeutic strategies are needed. In some animal models of HF resveratrol (RES), it was able to prevent cardiac hypertrophy, contractile dysfunction, and remodeling. Several molecular mechanisms are thought to be involved in its protective effects, such as inhibition of prohypertrophic signaling molecules, improvement of myocardial Ca2+ handling, regulation of autophagy, and the reduction of oxidative stress and inflammation. In our present study, we wished to further examine the effects of RES on prosurvival (Akt-1, GSK-3β) and stress signaling (p38-MAPK, ERK 1/2, and MKP-1) pathways, on oxidative stress (iNOS, COX-2 activity, and ROS formation), and ultimately on left ventricular function, hypertrophy and fibrosis in a murine, and isoproterenol- (ISO-) induced postinfarction heart failure model. RES treatment improved left ventricle function, decreased interstitial fibrosis, cardiac hypertrophy, and the level of plasma BNP induced by ISO treatment. ISO also increased the activation of P38-MAPK, ERK1/2Thr183-Tyr185, COX-2, iNOS, and ROS formation and decreased the phosphorylation of Akt-1, GSK-3β, and MKP-1, which were favorably influenced by RES. According to our results, regulation of these pathways may also contribute to the beneficial effects of RES in HF.","container-title":"Oxidative Medicine and Cellular Longevity","DOI":"10.1155/2017/6819281","ISSN":"1942-0994","issue":"1","language":"en","license":"Copyright © 2017 Adam Riba et al.","note":"_eprint: https://onlinelibrary.wiley.com/doi/pdf/10.1155/2017/6819281","page":"6819281","source":"Wiley Online Library","title":"Cardioprotective Effect of Resveratrol in a Postinfarction Heart Failure Model","volume":"2017","author":[{"family":"Riba","given":"Adam"},{"family":"Deres","given":"Laszlo"},{"family":"Sumegi","given":"Balazs"},{"family":"Toth","given":"Kalman"},{"family":"Szabados","given":"Eszter"},{"family":"Halmosi","given":"Robert"}],"issued":{"date-parts":[["2017"]]}}}],"schema":"https://github.com/citation-style-language/schema/raw/master/csl-citation.json"} </w:instrText>
      </w:r>
      <w:r w:rsidRPr="00735FCE">
        <w:fldChar w:fldCharType="separate"/>
      </w:r>
      <w:r w:rsidR="00281437" w:rsidRPr="00281437">
        <w:rPr>
          <w:vertAlign w:val="superscript"/>
        </w:rPr>
        <w:t>290</w:t>
      </w:r>
      <w:r w:rsidRPr="00735FCE">
        <w:fldChar w:fldCharType="end"/>
      </w:r>
      <w:r w:rsidRPr="00735FCE">
        <w:t xml:space="preserve">. These changes were </w:t>
      </w:r>
      <w:r>
        <w:t>attributed to</w:t>
      </w:r>
      <w:r w:rsidRPr="00735FCE">
        <w:t xml:space="preserve"> </w:t>
      </w:r>
      <w:r>
        <w:t xml:space="preserve">the </w:t>
      </w:r>
      <w:r w:rsidRPr="00735FCE">
        <w:t>inhibition of pro</w:t>
      </w:r>
      <w:r>
        <w:t>-</w:t>
      </w:r>
      <w:r w:rsidRPr="00735FCE">
        <w:t xml:space="preserve">hypertrophic signaling pathways, </w:t>
      </w:r>
      <w:r>
        <w:t>enhanced</w:t>
      </w:r>
      <w:r w:rsidRPr="00735FCE">
        <w:t xml:space="preserve"> calcium handling in the myocardium, activation of myocardial protective kinases</w:t>
      </w:r>
      <w:r>
        <w:t>,</w:t>
      </w:r>
      <w:r w:rsidRPr="00735FCE">
        <w:t xml:space="preserve"> </w:t>
      </w:r>
      <w:r>
        <w:t>such as</w:t>
      </w:r>
      <w:r w:rsidRPr="00735FCE">
        <w:t xml:space="preserve"> A</w:t>
      </w:r>
      <w:r>
        <w:t>KT-</w:t>
      </w:r>
      <w:r w:rsidRPr="00735FCE">
        <w:t xml:space="preserve">1 and GSK-3β, and </w:t>
      </w:r>
      <w:r w:rsidRPr="00735FCE">
        <w:lastRenderedPageBreak/>
        <w:t xml:space="preserve">increased MKP-1 stress response signaling. At the same time, RES lowered iNOS and COX-2 activity </w:t>
      </w:r>
      <w:r>
        <w:t>along</w:t>
      </w:r>
      <w:r w:rsidRPr="00735FCE">
        <w:t xml:space="preserve"> with ROS production</w:t>
      </w:r>
      <w:r>
        <w:t xml:space="preserve"> </w:t>
      </w:r>
      <w:r w:rsidRPr="00735FCE">
        <w:fldChar w:fldCharType="begin"/>
      </w:r>
      <w:r w:rsidR="00281437">
        <w:instrText xml:space="preserve"> ADDIN ZOTERO_ITEM CSL_CITATION {"citationID":"sjZIVdci","properties":{"formattedCitation":"\\super 290\\nosupersub{}","plainCitation":"290","noteIndex":0},"citationItems":[{"id":3352,"uris":["http://zotero.org/users/9622455/items/V4R78HDM"],"itemData":{"id":3352,"type":"article-journal","abstract":"Despite great advances in therapies observed during the last decades, heart failure (HF) remained a major health problem in western countries. In order to further improve symptoms and survival in patients with heart failure, novel therapeutic strategies are needed. In some animal models of HF resveratrol (RES), it was able to prevent cardiac hypertrophy, contractile dysfunction, and remodeling. Several molecular mechanisms are thought to be involved in its protective effects, such as inhibition of prohypertrophic signaling molecules, improvement of myocardial Ca2+ handling, regulation of autophagy, and the reduction of oxidative stress and inflammation. In our present study, we wished to further examine the effects of RES on prosurvival (Akt-1, GSK-3β) and stress signaling (p38-MAPK, ERK 1/2, and MKP-1) pathways, on oxidative stress (iNOS, COX-2 activity, and ROS formation), and ultimately on left ventricular function, hypertrophy and fibrosis in a murine, and isoproterenol- (ISO-) induced postinfarction heart failure model. RES treatment improved left ventricle function, decreased interstitial fibrosis, cardiac hypertrophy, and the level of plasma BNP induced by ISO treatment. ISO also increased the activation of P38-MAPK, ERK1/2Thr183-Tyr185, COX-2, iNOS, and ROS formation and decreased the phosphorylation of Akt-1, GSK-3β, and MKP-1, which were favorably influenced by RES. According to our results, regulation of these pathways may also contribute to the beneficial effects of RES in HF.","container-title":"Oxidative Medicine and Cellular Longevity","DOI":"10.1155/2017/6819281","ISSN":"1942-0994","issue":"1","language":"en","license":"Copyright © 2017 Adam Riba et al.","note":"_eprint: https://onlinelibrary.wiley.com/doi/pdf/10.1155/2017/6819281","page":"6819281","source":"Wiley Online Library","title":"Cardioprotective Effect of Resveratrol in a Postinfarction Heart Failure Model","volume":"2017","author":[{"family":"Riba","given":"Adam"},{"family":"Deres","given":"Laszlo"},{"family":"Sumegi","given":"Balazs"},{"family":"Toth","given":"Kalman"},{"family":"Szabados","given":"Eszter"},{"family":"Halmosi","given":"Robert"}],"issued":{"date-parts":[["2017"]]}}}],"schema":"https://github.com/citation-style-language/schema/raw/master/csl-citation.json"} </w:instrText>
      </w:r>
      <w:r w:rsidRPr="00735FCE">
        <w:fldChar w:fldCharType="separate"/>
      </w:r>
      <w:r w:rsidR="00281437" w:rsidRPr="00281437">
        <w:rPr>
          <w:vertAlign w:val="superscript"/>
        </w:rPr>
        <w:t>290</w:t>
      </w:r>
      <w:r w:rsidRPr="00735FCE">
        <w:fldChar w:fldCharType="end"/>
      </w:r>
      <w:r w:rsidRPr="00735FCE">
        <w:t>.</w:t>
      </w:r>
    </w:p>
    <w:p w14:paraId="37B1CD1D" w14:textId="3C40707A" w:rsidR="009117C0" w:rsidRPr="00735FCE" w:rsidRDefault="009117C0" w:rsidP="00F5471F">
      <w:pPr>
        <w:ind w:firstLine="720"/>
        <w:jc w:val="left"/>
      </w:pPr>
      <w:r w:rsidRPr="00735FCE">
        <w:t xml:space="preserve">Furthermore, RES treatment significantly </w:t>
      </w:r>
      <w:r>
        <w:t>decreased</w:t>
      </w:r>
      <w:r w:rsidRPr="00735FCE">
        <w:t xml:space="preserve"> blood glucose, plasma triglyceride levels, heart rate, body weight, </w:t>
      </w:r>
      <w:r>
        <w:t xml:space="preserve">and the </w:t>
      </w:r>
      <w:r w:rsidRPr="00735FCE">
        <w:t>AST/ALT ratio</w:t>
      </w:r>
      <w:r>
        <w:t>,</w:t>
      </w:r>
      <w:r w:rsidRPr="00735FCE">
        <w:t xml:space="preserve"> </w:t>
      </w:r>
      <w:r>
        <w:t>while also</w:t>
      </w:r>
      <w:r w:rsidRPr="00735FCE">
        <w:t xml:space="preserve"> </w:t>
      </w:r>
      <w:r>
        <w:t>increasing</w:t>
      </w:r>
      <w:r w:rsidRPr="00735FCE">
        <w:t xml:space="preserve"> plasma insulin levels</w:t>
      </w:r>
      <w:r>
        <w:t xml:space="preserve"> </w:t>
      </w:r>
      <w:r w:rsidRPr="00735FCE">
        <w:fldChar w:fldCharType="begin"/>
      </w:r>
      <w:r w:rsidR="00281437">
        <w:instrText xml:space="preserve"> ADDIN ZOTERO_ITEM CSL_CITATION {"citationID":"Iy4Yzotl","properties":{"formattedCitation":"\\super 289,291\\nosupersub{}","plainCitation":"289,291","noteIndex":0},"citationItems":[{"id":3356,"uris":["http://zotero.org/users/9622455/items/X2MKH5ZY"],"itemData":{"id":3356,"type":"article-journal","abstract":"Diabetes mellitus (DM) is a metabolic disease characterized by hyperglycemia. The disease results from the defects of insulin secretion and/or action. Resveratrol is a non-flavonoid polyphenol that naturally occurs as phytoalexin. The shell and stem of Vitis vinifera L. (Vitaceae) are the richest source of this compound. In addition to various in vitro and in vivo studies revealing the effectiveness of resveratrol in DM, there are many clinical trials indicating that resveratrol has the potential to benefit in DM patients. The therapeutic action of this compound in relation to diabetes is complex and involves in several beneficial roles. In view of this, clinical studies are necessary to elucidate these roles. In the near future, the use of resveratrol, alone or in combination with current anti-diabetic therapies, might be a conventional approach to effectively manage DM or its complications. This mini-review provides a critical overview of currently available clinical studies examining the effects of resveratrol in DM last decade.","container-title":"Biomedicine &amp; Pharmacotherapy","DOI":"10.1016/j.biopha.2017.08.070","ISSN":"0753-3322","journalAbbreviation":"Biomedicine &amp; Pharmacotherapy","page":"230-234","source":"ScienceDirect","title":"Resveratrol and diabetes: A critical review of clinical studies","title-short":"Resveratrol and diabetes","volume":"95","author":[{"family":"Öztürk","given":"Ebru"},{"family":"Arslan","given":"Ayşe Kübra Karaboğa"},{"family":"Yerer","given":"Mükerrem Betül"},{"family":"Bishayee","given":"Anupam"}],"issued":{"date-parts":[["2017",11,1]]}}},{"id":3346,"uris":["http://zotero.org/users/9622455/items/3SXNAWFD"],"itemData":{"id":3346,"type":"article-journal","abstract":"Resveratrol is a flavonoid with a stilbene structure that is able to suppress acute pulmonary thromboembolism-induced pulmonary artery hypertension. Furthermore, it possesses anti-cancer and antioxidant properties, is able to regulate blood lipids and increase life expectancy. In the present study, it was evaluated whether the protective effect of resveratrol was able to improve cardiovascular function in rats with diabetes. The effects of resveratrol on blood glucose, body weight, heart/body weight ratio, plasma triglyceride levels, heart rate, aspartate transaminase (AST)/alanine transaminase (ALT) ratio and total plasma insulin were evaluated. Levels of inflammation and oxidative stress were also evaluated using ELISA kits, and the expressions of endothelial nitric oxide synthase (eNOS), vascular endothelial growth factor (VEGF) and phosphorylated (p)-p38 protein were evaluated via western blot analysis. The results demonstrated that administration of resveratrol in rats with diabetes-related myocardial infarction (DRMI) significantly reduced blood glucose, body weight, plasma triglyceride levels, heart rate and AST/ALT ratio (all P&lt;0.01) and significantly increased total plasma insulin (P&lt;0.01). Furthermore, resveratrol significantly reduced levels of inflammation factors (P&lt;0.01) and malondialdehyde, a marker for oxidative stress, in rats with DRMI (P&lt;0.01). Resveratrol significantly increased the expression of eNOS (P&lt;0.01) and suppressed the expression of VEGF and p-p38 (both P&lt;0.01) in rats with DRMI. These results suggest that treatment with resveratrol is able to improve cardiovascular function via inhibition of eNOS and VEGF, and suppression of p38 phosphorylation in rats with DRMI.","container-title":"Experimental and Therapeutic Medicine","DOI":"10.3892/etm.2017.5537","ISSN":"1792-0981","issue":"2","journalAbbreviation":"Exp Ther Med","note":"PMID: 29434758\nPMCID: PMC5774431","page":"1728-1734","source":"PubMed Central","title":"Protective effects of resveratrol improve cardiovascular function in rats with diabetes","volume":"15","author":[{"family":"Yan","given":"Fuqin"},{"family":"Sun","given":"Xiaomeng"},{"family":"Xu","given":"Chun"}],"issued":{"date-parts":[["2018",2]]}}}],"schema":"https://github.com/citation-style-language/schema/raw/master/csl-citation.json"} </w:instrText>
      </w:r>
      <w:r w:rsidRPr="00735FCE">
        <w:fldChar w:fldCharType="separate"/>
      </w:r>
      <w:r w:rsidR="00281437" w:rsidRPr="00281437">
        <w:rPr>
          <w:vertAlign w:val="superscript"/>
        </w:rPr>
        <w:t>289,291</w:t>
      </w:r>
      <w:r w:rsidRPr="00735FCE">
        <w:fldChar w:fldCharType="end"/>
      </w:r>
      <w:r w:rsidRPr="00735FCE">
        <w:t xml:space="preserve">. Malondialdehyde, an indicator of lipid peroxidation and oxidative stress, also showed </w:t>
      </w:r>
      <w:r>
        <w:t xml:space="preserve">a </w:t>
      </w:r>
      <w:r w:rsidRPr="00735FCE">
        <w:t>significant reduction</w:t>
      </w:r>
      <w:r>
        <w:t xml:space="preserve"> in response to RES treatment </w:t>
      </w:r>
      <w:r w:rsidRPr="00735FCE">
        <w:fldChar w:fldCharType="begin"/>
      </w:r>
      <w:r w:rsidR="00281437">
        <w:instrText xml:space="preserve"> ADDIN ZOTERO_ITEM CSL_CITATION {"citationID":"rsJyRRkh","properties":{"formattedCitation":"\\super 292\\nosupersub{}","plainCitation":"292","noteIndex":0},"citationItems":[{"id":3358,"uris":["http://zotero.org/users/9622455/items/P46HX4ZW"],"itemData":{"id":3358,"type":"article-journal","abstract":"Hepatocellular carcinoma (HCC), one of the most frequent and deadliest cancers, has been increasing considerably in the United States. In the absence of a proven effective therapy for HCC, novel chemopreventive strategies are urgently needed to lower the current morbidity and mortality of HCC. Recently, we have reported that resveratrol, a compound present in grapes and red wine, significantly prevents diethylnitrosamine (DENA)–induced liver tumorigenesis in rats, although the mechanism of action is not completely understood. In the present study, we have examined the underlying mechanisms of resveratrol chemoprevention of hepatocarcinogenesis by investigating the effects of resveratrol on oxidative damage and inflammatory markers during DENA-initiated rat liver carcinogenesis. There was a significant increase in hepatic lipid peroxidation and protein oxidation in carcinogen control animals compared with their normal counterparts at the end of the study (20 weeks). Elevated expressions of inducible nitric oxide synthase and 3-nitrotyrosine were noticed in the livers of the same animals. Dietary resveratrol (50-300 mg/kg) administered throughout the study reversed all the aforementioned markers in a dose-responsive fashion in rats challenged with DENA. Resveratrol also elevated the protein and mRNA expression of hepatic nuclear factor E2–related factor 2 (Nrf2). Results of the present investigation provide evidence that attenuation of oxidative stress and suppression of inflammatory response mediated by Nrf2 could be implicated, at least in part, in the chemopreventive effects of this dietary agent against chemically induced hepatic tumorigenesis in rats. The outcome of this study may benefit the development of resveratrol in the prevention and intervention of human HCC. Cancer Prev Res; 3(6); 753–63. ©2010 AACR.","container-title":"Cancer Prevention Research","DOI":"10.1158/1940-6207.CAPR-09-0171","ISSN":"1940-6207","issue":"6","journalAbbreviation":"Cancer Prevention Research","page":"753-763","source":"Silverchair","title":"Resveratrol Suppresses Oxidative Stress and Inflammatory Response in Diethylnitrosamine-Initiated Rat Hepatocarcinogenesis","volume":"3","author":[{"family":"Bishayee","given":"Anupam"},{"family":"Barnes","given":"Kendra F."},{"family":"Bhatia","given":"Deepak"},{"family":"Darvesh","given":"Altaf S."},{"family":"Carroll","given":"Richard T."}],"issued":{"date-parts":[["2010",6,2]]}}}],"schema":"https://github.com/citation-style-language/schema/raw/master/csl-citation.json"} </w:instrText>
      </w:r>
      <w:r w:rsidRPr="00735FCE">
        <w:fldChar w:fldCharType="separate"/>
      </w:r>
      <w:r w:rsidR="00281437" w:rsidRPr="00281437">
        <w:rPr>
          <w:vertAlign w:val="superscript"/>
        </w:rPr>
        <w:t>292</w:t>
      </w:r>
      <w:r w:rsidRPr="00735FCE">
        <w:fldChar w:fldCharType="end"/>
      </w:r>
      <w:r w:rsidRPr="00735FCE">
        <w:t xml:space="preserve">. RES has also been shown to </w:t>
      </w:r>
      <w:r>
        <w:t xml:space="preserve">suppress </w:t>
      </w:r>
      <w:r w:rsidRPr="00735FCE">
        <w:t xml:space="preserve">autophagy in ischemia-reperfusion injury models by </w:t>
      </w:r>
      <w:r>
        <w:t xml:space="preserve">upregulating </w:t>
      </w:r>
      <w:r w:rsidRPr="00735FCE">
        <w:t>the antioxidant signaling protein DJ-1</w:t>
      </w:r>
      <w:r>
        <w:t>,</w:t>
      </w:r>
      <w:r w:rsidRPr="00735FCE">
        <w:t xml:space="preserve"> as well as the MEKK1/JNK pathway</w:t>
      </w:r>
      <w:r>
        <w:t>,</w:t>
      </w:r>
      <w:r w:rsidRPr="00735FCE">
        <w:t xml:space="preserve"> indicat</w:t>
      </w:r>
      <w:r>
        <w:t>ing</w:t>
      </w:r>
      <w:r w:rsidRPr="00735FCE">
        <w:t xml:space="preserve"> that RES is active </w:t>
      </w:r>
      <w:r>
        <w:t>in</w:t>
      </w:r>
      <w:r w:rsidRPr="00735FCE">
        <w:t xml:space="preserve"> mitigating autophagy during myocardi</w:t>
      </w:r>
      <w:r>
        <w:t xml:space="preserve">al stress </w:t>
      </w:r>
      <w:r w:rsidRPr="00735FCE">
        <w:fldChar w:fldCharType="begin"/>
      </w:r>
      <w:r w:rsidR="00281437">
        <w:instrText xml:space="preserve"> ADDIN ZOTERO_ITEM CSL_CITATION {"citationID":"0V3teY9c","properties":{"formattedCitation":"\\super 293\\nosupersub{}","plainCitation":"293","noteIndex":0},"citationItems":[{"id":3361,"uris":["http://zotero.org/users/9622455/items/Y6849WBB"],"itemData":{"id":3361,"type":"article-journal","abstract":"Resveratrol (RES), a natural polyphenolic compound found in red wine and grape skins, has attracted significant attention due to its cardioprotective properties. DJ-1, a multifunctional protein that participated in transcription regulation and antioxidant defense, was shown to provide a significant protective impact in cardiac cells treated with ischemia-reperfusion. We created a myocardial ischemia-reperfusion (I/R) model in vivo and in vitro by ligating the left anterior descending branch of rats and subjecting H9c2 cells to anoxia/reoxygenation (A/R) to investigate whether RES reduces myocardial ischemia-reperfusion injury by upregulating DJ-1. We discovered that RES dramatically enhanced cardiac function in rats with I/R. Subsequently, we found that RES prevented the rise in autophagy (P62 degradation and LC3-II/LC3-I increase) induced by cardiac ischemia-reperfusion in vitro and in vivo. Notably, the autophagic agonist rapamycin (RAPA) eliminated RES-induced cardioprotective effects. In addition, Further data showed that RES significantly increased the expression of DJ-1 in the myocardium with the treatment of I/R. At the same time, pretreatment with RES reduced phosphorylation of MAPK/ERK kinase kinase 1 (MEKK1) and Jun N-terminal Kinase (JNK) stimulated by cardiac ischemia-reperfusion, and Beclin-1 mRNA and protein levels while decreasing lactate dehydrogenase (LDH) and improving cell viability. However, the lentiviral shDJ-1 and JNK agonist anisomycin disrupted the effects of RES. In summary, RES could inhibit autophagy against myocardial ischemia-reperfusion injury through DJ-1 modulation of the MEKK1/JNK pathway, providing a novel therapeutic strategy for cardiac homeostasis.","container-title":"European Journal of Pharmacology","DOI":"10.1016/j.ejphar.2023.175748","ISSN":"0014-2999","journalAbbreviation":"European Journal of Pharmacology","page":"175748","source":"ScienceDirect","title":"Resveratrol inhibits autophagy against myocardial ischemia-reperfusion injury through the DJ-1/MEKK1/JNK pathway","volume":"951","author":[{"family":"Liu","given":"Song"},{"family":"Ren","given":"Jianmin"},{"family":"Liu","given":"Shiyi"},{"family":"Zhao","given":"Xiaoyan"},{"family":"Liu","given":"Huiru"},{"family":"Zhou","given":"Tingting"},{"family":"Wang","given":"Xueying"},{"family":"Liu","given":"Haoyue"},{"family":"Tang","given":"Lei"},{"family":"Chen","given":"Heping"}],"issued":{"date-parts":[["2023",7,15]]}}}],"schema":"https://github.com/citation-style-language/schema/raw/master/csl-citation.json"} </w:instrText>
      </w:r>
      <w:r w:rsidRPr="00735FCE">
        <w:fldChar w:fldCharType="separate"/>
      </w:r>
      <w:r w:rsidR="00281437" w:rsidRPr="00281437">
        <w:rPr>
          <w:vertAlign w:val="superscript"/>
        </w:rPr>
        <w:t>293</w:t>
      </w:r>
      <w:r w:rsidRPr="00735FCE">
        <w:fldChar w:fldCharType="end"/>
      </w:r>
      <w:r w:rsidRPr="00735FCE">
        <w:t>. In diabetic cardiomyopathy, RES improved systolic and diastolic dysfunction, myocardial structural abnormalities, fibrosis, and cardiomyocyte apoptosis</w:t>
      </w:r>
      <w:r>
        <w:t xml:space="preserve"> </w:t>
      </w:r>
      <w:r w:rsidRPr="00735FCE">
        <w:fldChar w:fldCharType="begin"/>
      </w:r>
      <w:r w:rsidR="00281437">
        <w:instrText xml:space="preserve"> ADDIN ZOTERO_ITEM CSL_CITATION {"citationID":"yGwa4VVR","properties":{"formattedCitation":"\\super 294\\nosupersub{}","plainCitation":"294","noteIndex":0},"citationItems":[{"id":3363,"uris":["http://zotero.org/users/9622455/items/HZRV6GYP"],"itemData":{"id":3363,"type":"article-journal","abstract":"Mitochondrial dysfunction is essential in the development and prognosis of diabetic cardiomyopathy (DCM). Resveratrol (RES) is thought as a mitochondrial protector. In this study, we hypothesized that RES may ameliorate mitochondrial function and consequently improve cardiac function in diabetic rats, and uncoupling protein 2 (UCP2) was involved in the protective effects of RES on DCM. Thirty rats were divided into three groups: normal control, DCM, and DCM+RES groups. DCM was induced by high-fat diet and streptozotocin (STZ) intraperitoneal injection, the rats in DCM+RES group received RES gavage for 16 weeks. RES improved the insulin resistance, and reduced the level of triglyceride, cholesterol, and low density lipoprotein cholesterol (LDLc) in DCM rats (all P &lt; 0.05). Echocardiographic and hemodynamic studies revealed that RES treatment reversed the impaired diastolic and systolic cardiac function in DCM rats. Meanwhile, RES improved myocardial structural disorder and fibrosis, reserved mitochondrial membrane potential level (P &lt; 0.05), and suppressed myocardial apoptosis in DCM rats (P &lt; 0.05). Myocardial mitochondrial respiratory enzyme activities were improved by RES treatment in DCM rats (P &lt; 0.05), accompanied with attenuated reactive oxygen species (ROS) generation (P &lt; 0.05). The expression of UCP2 was further increased by RES treatment both in the myocardium of DCM rats (P &lt; 0.05) and in the H9c2 cardiomyocytes incubated with high-glucose (P &lt; 0.05). The protective effects of RES on high glucose-induced ROS generation, MPTP opening, Cyto c release, and cell apoptosis were all blunted by inhibiting the expression of UCP2 (all P &lt; 0.05). In conclusion, RES treatment improved cardiac function and inhibited cardiomyocyte apoptosis, involving in ameliorating mitochondrial function in diabetic rats. UCP2 mediated the protective effects of RES on diabetic hearts.","container-title":"Journal of Physiology and Biochemistry","DOI":"10.1007/s13105-018-0648-7","ISSN":"1877-8755","issue":"1","journalAbbreviation":"J Physiol Biochem","language":"en","page":"39-51","source":"Springer Link","title":"Effects of resveratrol on regulation on UCP2 and cardiac function in diabetic rats","volume":"75","author":[{"family":"Diao","given":"Jiayu"},{"family":"Wei","given":"Jin"},{"family":"Yan","given":"Rui"},{"family":"Fan","given":"Gang"},{"family":"Lin","given":"Lin"},{"family":"Chen","given":"Mengjie"}],"issued":{"date-parts":[["2019",2,1]]}}}],"schema":"https://github.com/citation-style-language/schema/raw/master/csl-citation.json"} </w:instrText>
      </w:r>
      <w:r w:rsidRPr="00735FCE">
        <w:fldChar w:fldCharType="separate"/>
      </w:r>
      <w:r w:rsidR="00281437" w:rsidRPr="00281437">
        <w:rPr>
          <w:vertAlign w:val="superscript"/>
        </w:rPr>
        <w:t>294</w:t>
      </w:r>
      <w:r w:rsidRPr="00735FCE">
        <w:fldChar w:fldCharType="end"/>
      </w:r>
      <w:r w:rsidRPr="00735FCE">
        <w:t xml:space="preserve">. Following carbon monoxide-mediated hypoxic damage, RES at 1, 5, and 10 mg/kg doses decreased cardiac damage while </w:t>
      </w:r>
      <w:r>
        <w:t>increasing</w:t>
      </w:r>
      <w:r w:rsidRPr="00735FCE">
        <w:t xml:space="preserve"> AKT </w:t>
      </w:r>
      <w:r>
        <w:t xml:space="preserve">protein </w:t>
      </w:r>
      <w:r w:rsidRPr="00735FCE">
        <w:t>expression in the myocardium</w:t>
      </w:r>
      <w:r>
        <w:t xml:space="preserve"> </w:t>
      </w:r>
      <w:r w:rsidRPr="00735FCE">
        <w:fldChar w:fldCharType="begin"/>
      </w:r>
      <w:r w:rsidR="00281437">
        <w:instrText xml:space="preserve"> ADDIN ZOTERO_ITEM CSL_CITATION {"citationID":"pvJsuoFc","properties":{"formattedCitation":"\\super 295\\nosupersub{}","plainCitation":"295","noteIndex":0},"citationItems":[{"id":3364,"uris":["http://zotero.org/users/9622455/items/J4ZVS74Y"],"itemData":{"id":3364,"type":"article-journal","abstract":"Carbon monoxide (CO) poisoning leads to tissue hypoxia resulting in cardiovascular disturbances. Resveratrol (RES) is considered a natural cardioprotective agent especially in the setting of ischemia/reperfusion injury. In the present study, the cardioprotective potential of RES against CO-induced cardiotoxicity was evaluated. 45 male Wistar rats, animals were randomly assigned to 5 experimental groups. The first group served as negative control and was not exposed to CO. All remaining rats were exposed to CO 3000ppm for 60min. The second group received normal saline following CO exposure, while groups 3, 4 and 5 were injected intraperitoneally with different doses of RES (1, 5 and 10mg/kg, respectively). Histopathological examination showed that RES administration reduced myocardial lesions compared to control groups. Myocardial Akt expression was significantly increased in rats treated with the highest dose of RES (p&lt;0.05) compared to CO-exposed non-treated animals. Caspase-3 activity in rat cardiomyocytes of RES-treated animals was significantly decreased in a dose-dependent manner. ECG findings did not differ significantly among CO-exposed groups. In conclusion, the present study offers evidence of a protective effect of RES administration on CO-induced cardiotoxicity via Akt up-regulation and attenuation of caspase-3 activity in rat hearts.","container-title":"Environmental Toxicology and Pharmacology","DOI":"10.1016/j.etap.2016.07.010","ISSN":"1382-6689","journalAbbreviation":"Environmental Toxicology and Pharmacology","page":"110-115","source":"ScienceDirect","title":"Effects of resveratrol on carbon monoxide-induced cardiotoxicity in rats","volume":"46","author":[{"family":"Hashemzaei","given":"Mahmoud"},{"family":"Barani","given":"Arian Khandan"},{"family":"Iranshahi","given":"Mehrdad"},{"family":"Rezaee","given":"Ramin"},{"family":"Tsarouhas","given":"Konstantinos"},{"family":"Tsatsakis","given":"Aristidis Michael"},{"family":"Wilks","given":"Martin F."},{"family":"Tabrizian","given":"Kaveh"}],"issued":{"date-parts":[["2016",9,1]]}}}],"schema":"https://github.com/citation-style-language/schema/raw/master/csl-citation.json"} </w:instrText>
      </w:r>
      <w:r w:rsidRPr="00735FCE">
        <w:fldChar w:fldCharType="separate"/>
      </w:r>
      <w:r w:rsidR="00281437" w:rsidRPr="00281437">
        <w:rPr>
          <w:vertAlign w:val="superscript"/>
        </w:rPr>
        <w:t>295</w:t>
      </w:r>
      <w:r w:rsidRPr="00735FCE">
        <w:fldChar w:fldCharType="end"/>
      </w:r>
      <w:r w:rsidRPr="00735FCE">
        <w:t>. Beyond intracellular signal transduction, RES</w:t>
      </w:r>
      <w:r>
        <w:t xml:space="preserve"> at</w:t>
      </w:r>
      <w:r w:rsidRPr="00735FCE">
        <w:t xml:space="preserve"> physiological concentrations also elicited vasodilation, further attenuating vascular tone and blood pressure</w:t>
      </w:r>
      <w:r>
        <w:t xml:space="preserve"> </w:t>
      </w:r>
      <w:r w:rsidRPr="00735FCE">
        <w:fldChar w:fldCharType="begin"/>
      </w:r>
      <w:r w:rsidR="00281437">
        <w:instrText xml:space="preserve"> ADDIN ZOTERO_ITEM CSL_CITATION {"citationID":"wsx2T3wo","properties":{"formattedCitation":"\\super 296\\nosupersub{}","plainCitation":"296","noteIndex":0},"citationItems":[{"id":3368,"uris":["http://zotero.org/users/9622455/items/SXZVY2G4"],"itemData":{"</w:instrText>
      </w:r>
      <w:r w:rsidR="00281437">
        <w:rPr>
          <w:rFonts w:hint="eastAsia"/>
        </w:rPr>
        <w:instrText>id":3368,"type":"article-journal","abstract":"null\nThe antioxidant effects of resveratrol (3,5,4'</w:instrText>
      </w:r>
      <w:r w:rsidR="00281437">
        <w:rPr>
          <w:rFonts w:hint="eastAsia"/>
        </w:rPr>
        <w:instrText>‐</w:instrText>
      </w:r>
      <w:r w:rsidR="00281437">
        <w:rPr>
          <w:rFonts w:hint="eastAsia"/>
        </w:rPr>
        <w:instrText>trihydroxy</w:instrText>
      </w:r>
      <w:r w:rsidR="00281437">
        <w:rPr>
          <w:rFonts w:hint="eastAsia"/>
        </w:rPr>
        <w:instrText>‐</w:instrText>
      </w:r>
      <w:r w:rsidR="00281437">
        <w:rPr>
          <w:rFonts w:hint="eastAsia"/>
        </w:rPr>
        <w:instrText>trans</w:instrText>
      </w:r>
      <w:r w:rsidR="00281437">
        <w:rPr>
          <w:rFonts w:hint="eastAsia"/>
        </w:rPr>
        <w:instrText>‐</w:instrText>
      </w:r>
      <w:r w:rsidR="00281437">
        <w:rPr>
          <w:rFonts w:hint="eastAsia"/>
        </w:rPr>
        <w:instrText>stilbene) contribute substantially to the health benefits of this compound. Resveratrol has been shown to be a scavenger of a number of free radicals. However, the direct scavenging activities of resveratrol are relatively poor. The antioxidant properties of resveratrol in vivo are more likely to be attributable to its effect as a gene regulator. Resveratrol inhibits NADPH oxidase</w:instrText>
      </w:r>
      <w:r w:rsidR="00281437">
        <w:rPr>
          <w:rFonts w:hint="eastAsia"/>
        </w:rPr>
        <w:instrText>‐</w:instrText>
      </w:r>
      <w:r w:rsidR="00281437">
        <w:rPr>
          <w:rFonts w:hint="eastAsia"/>
        </w:rPr>
        <w:instrText>mediated production of ROS by down</w:instrText>
      </w:r>
      <w:r w:rsidR="00281437">
        <w:rPr>
          <w:rFonts w:hint="eastAsia"/>
        </w:rPr>
        <w:instrText>‐</w:instrText>
      </w:r>
      <w:r w:rsidR="00281437">
        <w:rPr>
          <w:rFonts w:hint="eastAsia"/>
        </w:rPr>
        <w:instrText>regulating the expression and activity of the oxidase. This polyphenolic compound reduces mitochondrial superoxide generation by stimulating mitochondria biogenesis. Resveratrol prevents superoxide production from uncoupled endothelial nitric oxide synthase by up</w:instrText>
      </w:r>
      <w:r w:rsidR="00281437">
        <w:rPr>
          <w:rFonts w:hint="eastAsia"/>
        </w:rPr>
        <w:instrText>‐</w:instrText>
      </w:r>
      <w:r w:rsidR="00281437">
        <w:rPr>
          <w:rFonts w:hint="eastAsia"/>
        </w:rPr>
        <w:instrText>regulating the tetrahydrobiopterin</w:instrText>
      </w:r>
      <w:r w:rsidR="00281437">
        <w:rPr>
          <w:rFonts w:hint="eastAsia"/>
        </w:rPr>
        <w:instrText>‐</w:instrText>
      </w:r>
      <w:r w:rsidR="00281437">
        <w:rPr>
          <w:rFonts w:hint="eastAsia"/>
        </w:rPr>
        <w:instrText>synthesizing enzyme GTP cyclohydrolase I. In addition, resveratrol increases the expression of various antioxidant enzymes. Some of the gene</w:instrText>
      </w:r>
      <w:r w:rsidR="00281437">
        <w:rPr>
          <w:rFonts w:hint="eastAsia"/>
        </w:rPr>
        <w:instrText>‐</w:instrText>
      </w:r>
      <w:r w:rsidR="00281437">
        <w:rPr>
          <w:rFonts w:hint="eastAsia"/>
        </w:rPr>
        <w:instrText>regulating effects of resveratrol are mediated by the histone/protein deacetylase sirtuin 1 or by the nuclear factor</w:instrText>
      </w:r>
      <w:r w:rsidR="00281437">
        <w:rPr>
          <w:rFonts w:hint="eastAsia"/>
        </w:rPr>
        <w:instrText>‐</w:instrText>
      </w:r>
      <w:r w:rsidR="00281437">
        <w:rPr>
          <w:rFonts w:hint="eastAsia"/>
        </w:rPr>
        <w:instrText>E2</w:instrText>
      </w:r>
      <w:r w:rsidR="00281437">
        <w:rPr>
          <w:rFonts w:hint="eastAsia"/>
        </w:rPr>
        <w:instrText>‐</w:instrText>
      </w:r>
      <w:r w:rsidR="00281437">
        <w:rPr>
          <w:rFonts w:hint="eastAsia"/>
        </w:rPr>
        <w:instrText>related factor</w:instrText>
      </w:r>
      <w:r w:rsidR="00281437">
        <w:rPr>
          <w:rFonts w:hint="eastAsia"/>
        </w:rPr>
        <w:instrText>‐</w:instrText>
      </w:r>
      <w:r w:rsidR="00281437">
        <w:rPr>
          <w:rFonts w:hint="eastAsia"/>
        </w:rPr>
        <w:instrText>2. In this review article, we have also summarized the cardiovascular effects of resveratrol observed in clinical trials.\n\nLinked Articles\nThis article is part of</w:instrText>
      </w:r>
      <w:r w:rsidR="00281437">
        <w:instrText xml:space="preserve"> a themed section on Redox Biology and Oxidative Stress in Health and Disease. To view the other articles in this section visit http://onlinelibrary.wiley.com/doi/10.1111/bph.v174.12/issuetoc","container-title":"British Journal of Pharmacology","DOI":"10.1111/bph.13492","ISSN":"0007-1188","issue":"12","journalAbbreviation":"Br J Pharmacol","note":"PMID: 27058985\nPMCID: PMC5446570","page":"1633-1646","source":"PubMed Central","title":"Antioxidant effects of resveratrol in the cardiovascular system","volume":"174","author":[{"family":"Xia","given":"Ning"},{"family":"Daiber","given":"Andreas"},{"family":"Förstermann","given":"Ulrich"},{"family":"Li","given":"Huige"}],"issued":{"date-parts":[["2017",6]]}}}],"schema":"https://github.com/citation-style-language/schema/raw/master/csl-citation.json"} </w:instrText>
      </w:r>
      <w:r w:rsidRPr="00735FCE">
        <w:fldChar w:fldCharType="separate"/>
      </w:r>
      <w:r w:rsidR="00281437" w:rsidRPr="00281437">
        <w:rPr>
          <w:vertAlign w:val="superscript"/>
        </w:rPr>
        <w:t>296</w:t>
      </w:r>
      <w:r w:rsidRPr="00735FCE">
        <w:fldChar w:fldCharType="end"/>
      </w:r>
      <w:r w:rsidRPr="00735FCE">
        <w:t xml:space="preserve">. The </w:t>
      </w:r>
      <w:r>
        <w:t>cardioprotective</w:t>
      </w:r>
      <w:r w:rsidRPr="00735FCE">
        <w:t xml:space="preserve"> effect</w:t>
      </w:r>
      <w:r>
        <w:t>s</w:t>
      </w:r>
      <w:r w:rsidRPr="00735FCE">
        <w:t xml:space="preserve"> of RES </w:t>
      </w:r>
      <w:r>
        <w:t xml:space="preserve">are consistent </w:t>
      </w:r>
      <w:r w:rsidRPr="00735FCE">
        <w:t>with the traditional use of its natural source</w:t>
      </w:r>
      <w:r>
        <w:t>,</w:t>
      </w:r>
      <w:r w:rsidRPr="00735FCE">
        <w:t xml:space="preserve"> </w:t>
      </w:r>
      <w:r>
        <w:t>Polygonum</w:t>
      </w:r>
      <w:r w:rsidRPr="00735FCE">
        <w:t xml:space="preserve"> cuspidatum</w:t>
      </w:r>
      <w:r>
        <w:t>,</w:t>
      </w:r>
      <w:r w:rsidRPr="00735FCE">
        <w:t xml:space="preserve"> for</w:t>
      </w:r>
      <w:r>
        <w:t xml:space="preserve"> the treatment of </w:t>
      </w:r>
      <w:r w:rsidRPr="00735FCE">
        <w:t>hyperlipidemia and atherosclerosis</w:t>
      </w:r>
      <w:r>
        <w:t xml:space="preserve"> </w:t>
      </w:r>
      <w:r w:rsidRPr="00735FCE">
        <w:fldChar w:fldCharType="begin"/>
      </w:r>
      <w:r w:rsidR="00281437">
        <w:instrText xml:space="preserve"> ADDIN ZOTERO_ITEM CSL_CITATION {"citationID":"AYk0QozR","properties":{"formattedCitation":"\\super 297\\uc0\\u8211{}299\\nosupersub{}","plainCitation":"297–299","noteIndex":0},"citationItems":[{"id":3377,"uris":["http://zotero.org/users/9622455/items/5HWPLAQZ"],"itemData":{"id":3377,"type":"article-journal","abstract":"We quantified trans-resveratrol in each part of fresh Polygonum cuspidatum harvested in Kochi Prefecture. A small amount of trans-resveratrol was detected in the edible stem parts, the content varying with seasonal, geographical, and environmental factors. We also examined the antioxidative activity of each part, suggesting that P. cuspidatum contained many more contributing antioxidants other than resveratrol.","container-title":"Bioscience, Biotechnology, and Biochemistry","DOI":"10.1080/09168451.2014.890032","ISSN":"0916-8451","issue":"3","journalAbbreviation":"Bioscience, Biotechnology, and Biochemistry","page":"499-502","source":"Silverchair","title":"Content of resveratrol and glycoside and its contribution to the antioxidative capacity of Polygonum cuspidatum (Itadori) harvested in Kochi","volume":"78","author":[{"family":"Kurita","given":"Serika"},{"family":"Kashiwagi","given":"Takehiro"},{"family":"Ebisu","given":"Tomoyo"},{"family":"Shimamura","given":"Tomoko"},{"family":"Ukeda","given":"Hiroyuki"}],"issued":{"date-parts":[["2014",3,4]]}}},{"id":3371,"uris":["http://zotero.org/users/9622455/items/6V8S9T9Z"],"itemData":{"id":3371,"type":"article-journal","abstract":"Background:\nExercise can lead to acute oxidative stress, which can result in oxidative damage and induce inflammation. Resveratrol may reduce the levels of inflammatory cytokines. Thus, we investigated the effects of this compound on the plasma levels of tumor necrosis factor-α (TNF-α) and interleukin 6 (IL-6) in male professional basketball players.\n\nMethods:\nTwenty healthy male professional basketball players were randomized into two groups (10 each). For 6 weeks, they received daily either 200 mg of polygonum cuspidatum extract (PCE) standardized to contain 20% trans-resveratrol equivalent to 40 mg trans-resveratrol or placebo. Indices of inflammation were measured before and after 6 weeks of supplementation.\n\nResults:\nThere was a significant reduction in plasma levels of TNF-a and IL-6 after 6 weeks of supplementation; while no change was observed in these markers in the control group.\n\nConclusions:\nPresent study shows that 6 weeks of PCE containing resveratrol supplementation reduces the inflammation in male professional basketball players.","container-title":"International Journal of Preventive Medicine","ISSN":"2008-7802","issue":"Suppl 1","journalAbbreviation":"Int J Prev Med","note":"PMID: 23717757\nPMCID: PMC3665013","page":"S1-S4","source":"PubMed Central","title":"Effects of Polygonum Cuspidatum Containing Resveratrol on Inflammation in Male Professional Basketball Players","volume":"4","author":[{"family":"Zahedi","given":"Hoda Sadat"},{"family":"Jazayeri","given":"Shima"},{"family":"Ghiasvand","given":"Reza"},{"family":"Djalali","given":"Mahmoud"},{"family":"Eshraghian","given":"Mohammad Reza"}],"issued":{"date-parts":[["2013",4]]}}},{"id":3374,"uris":["http://zotero.org/users/9622455/items/FX84MNFU"],"itemData":{"id":3374,"type":"article-journal","abstract":"Traditional Chinese medicine (TCM) has been widely used in China for thousands of years to treat and prevent diseases. TCM has been proven safe and effective, and it is being considered as one of the important types of complementary and alternative medicine and receives increasing attention worldwide. The dried root of Polygonum cuspidatum Sieb. et Zucc. (also known as “Hu Zhang” in Chinese) is one of the medicinal herbs listed in the Pharmacopoeia of the People's Republic of China. Hu Zhang is widely distributed in the world. It can be found in Asia and North America and is used as folk medicine in countries such as Japan and Korea. In China, Hu Zhang is usually used in combination with other TCM herbs. The therapeutic uses of those Hu Zhang-containing TCM prescriptions or formulations are for treating cough, hepatitis, jaundice, amenorrhea, leucorrhea, arthralgia, burns and snake bites. Recent pharmacological and clinical studies have indicated that Hu Zhang has antiviral, antimicrobial, anti-inflammatory, neuroprotective, and cardioprotective functions. This review gives a summary of the reported therapeutic effects of the active compounds and the different extracts of Hu Zhang.","container-title":"Evidence-based Complementary and Alternative Medicine : eCAM","DOI":"10.1155/2013/208349","ISSN":"1741-427X","journalAbbreviation":"Evid Based Complement Alternat Med","note":"PMID: 24194779\nPMCID: PMC3806114","page":"208349","source":"PubMed Central","title":"A Review of the Pharmacological Effects of the Dried Root of Polygonum cuspidatum (Hu Zhang) and Its Constituents","volume":"2013","author":[{"family":"Zhang","given":"Huan"},{"family":"Li","given":"Chang"},{"family":"Kwok","given":"Sin-Tung"},{"family":"Zhang","given":"Qing-Wen"},{"family":"Chan","given":"Shun-Wan"}],"issued":{"date-parts":[["2013"]]}}}],"schema":"https://github.com/citation-style-language/schema/raw/master/csl-citation.json"} </w:instrText>
      </w:r>
      <w:r w:rsidRPr="00735FCE">
        <w:fldChar w:fldCharType="separate"/>
      </w:r>
      <w:r w:rsidR="00281437" w:rsidRPr="00281437">
        <w:rPr>
          <w:vertAlign w:val="superscript"/>
        </w:rPr>
        <w:t>297–299</w:t>
      </w:r>
      <w:r w:rsidRPr="00735FCE">
        <w:fldChar w:fldCharType="end"/>
      </w:r>
      <w:r w:rsidRPr="00735FCE">
        <w:t>. In conclusion, the cardiovascular protective effect</w:t>
      </w:r>
      <w:r>
        <w:t>s</w:t>
      </w:r>
      <w:r w:rsidRPr="00735FCE">
        <w:t xml:space="preserve"> of RES are purported to </w:t>
      </w:r>
      <w:r>
        <w:t xml:space="preserve">involve </w:t>
      </w:r>
      <w:r w:rsidRPr="00735FCE">
        <w:t xml:space="preserve">multiple molecular pathways and may </w:t>
      </w:r>
      <w:r>
        <w:t>be</w:t>
      </w:r>
      <w:r w:rsidRPr="00735FCE">
        <w:t xml:space="preserve"> beneficial for metabolic syndrome and heart failure</w:t>
      </w:r>
      <w:r>
        <w:t xml:space="preserve"> </w:t>
      </w:r>
      <w:r w:rsidRPr="00735FCE">
        <w:fldChar w:fldCharType="begin"/>
      </w:r>
      <w:r w:rsidR="00281437">
        <w:instrText xml:space="preserve"> ADDIN ZOTERO_ITEM CSL_CITATION {"citationID":"JpJv3iwI","properties":{"formattedCitation":"\\super 300\\nosupersub{}","plainCitation":"300","noteIndex":0},"citationItems":[{"id":3379,"uris":["http://zotero.org/users/9622455/items/8SMGGELL"],"itemData":{"id":3379,"type":"article-journal","abstract":"Many natural products present in our diet, including flavonoids, can prevent the progression of cancer and other diseases. Resveratrol, a natural polyphenol present in various fruits and vegetables, plays an important role as a therapeutic and chemopreventive agent used in the treatment of various illnesses. It exhibits effects against different types of cancer through different pathways. It additionally exerts antidiabetic, anti-inflammatory, and anti-oxidant effects in a variety of cell types. Furthermore, the cardiovascular protective capacities of resveratrol are associated with multiple molecular targets and may lead to the development of novel therapeutic strategies for atherosclerosis, ischemia/reperfusion, metabolic syndrome, and heart failure. Accordingly, this article presents an overview of recent developments in the use of resveratrol for the prevention and treatment of different diseases along with various mechanisms. In addition, the present review summarizes the most recent literature pertaining to resveratrol as a chemotherapeutic agent against multiple diseases and provides an assessment of the potential of this natural compound as a complementary or alternative medicine.","container-title":"Food &amp; Function","DOI":"10.1039/C7FO01300K","ISSN":"2042-650X","issue":"12","journalAbbreviation":"Food Funct.","language":"en","note":"publisher: The Royal Society of Chemistry","page":"4284-4305","source":"pubs.rsc.org","title":"A comprehensive review of the health perspectives of resveratrol","volume":"8","author":[{"family":"Rauf","given":"Abdur"},{"family":"Imran","given":"Muhammad"},{"family":"Suleria","given":"Hafiz Ansar Rasul"},{"family":"Ahmad","given":"Bashir"},{"family":"Peters","given":"Dennis G."},{"family":"Mubarak","given":"Mohammad S."}],"issued":{"date-parts":[["2017",12,13]]}}}],"schema":"https://github.com/citation-style-language/schema/raw/master/csl-citation.json"} </w:instrText>
      </w:r>
      <w:r w:rsidRPr="00735FCE">
        <w:fldChar w:fldCharType="separate"/>
      </w:r>
      <w:r w:rsidR="00281437" w:rsidRPr="00281437">
        <w:rPr>
          <w:vertAlign w:val="superscript"/>
        </w:rPr>
        <w:t>300</w:t>
      </w:r>
      <w:r w:rsidRPr="00735FCE">
        <w:fldChar w:fldCharType="end"/>
      </w:r>
      <w:r w:rsidRPr="00735FCE">
        <w:t>.</w:t>
      </w:r>
    </w:p>
    <w:p w14:paraId="3B16998B" w14:textId="77777777" w:rsidR="009117C0" w:rsidRPr="00735FCE" w:rsidRDefault="009117C0" w:rsidP="00847BA5">
      <w:pPr>
        <w:pStyle w:val="Heading4"/>
      </w:pPr>
      <w:bookmarkStart w:id="74" w:name="_Toc200988058"/>
      <w:bookmarkStart w:id="75" w:name="_Toc201001673"/>
      <w:r w:rsidRPr="00735FCE">
        <w:t xml:space="preserve">Antioxidant </w:t>
      </w:r>
      <w:r>
        <w:t>E</w:t>
      </w:r>
      <w:r w:rsidRPr="00735FCE">
        <w:t>ffects</w:t>
      </w:r>
      <w:bookmarkEnd w:id="74"/>
      <w:bookmarkEnd w:id="75"/>
    </w:p>
    <w:p w14:paraId="6D0D3253" w14:textId="6F1C9E4D" w:rsidR="009117C0" w:rsidRPr="00735FCE" w:rsidRDefault="009117C0" w:rsidP="00F5471F">
      <w:pPr>
        <w:ind w:firstLine="720"/>
        <w:jc w:val="left"/>
      </w:pPr>
      <w:r w:rsidRPr="00735FCE">
        <w:t>RES is widely recognized for its potent antioxidant capacity</w:t>
      </w:r>
      <w:r>
        <w:t>,</w:t>
      </w:r>
      <w:r w:rsidRPr="00735FCE">
        <w:t xml:space="preserve"> which </w:t>
      </w:r>
      <w:r>
        <w:t>depends</w:t>
      </w:r>
      <w:r w:rsidRPr="00735FCE">
        <w:t xml:space="preserve"> </w:t>
      </w:r>
      <w:r>
        <w:t xml:space="preserve">significantly </w:t>
      </w:r>
      <w:r w:rsidRPr="00735FCE">
        <w:t xml:space="preserve">on </w:t>
      </w:r>
      <w:r>
        <w:t xml:space="preserve">both </w:t>
      </w:r>
      <w:r w:rsidRPr="00735FCE">
        <w:t xml:space="preserve">the molecular structure </w:t>
      </w:r>
      <w:r>
        <w:t>and</w:t>
      </w:r>
      <w:r w:rsidRPr="00735FCE">
        <w:t xml:space="preserve"> the pattern of hydroxyl group substitutions</w:t>
      </w:r>
      <w:r>
        <w:t xml:space="preserve"> </w:t>
      </w:r>
      <w:r w:rsidRPr="00735FCE">
        <w:fldChar w:fldCharType="begin"/>
      </w:r>
      <w:r w:rsidR="00281437">
        <w:instrText xml:space="preserve"> ADDIN ZOTERO_ITEM CSL_CITATION {"citationID":"bpBkMDCj","properties":{"formattedCitation":"\\super 287\\nosupersub{}","plainCitation":"287","noteIndex":0},"citationItems":[{"id":3317,"uris":["http://zotero.org/users/9622455/items/TSSEAGJ5"],"itemData":{"</w:instrText>
      </w:r>
      <w:r w:rsidR="00281437">
        <w:rPr>
          <w:rFonts w:hint="eastAsia"/>
        </w:rPr>
        <w:instrText>id":3317,"type":"article-journal","abstract":"Resveratrol (3,5,4</w:instrText>
      </w:r>
      <w:r w:rsidR="00281437">
        <w:rPr>
          <w:rFonts w:hint="eastAsia"/>
        </w:rPr>
        <w:instrText>′</w:instrText>
      </w:r>
      <w:r w:rsidR="00281437">
        <w:rPr>
          <w:rFonts w:hint="eastAsia"/>
        </w:rPr>
        <w:instrText>-trihydroxy-trans-stilbene) belongs to polyphenols</w:instrText>
      </w:r>
      <w:r w:rsidR="00281437">
        <w:rPr>
          <w:rFonts w:hint="eastAsia"/>
        </w:rPr>
        <w:instrText>’</w:instrText>
      </w:r>
      <w:r w:rsidR="00281437">
        <w:rPr>
          <w:rFonts w:hint="eastAsia"/>
        </w:rPr>
        <w:instrText xml:space="preserve"> stilbenoids group, possessing two phenol rings linked to each other by an ethylene bridge. This natural polyphenol has been detected in mo</w:instrText>
      </w:r>
      <w:r w:rsidR="00281437">
        <w:instrText xml:space="preserve">re than 70 plant species, especially in grapes’ skin and seeds, and was found in discrete amounts in red wines and various human foods. It is a phytoalexin that acts against pathogens, including bacteria and fungi. As a natural food ingredient, numerous studies have demonstrated that resveratrol possesses a very high antioxidant potential. Resveratrol also exhibit antitumor activity, and is considered a potential candidate for prevention and treatment of several types of cancer. Indeed, resveratrol anticancer properties have been confirmed by many in vitro and in vivo studies, which shows that resveratrol is able to inhibit all carcinogenesis stages (e.g., initiation, promotion and progression). Even more, other bioactive effects, namely as anti-inflammatory, anticarcinogenic, cardioprotective, vasorelaxant, phytoestrogenic and neuroprotective have also been reported. Nonetheless, resveratrol application is still being a major challenge for pharmaceutical industry, due to its poor solubility and bioavailability, as well as adverse effects. In this sense, this review summarized current data on resveratrol pharmacological effects.","container-title":"Biomedicines","DOI":"10.3390/biomedicines6030091","ISSN":"2227-9059","issue":"3","journalAbbreviation":"Biomedicines","note":"PMID: 30205595\nPMCID: PMC6164842","page":"91","source":"PubMed Central","title":"Resveratrol: A Double-Edged Sword in Health Benefits","title-short":"Resveratrol","volume":"6","author":[{"family":"Salehi","given":"Bahare"},{"family":"Mishra","given":"Abhay Prakash"},{"family":"Nigam","given":"Manisha"},{"family":"Sener","given":"Bilge"},{"family":"Kilic","given":"Mehtap"},{"family":"Sharifi-Rad","given":"Mehdi"},{"family":"Fokou","given":"Patrick Valere Tsouh"},{"family":"Martins","given":"Natália"},{"family":"Sharifi-Rad","given":"Javad"}],"issued":{"date-parts":[["2018",9,9]]}}}],"schema":"https://github.com/citation-style-language/schema/raw/master/csl-citation.json"} </w:instrText>
      </w:r>
      <w:r w:rsidRPr="00735FCE">
        <w:fldChar w:fldCharType="separate"/>
      </w:r>
      <w:r w:rsidR="00281437" w:rsidRPr="00281437">
        <w:rPr>
          <w:vertAlign w:val="superscript"/>
        </w:rPr>
        <w:t>287</w:t>
      </w:r>
      <w:r w:rsidRPr="00735FCE">
        <w:fldChar w:fldCharType="end"/>
      </w:r>
      <w:r w:rsidRPr="00735FCE">
        <w:t xml:space="preserve">. Hydroxyl groups at the 3-, 4′-, and 5-positions are known to </w:t>
      </w:r>
      <w:r>
        <w:t>significantly</w:t>
      </w:r>
      <w:r w:rsidRPr="00735FCE">
        <w:t xml:space="preserve"> </w:t>
      </w:r>
      <w:r>
        <w:t>enhance</w:t>
      </w:r>
      <w:r w:rsidRPr="00735FCE">
        <w:t xml:space="preserve"> their capacity for free </w:t>
      </w:r>
      <w:r w:rsidRPr="00735FCE">
        <w:lastRenderedPageBreak/>
        <w:t>radical neutralization and transition metal chelation</w:t>
      </w:r>
      <w:r>
        <w:t xml:space="preserve"> </w:t>
      </w:r>
      <w:r w:rsidRPr="00735FCE">
        <w:fldChar w:fldCharType="begin"/>
      </w:r>
      <w:r w:rsidR="00281437">
        <w:instrText xml:space="preserve"> ADDIN ZOTERO_ITEM CSL_CITATION {"citationID":"EPZeRvbn","properties":{"formattedCitation":"\\super 301,302\\nosupersub{}","plainCitation":"301,302","noteIndex":0},"citationItems":[{"id":3284,"uris":["http://zotero.org/users/9622455/items/SBRIGJPD"],"item</w:instrText>
      </w:r>
      <w:r w:rsidR="00281437">
        <w:rPr>
          <w:rFonts w:hint="eastAsia"/>
        </w:rPr>
        <w:instrText>Data":{"id":3284,"type":"article-journal","abstract":"&lt;p&gt;Resveratrol (3,4</w:instrText>
      </w:r>
      <w:r w:rsidR="00281437">
        <w:rPr>
          <w:rFonts w:hint="eastAsia"/>
        </w:rPr>
        <w:instrText>′</w:instrText>
      </w:r>
      <w:r w:rsidR="00281437">
        <w:rPr>
          <w:rFonts w:hint="eastAsia"/>
        </w:rPr>
        <w:instrText xml:space="preserve">,5-trihydroxy-&lt;i&gt;trans&lt;/i&gt;-stilbene) is a natural phytoalexin found in grapes and wine, which shows antioxidant and antiproliferative activities. In this study we have investigated </w:instrText>
      </w:r>
      <w:r w:rsidR="00281437">
        <w:instrText xml:space="preserve">whether these properties are dependent on similar or different structural determinants of the molecule. To this purpose, resveratrol derivatives, in which all or each single hydroxylic function were selectively substituted with methyl groups, were synthesized. Analogues with the stilbenic double bond reduced or with the stereoisomery modified were also investigated. The antioxidant activity of these compounds was evaluated by measuring the inhibition of citronellal thermo-oxidation, or the reduction of 2,2-diphenyl-1-picrylhydrazyl radical. In addition, the protection against lipid peroxidation was determined in rat liver microsomes, and in human primary cell cultures. The antiproliferative activity was evaluated by a clonogenic assay, and by analysis of </w:instrText>
      </w:r>
      <w:r w:rsidR="00281437">
        <w:rPr>
          <w:rFonts w:hint="eastAsia"/>
        </w:rPr>
        <w:instrText>cell cycle progression and DNA synthesis. The results showed that the hydroxyl group in 4</w:instrText>
      </w:r>
      <w:r w:rsidR="00281437">
        <w:rPr>
          <w:rFonts w:hint="eastAsia"/>
        </w:rPr>
        <w:instrText>′</w:instrText>
      </w:r>
      <w:r w:rsidR="00281437">
        <w:rPr>
          <w:rFonts w:hint="eastAsia"/>
        </w:rPr>
        <w:instrText xml:space="preserve"> position is not the sole determinant for antioxidant activity. In contrast, the presence of 4</w:instrText>
      </w:r>
      <w:r w:rsidR="00281437">
        <w:rPr>
          <w:rFonts w:hint="eastAsia"/>
        </w:rPr>
        <w:instrText>′</w:instrText>
      </w:r>
      <w:r w:rsidR="00281437">
        <w:rPr>
          <w:rFonts w:hint="eastAsia"/>
        </w:rPr>
        <w:instrText>-OH together with stereoisomery in the &lt;i&gt;trans-&lt;/i&gt;conformation (4</w:instrText>
      </w:r>
      <w:r w:rsidR="00281437">
        <w:rPr>
          <w:rFonts w:hint="eastAsia"/>
        </w:rPr>
        <w:instrText>′</w:instrText>
      </w:r>
      <w:r w:rsidR="00281437">
        <w:rPr>
          <w:rFonts w:hint="eastAsia"/>
        </w:rPr>
        <w:instrText>-h</w:instrText>
      </w:r>
      <w:r w:rsidR="00281437">
        <w:instrText>ydroxystyryl moiety) was absolutely required for inhibition of cell proliferation. Enzymatic assays &lt;i&gt;in vitro&lt;/i&gt; demonstrated that inhibition of DNA synthesis was induced by a direct interaction of resveratrol with DNA polymerases α and δ.&lt;/p&gt;","container-title":"Journal of Biological Chemistry","DOI":"10.1074/jbc.M101846200","ISSN":"0021-9258, 1083-351X","issue":"25","journalAbbreviation":"Journal of Biological Chemistry","language":"English","note":"publisher: Elsevier","page":"22586-22594","source":"www.jbc.org","title":"Specific Structural Determinants Are Responsible for the Antioxidant Activity and the Cell Cycle Effects of Resveratrol *","volume":"276","author":[{"family":"Stivala","given":"Lucia A."},{"family":"Savio","given":"Monica"},{"family":"Carafoli","given":"Federico"},{"family":"Perucca","given":"Paola"},{"family":"Bianchi","given":"Livia"},{"family":"Maga","given":"Giovanni"},{"family":"Forti","given":"Luca"},{"family":"Pagnoni","given":"Ugo M."},{"family":"Albini","given":"Angelo"},{"family":"Prosperi","given":"Ennio"},{"family":"Vannini","given":"Vanio"}],"issued":{"date-parts":[["2001",6,22]]}}},{"id":3282,"uris":["http://zotero.org/users/9622455/items/5J6MM7YI"],"itemData":{"id":3282,"type":"article-journal","abstract":"Resveratrol</w:instrText>
      </w:r>
      <w:r w:rsidR="00281437">
        <w:rPr>
          <w:rFonts w:hint="eastAsia"/>
        </w:rPr>
        <w:instrText xml:space="preserve"> (3,4</w:instrText>
      </w:r>
      <w:r w:rsidR="00281437">
        <w:rPr>
          <w:rFonts w:hint="eastAsia"/>
        </w:rPr>
        <w:instrText>′</w:instrText>
      </w:r>
      <w:r w:rsidR="00281437">
        <w:rPr>
          <w:rFonts w:hint="eastAsia"/>
        </w:rPr>
        <w:instrText>,5-trihydroxy-trans-stilbene) is a compound found in wine and is held responsible for a number of beneficial effects of red wine. Besides the prevention of heart disease and significant anti-inflammatory effects, resveratrol might inhibit tumor cell</w:instrText>
      </w:r>
      <w:r w:rsidR="00281437">
        <w:instrText xml:space="preserve"> growth and even play a role in the aging process. We here describe the structure-activity relationship of resveratrol and analogues of resveratrol regarding the free radical scavenging and antitumor effects of this exciting natural compound. In addition, we have synthesized a number of analogues of resveratrol with the aim to further improve the beneficial effects of resveratrol. Our studies were based on the analysis of structural properties, which were responsible for the most important effects of this compound. Striking in vivo effects can be observed with hexahydroxystilbene (M8), the most effective synthetic analogue of resveratrol. We could show that M8 inhibits tumor as well as metastasis growth of human melanoma in two different animal models, alone and in combination with dacarbacine.","container-title":"Pharmaceutical Research","DOI":"10.1007/s11095-010-0090-1","ISSN":"1573-904X","issue":"6","journalAbbreviation":"Pharm Res","language":"en","page":"1042-1048","source":"Springer Link","title":"Resveratrol and Resveratrol Analogues—Structure—Activity Relationship","volume":"27","author":[{"family":"Szekeres","given":"Thomas"},{"family":"Fritzer-Szekeres","given":"Monika"},{"family":"Saiko","given":"Philipp"},{"family":"Jäger","given":"Walter"}],"issued":{"date-parts":[["2010",6,1]]}}}],"schema":"https://github.com/citation-style-language/schema/raw/master/csl-citation.json"} </w:instrText>
      </w:r>
      <w:r w:rsidRPr="00735FCE">
        <w:fldChar w:fldCharType="separate"/>
      </w:r>
      <w:r w:rsidR="00281437" w:rsidRPr="00281437">
        <w:rPr>
          <w:vertAlign w:val="superscript"/>
        </w:rPr>
        <w:t>301,302</w:t>
      </w:r>
      <w:r w:rsidRPr="00735FCE">
        <w:fldChar w:fldCharType="end"/>
      </w:r>
      <w:r w:rsidRPr="00735FCE">
        <w:t>. Modeling trans-RES using quantum chemical and computational kinetics techniques verified that trans-RES scavenges hydroperoxyl (•OOH) and peroxyl (•OOR) radicals in aqueous environments</w:t>
      </w:r>
      <w:r>
        <w:t xml:space="preserve"> </w:t>
      </w:r>
      <w:r w:rsidRPr="00735FCE">
        <w:fldChar w:fldCharType="begin"/>
      </w:r>
      <w:r w:rsidR="00281437">
        <w:instrText xml:space="preserve"> ADDIN ZOTERO_ITEM CSL_CITATION {"citationID":"pE0D9w7m","properties":{"formattedCitation":"\\super 303\\nosupersub{}","plainCitation":"303","noteIndex":0},"citationItems":[{"id":3320,"uris":["http://zotero.org/users/9622455/items/G53MZTE9"],"itemData":{"id":3320,"type":"article-journal","abstract":"In this work, we have carried out a systematic study of the antioxidant activity of trans-resveratrol toward hydroxyl (•OH) and hydroperoxyl (•OOH) radicals in aqueous simulated media using density functional quantum chemistry and computational kinetics methods. All possible mechanisms have been considered: hydrogen atom transfer (HAT), proton-coupled electron transfer (PCET), sequential electron proton transfer (SEPT), and radical adduct formation (RAF). Rate constants have been calculated using conventional transition state theory in conjunction with the Collins–Kimball theory. Branching ratios for the different paths contributing to the overall reaction, at 298 K, are reported. For the global reactivity of trans-resveratrol toward •OH radicals, in water at physiological pH, the main mechanism of reaction is proposed to be the sequential electron proton transfer (SEPT). However, we show that trans-resveratrol always reacts with •OH radicals at a rate that is diffusion-controlled, independent of the reaction pathway. This explains why trans-resveratrol is an excellent but very unselective •OH radical scavenger that provides antioxidant protection to the cell. Reaction between trans-resveratrol and the hydroperoxyl radical occurs only by phenolic hydrogen abstraction. The total rate coefficient is predicted to be 1.42 × 105 M–1 s–1, which is much smaller than the ones for reactions of trans-resveratrol with •OH radicals, but still important. Since the •OOH half-life time is several orders larger than the one of the •OH radical, it should contribute significantly to trans-resveratrol oxidation in aqueous biological media. Thus, trans-resveratrol may act as an efficient •OOH, and also presumably •OOR, radical scavenger.","container-title":"The Journal of Organic Chemistry","DOI":"10.1021/jo3002134","ISSN":"0022-3263","issue":"8","journalAbbreviation":"J. Org. Chem.","note":"publisher: American Chemical Society","page":"3868-3877","source":"ACS Publications","title":"Antioxidant Activity of trans-Resveratrol toward Hydroxyl and Hydroperoxyl Radicals: A Quantum Chemical and Computational Kinetics Study","title-short":"Antioxidant Activity of trans-Resveratrol toward Hydroxyl and Hydroperoxyl Radicals","volume":"77","author":[{"family":"Iuga","given":"Cristina"},{"family":"Alvarez-Idaboy","given":"J. Raúl"},{"family":"Russo","given":"Nino"}],"issued":{"date-parts":[["2012",4,20]]}}}],"schema":"https://github.com/citation-style-language/schema/raw/master/csl-citation.json"} </w:instrText>
      </w:r>
      <w:r w:rsidRPr="00735FCE">
        <w:fldChar w:fldCharType="separate"/>
      </w:r>
      <w:r w:rsidR="00281437" w:rsidRPr="00281437">
        <w:rPr>
          <w:vertAlign w:val="superscript"/>
        </w:rPr>
        <w:t>303</w:t>
      </w:r>
      <w:r w:rsidRPr="00735FCE">
        <w:fldChar w:fldCharType="end"/>
      </w:r>
      <w:r w:rsidRPr="00735FCE">
        <w:t>. In lipid-based systems, RES delays lipid oxidation, prevents the accumulation of toxic peroxidation products, and extends the chemical stability of lipid-rich pharmaceutical and food formulations</w:t>
      </w:r>
      <w:r>
        <w:t xml:space="preserve"> </w:t>
      </w:r>
      <w:r w:rsidRPr="00735FCE">
        <w:fldChar w:fldCharType="begin"/>
      </w:r>
      <w:r w:rsidR="00281437">
        <w:instrText xml:space="preserve"> ADDIN ZOTERO_ITEM CSL_CITATION {"citationID":"5Hcuwq7S","properties":{"formattedCitation":"\\super 304,305\\nosupersub{}","plainCitation":"304,305","noteIndex":0},"citationItems":[{"id":3326,"uris":["http://zotero.org/users/9622455/items/27PAEKU6"],"itemData":{"id":3326,"type":"article-journal","abstract":"A number of small molecules with the ability to extend the lifespan of multiple organisms have recently been discovered. Resveratrol, amongst the most prominent of these, has gained widespread attention due to its ability to extend the lifespan of yeast, worms, and flies, and its ability to protect against age-related diseases such as cancer, Alzheimer's, and diabetes in mammals. In this review, we discuss the origins and molecular targets of resveratrol and provide an overview of its effects on the lifespan of simple model organisms and mammals. We also examine the unique ability of resveratrol to extend the healthy years, or healthspan, of mammals and its potential to counteract the symptoms of age-related disease. Finally, we explore the many scientific, medical, and economic challenges faced when translating these findings to the clinic, and examine potential approaches for realizing the possibility of human lifespan extension. This article is part of a Special Issue entitled: Resveratrol: Challenges in translating pre-clinical findings to improved patient outcomes.","collection-title":"Resveratrol: Challenges in translating pre-clinical findings to improved patient outcomes","container-title":"Biochimica et Biophysica Acta (BBA) - Molecular Basis of Disease","DOI":"10.1016/j.bbadis.2015.01.012","ISSN":"0925-4439","issue":"6","journalAbbreviation":"Biochimica et Biophysica Acta (BBA) - Molecular Basis of Disease","page":"1209-1218","source":"ScienceDirect","title":"Lifespan and healthspan extension by resveratrol","volume":"1852","author":[{"family":"Bhullar","given":"Khushwant S."},{"family":"Hubbard","given":"Basil P."}],"issued":{"date-parts":[["2015",6,1]]}}},{"id":3321,"uris":["http://zotero.org/users/9622455/items/UWRBMEAE"],"itemData":{"id":3321,"type":"article-journal","abstract":"Resveratrol, a natural product, is known to affect a broad range of intracellular mediators. In the present study, we clarified the antioxidant activity of resveratrol by employing various in vitro antioxidant assays such as DPPH•, ABTS•+, DMPD•+, O2•− and H2O2 scavenging activities, total antioxidant activity, reducing abilities, and Fe2+ chelating activities. Resveratrol inhibited 89.1% of the lipid peroxidation of linoleic acid emulsion at 30µg/mL concentration. On the other hand, BHA, BHT, α-tocopherol, and trolox exhibited inhibitions of 83.3, 82.1, 68.1, and 81.3% against peroxidation of linoleic acid emulsion at the same concentration, respectively. In addition, resveratrol had effective DPPH•, ABTS•+, DMPD•+, O2•− and H2O2 scavenging activities, reducing power, and Fe2+ chelating activities. The present study found that resveratrol had effective in vitro antioxidant and radical scavenging activity. It can be used in pharmacological and food industry due to its antioxidant properties.\nIndustrial relevance\nAntioxidants are often added to foods to prevent the radical chain reactions of oxidation and they act by inhibiting the initiation and propagation step leading to the termination of the reaction and delay the oxidation process. At the present time, the most commonly used antioxidants are BHA, BHT, propylgallate and tert-butyl hydroquinone. Besides that BHA and BHT are restricted by legislative rules because of doubts over their toxic and carcinogenic effects. Therefore, there is a growing interest on natural and safer antioxidants in food applications, and a growing trend in consumer preferences for natural antioxidants, all of which has given more impetus to explore natural sources of antioxidants. A variety of foods and beverages of vegetable origin contain several nonflavonoid classes of phenolic compounds synthesized by plants. Among them, resveratrol has been identified as the major active compound of stilbene phytoalexins and is presumed to be beneficial for human health. Resveratrol is naturally occurring in the fruits and leaves of edible plants, peanuts, mulberries, grapes and red wine. Resveratrol is currently in the limelight all over the world due to their beneficial effects on the human body. Resveratrol can be used for minimizing or preventing lipid oxidation in pharmaceutical products, retarding the formation of toxic oxidation products, maintaining nutritional quality and prolonging the shelf life of food products and pharmaceuticals instead of BHA and BHT and other antioxidant compounds because of their safer usage.","container-title":"Innovative Food Science &amp; Emerging Technologies","DOI":"10.1016/j.ifset.2009.07.002","ISSN":"1466-8564","issue":"1","journalAbbreviation":"Innovative Food Science &amp; Emerging Technologies","page":"210-218","source":"ScienceDirect","title":"Antioxidant properties of resveratrol: A structure–activity insight","title-short":"Antioxidant properties of resveratrol","volume":"11","author":[{"family":"Gülçin","given":"İlhami"}],"issued":{"date-parts":[["2010",1,1]]}}}],"schema":"https://github.com/citation-style-language/schema/raw/master/csl-citation.json"} </w:instrText>
      </w:r>
      <w:r w:rsidRPr="00735FCE">
        <w:fldChar w:fldCharType="separate"/>
      </w:r>
      <w:r w:rsidR="00281437" w:rsidRPr="00281437">
        <w:rPr>
          <w:vertAlign w:val="superscript"/>
        </w:rPr>
        <w:t>304,305</w:t>
      </w:r>
      <w:r w:rsidRPr="00735FCE">
        <w:fldChar w:fldCharType="end"/>
      </w:r>
      <w:r w:rsidRPr="00735FCE">
        <w:t>. In cellular models, pretreatment with RES improved survival under oxidative challenge</w:t>
      </w:r>
      <w:r>
        <w:t>s</w:t>
      </w:r>
      <w:r w:rsidRPr="00735FCE">
        <w:t xml:space="preserve"> from hydrogen peroxide and ultraviolet irradiation</w:t>
      </w:r>
      <w:r>
        <w:t xml:space="preserve"> </w:t>
      </w:r>
      <w:r w:rsidRPr="00735FCE">
        <w:fldChar w:fldCharType="begin"/>
      </w:r>
      <w:r w:rsidR="00281437">
        <w:instrText xml:space="preserve"> ADDIN ZOTERO_ITEM CSL_CITATION {"citationID":"nqTXj0Tg","properties":{"formattedCitation":"\\super 306,307\\nosupersub{}","plainCitation":"306,307","noteIndex":0},"citationItems":[{"id":3331,"uris":["http://zotero.org/users/9622455/items/UDMA2B2F"],"itemData":{"id":3331,"type":"article-journal","abstract":"The polyphenolic phytostilbene, trans-resveratrol, is found in high amounts in several types and tissues of plants, including grapes, and has been proposed to have beneficial effects in the central nervous system due to its activity as an antioxidant. The objective of the present study was to identify the mechanisms underlying the protective effects of resveratrol under conditions of oxidative stress or DNA damage, induced by the extracellularly applied oxidant, tert-butyl hydrogen peroxide, or UV-irradiation, respectively. In C6 glioma cells, a model system for glial cell biology and pharmacology, resveratrol was protective against both types of insult. Prevention of tau protein cleavage and of the formation of neurofibrillary tangles were identified as mechanisms of action of resveratrol-mediated protection in both paradigms of cellular damage. However, depending on the type of insult, resveratrol exerted its protective activity differentially: under conditions of chemically induced oxidative stress, inhibition of caspase activity, while with DNA damage, resveratrol regulated tau phosphorylation at Ser422. Results advance our understanding of resveratrol’s complex impact on cellular signaling pathway and contribute to the notion of resveratrol’s role as a pleiotropic therapeutic agent.","container-title":"International Journal of Molecular Sciences","DOI":"10.3390/ijms18071521","ISSN":"1422-0067","issue":"7","language":"en","license":"http://creativecommons.org/licenses/by/3.0/","note":"number: 7\npublisher: Multidisciplinary Digital Publishing Institute","page":"1521","source":"www.mdpi.com","title":"Distinct Mechanisms Underlying Resveratrol-Mediated Protection from Types of Cellular Stress in C6 Glioma Cells","volume":"18","author":[{"family":"Means","given":"John C."},{"family":"Gerdes","given":"Bryan C."},{"family":"Koulen","given":"Peter"}],"issued":{"date-parts":[["2017",7]]}}},{"id":3328,"uris":["http://zotero.org/users/9622455/items/G6LHUKP6"],"itemData":{"id":3328,"type":"article-journal","abstract":"Resveratrol, a natural phenolic compound, has been shown to prevent cardiovascular diseases and cancer and exhibit neuroprotective effects. In this study, we examined the neuroprotective and antioxidant effects of resveratrol against hydrogen peroxide in embryonic neural stem cells. Hydrogen peroxide treatment alone increased catalase and glutathione peroxidase activities but did not change superoxide dismutase levels compared with hydrogen peroxide + resveratrol treatment. Nitric oxide synthase activity and concomitant nitric oxide levels increased in response to hydrogen peroxide treatment. Conversely, resveratrol treatment decreased nitric oxide synthase activity and nitric oxide levels. Resveratrol also attenuated hydrogen peroxide-induced nuclear or mitochondrial DNA damage. We propose that resveratrol may be a promising agent for protecting embryonic neural stem cells because of its potential to decrease oxidative stress by inducing higher activity of antioxidant enzymes, decreasing nitric oxide production and nitric oxide synthase activity, and alleviating both nuclear and mitochondrial DNA damage.","container-title":"Neural Regeneration Research","DOI":"10.3969/j.issn.1673-5374.2013.06.001","ISSN":"1673-5374","issue":"6","journalAbbreviation":"Neural Regen Res","note":"PMID: 25206691\nPMCID: PMC4146049","page":"485-495","source":"PubMed Central","title":"Effects of resveratrol on hydrogen peroxide-induced oxidative stress in embryonic neural stem cells","volume":"8","author":[{"family":"Konyalioglu","given":"Sibel"},{"family":"Armagan","given":"Guliz"},{"family":"Yalcin","given":"Ayfer"},{"family":"Atalayin","given":"Cigdem"},{"family":"Dagci","given":"Taner"}],"issued":{"date-parts":[["2013",2,25]]}}}],"schema":"https://github.com/citation-style-language/schema/raw/master/csl-citation.json"} </w:instrText>
      </w:r>
      <w:r w:rsidRPr="00735FCE">
        <w:fldChar w:fldCharType="separate"/>
      </w:r>
      <w:r w:rsidR="00281437" w:rsidRPr="00281437">
        <w:rPr>
          <w:vertAlign w:val="superscript"/>
        </w:rPr>
        <w:t>306,307</w:t>
      </w:r>
      <w:r w:rsidRPr="00735FCE">
        <w:fldChar w:fldCharType="end"/>
      </w:r>
      <w:r w:rsidRPr="00735FCE">
        <w:t xml:space="preserve">. This protective effect </w:t>
      </w:r>
      <w:r>
        <w:t>wa</w:t>
      </w:r>
      <w:r w:rsidRPr="00735FCE">
        <w:t>s partly attributed to its ability to induce cellular antioxidant systems. For example, RES increase</w:t>
      </w:r>
      <w:r>
        <w:t>d</w:t>
      </w:r>
      <w:r w:rsidRPr="00735FCE">
        <w:t xml:space="preserve"> the levels of heme oxygenase-1 (HO-1), carbon monoxide, and free iron, </w:t>
      </w:r>
      <w:r>
        <w:t>all of which possess</w:t>
      </w:r>
      <w:r w:rsidRPr="00735FCE">
        <w:t xml:space="preserve"> anti</w:t>
      </w:r>
      <w:r>
        <w:t>oxidant</w:t>
      </w:r>
      <w:r w:rsidRPr="00735FCE">
        <w:t xml:space="preserve"> and anti-inflammatory properties</w:t>
      </w:r>
      <w:r>
        <w:t xml:space="preserve"> </w:t>
      </w:r>
      <w:r w:rsidRPr="00735FCE">
        <w:fldChar w:fldCharType="begin"/>
      </w:r>
      <w:r w:rsidR="00281437">
        <w:instrText xml:space="preserve"> ADDIN ZOTERO_ITEM CSL_CITATION {"citationID":"fqKxFuMY","properties":{"formattedCitation":"\\super 308\\nosupersub{}","plainCitation":"308","noteIndex":0},"citationItems":[{"id":3333,"uris":["http://zotero.org/users/9622455/items/84RC9HWW"],"itemData":{"id":3333,"type":"article-journal","abstract":"Heme oxygenase-1 (HO-1) is an intracellular enzyme that catalyzes the oxidation of heme to generate ferrous iron, carbon monoxide (CO), and biliverdin, which is subsequently converted to bilirubin. These products have anti-inflammatory, anti-oxidant, anti-apoptotic, and anti-thrombotic properties. Although HO-1 is expressed at low levels in most tissues under basal conditions, it is highly inducible in response to various pathophysiological stresses/stimuli. HO-1 induction is thus thought to be an adaptive defense system that functions to protect cells and tissues against injury in many disease settings. In atherosclerosis, HO-1 may play a protective role against the progression of atherosclerosis, mainly due to the degradation of pro-oxidant heme, the generation of anti-oxidants biliverdin and bilirubin and the production of vasodilator CO. In animal models, a lack of HO-1 was shown to accelerate atherosclerosis, whereas HO-1 induction reduced atherosclerosis. It was also reported that HO-1 induction improved the cardiac function and postinfarction survival in animal models of heart failure or myocardial infarction. Recently, we and others examined blood HO-1 levels in patients with atherosclerotic diseases, e.g., coronary artery disease (CAD) and peripheral artery disease (PAD). Taken together, these findings to date support the notion that HO-1 plays a protective role against the progression of atherosclerotic diseases. This review summarizes the roles of HO-1 in atherosclerosis and focuses on the clinical studies that examined the relationships between HO-1 levels and atherosclerotic diseases.","container-title":"International Journal of Molecular Sciences","DOI":"10.3390/ijms20153628","ISSN":"1422-0067","issue":"15","journalAbbreviation":"Int J Mol Sci","note":"PMID: 31344980\nPMCID: PMC6695885","page":"3628","source":"PubMed Central","title":"The Protective Role of Heme Oxygenase-1 in Atherosclerotic Diseases","volume":"20","author":[{"family":"Kishimoto","given":"Yoshimi"},{"family":"Kondo","given":"Kazuo"},{"family":"Momiyama","given":"Yukihiko"}],"issued":{"date-parts":[["2019",7,24]]}}}],"schema":"https://github.com/citation-style-language/schema/raw/master/csl-citation.json"} </w:instrText>
      </w:r>
      <w:r w:rsidRPr="00735FCE">
        <w:fldChar w:fldCharType="separate"/>
      </w:r>
      <w:r w:rsidR="00281437" w:rsidRPr="00281437">
        <w:rPr>
          <w:vertAlign w:val="superscript"/>
        </w:rPr>
        <w:t>308</w:t>
      </w:r>
      <w:r w:rsidRPr="00735FCE">
        <w:fldChar w:fldCharType="end"/>
      </w:r>
      <w:r w:rsidRPr="00735FCE">
        <w:t>. RES decrease</w:t>
      </w:r>
      <w:r>
        <w:t>d</w:t>
      </w:r>
      <w:r w:rsidRPr="00735FCE">
        <w:t xml:space="preserve"> the tissue level </w:t>
      </w:r>
      <w:r>
        <w:t xml:space="preserve">of </w:t>
      </w:r>
      <w:r w:rsidRPr="00735FCE">
        <w:t>ROS</w:t>
      </w:r>
      <w:r>
        <w:t xml:space="preserve"> </w:t>
      </w:r>
      <w:r w:rsidRPr="00735FCE">
        <w:t xml:space="preserve">and thus </w:t>
      </w:r>
      <w:r>
        <w:t xml:space="preserve">reduced </w:t>
      </w:r>
      <w:r w:rsidRPr="00735FCE">
        <w:t>oxidative stress</w:t>
      </w:r>
      <w:r>
        <w:t xml:space="preserve"> </w:t>
      </w:r>
      <w:r w:rsidRPr="00735FCE">
        <w:t>by activating HO-</w:t>
      </w:r>
      <w:r>
        <w:t xml:space="preserve">1 </w:t>
      </w:r>
      <w:r w:rsidRPr="00735FCE">
        <w:fldChar w:fldCharType="begin"/>
      </w:r>
      <w:r w:rsidR="00281437">
        <w:instrText xml:space="preserve"> ADDIN ZOTERO_ITEM CSL_CITATION {"citationID":"kr01dK2V","properties":{"formattedCitation":"\\super 308\\nosupersub{}","plainCitation":"308","noteIndex":0},"citationItems":[{"id":3333,"uris":["http://zotero.org/users/9622455/items/84RC9HWW"],"itemData":{"id":3333,"type":"article-journal","abstract":"Heme oxygenase-1 (HO-1) is an intracellular enzyme that catalyzes the oxidation of heme to generate ferrous iron, carbon monoxide (CO), and biliverdin, which is subsequently converted to bilirubin. These products have anti-inflammatory, anti-oxidant, anti-apoptotic, and anti-thrombotic properties. Although HO-1 is expressed at low levels in most tissues under basal conditions, it is highly inducible in response to various pathophysiological stresses/stimuli. HO-1 induction is thus thought to be an adaptive defense system that functions to protect cells and tissues against injury in many disease settings. In atherosclerosis, HO-1 may play a protective role against the progression of atherosclerosis, mainly due to the degradation of pro-oxidant heme, the generation of anti-oxidants biliverdin and bilirubin and the production of vasodilator CO. In animal models, a lack of HO-1 was shown to accelerate atherosclerosis, whereas HO-1 induction reduced atherosclerosis. It was also reported that HO-1 induction improved the cardiac function and postinfarction survival in animal models of heart failure or myocardial infarction. Recently, we and others examined blood HO-1 levels in patients with atherosclerotic diseases, e.g., coronary artery disease (CAD) and peripheral artery disease (PAD). Taken together, these findings to date support the notion that HO-1 plays a protective role against the progression of atherosclerotic diseases. This review summarizes the roles of HO-1 in atherosclerosis and focuses on the clinical studies that examined the relationships between HO-1 levels and atherosclerotic diseases.","container-title":"International Journal of Molecular Sciences","DOI":"10.3390/ijms20153628","ISSN":"1422-0067","issue":"15","journalAbbreviation":"Int J Mol Sci","note":"PMID: 31344980\nPMCID: PMC6695885","page":"3628","source":"PubMed Central","title":"The Protective Role of Heme Oxygenase-1 in Atherosclerotic Diseases","volume":"20","author":[{"family":"Kishimoto","given":"Yoshimi"},{"family":"Kondo","given":"Kazuo"},{"family":"Momiyama","given":"Yukihiko"}],"issued":{"date-parts":[["2019",7,24]]}}}],"schema":"https://github.com/citation-style-language/schema/raw/master/csl-citation.json"} </w:instrText>
      </w:r>
      <w:r w:rsidRPr="00735FCE">
        <w:fldChar w:fldCharType="separate"/>
      </w:r>
      <w:r w:rsidR="00281437" w:rsidRPr="00281437">
        <w:rPr>
          <w:vertAlign w:val="superscript"/>
        </w:rPr>
        <w:t>308</w:t>
      </w:r>
      <w:r w:rsidRPr="00735FCE">
        <w:fldChar w:fldCharType="end"/>
      </w:r>
      <w:r w:rsidRPr="00735FCE">
        <w:t>. Key antioxidant enzymes</w:t>
      </w:r>
      <w:r>
        <w:t xml:space="preserve">, </w:t>
      </w:r>
      <w:r w:rsidRPr="00735FCE">
        <w:t>such as glutathione peroxidase, superoxid</w:t>
      </w:r>
      <w:r>
        <w:t>e</w:t>
      </w:r>
      <w:r w:rsidRPr="00735FCE">
        <w:t xml:space="preserve"> dismutase (SOD), and glutathione</w:t>
      </w:r>
      <w:r>
        <w:t>,</w:t>
      </w:r>
      <w:r w:rsidRPr="00735FCE">
        <w:t xml:space="preserve"> </w:t>
      </w:r>
      <w:r>
        <w:t>were</w:t>
      </w:r>
      <w:r w:rsidRPr="00735FCE">
        <w:t xml:space="preserve"> also enhanced by RES</w:t>
      </w:r>
      <w:r>
        <w:t xml:space="preserve"> </w:t>
      </w:r>
      <w:r w:rsidRPr="00735FCE">
        <w:fldChar w:fldCharType="begin"/>
      </w:r>
      <w:r w:rsidR="00281437">
        <w:instrText xml:space="preserve"> ADDIN ZOTERO_ITEM CSL_CITATION {"citationID":"9pqEeMx1","properties":{"formattedCitation":"\\super 309\\nosupersub{}","plainCitation":"309","noteIndex":0},"citationItems":[{"id":3338,"uris":["http://zotero.org/users/9622455/items/8BVCKZBD"],"itemData":{"</w:instrText>
      </w:r>
      <w:r w:rsidR="00281437">
        <w:rPr>
          <w:rFonts w:hint="eastAsia"/>
        </w:rPr>
        <w:instrText>id":3338,"type":"article-journal","abstract":"The antioxidant activities of trans-resveratrol (trans-3,5,4</w:instrText>
      </w:r>
      <w:r w:rsidR="00281437">
        <w:rPr>
          <w:rFonts w:hint="eastAsia"/>
        </w:rPr>
        <w:instrText>′</w:instrText>
      </w:r>
      <w:r w:rsidR="00281437">
        <w:rPr>
          <w:rFonts w:hint="eastAsia"/>
        </w:rPr>
        <w:instrText>-trihydroxystilbene) and trans-piceid (trans-5,4</w:instrText>
      </w:r>
      <w:r w:rsidR="00281437">
        <w:rPr>
          <w:rFonts w:hint="eastAsia"/>
        </w:rPr>
        <w:instrText>′</w:instrText>
      </w:r>
      <w:r w:rsidR="00281437">
        <w:rPr>
          <w:rFonts w:hint="eastAsia"/>
        </w:rPr>
        <w:instrText>-dihydroxystilbene-3-O-</w:instrText>
      </w:r>
      <w:r w:rsidR="00281437">
        <w:rPr>
          <w:rFonts w:hint="eastAsia"/>
        </w:rPr>
        <w:instrText>β</w:instrText>
      </w:r>
      <w:r w:rsidR="00281437">
        <w:rPr>
          <w:rFonts w:hint="eastAsia"/>
        </w:rPr>
        <w:instrText xml:space="preserve">-d-glucopyranoside), its more widespread glycosilate derivative, have been </w:instrText>
      </w:r>
      <w:r w:rsidR="00281437">
        <w:instrText xml:space="preserve">compared measuring their inhibitory action on peroxidation of linoleic acid (LA) and the radical scavenging ability towards different free radicals (such as DPPH) and radical initiators. It has been found that the two stilbenes have similar antioxidant capacity, while the comparison with BHT (2,6-di-tert-butyl-4-methylphenol) and α-tocopherol (vitamin E, vit. E), taken as reference, points out a slower but prolonged protective action against lipid peroxidation. Furthermore, piceid appears more efficacious than resveratrol as a consequence of the reaction of the latter with its radical form. The DSC profiles of phosphatidylcholine liposomes of various chain lengths, and EPR measurements of spin labelled liposomes demonstrated that the susceptible hydroxyl group of these compounds are located in the lipid region of the bilayer close to the double bonds of polyunsatured fatty acids, making these stilbenes particularly suitable for the prevention and control of the lipid peroxidation of the membranes.","container-title":"Biophysical Chemistry","DOI":"10.1016/j.bpc.2008.03.005","ISSN":"0301-4622","issue":"1","journalAbbreviation":"Biophysical Chemistry","page":"76-83","source":"ScienceDirect","title":"Antioxidant properties of resveratrol and piceid on lipid peroxidation in micelles and monolamellar liposomes","volume":"135","author":[{"family":"Fabris","given":"Sabrina"},{"family":"Momo","given":"Federico"},{"family":"Ravagnan","given":"Giampietro"},{"family":"Stevanato","given":"Roberto"}],"issued":{"date-parts":[["2008",6,1]]}}}],"schema":"https://github.com/citation-style-language/schema/raw/master/csl-citation.json"} </w:instrText>
      </w:r>
      <w:r w:rsidRPr="00735FCE">
        <w:fldChar w:fldCharType="separate"/>
      </w:r>
      <w:r w:rsidR="00281437" w:rsidRPr="00281437">
        <w:rPr>
          <w:vertAlign w:val="superscript"/>
        </w:rPr>
        <w:t>309</w:t>
      </w:r>
      <w:r w:rsidRPr="00735FCE">
        <w:fldChar w:fldCharType="end"/>
      </w:r>
      <w:r w:rsidRPr="00735FCE">
        <w:t>. In parallel, it decrease</w:t>
      </w:r>
      <w:r>
        <w:t>d</w:t>
      </w:r>
      <w:r w:rsidRPr="00735FCE">
        <w:t xml:space="preserve"> oxidative damage indicators</w:t>
      </w:r>
      <w:r>
        <w:t>, such as</w:t>
      </w:r>
      <w:r w:rsidRPr="00735FCE">
        <w:t xml:space="preserve"> malondialdehyde</w:t>
      </w:r>
      <w:r>
        <w:t>,</w:t>
      </w:r>
      <w:r w:rsidRPr="00735FCE">
        <w:t xml:space="preserve"> while suppressing inflammatory mediators</w:t>
      </w:r>
      <w:r>
        <w:t>,</w:t>
      </w:r>
      <w:r w:rsidRPr="00735FCE">
        <w:t xml:space="preserve"> </w:t>
      </w:r>
      <w:r>
        <w:t xml:space="preserve">including </w:t>
      </w:r>
      <w:r w:rsidRPr="00735FCE">
        <w:t>TNF-α</w:t>
      </w:r>
      <w:r>
        <w:t xml:space="preserve"> </w:t>
      </w:r>
      <w:r w:rsidRPr="00735FCE">
        <w:fldChar w:fldCharType="begin"/>
      </w:r>
      <w:r w:rsidR="00281437">
        <w:instrText xml:space="preserve"> ADDIN ZOTERO_ITEM CSL_CITATION {"citationID":"FQJUvcOK","properties":{"formattedCitation":"\\super 309\\nosupersub{}","plainCitation":"309","noteIndex":0},"citationItems":[{"id":3338,"uris":["http://zotero.org/users/9622455/items/8BVCKZBD"],"itemData":{"</w:instrText>
      </w:r>
      <w:r w:rsidR="00281437">
        <w:rPr>
          <w:rFonts w:hint="eastAsia"/>
        </w:rPr>
        <w:instrText>id":3338,"type":"article-journal","abstract":"The antioxidant activities of trans-resveratrol (trans-3,5,4</w:instrText>
      </w:r>
      <w:r w:rsidR="00281437">
        <w:rPr>
          <w:rFonts w:hint="eastAsia"/>
        </w:rPr>
        <w:instrText>′</w:instrText>
      </w:r>
      <w:r w:rsidR="00281437">
        <w:rPr>
          <w:rFonts w:hint="eastAsia"/>
        </w:rPr>
        <w:instrText>-trihydroxystilbene) and trans-piceid (trans-5,4</w:instrText>
      </w:r>
      <w:r w:rsidR="00281437">
        <w:rPr>
          <w:rFonts w:hint="eastAsia"/>
        </w:rPr>
        <w:instrText>′</w:instrText>
      </w:r>
      <w:r w:rsidR="00281437">
        <w:rPr>
          <w:rFonts w:hint="eastAsia"/>
        </w:rPr>
        <w:instrText>-dihydroxystilbene-3-O-</w:instrText>
      </w:r>
      <w:r w:rsidR="00281437">
        <w:rPr>
          <w:rFonts w:hint="eastAsia"/>
        </w:rPr>
        <w:instrText>β</w:instrText>
      </w:r>
      <w:r w:rsidR="00281437">
        <w:rPr>
          <w:rFonts w:hint="eastAsia"/>
        </w:rPr>
        <w:instrText xml:space="preserve">-d-glucopyranoside), its more widespread glycosilate derivative, have been </w:instrText>
      </w:r>
      <w:r w:rsidR="00281437">
        <w:instrText xml:space="preserve">compared measuring their inhibitory action on peroxidation of linoleic acid (LA) and the radical scavenging ability towards different free radicals (such as DPPH) and radical initiators. It has been found that the two stilbenes have similar antioxidant capacity, while the comparison with BHT (2,6-di-tert-butyl-4-methylphenol) and α-tocopherol (vitamin E, vit. E), taken as reference, points out a slower but prolonged protective action against lipid peroxidation. Furthermore, piceid appears more efficacious than resveratrol as a consequence of the reaction of the latter with its radical form. The DSC profiles of phosphatidylcholine liposomes of various chain lengths, and EPR measurements of spin labelled liposomes demonstrated that the susceptible hydroxyl group of these compounds are located in the lipid region of the bilayer close to the double bonds of polyunsatured fatty acids, making these stilbenes particularly suitable for the prevention and control of the lipid peroxidation of the membranes.","container-title":"Biophysical Chemistry","DOI":"10.1016/j.bpc.2008.03.005","ISSN":"0301-4622","issue":"1","journalAbbreviation":"Biophysical Chemistry","page":"76-83","source":"ScienceDirect","title":"Antioxidant properties of resveratrol and piceid on lipid peroxidation in micelles and monolamellar liposomes","volume":"135","author":[{"family":"Fabris","given":"Sabrina"},{"family":"Momo","given":"Federico"},{"family":"Ravagnan","given":"Giampietro"},{"family":"Stevanato","given":"Roberto"}],"issued":{"date-parts":[["2008",6,1]]}}}],"schema":"https://github.com/citation-style-language/schema/raw/master/csl-citation.json"} </w:instrText>
      </w:r>
      <w:r w:rsidRPr="00735FCE">
        <w:fldChar w:fldCharType="separate"/>
      </w:r>
      <w:r w:rsidR="00281437" w:rsidRPr="00281437">
        <w:rPr>
          <w:vertAlign w:val="superscript"/>
        </w:rPr>
        <w:t>309</w:t>
      </w:r>
      <w:r w:rsidRPr="00735FCE">
        <w:fldChar w:fldCharType="end"/>
      </w:r>
      <w:r w:rsidRPr="00735FCE">
        <w:t>. These effects have been validated in organs exposed to oxidative injury, such as the liver and kidney</w:t>
      </w:r>
      <w:r>
        <w:t>s,</w:t>
      </w:r>
      <w:r w:rsidRPr="00735FCE">
        <w:t xml:space="preserve"> in septic models</w:t>
      </w:r>
      <w:r>
        <w:t xml:space="preserve"> </w:t>
      </w:r>
      <w:r w:rsidRPr="00735FCE">
        <w:fldChar w:fldCharType="begin"/>
      </w:r>
      <w:r w:rsidR="00281437">
        <w:instrText xml:space="preserve"> ADDIN ZOTERO_ITEM CSL_CITATION {"citationID":"1Ji4JV1Y","properties":{"formattedCitation":"\\super 309\\nosupersub{}","plainCitation":"309","noteIndex":0},"citationItems":[{"id":3338,"uris":["http://zotero.org/users/9622455/items/8BVCKZBD"],"itemData":{"</w:instrText>
      </w:r>
      <w:r w:rsidR="00281437">
        <w:rPr>
          <w:rFonts w:hint="eastAsia"/>
        </w:rPr>
        <w:instrText>id":3338,"type":"article-journal","abstract":"The antioxidant activities of trans-resveratrol (trans-3,5,4</w:instrText>
      </w:r>
      <w:r w:rsidR="00281437">
        <w:rPr>
          <w:rFonts w:hint="eastAsia"/>
        </w:rPr>
        <w:instrText>′</w:instrText>
      </w:r>
      <w:r w:rsidR="00281437">
        <w:rPr>
          <w:rFonts w:hint="eastAsia"/>
        </w:rPr>
        <w:instrText>-trihydroxystilbene) and trans-piceid (trans-5,4</w:instrText>
      </w:r>
      <w:r w:rsidR="00281437">
        <w:rPr>
          <w:rFonts w:hint="eastAsia"/>
        </w:rPr>
        <w:instrText>′</w:instrText>
      </w:r>
      <w:r w:rsidR="00281437">
        <w:rPr>
          <w:rFonts w:hint="eastAsia"/>
        </w:rPr>
        <w:instrText>-dihydroxystilbene-3-O-</w:instrText>
      </w:r>
      <w:r w:rsidR="00281437">
        <w:rPr>
          <w:rFonts w:hint="eastAsia"/>
        </w:rPr>
        <w:instrText>β</w:instrText>
      </w:r>
      <w:r w:rsidR="00281437">
        <w:rPr>
          <w:rFonts w:hint="eastAsia"/>
        </w:rPr>
        <w:instrText xml:space="preserve">-d-glucopyranoside), its more widespread glycosilate derivative, have been </w:instrText>
      </w:r>
      <w:r w:rsidR="00281437">
        <w:instrText xml:space="preserve">compared measuring their inhibitory action on peroxidation of linoleic acid (LA) and the radical scavenging ability towards different free radicals (such as DPPH) and radical initiators. It has been found that the two stilbenes have similar antioxidant capacity, while the comparison with BHT (2,6-di-tert-butyl-4-methylphenol) and α-tocopherol (vitamin E, vit. E), taken as reference, points out a slower but prolonged protective action against lipid peroxidation. Furthermore, piceid appears more efficacious than resveratrol as a consequence of the reaction of the latter with its radical form. The DSC profiles of phosphatidylcholine liposomes of various chain lengths, and EPR measurements of spin labelled liposomes demonstrated that the susceptible hydroxyl group of these compounds are located in the lipid region of the bilayer close to the double bonds of polyunsatured fatty acids, making these stilbenes particularly suitable for the prevention and control of the lipid peroxidation of the membranes.","container-title":"Biophysical Chemistry","DOI":"10.1016/j.bpc.2008.03.005","ISSN":"0301-4622","issue":"1","journalAbbreviation":"Biophysical Chemistry","page":"76-83","source":"ScienceDirect","title":"Antioxidant properties of resveratrol and piceid on lipid peroxidation in micelles and monolamellar liposomes","volume":"135","author":[{"family":"Fabris","given":"Sabrina"},{"family":"Momo","given":"Federico"},{"family":"Ravagnan","given":"Giampietro"},{"family":"Stevanato","given":"Roberto"}],"issued":{"date-parts":[["2008",6,1]]}}}],"schema":"https://github.com/citation-style-language/schema/raw/master/csl-citation.json"} </w:instrText>
      </w:r>
      <w:r w:rsidRPr="00735FCE">
        <w:fldChar w:fldCharType="separate"/>
      </w:r>
      <w:r w:rsidR="00281437" w:rsidRPr="00281437">
        <w:rPr>
          <w:vertAlign w:val="superscript"/>
        </w:rPr>
        <w:t>309</w:t>
      </w:r>
      <w:r w:rsidRPr="00735FCE">
        <w:fldChar w:fldCharType="end"/>
      </w:r>
      <w:r w:rsidRPr="00735FCE">
        <w:t>. These antioxidant effects help mitigate endothelial dysfunction and vascular oxidative damage, which are</w:t>
      </w:r>
      <w:r>
        <w:t xml:space="preserve"> significant</w:t>
      </w:r>
      <w:r w:rsidRPr="00735FCE">
        <w:t xml:space="preserve"> contributors to atherosclerosis</w:t>
      </w:r>
      <w:r>
        <w:t xml:space="preserve"> </w:t>
      </w:r>
      <w:r w:rsidRPr="00735FCE">
        <w:fldChar w:fldCharType="begin"/>
      </w:r>
      <w:r w:rsidR="00281437">
        <w:instrText xml:space="preserve"> ADDIN ZOTERO_ITEM CSL_CITATION {"citationID":"7pxfH1TC","properties":{"formattedCitation":"\\super 310\\nosupersub{}","plainCitation":"310","noteIndex":0},"citationItems":[{"id":3341,"uris":["http://zotero.org/users/9622455/items/BILYMX75"],"itemData":{"id":3341,"type":"article-journal","abstract":"Background/Aims: Diabetic foot ulcers (DFUs) represent a serious challenge in clinical practice, in which the hyperglycemia-induced disturbance of angiogenesis and endothelial dysfunction play a crucial role. Resveratrol (RES), a potential agonist of silent information regulator 1 (SIRT1), can improve endothelial function and has strong pro-angiogenic properties, thus becoming a research focus for the treatment of DFUs; however, the underlying mechanism by which RES regulates these processes remains unclear. Therefore, we aimed to investigate whether RES exerts its protective role in diabetic wound healing by alleviating hyperglycemia-induced endothelial dysfunction and the disturbance of angiogenesis. Methods: We investigated the effects of RES on cell migration, proliferation, apoptosis, tube formation, and the underlying molecular mechanisms in high glucose (33 mM)-stimulated human umbilical vein endothelial cells (HUVECs) by semi-quantitative RT-PCR, western blot analysis, terminal deoxynucleotidyl transferase-mediated dUTP nick end labeling (TUNEL) staining, and immunofluorescence in vitro. We further explored the role of RES on endothelial dysfunction and wound healing disturbance in db/db mice by TUNEL staining, immunofluorescence, and photography in vivo. Results: We observed an obvious inhibition of hyperglycemia-triggered endothelial dysfunction and a disturbance of angiogenesis, followed by the promotion of diabetic wound healing via RES, along with restoration of the activity of the hyperglycemia-impaired SIRT1 signaling pathway. Pretreatment with EX-527, a SIRT1 inhibitor, abolished the RES-mediated endothelial protection and pro-angiogenesis action, and then delayed diabetic wound healing. Furthermore, examination of the overexpression of a transcription factor substrate of SIRT1, forkhead box O1 (FOXO1), in HUVECs and db/db mice revealed that RES activated SIRT1 to restore hyperglycemia-triggered endothelial dysfunction and disturbance of angiogenesis, followed by the promotion of diabetic wound healing in a c-Myc-dependent manner. Pretreatment with 10058-F4, a c-Myc inhibitor, repressed RES-mediated endothelial protection, angiogenesis, and diabetic wound healing. Conclusion: Our findings indicate that the positive role of RES in diabetic wound healing via its SIRT1-dependent endothelial protection and pro-angiogenic effects involves the inhibition of FOXO1 and the de-repression of c-Myc expression.","container-title":"Frontiers in Pharmacology","DOI":"10.3389/fphar.2019.00421","ISSN":"1663-9812","journalAbbreviation":"Front. Pharmacol.","language":"English","note":"publisher: Frontiers","source":"Frontiers","title":"Resveratrol Promotes Diabetic Wound Healing via SIRT1-FOXO1-c-Myc Signaling Pathway-Mediated Angiogenesis","URL":"https://www.frontiersin.org/journals/pharmacology/articles/10.3389/fphar.2019.00421/full","volume":"10","author":[{"family":"Huang","given":"Xiaozhong"},{"family":"Sun","given":"Jia"},{"family":"Chen","given":"Gen"},{"family":"Niu","given":"Chao"},{"family":"Wang","given":"Ying"},{"family":"Zhao","given":"Congcong"},{"family":"Sun","given":"Jian"},{"family":"Huang","given":"Huiya"},{"family":"Huang","given":"Shuai"},{"family":"Liang","given":"Yangzhi"},{"family":"Shen","given":"Yingjie"},{"family":"Cong","given":"Weitao"},{"family":"Jin","given":"Litai"},{"family":"Zhu","given":"Zhongxin"}],"accessed":{"date-parts":[["2025",6,11]]},"issued":{"date-parts":[["2019",4,24]]}}}],"schema":"https://github.com/citation-style-language/schema/raw/master/csl-citation.json"} </w:instrText>
      </w:r>
      <w:r w:rsidRPr="00735FCE">
        <w:fldChar w:fldCharType="separate"/>
      </w:r>
      <w:r w:rsidR="00281437" w:rsidRPr="00281437">
        <w:rPr>
          <w:vertAlign w:val="superscript"/>
        </w:rPr>
        <w:t>310</w:t>
      </w:r>
      <w:r w:rsidRPr="00735FCE">
        <w:fldChar w:fldCharType="end"/>
      </w:r>
      <w:r w:rsidRPr="00735FCE">
        <w:t>.</w:t>
      </w:r>
    </w:p>
    <w:p w14:paraId="2E508946" w14:textId="77777777" w:rsidR="009117C0" w:rsidRPr="00735FCE" w:rsidRDefault="009117C0" w:rsidP="00847BA5">
      <w:pPr>
        <w:pStyle w:val="Heading4"/>
      </w:pPr>
      <w:bookmarkStart w:id="76" w:name="_Toc200988059"/>
      <w:bookmarkStart w:id="77" w:name="_Toc201001674"/>
      <w:r w:rsidRPr="00735FCE">
        <w:t>Anti-</w:t>
      </w:r>
      <w:r>
        <w:t>I</w:t>
      </w:r>
      <w:r w:rsidRPr="00735FCE">
        <w:t xml:space="preserve">nflammatory </w:t>
      </w:r>
      <w:r>
        <w:t>E</w:t>
      </w:r>
      <w:r w:rsidRPr="00735FCE">
        <w:t>ffects</w:t>
      </w:r>
      <w:bookmarkEnd w:id="76"/>
      <w:bookmarkEnd w:id="77"/>
    </w:p>
    <w:p w14:paraId="62AF044A" w14:textId="38E9A50F" w:rsidR="009117C0" w:rsidRPr="00735FCE" w:rsidRDefault="009117C0" w:rsidP="00F5471F">
      <w:pPr>
        <w:ind w:firstLine="720"/>
        <w:jc w:val="left"/>
      </w:pPr>
      <w:r w:rsidRPr="00735FCE">
        <w:t xml:space="preserve">RES has anti-inflammatory activity targeting both </w:t>
      </w:r>
      <w:r>
        <w:t>pro-inflammatory</w:t>
      </w:r>
      <w:r w:rsidRPr="00735FCE">
        <w:t xml:space="preserve"> mediators and upstream signaling pathways. One </w:t>
      </w:r>
      <w:r>
        <w:t>primary</w:t>
      </w:r>
      <w:r w:rsidRPr="00735FCE">
        <w:t xml:space="preserve"> mechanism involves the inhibition of Toll-like receptors (TLRs), particularly TLR2 and TLR4, which are commonly upregulated by reactive oxygen species (ROS) and initiate innate immune responses</w:t>
      </w:r>
      <w:r>
        <w:t xml:space="preserve"> </w:t>
      </w:r>
      <w:r w:rsidRPr="00735FCE">
        <w:fldChar w:fldCharType="begin"/>
      </w:r>
      <w:r w:rsidR="00281437">
        <w:instrText xml:space="preserve"> ADDIN ZOTERO_ITEM CSL_CITATION {"citationID":"5EhTL8ZN","properties":{"formattedCitation":"\\super 311\\nosupersub{}","plainCitation":"311","noteIndex":0},"citationItems":[{"id":3298,"uris":["http://zotero.org/users/9622455/items/IZEMKIB9"],"itemData":{"id":3298,"type":"article-journal","abstract":"Neuroinflammation and reactive oxygen and nitrogen species are rapidly induced in the brain after acute cerebral injuries that are associated with an enhanced risk for epilepsy in humans and related animal models. These phenomena reinforce each others and persist during epileptogenesis as well as during chronic spontaneous seizures. Anti-inflammatory and anti-oxidant drugs transiently administered either before, or shortly after the clinical onset of symptomatic epilepsy, similarly block the progression of spontaneous seizures, and may delay their onset. Moreover, neuroprotection and rescue of cognitive deficits are also observed in the treated animals. Therefore, although these treatments do not prevent epilepsy development, they offer clinically relevant disease-modification effects. These therapeutic effects are mediated by targeting molecular signaling pathways such as the IL-1β−IL-1 receptor type 1 and TLR4, P2X7 receptors, the transcriptional anti-oxidant factor Nrf2, while the therapeutic impact of COX-2 inhibition for reducing spontaneous seizures remains controversial. Some anti-inflammatory and anti-oxidant drugs that are endowed of disease modification effects in preclinical models are already in medical use and have a safety profile, therefore, they provide potential re-purposed treatments for improving the disease course and for reducing seizure burden. Markers of neuroinflammation and oxidative stress can be measured in blood or by neuroimaging, therefore they represent testable prognostic and predictive biomarkers for selecting the patient‘s population at high risk for developing epilepsy therefore eligible for novel treatments. This article is part of the special issue entitled ‘New Epilepsy Therapies for the 21st Century – From Antiseizure Drugs to Prevention, Modification and Cure of Epilepsy’.","container-title":"Neuropharmacology","DOI":"10.1016/j.neuropharm.2019.107742","ISSN":"0028-3908","journalAbbreviation":"Neuropharmacology","page":"107742","source":"ScienceDirect","title":"Inflammation and reactive oxygen species as disease modifiers in epilepsy","volume":"167","author":[{"family":"Terrone","given":"Gaetano"},{"family":"Balosso","given":"Silvia"},{"family":"Pauletti","given":"Alberto"},{"family":"Ravizza","given":"Teresa"},{"family":"Vezzani","given":"Annamaria"}],"issued":{"date-parts":[["2020",5,1]]}}}],"schema":"https://github.com/citation-style-language/schema/raw/master/csl-citation.json"} </w:instrText>
      </w:r>
      <w:r w:rsidRPr="00735FCE">
        <w:fldChar w:fldCharType="separate"/>
      </w:r>
      <w:r w:rsidR="00281437" w:rsidRPr="00281437">
        <w:rPr>
          <w:vertAlign w:val="superscript"/>
        </w:rPr>
        <w:t>311</w:t>
      </w:r>
      <w:r w:rsidRPr="00735FCE">
        <w:fldChar w:fldCharType="end"/>
      </w:r>
      <w:r w:rsidRPr="00735FCE">
        <w:t>.</w:t>
      </w:r>
      <w:r>
        <w:t xml:space="preserve"> The n</w:t>
      </w:r>
      <w:r w:rsidRPr="00735FCE">
        <w:t xml:space="preserve">ano-formulated form of </w:t>
      </w:r>
      <w:r w:rsidRPr="00735FCE">
        <w:lastRenderedPageBreak/>
        <w:t xml:space="preserve">RES </w:t>
      </w:r>
      <w:r>
        <w:t>has been shown to</w:t>
      </w:r>
      <w:r w:rsidRPr="00735FCE">
        <w:t xml:space="preserve"> </w:t>
      </w:r>
      <w:r>
        <w:t>enhance</w:t>
      </w:r>
      <w:r w:rsidRPr="00735FCE">
        <w:t xml:space="preserve"> </w:t>
      </w:r>
      <w:r>
        <w:t>its</w:t>
      </w:r>
      <w:r w:rsidRPr="00735FCE">
        <w:t xml:space="preserve"> effect </w:t>
      </w:r>
      <w:r>
        <w:t>in</w:t>
      </w:r>
      <w:r w:rsidRPr="00735FCE">
        <w:t xml:space="preserve"> </w:t>
      </w:r>
      <w:r>
        <w:t xml:space="preserve">suppressing </w:t>
      </w:r>
      <w:r w:rsidRPr="00735FCE">
        <w:t>TLR4 and inflammatory mediator activation in</w:t>
      </w:r>
      <w:r w:rsidR="00E150AA">
        <w:t xml:space="preserve"> mouse</w:t>
      </w:r>
      <w:r w:rsidRPr="00735FCE">
        <w:t xml:space="preserve"> brain </w:t>
      </w:r>
      <w:r>
        <w:t xml:space="preserve">hippocampus </w:t>
      </w:r>
      <w:r w:rsidRPr="00735FCE">
        <w:fldChar w:fldCharType="begin"/>
      </w:r>
      <w:r w:rsidR="00281437">
        <w:instrText xml:space="preserve"> ADDIN ZOTERO_ITEM CSL_CITATION {"citationID":"8YRpsBA9","properties":{"formattedCitation":"\\super 312\\nosupersub{}","plainCitation":"312","noteIndex":0},"citationItems":[{"id":3300,"uris":["http://zotero.org/users/9622455/items/ZQWVL2RX"],"itemData":{"id":3300,"type":"article-journal","abstract":"Epilepsy is a relatively complicated neurological disorder that results in seizures. The use of resveratrol in treating seizures has been reported in recent studies. However, the low bioavailability of resveratrol and the difficulty of reaching the targeted location in the brain reduce its efficacy considerably. The side effects due to the higher concentration of drugs are another matter of concern. The purpose of the present study is to enhance the antiepileptic potential of resveratrol by delivering it to the brain’s targeted location by encapsulating it in glutathione-coated collagen nanoparticles. The collagen nanoparticles increase the bioavailability of resveratrol, while the transport of resveratrol to its target location in the brain is facilitated by glutathione. By encapsulating resveratrol in glutathione-coated collagen nanoparticles, the concentration also substantially decreases. Resveratrol encapsulated in synthesized nanoparticles is referred to as nanoresveratrol. In the present study, nanoresveratrol effectiveness was studied through PTZ-induced seizures (PTZ-IS) and the increasing current electroshock (ICES) test. The efficacy of nanoresveratrol was further established using biochemical analysis, histopathological examinations, ELISA and real-time-PCR tests, and immunohistochemistry examination of the hippocampus of mice. Hence, this study is unique in the sense that it synthesized nanoresveratrol by using glutathione-coated collagen nanoparticles, followed by its application to treating seizures. On the basis of the study results, nanoresveratrol was found to be effective in preventing cognitive impairment in the mice and controlling epilepsy seizures to a greater extent than resveratrol. The proposed nanoformulation also reduces the concentration of resveratrol considerably. The present study results show that even 0.4 mg/kg of nanoresveratrol outperforms 40 mg/kg of resveratrol.","container-title":"ACS Chemical Neuroscience","DOI":"10.1021/acschemneuro.2c00171","issue":"8","journalAbbreviation":"ACS Chem. Neurosci.","note":"publisher: American Chemical Society","page":"1342-1354","source":"ACS Publications","title":"Resveratrol-Loaded Glutathione-Coated Collagen Nanoparticles Attenuate Acute Seizures by Inhibiting HMGB1 and TLR-4 in the Hippocampus of Mice","volume":"13","author":[{"family":"Siddiqui","given":"Mobin A."},{"family":"Asad","given":"Mohammad"},{"family":"Akhter","given":"Juheb"},{"family":"Hoda","given":"Ubedul"},{"family":"Rastogi","given":"Shweta"},{"family":"Arora","given":"Indu"},{"family":"Aggarwal","given":"Nidhi B."},{"family":"Samim","given":"Mohammed"}],"issued":{"date-parts":[["2022",4,20]]}}}],"schema":"https://github.com/citation-style-language/schema/raw/master/csl-citation.json"} </w:instrText>
      </w:r>
      <w:r w:rsidRPr="00735FCE">
        <w:fldChar w:fldCharType="separate"/>
      </w:r>
      <w:r w:rsidR="00281437" w:rsidRPr="00281437">
        <w:rPr>
          <w:vertAlign w:val="superscript"/>
        </w:rPr>
        <w:t>312</w:t>
      </w:r>
      <w:r w:rsidRPr="00735FCE">
        <w:fldChar w:fldCharType="end"/>
      </w:r>
      <w:r w:rsidRPr="00735FCE">
        <w:t>. RES also prevent</w:t>
      </w:r>
      <w:r>
        <w:t>ed</w:t>
      </w:r>
      <w:r w:rsidRPr="00735FCE">
        <w:t xml:space="preserve"> cortical neuronal inflammatory injury by altering the miR-223-3p/NLRP3 signaling pathway</w:t>
      </w:r>
      <w:r>
        <w:t>,</w:t>
      </w:r>
      <w:r w:rsidRPr="00735FCE">
        <w:t xml:space="preserve"> protecting neurons and microglial BV-2 cells from </w:t>
      </w:r>
      <w:r>
        <w:t>caspase-1-mediated</w:t>
      </w:r>
      <w:r w:rsidRPr="00735FCE">
        <w:t xml:space="preserve"> processing of IL-1β and IL-18</w:t>
      </w:r>
      <w:r w:rsidRPr="00735FCE">
        <w:fldChar w:fldCharType="begin"/>
      </w:r>
      <w:r w:rsidR="00281437">
        <w:instrText xml:space="preserve"> ADDIN ZOTERO_ITEM CSL_CITATION {"citationID":"grIrwQ9c","properties":{"formattedCitation":"\\super 313\\nosupersub{}","plainCitation":"313","noteIndex":0},"citationItems":[{"id":3301,"uris":["http://zotero.org/users/9622455/items/A2LRUVGM"],"itemData":{"id":3301,"type":"article-journal","abstract":"MicroRNAs (miRNAs) play a critical role in regulating various biological processes, such as cell differentiation and immune modulation by binding to their target genes. miR-223 is a miRNA with important functions and has been widely investigated in recent years. Under certain physiological conditions, miR-223 is regulated by different transcription factors, including sirtuin1 (Sirt1), PU.1 and Mef2c, and its biological functions are mediated through changes in its cellular or tissue expression. This review paper summarizes miR-223 biosynthesis and its regulatory role in the differentiation of granulocytes, dendritic cells (DCs) and lymphocytes, macrophage polarization, and endothelial and epithelial inflammation. In addition, it describes the molecular mechanisms of miR-223 in regulating lung inflammation, rheumatoid arthritis, enteritis, neuroinflammation and mastitis to provide insights into the existing molecular regulatory networks and therapies for inflammatory diseases in humans and animals.","container-title":"International Journal of Biological Sciences","DOI":"10.7150/ijbs.59876","ISSN":"1449-2288","issue":"9","journalAbbreviation":"Int J Biol Sci","note":"PMID: 34239357\nPMCID: PMC8241730","page":"2308-2322","source":"PubMed Central","title":"miR-223: An Effective Regulator of Immune Cell Differentiation and Inflammation","title-short":"miR-223","volume":"17","author":[{"family":"Jiao","given":"Peng"},{"family":"Wang","given":"Xing-Ping"},{"family":"Luoreng","given":"Zhuo-Ma"},{"family":"Yang","given":"Jian"},{"family":"Jia","given":"Li"},{"family":"Ma","given":"Yun"},{"family":"Wei","given":"Da-Wei"}],"issued":{"date-parts":[["2021",6,4]]}}}],"schema":"https://github.com/citation-style-language/schema/raw/master/csl-citation.json"} </w:instrText>
      </w:r>
      <w:r w:rsidRPr="00735FCE">
        <w:fldChar w:fldCharType="separate"/>
      </w:r>
      <w:r w:rsidR="00281437" w:rsidRPr="00281437">
        <w:rPr>
          <w:vertAlign w:val="superscript"/>
        </w:rPr>
        <w:t>313</w:t>
      </w:r>
      <w:r w:rsidRPr="00735FCE">
        <w:fldChar w:fldCharType="end"/>
      </w:r>
      <w:r w:rsidRPr="00735FCE">
        <w:t xml:space="preserve">. In addition, RES decreased IL-8 and iNOS expression by activating </w:t>
      </w:r>
      <w:r>
        <w:t xml:space="preserve">the </w:t>
      </w:r>
      <w:r w:rsidRPr="00735FCE">
        <w:t>Nrf2/HO-1 pathway</w:t>
      </w:r>
      <w:r>
        <w:t xml:space="preserve">, </w:t>
      </w:r>
      <w:r w:rsidRPr="00735FCE">
        <w:t>alleviating gastric mucosal inflammation</w:t>
      </w:r>
      <w:r>
        <w:t xml:space="preserve"> </w:t>
      </w:r>
      <w:r w:rsidRPr="00735FCE">
        <w:t xml:space="preserve">in </w:t>
      </w:r>
      <w:r>
        <w:t>a model of h</w:t>
      </w:r>
      <w:r w:rsidRPr="00735FCE">
        <w:t xml:space="preserve">elicobacter </w:t>
      </w:r>
      <w:r>
        <w:t>pylori-induced</w:t>
      </w:r>
      <w:r w:rsidRPr="00735FCE">
        <w:t xml:space="preserve"> gastric inflammation</w:t>
      </w:r>
      <w:r>
        <w:t xml:space="preserve"> </w:t>
      </w:r>
      <w:r w:rsidRPr="00735FCE">
        <w:fldChar w:fldCharType="begin"/>
      </w:r>
      <w:r w:rsidR="00281437">
        <w:instrText xml:space="preserve"> ADDIN ZOTERO_ITEM CSL_CITATION {"citationID":"eI8CWEeM","properties":{"formattedCitation":"\\super 314\\uc0\\u8211{}316\\nosupersub{}","plainCitation":"314–316","noteIndex":0},"citationItems":[{"id":3308,"uris":["http://zotero.org/users/9622455/items/ZFZX3CYX"],"itemData":{"id":3308,"type":"article-journal","abstract":"Kyunghwa Cho, Hee Geum Lee, Juan-Yu Piao, Su-Jung Kim, Hye-Kyung Na, Young-Joon Surh. J Cancer Prev 2021;26:118-27. https://doi.org/10.15430/JCP.2021.26.2.118","container-title":"Journal of Cancer Prevention","DOI":"10.15430/JCP.2021.26.2.118","issue":"2","language":"en","note":"publisher: Korean Society of Cancer Prevention","page":"118-127","source":"www.jcpjournal.org","title":"Protective Effects of Silibinin on Helicobacter pylori-induced Gastritis: NF-κB and STAT3 as Potential Targets","title-short":"Protective Effects of Silibinin on Helicobacter pylori-induced Gastritis","volume":"26","author":[{"family":"Cho","given":"Kyunghwa"},{"family":"Lee","given":"Hee Geum"},{"family":"Piao","given":"Juan-Yu"},{"family":"Kim","given":"Su-Jung"},{"family":"Na","given":"Hye-Kyung"},{"family":"Surh","given":"Young-Joon"}],"issued":{"date-parts":[["2021",6,30]]}}},{"id":3304,"uris":["http://zotero.org/users/9622455/items/NBFRNHSA"],"itemData":{"id":3304,"type":"article-journal","abstract":"Helicobacter pylori (H. pylori)-induced oxidative stress has been shown to play a very important role in the inflammation of the gastric mucosa and increases the risk of developing gastric cancer. Resveratrol has many biological functions and activities, including antioxidant and anti-inflammatory effect. The purpose of this study was to probe whether resveratrol inhibits H. pylori-induced gastric inflammation and to elucidate the underlying mechanisms of any effect in mice. A mouse model of H. pylori infection was established via oral inoculation with H. pylori. After one week, mice were administered resveratrol (100 mg/kg body weight/day) orally for six weeks. The mRNA and protein levels of iNOS and IL-8 were assessed using RT-PCR, Western blot and ELISA. The expression levels of IκBα and phosphorylated IκBα (which embodies the level and activation of NF-κB), Heme Oxygenase-1 (HO-1; a potent antioxidant enzyme) and nuclear factor-erythroid 2 related factor 2 (Nrf2) were determined using Western blot, and lipid peroxide (LPO) level and myeloperoxidase (MPO) activity were examined using an MPO colorimetric activity assay, thiobarbituric acid reaction, and histological-grade using HE staining of the gastric mucosa. The results showed that resveratrol improved the histological infiltration score and decreased LPO level and MPO activity in the gastric mucosa. Resveratrol down-regulated the H. pylori-induced mRNA transcription and protein expression levels of IL-8 and iNOS, suppressed H. pylori-induced phosphorylation of IκBα, and increased the levels of HO-1 and Nrf2. In conclusion, resveratrol treatment exerted significant effects against oxidative stress and inflammation in H. pylori-infected mucosa through the suppression of IL-8, iNOS, and NF-κB, and moreover through the activation of the Nrf2/HO-1 pathway.","container-title":"International Journal of Molecular Sciences","DOI":"10.3390/ijms161126061","ISSN":"1422-0067","issue":"11","language":"en","license":"http://creativecommons.org/licenses/by/3.0/","note":"number: 11\npublisher: Multidisciplinary Digital Publishing Institute","page":"27757-27769","source":"www.mdpi.com","title":"Resveratrol Protects against Helicobacter pylori-Associated Gastritis by Combating Oxidative Stress","volume":"16","author":[{"family":"Zhang","given":"Xiaolin"},{"family":"Jiang","given":"Anmin"},{"family":"Qi","given":"Banghua"},{"family":"Ma","given":"Zhongyou"},{"family":"Xiong","given":"Youyi"},{"family":"Dou","given":"Jinfeng"},{"family":"Wang","given":"Jianfei"}],"issued":{"date-parts":[["2015",11]]}}},{"id":3306,"uris":["http://zotero.org/users/9622455/items/LYKXPJUJ"],"itemData":{"id":3306,"type":"article-journal","abstract":"Chronic inflammation and long-term tissue injury are related to many malignancies, including gastric cancer (GC). Helicobacter pylori (H. pylori), classified as a class I carcinogen, induces chronic superficial gastritis followed by gastric carcinogenesis. Despite a high prevalence of H. pylori infection, only about 1–3% of people infected with this bacterium develop GC worldwide. Furthermore, the development of chronic gastritis in some, but not all, H. pylori-infected subjects remains unexplained. These conflicting findings indicate that clinical outcomes of aggressive inflammation (atrophic gastritis) to gastric carcinogenesis are influenced by several other factors (in addition to H. pylori infection), such as gut microbiota, co-existence of intestinal helminths, dietary habits, and host genetic factors. This review has five goals: (1) to assess our current understanding of the process of H. pylori-triggered inflammation and gastric precursor lesions; (2) to present a hypothesis on risk modulation by the gut microbiota and infestation with intestinal helminths; (3) to identify the dietary behavior of the people at risk of GC; (4) to check the inflammation-related genetic polymorphisms and role of exosomes together with other factors as initiators of precancerous lesions and gastric carcinoma; and (5) finally, to conclude and suggest a new direction for future research.","container-title":"Pathogens","DOI":"10.3390/pathogens10091099","ISSN":"2076-0817","issue":"9","language":"en","license":"http://creativecommons.org/licenses/by/3.0/","note":"number: 9\npublisher: Multidisciplinary Digital Publishing Institute","page":"1099","source":"www.mdpi.com","title":"Helicobacter pylori-Induced Inflammation: Possible Factors Modulating the Risk of Gastric Cancer","title-short":"Helicobacter pylori-Induced Inflammation","volume":"10","author":[{"family":"Kumar","given":"Sushil"},{"family":"Patel","given":"Girijesh Kumar"},{"family":"Ghoshal","given":"Uday C."}],"issued":{"date-parts":[["2021",9]]}}}],"schema":"https://github.com/citation-style-language/schema/raw/master/csl-citation.json"} </w:instrText>
      </w:r>
      <w:r w:rsidRPr="00735FCE">
        <w:fldChar w:fldCharType="separate"/>
      </w:r>
      <w:r w:rsidR="00281437" w:rsidRPr="00281437">
        <w:rPr>
          <w:vertAlign w:val="superscript"/>
        </w:rPr>
        <w:t>314–316</w:t>
      </w:r>
      <w:r w:rsidRPr="00735FCE">
        <w:fldChar w:fldCharType="end"/>
      </w:r>
      <w:r w:rsidRPr="00735FCE">
        <w:t xml:space="preserve">. </w:t>
      </w:r>
    </w:p>
    <w:p w14:paraId="6F447E1F" w14:textId="09225EBE" w:rsidR="009117C0" w:rsidRPr="00735FCE" w:rsidRDefault="009117C0" w:rsidP="00F5471F">
      <w:pPr>
        <w:ind w:firstLine="720"/>
        <w:jc w:val="left"/>
      </w:pPr>
      <w:r w:rsidRPr="00735FCE">
        <w:t xml:space="preserve">Additionally, RES displays anti-inflammatory properties in metabolic disease models. In Goto-Kakizaki rats, which are considered a non-obese type 2 diabetic model, treatment </w:t>
      </w:r>
      <w:r>
        <w:t>of</w:t>
      </w:r>
      <w:r w:rsidRPr="00735FCE">
        <w:t xml:space="preserve"> RES for ten weeks markedly diminished inflammatory processes in the skeletal muscle and reduced hepatic IL-1β and TNF-α </w:t>
      </w:r>
      <w:r>
        <w:t xml:space="preserve">protein </w:t>
      </w:r>
      <w:r w:rsidRPr="00735FCE">
        <w:t>levels</w:t>
      </w:r>
      <w:r>
        <w:t xml:space="preserve"> </w:t>
      </w:r>
      <w:r w:rsidRPr="00735FCE">
        <w:fldChar w:fldCharType="begin"/>
      </w:r>
      <w:r w:rsidR="00281437">
        <w:instrText xml:space="preserve"> ADDIN ZOTERO_ITEM CSL_CITATION {"citationID":"4QqfT598","properties":{"formattedCitation":"\\super 317\\nosupersub{}","plainCitation":"317","noteIndex":0},"citationItems":[{"id":3315,"uris":["http://zotero.org/users/9622455/items/G3BEWB74"],"itemData":{"id":3315,"type":"article-journal","abstract":"Type 2 diabetes is associated with inflammatory and oxidative stress. Resveratrol, a naturally occurring diphenolic compound, was shown to improve glycemic control and alleviate metabolic disturbances in Goto-Kakizaki (GK) rats, a non-obese model of type 2 diabetes. However, in GK rats effects of resveratrol addressing inflammatory and oxidative stress were not explored. The present study aimed to determine anti-inflammatory and anti-oxidative properties of resveratrol in these rats. GK and Sprague-Dawley (SD) rats were divided into 4 groups: GK control, GK treated with resveratrol, SD control and SD treated with resveratrol. Resveratrol (20 mg/kg b.w.) was given once a day for 10 weeks. It was shown that contents of inflammatory markers, interleukin 6 (IL-6), interleukin 1 β (IL-1β), tumor necrosis factor α (TNF-α) and nuclear factor kappa-light-chain-enhancer of activated B cells (NF-κB), were increased in the skeletal muscle of diabetic rats, but these effects were prevented by resveratrol therapy. Similarly, amounts of IL-1β and TNF-α were elevated in livers of GK rats; however, this rise was alleviated in resveratrol-treated animals. Moreover, the contents of inflammation-related factors (IL-6, IL-1β, TNF-α and NF-κB) were augmented in adipose tissue of GK rats; nevertheless, in this tissue resveratrol was ineffective. Resveratrol reduced also lipid peroxidation in the skeletal muscle, reduced activities of glutathione peroxidase in blood serum and catalase in the livers of GK rats. Our new findings show that resveratrol therapy results in relieving inflammatory and oxidative stress in GK rats, which may be largely associated with the alleviation of metabolic disturbances in this model of diabetes. Nevertheless, it was demonstrated that the efficacy of resveratrol action is tissue-specific.","container-title":"Biomedicine &amp; Pharmacotherapy","DOI":"10.1016/j.biopha.2020.110026","ISSN":"0753-3322","journalAbbreviation":"Biomedicine &amp; Pharmacotherapy","page":"110026","source":"ScienceDirect","title":"Resveratrol ameliorates inflammatory and oxidative stress in type 2 diabetic Goto-Kakizaki rats","volume":"125","author":[{"family":"Szkudelska","given":"Katarzyna"},{"family":"Okulicz","given":"Monika"},{"family":"Hertig","given":"Iwona"},{"family":"Szkudelski","given":"Tomasz"}],"issued":{"date-parts":[["2020",5,1]]}}}],"schema":"https://github.com/citation-style-language/schema/raw/master/csl-citation.json"} </w:instrText>
      </w:r>
      <w:r w:rsidRPr="00735FCE">
        <w:fldChar w:fldCharType="separate"/>
      </w:r>
      <w:r w:rsidR="00281437" w:rsidRPr="00281437">
        <w:rPr>
          <w:vertAlign w:val="superscript"/>
        </w:rPr>
        <w:t>317</w:t>
      </w:r>
      <w:r w:rsidRPr="00735FCE">
        <w:fldChar w:fldCharType="end"/>
      </w:r>
      <w:r w:rsidRPr="00735FCE">
        <w:t xml:space="preserve">. Earlier </w:t>
      </w:r>
      <w:r>
        <w:t>studies</w:t>
      </w:r>
      <w:r w:rsidRPr="00735FCE">
        <w:t xml:space="preserve"> </w:t>
      </w:r>
      <w:r>
        <w:t>have</w:t>
      </w:r>
      <w:r w:rsidRPr="00735FCE">
        <w:t xml:space="preserve"> also found that RES relieve</w:t>
      </w:r>
      <w:r>
        <w:t>d</w:t>
      </w:r>
      <w:r w:rsidRPr="00735FCE">
        <w:t xml:space="preserve"> inflammation caused by manganese-induced neurotoxicity through the SIRT1 pathway</w:t>
      </w:r>
      <w:r>
        <w:t xml:space="preserve"> </w:t>
      </w:r>
      <w:r w:rsidRPr="00735FCE">
        <w:fldChar w:fldCharType="begin"/>
      </w:r>
      <w:r w:rsidR="00281437">
        <w:instrText xml:space="preserve"> ADDIN ZOTERO_ITEM CSL_CITATION {"citationID":"OUHOcIsO","properties":{"formattedCitation":"\\super 318\\nosupersub{}","plainCitation":"318","noteIndex":0},"citationItems":[{"id":3310,"uris":["http://zotero.org/users/9622455/items/69GRKGFY"],"itemData":{"id":3310,"type":"article-journal","abstract":"Human sirtuins can be a powerful therapeutic target in preventing and treating obesity and age-related diseases. Some dietary components can modulate sirtuins’ activity, such as resveratrol. This systematic review aimed to assess whether resveratrol (RSV), without other interventions, can stimulate sirtuins in the treatment of excess weight and its comorbidities.","container-title":"European Journal of Nutrition","DOI":"10.1007/s00394-021-02623-y","ISSN":"1436-6215","issue":"6","journalAbbreviation":"Eur J Nutr","language":"en","page":"2961-2977","source":"Springer Link","title":"Can resveratrol modulate sirtuins in obesity and related diseases? A systematic review of randomized controlled trials","title-short":"Can resveratrol modulate sirtuins in obesity and related diseases?","volume":"60","author":[{"family":"Fraiz","given":"Gabriela Macedo"},{"family":"Conceição","given":"Aline Rosignoli","non-dropping-particle":"da"},{"family":"Souza Vilela","given":"Darlene Larissa","non-dropping-particle":"de"},{"family":"Rocha","given":"Daniela Mayumi Usuda Prado"},{"family":"Bressan","given":"Josefina"},{"family":"Hermsdorff","given":"Helen Hermana Miranda"}],"issued":{"date-parts":[["2021",9,1]]}}}],"schema":"https://github.com/citation-style-language/schema/raw/master/csl-citation.json"} </w:instrText>
      </w:r>
      <w:r w:rsidRPr="00735FCE">
        <w:fldChar w:fldCharType="separate"/>
      </w:r>
      <w:r w:rsidR="00281437" w:rsidRPr="00281437">
        <w:rPr>
          <w:vertAlign w:val="superscript"/>
        </w:rPr>
        <w:t>318</w:t>
      </w:r>
      <w:r w:rsidRPr="00735FCE">
        <w:fldChar w:fldCharType="end"/>
      </w:r>
      <w:r w:rsidRPr="00735FCE">
        <w:t>. RES also inhibit</w:t>
      </w:r>
      <w:r>
        <w:t>ed</w:t>
      </w:r>
      <w:r w:rsidRPr="00735FCE">
        <w:t xml:space="preserve"> the NF-κB pathway </w:t>
      </w:r>
      <w:r>
        <w:t>by</w:t>
      </w:r>
      <w:r w:rsidRPr="00735FCE">
        <w:t xml:space="preserve"> blocking nuclear translocation</w:t>
      </w:r>
      <w:r>
        <w:t xml:space="preserve">, </w:t>
      </w:r>
      <w:r w:rsidRPr="00735FCE">
        <w:t xml:space="preserve">reducing </w:t>
      </w:r>
      <w:r>
        <w:t xml:space="preserve">the </w:t>
      </w:r>
      <w:r w:rsidRPr="00735FCE">
        <w:t>transcriptional activity of NF-κB</w:t>
      </w:r>
      <w:r>
        <w:t xml:space="preserve"> </w:t>
      </w:r>
      <w:r w:rsidRPr="00735FCE">
        <w:fldChar w:fldCharType="begin"/>
      </w:r>
      <w:r w:rsidR="00281437">
        <w:instrText xml:space="preserve"> ADDIN ZOTERO_ITEM CSL_CITATION {"citationID":"N7W3aJXB","properties":{"formattedCitation":"\\super 319\\nosupersub{}","plainCitation":"319","noteIndex":0},"citationItems":[{"id":3312,"uris":["http://zotero.org/users/9622455/items/RL72L8KQ"],"itemData":{"</w:instrText>
      </w:r>
      <w:r w:rsidR="00281437">
        <w:rPr>
          <w:rFonts w:hint="eastAsia"/>
        </w:rPr>
        <w:instrText>id":3312,"type":"article-journal","abstract":"Resveratrol (3,4</w:instrText>
      </w:r>
      <w:r w:rsidR="00281437">
        <w:rPr>
          <w:rFonts w:hint="eastAsia"/>
        </w:rPr>
        <w:instrText>′</w:instrText>
      </w:r>
      <w:r w:rsidR="00281437">
        <w:rPr>
          <w:rFonts w:hint="eastAsia"/>
        </w:rPr>
        <w:instrText>,5-trihy- droxystilbene), a natural phytoalexin polyphenol, exhibits anti-oxidant, anti-inflammatory, and anti-carcinogenic properties. This phytoalexin is well-absorbed and rapidly and extens</w:instrText>
      </w:r>
      <w:r w:rsidR="00281437">
        <w:instrText xml:space="preserve">ively metabolized in the body. Inflammation is an adaptive response, which could be triggered by various danger signals, such as invasion by microorganisms or tissue injury. In this review, the anti-inflammatory activity and the mechanism of resveratrol modulates the inflammatory response are examined. Multiple experimental studies that illustrate regulatory mechanisms and the immunomodulatory function of resveratrol both in vivo and in vitro. The data acquired from those studies are discussed.","container-title":"Molecules","DOI":"10.3390/molecules26010229","ISSN":"1420-3049","issue":"1","journalAbbreviation":"Molecules","note":"PMID: 33466247\nPMCID: PMC7796143","page":"229","source":"PubMed Central","title":"Anti-Inflammatory Action and Mechanisms of Resveratrol","volume":"26","author":[{"family":"Meng","given":"Tiantian"},{"family":"Xiao","given":"Dingfu"},{"family":"Muhammed","given":"Arowolo"},{"family":"Deng","given":"Juying"},{"family":"Chen","given":"Liang"},{"family":"He","given":"Jianhua"}],"issued":{"date-parts":[["2021",1,5]]}}}],"schema":"https://github.com/citation-style-language/schema/raw/master/csl-citation.json"} </w:instrText>
      </w:r>
      <w:r w:rsidRPr="00735FCE">
        <w:fldChar w:fldCharType="separate"/>
      </w:r>
      <w:r w:rsidR="00281437" w:rsidRPr="00281437">
        <w:rPr>
          <w:vertAlign w:val="superscript"/>
        </w:rPr>
        <w:t>319</w:t>
      </w:r>
      <w:r w:rsidRPr="00735FCE">
        <w:fldChar w:fldCharType="end"/>
      </w:r>
      <w:r w:rsidRPr="00735FCE">
        <w:t xml:space="preserve">. Moreover, RES affects the AP-1 transcription factor by modifying upstream kinase signaling, </w:t>
      </w:r>
      <w:r>
        <w:t>thereby interfering</w:t>
      </w:r>
      <w:r w:rsidRPr="00735FCE">
        <w:t xml:space="preserve"> with its ability to </w:t>
      </w:r>
      <w:r>
        <w:t>induce</w:t>
      </w:r>
      <w:r w:rsidRPr="00735FCE">
        <w:t xml:space="preserve"> cytokine gene expression</w:t>
      </w:r>
      <w:r>
        <w:t xml:space="preserve"> </w:t>
      </w:r>
      <w:r w:rsidRPr="00735FCE">
        <w:fldChar w:fldCharType="begin"/>
      </w:r>
      <w:r w:rsidR="00281437">
        <w:instrText xml:space="preserve"> ADDIN ZOTERO_ITEM CSL_CITATION {"citationID":"LlAj3Q2N","properties":{"formattedCitation":"\\super 319\\nosupersub{}","plainCitation":"319","noteIndex":0},"citationItems":[{"id":3312,"uris":["http://zotero.org/users/9622455/items/RL72L8KQ"],"itemData":{"</w:instrText>
      </w:r>
      <w:r w:rsidR="00281437">
        <w:rPr>
          <w:rFonts w:hint="eastAsia"/>
        </w:rPr>
        <w:instrText>id":3312,"type":"article-journal","abstract":"Resveratrol (3,4</w:instrText>
      </w:r>
      <w:r w:rsidR="00281437">
        <w:rPr>
          <w:rFonts w:hint="eastAsia"/>
        </w:rPr>
        <w:instrText>′</w:instrText>
      </w:r>
      <w:r w:rsidR="00281437">
        <w:rPr>
          <w:rFonts w:hint="eastAsia"/>
        </w:rPr>
        <w:instrText>,5-trihy- droxystilbene), a natural phytoalexin polyphenol, exhibits anti-oxidant, anti-inflammatory, and anti-carcinogenic properties. This phytoalexin is well-absorbed and rapidly and extens</w:instrText>
      </w:r>
      <w:r w:rsidR="00281437">
        <w:instrText xml:space="preserve">ively metabolized in the body. Inflammation is an adaptive response, which could be triggered by various danger signals, such as invasion by microorganisms or tissue injury. In this review, the anti-inflammatory activity and the mechanism of resveratrol modulates the inflammatory response are examined. Multiple experimental studies that illustrate regulatory mechanisms and the immunomodulatory function of resveratrol both in vivo and in vitro. The data acquired from those studies are discussed.","container-title":"Molecules","DOI":"10.3390/molecules26010229","ISSN":"1420-3049","issue":"1","journalAbbreviation":"Molecules","note":"PMID: 33466247\nPMCID: PMC7796143","page":"229","source":"PubMed Central","title":"Anti-Inflammatory Action and Mechanisms of Resveratrol","volume":"26","author":[{"family":"Meng","given":"Tiantian"},{"family":"Xiao","given":"Dingfu"},{"family":"Muhammed","given":"Arowolo"},{"family":"Deng","given":"Juying"},{"family":"Chen","given":"Liang"},{"family":"He","given":"Jianhua"}],"issued":{"date-parts":[["2021",1,5]]}}}],"schema":"https://github.com/citation-style-language/schema/raw/master/csl-citation.json"} </w:instrText>
      </w:r>
      <w:r w:rsidRPr="00735FCE">
        <w:fldChar w:fldCharType="separate"/>
      </w:r>
      <w:r w:rsidR="00281437" w:rsidRPr="00281437">
        <w:rPr>
          <w:vertAlign w:val="superscript"/>
        </w:rPr>
        <w:t>319</w:t>
      </w:r>
      <w:r w:rsidRPr="00735FCE">
        <w:fldChar w:fldCharType="end"/>
      </w:r>
      <w:r w:rsidRPr="00735FCE">
        <w:t>. A</w:t>
      </w:r>
      <w:r>
        <w:t>dditionally</w:t>
      </w:r>
      <w:r w:rsidRPr="00735FCE">
        <w:t>, through the arachidonic acid pathway, RES inhibits the cyclooxygenase and lipoxygenase enzymes</w:t>
      </w:r>
      <w:r>
        <w:t>,</w:t>
      </w:r>
      <w:r w:rsidRPr="00735FCE">
        <w:t xml:space="preserve"> </w:t>
      </w:r>
      <w:r>
        <w:t>leading</w:t>
      </w:r>
      <w:r w:rsidRPr="00735FCE">
        <w:t xml:space="preserve"> to </w:t>
      </w:r>
      <w:r>
        <w:t xml:space="preserve">a </w:t>
      </w:r>
      <w:r w:rsidRPr="00735FCE">
        <w:t>decrease</w:t>
      </w:r>
      <w:r>
        <w:t xml:space="preserve"> in the</w:t>
      </w:r>
      <w:r w:rsidRPr="00735FCE">
        <w:t xml:space="preserve"> synthesis of </w:t>
      </w:r>
      <w:r>
        <w:t>pro-inflammatory</w:t>
      </w:r>
      <w:r w:rsidRPr="00735FCE">
        <w:t xml:space="preserve"> eicosanoids, prostaglandins</w:t>
      </w:r>
      <w:r>
        <w:t>,</w:t>
      </w:r>
      <w:r w:rsidRPr="00735FCE">
        <w:t xml:space="preserve"> and leukotrienes</w:t>
      </w:r>
      <w:r>
        <w:t xml:space="preserve"> </w:t>
      </w:r>
      <w:r w:rsidRPr="00735FCE">
        <w:fldChar w:fldCharType="begin"/>
      </w:r>
      <w:r w:rsidR="00281437">
        <w:instrText xml:space="preserve"> ADDIN ZOTERO_ITEM CSL_CITATION {"citationID":"YC8TkNCv","properties":{"formattedCitation":"\\super 319\\nosupersub{}","plainCitation":"319","noteIndex":0},"citationItems":[{"id":3312,"uris":["http://zotero.org/users/9622455/items/RL72L8KQ"],"itemData":{"</w:instrText>
      </w:r>
      <w:r w:rsidR="00281437">
        <w:rPr>
          <w:rFonts w:hint="eastAsia"/>
        </w:rPr>
        <w:instrText>id":3312,"type":"article-journal","abstract":"Resveratrol (3,4</w:instrText>
      </w:r>
      <w:r w:rsidR="00281437">
        <w:rPr>
          <w:rFonts w:hint="eastAsia"/>
        </w:rPr>
        <w:instrText>′</w:instrText>
      </w:r>
      <w:r w:rsidR="00281437">
        <w:rPr>
          <w:rFonts w:hint="eastAsia"/>
        </w:rPr>
        <w:instrText>,5-trihy- droxystilbene), a natural phytoalexin polyphenol, exhibits anti-oxidant, anti-inflammatory, and anti-carcinogenic properties. This phytoalexin is well-absorbed and rapidly and extens</w:instrText>
      </w:r>
      <w:r w:rsidR="00281437">
        <w:instrText xml:space="preserve">ively metabolized in the body. Inflammation is an adaptive response, which could be triggered by various danger signals, such as invasion by microorganisms or tissue injury. In this review, the anti-inflammatory activity and the mechanism of resveratrol modulates the inflammatory response are examined. Multiple experimental studies that illustrate regulatory mechanisms and the immunomodulatory function of resveratrol both in vivo and in vitro. The data acquired from those studies are discussed.","container-title":"Molecules","DOI":"10.3390/molecules26010229","ISSN":"1420-3049","issue":"1","journalAbbreviation":"Molecules","note":"PMID: 33466247\nPMCID: PMC7796143","page":"229","source":"PubMed Central","title":"Anti-Inflammatory Action and Mechanisms of Resveratrol","volume":"26","author":[{"family":"Meng","given":"Tiantian"},{"family":"Xiao","given":"Dingfu"},{"family":"Muhammed","given":"Arowolo"},{"family":"Deng","given":"Juying"},{"family":"Chen","given":"Liang"},{"family":"He","given":"Jianhua"}],"issued":{"date-parts":[["2021",1,5]]}}}],"schema":"https://github.com/citation-style-language/schema/raw/master/csl-citation.json"} </w:instrText>
      </w:r>
      <w:r w:rsidRPr="00735FCE">
        <w:fldChar w:fldCharType="separate"/>
      </w:r>
      <w:r w:rsidR="00281437" w:rsidRPr="00281437">
        <w:rPr>
          <w:vertAlign w:val="superscript"/>
        </w:rPr>
        <w:t>319</w:t>
      </w:r>
      <w:r w:rsidRPr="00735FCE">
        <w:fldChar w:fldCharType="end"/>
      </w:r>
      <w:r w:rsidRPr="00735FCE">
        <w:t>. As a result of its actions on inflammatory signaling pathways, RES has a potent and multitargeted anti-inflammatory profile.</w:t>
      </w:r>
    </w:p>
    <w:p w14:paraId="31A7530A" w14:textId="77777777" w:rsidR="009117C0" w:rsidRPr="00735FCE" w:rsidRDefault="009117C0" w:rsidP="00847BA5">
      <w:pPr>
        <w:pStyle w:val="Heading4"/>
      </w:pPr>
      <w:bookmarkStart w:id="78" w:name="_Toc200988060"/>
      <w:bookmarkStart w:id="79" w:name="_Toc201001675"/>
      <w:r w:rsidRPr="00735FCE">
        <w:t>Anti-</w:t>
      </w:r>
      <w:r>
        <w:t>C</w:t>
      </w:r>
      <w:r w:rsidRPr="00735FCE">
        <w:t xml:space="preserve">ancer </w:t>
      </w:r>
      <w:r>
        <w:t>E</w:t>
      </w:r>
      <w:r w:rsidRPr="00735FCE">
        <w:t>ffects</w:t>
      </w:r>
      <w:bookmarkEnd w:id="78"/>
      <w:bookmarkEnd w:id="79"/>
    </w:p>
    <w:p w14:paraId="7B297022" w14:textId="67BB93ED" w:rsidR="009117C0" w:rsidRPr="00735FCE" w:rsidRDefault="009117C0" w:rsidP="00F5471F">
      <w:pPr>
        <w:ind w:firstLine="720"/>
        <w:jc w:val="left"/>
      </w:pPr>
      <w:r w:rsidRPr="00735FCE">
        <w:t xml:space="preserve">Research on RES confirms its wide-ranging anticancer capacity in both </w:t>
      </w:r>
      <w:r w:rsidR="004B354A" w:rsidRPr="004B354A">
        <w:rPr>
          <w:i/>
        </w:rPr>
        <w:t>in vitro</w:t>
      </w:r>
      <w:r w:rsidRPr="00735FCE">
        <w:t xml:space="preserve"> and </w:t>
      </w:r>
      <w:r w:rsidR="004B354A" w:rsidRPr="004B354A">
        <w:rPr>
          <w:i/>
        </w:rPr>
        <w:t>in vivo</w:t>
      </w:r>
      <w:r w:rsidRPr="00735FCE">
        <w:t xml:space="preserve"> studies. Its antitumor effects involve the modulation of apoptosis, proliferation, inflammation, angiogenesis, and metastasis</w:t>
      </w:r>
      <w:r>
        <w:t xml:space="preserve"> </w:t>
      </w:r>
      <w:r w:rsidRPr="00735FCE">
        <w:fldChar w:fldCharType="begin"/>
      </w:r>
      <w:r w:rsidR="00281437">
        <w:instrText xml:space="preserve"> ADDIN ZOTERO_ITEM CSL_CITATION {"citationID":"SZM9JafV","properties":{"formattedCitation":"\\super 320\\nosupersub{}","plainCitation":"320","noteIndex":0},"citationItems":[{"id":3270,"uris":["http://zotero.org/users/9622455/items/HBZHH629"],"itemData":{"id":3270,"type":"article-journal","abstract":"Simple Summary\nThe prevention and treatment of cancer is an ongoing medical challenge. In the context of personalized medicine, the well-studied polyphenol resveratrol could complement classical tumor therapy. It may affect key processes such as inflammation, angiogenesis, proliferation, metastasis, glucose metabolism, and apoptosis in various cancers because resveratrol acts as a multi-targeting agent by modulating multiple signal transduction pathways. This review article focuses on resveratrol’s ability to modify tumor glucose metabolism and its associated therapeutic capacity. Resveratrol reduces glucose uptake and glycolysis by affecting Glut1, PFK1, HIF-1α, ROS, PDH, and the CamKKB/AMPK pathway. It also inhibits cell growth, invasion, and proliferation by targeting NF-kB, Sirt1, Sirt3, LDH, PI-3K, mTOR, PKM2, R5P, G6PD, TKT, talin, and PGAM. In addition, resveratrol induces apoptosis by targeting integrin, p53, LDH, and FAK. In conclusion, resveratrol has many potentials to intervene in tumor processes if bioavailability can be increased and this natural compound can be used selectively.\n\nAbstract\nTumor cells develop several metabolic reprogramming strategies, such as increased glucose uptake and utilization via aerobic glycolysis and fermentation of glucose to lactate; these lead to a low pH environment in which the cancer cells thrive and evade apoptosis. These characteristics of tumor cells are known as the Warburg effect. Adaptive metabolic alterations in cancer cells can be attributed to mutations in key metabolic enzymes and transcription factors. The features of the Warburg phenotype may serve as promising markers for the early detection and treatment of tumors. Besides, the glycolytic process of tumors is reversible and could represent a therapeutic target. So-called mono-target therapies are often unsafe and ineffective, and have a high prevalence of recurrence. Their success is hindered by the ability of tumor cells to simultaneously develop multiple chemoresistance pathways. Therefore, agents that modify several cellular targets, such as energy restriction to target tumor cells specifically, have therapeutic potential. Resveratrol, a natural active polyphenol found in grapes and red wine and used in many traditional medicines, is known for its ability to target multiple components of signaling pathways in tumors, leading to the suppression of cell proliferation, activation of apoptosis, and regression in tumor growth. Here, we describe current knowledge on the various mechanisms by which resveratrol modulates glucose metabolism, its potential as an imitator of caloric restriction, and its therapeutic capacity in tumors.","container-title":"Cancers","DOI":"10.3390/cancers13020188","ISSN":"2072-6694","issue":"2","journalAbbreviation":"Cancers (Basel)","note":"PMID: 33430318\nPMCID: PMC7825813","page":"188","source":"PubMed Central","title":"Resveratrol’s Anti-Cancer Effects through the Modulation of Tumor Glucose Metabolism","volume":"13","author":[{"family":"Brockmueller","given":"Aranka"},{"family":"Sameri","given":"Saba"},{"family":"Liskova","given":"Alena"},{"family":"Zhai","given":"Kevin"},{"family":"Varghese","given":"Elizabeth"},{"family":"Samuel","given":"Samson Mathews"},{"family":"Büsselberg","given":"Dietrich"},{"family":"Kubatka","given":"Peter"},{"family":"Shakibaei","given":"Mehdi"}],"issued":{"date-parts":[["2021",1,7]]}}}],"schema":"https://github.com/citation-style-language/schema/raw/master/csl-citation.json"} </w:instrText>
      </w:r>
      <w:r w:rsidRPr="00735FCE">
        <w:fldChar w:fldCharType="separate"/>
      </w:r>
      <w:r w:rsidR="00281437" w:rsidRPr="00281437">
        <w:rPr>
          <w:vertAlign w:val="superscript"/>
        </w:rPr>
        <w:t>320</w:t>
      </w:r>
      <w:r w:rsidRPr="00735FCE">
        <w:fldChar w:fldCharType="end"/>
      </w:r>
      <w:r w:rsidRPr="00735FCE">
        <w:t xml:space="preserve">. In human cervical carcinoma HeLa cells, RES </w:t>
      </w:r>
      <w:r w:rsidRPr="00735FCE">
        <w:lastRenderedPageBreak/>
        <w:t>induce</w:t>
      </w:r>
      <w:r>
        <w:t>d</w:t>
      </w:r>
      <w:r w:rsidRPr="00735FCE">
        <w:t xml:space="preserve"> apoptosis by activating caspase-3 and -9, upregulating </w:t>
      </w:r>
      <w:r>
        <w:rPr>
          <w:lang w:eastAsia="zh-CN"/>
        </w:rPr>
        <w:t xml:space="preserve">the </w:t>
      </w:r>
      <w:r w:rsidRPr="00735FCE">
        <w:t xml:space="preserve">pro-apoptotic Bax and downregulating </w:t>
      </w:r>
      <w:r>
        <w:t xml:space="preserve">the </w:t>
      </w:r>
      <w:r w:rsidRPr="00735FCE">
        <w:t xml:space="preserve">anti-apoptotic </w:t>
      </w:r>
      <w:bookmarkStart w:id="80" w:name="_Hlk200542933"/>
      <w:r w:rsidRPr="00735FCE">
        <w:t>B</w:t>
      </w:r>
      <w:r>
        <w:t>CL</w:t>
      </w:r>
      <w:r w:rsidRPr="00735FCE">
        <w:t xml:space="preserve">-2 </w:t>
      </w:r>
      <w:bookmarkEnd w:id="80"/>
      <w:r w:rsidRPr="00735FCE">
        <w:t>and B</w:t>
      </w:r>
      <w:r>
        <w:t>CL</w:t>
      </w:r>
      <w:r w:rsidRPr="00735FCE">
        <w:t>-</w:t>
      </w:r>
      <w:r>
        <w:t>X</w:t>
      </w:r>
      <w:r w:rsidRPr="00735FCE">
        <w:t xml:space="preserve">L, as well as </w:t>
      </w:r>
      <w:r>
        <w:t>increasing</w:t>
      </w:r>
      <w:r w:rsidRPr="00735FCE">
        <w:t xml:space="preserve"> p53 </w:t>
      </w:r>
      <w:r>
        <w:t xml:space="preserve">protein </w:t>
      </w:r>
      <w:r w:rsidRPr="00735FCE">
        <w:t>expression</w:t>
      </w:r>
      <w:r>
        <w:t xml:space="preserve"> </w:t>
      </w:r>
      <w:r w:rsidRPr="00735FCE">
        <w:fldChar w:fldCharType="begin"/>
      </w:r>
      <w:r w:rsidR="00281437">
        <w:instrText xml:space="preserve"> ADDIN ZOTERO_ITEM CSL_CITATION {"citationID":"UC9JXKXt","properties":{"formattedCitation":"\\super 321\\nosupersub{}","plainCitation":"321","noteIndex":0},"citationItems":[{"id":3279,"uris":["http://zotero.org/users/9622455/items/7KK7BYN8"],"itemData":{"id":3279,"type":"article-journal","abstract":"Numerous studies have demonstrated the apoptotic and anti-proliferative effects of resveratrol, a natural polyphenolic phytoalexin, on various cancer cell lines. However, the effects of resveratrol on the regulation of human cervical carcinoma, and the mechanisms underlying these effects, remain to be elucidated. In the present study, the potential mechanisms underlying the effects of resveratrol in HeLa cervical carcinoma cells were investigated. The results revealed that resveratrol inhibited proliferation and induced apoptosis in HeLa human cervical cancer cells in a dose-dependent and time-dependent manner. Resveratrol induced cell shrinkage in HeLa cells and apoptosis accompanied by the activation of caspase-3 and −9. Furthermore, resveratrol upregulated the expression of the pro-apoptotic B-cell lymphoma (Bcl)-2-associated X protein and downregulated the expression of the anti-apoptotic proteins Bcl-2 and Bcl-extra large in HeLa cells. In addition, p53, a protein that is essential for cell survival and cell cycle progression, exhibited elevated expression levels in resveratrol-treated HeLa cells. Therefore, resveratrol may be a promising novel inhibitor of human cervical cancer.","container-title":"Oncology Letters","DOI":"10.3892/ol.2018.8571","ISSN":"1792-1074","issue":"6","journalAbbreviation":"Oncol Lett","note":"PMID: 29928358\nPMCID: PMC6004645","page":"9845-9851","source":"PubMed Central","title":"Resveratrol suppresses human cervical carcinoma cell proliferation and elevates apoptosis via the mitochondrial and p53 signaling pathways","volume":"15","author":[{"family":"Li","given":"Lin"},{"family":"Qiu","given":"Rong-Li"},{"family":"Lin","given":"Yu"},{"family":"Cai","given":"Ying"},{"family":"Bian","given":"Yong"},{"family":"Fan","given":"Yan"},{"family":"Gao","given":"Xiao-Jun"}],"issued":{"date-parts":[["2018",6]]}}}],"schema":"https://github.com/citation-style-language/schema/raw/master/csl-citation.json"} </w:instrText>
      </w:r>
      <w:r w:rsidRPr="00735FCE">
        <w:fldChar w:fldCharType="separate"/>
      </w:r>
      <w:r w:rsidR="00281437" w:rsidRPr="00281437">
        <w:rPr>
          <w:vertAlign w:val="superscript"/>
        </w:rPr>
        <w:t>321</w:t>
      </w:r>
      <w:r w:rsidRPr="00735FCE">
        <w:fldChar w:fldCharType="end"/>
      </w:r>
      <w:r w:rsidRPr="00735FCE">
        <w:t>. RES additionally suppresse</w:t>
      </w:r>
      <w:r>
        <w:t>d</w:t>
      </w:r>
      <w:r w:rsidRPr="00735FCE">
        <w:t xml:space="preserve"> DNA synthesis by directly binding to DNA polymerases, </w:t>
      </w:r>
      <w:r>
        <w:t>particularly</w:t>
      </w:r>
      <w:r w:rsidRPr="00735FCE">
        <w:t xml:space="preserve"> to DNA polymerase α and δ, </w:t>
      </w:r>
      <w:r>
        <w:t>thereby</w:t>
      </w:r>
      <w:r w:rsidRPr="00735FCE">
        <w:t xml:space="preserve"> disrupting the replication process in proliferating cells</w:t>
      </w:r>
      <w:r>
        <w:t xml:space="preserve"> </w:t>
      </w:r>
      <w:r w:rsidRPr="00735FCE">
        <w:fldChar w:fldCharType="begin"/>
      </w:r>
      <w:r w:rsidRPr="00735FCE">
        <w:instrText xml:space="preserve"> ADDIN ZOTERO_ITEM CSL_CITATION {"citationID":"mfj93Bak","properties":{"formattedCitation":"\\super 237\\nosupersub{}","plainCitation":"237","dontUpdate":true,"noteIndex":0},"citationItems":[{"id":3273,"uris":["http://zotero.org/users/9622455/items/B77E6YF3"],"itemData":{"id":3273,"type":"article-journal","abstract":"Resveratrol, a natural compound found in many dietary plants and in red wine, plays an important role in the prevention of many human pathological processes, including inflammation, atherosclerosis and carcinogenesis. We have shown that the antiproliferative activity of resveratrol correlated with its ability to inhibit the replicative pols (DNA polymerases) α and δ in vitro [Stivala, Savio, Carafoli, Perucca, Bianchi, Maga, Forti, Pagnoni, Albini, Prosperi and Vannini (2001) J. Biol. Chem. 276, 22586–22594]. In this paper, we present the first detailed biochemical investigation on the mechanism of action of resveratrol towards mammalian pols. Our results suggest that specific structural determinants of the resveratrol molecule are responsible for selective inhibition of different mammalian pols, such as the family B pol α and the family X pol λ. Moreover, the resveratrol derivative trans-3,5-dimethoxy-4-hydroxystilbene, which is endowed with a strong antiproliferative activity (Stivala et al., 2001), can inhibit pols α and λ and also suppress the in vitro SV40 DNA replication. The potency of inhibition is similar to that of aphidicolin, an inhibitor of the three replicative pols α, δ and ε. Our findings establish the necessary background for the synthesis of resveratrol derivatives having more selective and potent antiproliferative activity.","container-title":"Biochemical Journal","DOI":"10.1042/BJ20050094","ISSN":"0264-6021","issue":"Pt 2","journalAbbreviation":"Biochem J","note":"PMID: 15773817\nPMCID: PMC1175102","page":"259-268","source":"PubMed Central","title":"Inhibition of mammalian DNA polymerases by resveratrol: mechanism and structural determinants","title-short":"Inhibition of mammalian DNA polymerases by resveratrol","volume":"389","author":[{"family":"Locatelli","given":"Giada A."},{"family":"Savio","given":"Monica"},{"family":"Forti","given":"Luca"},{"family":"Shevelev","given":"Igor"},{"family":"Ramadan","given":"Kristijan"},{"family":"Stivala","given":"Lucia A."},{"family":"Vannini","given":"Vanio"},{"family":"Hübscher","given":"Ulrich"},{"family":"Spadari","given":"Silvio"},{"family":"Maga","given":"Giovanni"}],"issued":{"date-parts":[["2005",7,15]]}}}],"schema":"https://github.com/citation-style-language/schema/raw/master/csl-citation.json"} </w:instrText>
      </w:r>
      <w:r w:rsidRPr="00735FCE">
        <w:fldChar w:fldCharType="separate"/>
      </w:r>
      <w:r w:rsidRPr="00735FCE">
        <w:rPr>
          <w:vertAlign w:val="superscript"/>
        </w:rPr>
        <w:t>239</w:t>
      </w:r>
      <w:r w:rsidRPr="00735FCE">
        <w:fldChar w:fldCharType="end"/>
      </w:r>
      <w:r w:rsidRPr="00735FCE">
        <w:t xml:space="preserve">. This action is highly dependent on its structural features, </w:t>
      </w:r>
      <w:r>
        <w:t xml:space="preserve">specifically </w:t>
      </w:r>
      <w:r w:rsidRPr="00735FCE">
        <w:t>the presence of a 4′-hydroxyl group on the B ring and the trans-configuration of its stilbene backbone</w:t>
      </w:r>
      <w:r>
        <w:t xml:space="preserve"> </w:t>
      </w:r>
      <w:r w:rsidRPr="00735FCE">
        <w:fldChar w:fldCharType="begin"/>
      </w:r>
      <w:r w:rsidR="00281437">
        <w:instrText xml:space="preserve"> ADDIN ZOTERO_ITEM CSL_CITATION {"citationID":"ovxgNmyt","properties":{"formattedCitation":"\\super 301,302\\nosupersub{}","plainCitation":"301,302","noteIndex":0},"citationItems":[{"id":3284,"uris":["http://zotero.org/users/9622455/items/SBRIGJPD"],"item</w:instrText>
      </w:r>
      <w:r w:rsidR="00281437">
        <w:rPr>
          <w:rFonts w:hint="eastAsia"/>
        </w:rPr>
        <w:instrText>Data":{"id":3284,"type":"article-journal","abstract":"&lt;p&gt;Resveratrol (3,4</w:instrText>
      </w:r>
      <w:r w:rsidR="00281437">
        <w:rPr>
          <w:rFonts w:hint="eastAsia"/>
        </w:rPr>
        <w:instrText>′</w:instrText>
      </w:r>
      <w:r w:rsidR="00281437">
        <w:rPr>
          <w:rFonts w:hint="eastAsia"/>
        </w:rPr>
        <w:instrText xml:space="preserve">,5-trihydroxy-&lt;i&gt;trans&lt;/i&gt;-stilbene) is a natural phytoalexin found in grapes and wine, which shows antioxidant and antiproliferative activities. In this study we have investigated </w:instrText>
      </w:r>
      <w:r w:rsidR="00281437">
        <w:instrText xml:space="preserve">whether these properties are dependent on similar or different structural determinants of the molecule. To this purpose, resveratrol derivatives, in which all or each single hydroxylic function were selectively substituted with methyl groups, were synthesized. Analogues with the stilbenic double bond reduced or with the stereoisomery modified were also investigated. The antioxidant activity of these compounds was evaluated by measuring the inhibition of citronellal thermo-oxidation, or the reduction of 2,2-diphenyl-1-picrylhydrazyl radical. In addition, the protection against lipid peroxidation was determined in rat liver microsomes, and in human primary cell cultures. The antiproliferative activity was evaluated by a clonogenic assay, and by analysis of </w:instrText>
      </w:r>
      <w:r w:rsidR="00281437">
        <w:rPr>
          <w:rFonts w:hint="eastAsia"/>
        </w:rPr>
        <w:instrText>cell cycle progression and DNA synthesis. The results showed that the hydroxyl group in 4</w:instrText>
      </w:r>
      <w:r w:rsidR="00281437">
        <w:rPr>
          <w:rFonts w:hint="eastAsia"/>
        </w:rPr>
        <w:instrText>′</w:instrText>
      </w:r>
      <w:r w:rsidR="00281437">
        <w:rPr>
          <w:rFonts w:hint="eastAsia"/>
        </w:rPr>
        <w:instrText xml:space="preserve"> position is not the sole determinant for antioxidant activity. In contrast, the presence of 4</w:instrText>
      </w:r>
      <w:r w:rsidR="00281437">
        <w:rPr>
          <w:rFonts w:hint="eastAsia"/>
        </w:rPr>
        <w:instrText>′</w:instrText>
      </w:r>
      <w:r w:rsidR="00281437">
        <w:rPr>
          <w:rFonts w:hint="eastAsia"/>
        </w:rPr>
        <w:instrText>-OH together with stereoisomery in the &lt;i&gt;trans-&lt;/i&gt;conformation (4</w:instrText>
      </w:r>
      <w:r w:rsidR="00281437">
        <w:rPr>
          <w:rFonts w:hint="eastAsia"/>
        </w:rPr>
        <w:instrText>′</w:instrText>
      </w:r>
      <w:r w:rsidR="00281437">
        <w:rPr>
          <w:rFonts w:hint="eastAsia"/>
        </w:rPr>
        <w:instrText>-h</w:instrText>
      </w:r>
      <w:r w:rsidR="00281437">
        <w:instrText>ydroxystyryl moiety) was absolutely required for inhibition of cell proliferation. Enzymatic assays &lt;i&gt;in vitro&lt;/i&gt; demonstrated that inhibition of DNA synthesis was induced by a direct interaction of resveratrol with DNA polymerases α and δ.&lt;/p&gt;","container-title":"Journal of Biological Chemistry","DOI":"10.1074/jbc.M101846200","ISSN":"0021-9258, 1083-351X","issue":"25","journalAbbreviation":"Journal of Biological Chemistry","language":"English","note":"publisher: Elsevier","page":"22586-22594","source":"www.jbc.org","title":"Specific Structural Determinants Are Responsible for the Antioxidant Activity and the Cell Cycle Effects of Resveratrol *","volume":"276","author":[{"family":"Stivala","given":"Lucia A."},{"family":"Savio","given":"Monica"},{"family":"Carafoli","given":"Federico"},{"family":"Perucca","given":"Paola"},{"family":"Bianchi","given":"Livia"},{"family":"Maga","given":"Giovanni"},{"family":"Forti","given":"Luca"},{"family":"Pagnoni","given":"Ugo M."},{"family":"Albini","given":"Angelo"},{"family":"Prosperi","given":"Ennio"},{"family":"Vannini","given":"Vanio"}],"issued":{"date-parts":[["2001",6,22]]}}},{"id":3282,"uris":["http://zotero.org/users/9622455/items/5J6MM7YI"],"itemData":{"id":3282,"type":"article-journal","abstract":"Resveratrol</w:instrText>
      </w:r>
      <w:r w:rsidR="00281437">
        <w:rPr>
          <w:rFonts w:hint="eastAsia"/>
        </w:rPr>
        <w:instrText xml:space="preserve"> (3,4</w:instrText>
      </w:r>
      <w:r w:rsidR="00281437">
        <w:rPr>
          <w:rFonts w:hint="eastAsia"/>
        </w:rPr>
        <w:instrText>′</w:instrText>
      </w:r>
      <w:r w:rsidR="00281437">
        <w:rPr>
          <w:rFonts w:hint="eastAsia"/>
        </w:rPr>
        <w:instrText>,5-trihydroxy-trans-stilbene) is a compound found in wine and is held responsible for a number of beneficial effects of red wine. Besides the prevention of heart disease and significant anti-inflammatory effects, resveratrol might inhibit tumor cell</w:instrText>
      </w:r>
      <w:r w:rsidR="00281437">
        <w:instrText xml:space="preserve"> growth and even play a role in the aging process. We here describe the structure-activity relationship of resveratrol and analogues of resveratrol regarding the free radical scavenging and antitumor effects of this exciting natural compound. In addition, we have synthesized a number of analogues of resveratrol with the aim to further improve the beneficial effects of resveratrol. Our studies were based on the analysis of structural properties, which were responsible for the most important effects of this compound. Striking in vivo effects can be observed with hexahydroxystilbene (M8), the most effective synthetic analogue of resveratrol. We could show that M8 inhibits tumor as well as metastasis growth of human melanoma in two different animal models, alone and in combination with dacarbacine.","container-title":"Pharmaceutical Research","DOI":"10.1007/s11095-010-0090-1","ISSN":"1573-904X","issue":"6","journalAbbreviation":"Pharm Res","language":"en","page":"1042-1048","source":"Springer Link","title":"Resveratrol and Resveratrol Analogues—Structure—Activity Relationship","volume":"27","author":[{"family":"Szekeres","given":"Thomas"},{"family":"Fritzer-Szekeres","given":"Monika"},{"family":"Saiko","given":"Philipp"},{"family":"Jäger","given":"Walter"}],"issued":{"date-parts":[["2010",6,1]]}}}],"schema":"https://github.com/citation-style-language/schema/raw/master/csl-citation.json"} </w:instrText>
      </w:r>
      <w:r w:rsidRPr="00735FCE">
        <w:fldChar w:fldCharType="separate"/>
      </w:r>
      <w:r w:rsidR="00281437" w:rsidRPr="00281437">
        <w:rPr>
          <w:vertAlign w:val="superscript"/>
        </w:rPr>
        <w:t>301,302</w:t>
      </w:r>
      <w:r w:rsidRPr="00735FCE">
        <w:fldChar w:fldCharType="end"/>
      </w:r>
      <w:r w:rsidRPr="00735FCE">
        <w:t>. In pancreatic cancer cells, RES promoted apoptosis and inhibited proliferation by activating N</w:t>
      </w:r>
      <w:r>
        <w:t>RF</w:t>
      </w:r>
      <w:r w:rsidRPr="00735FCE">
        <w:t xml:space="preserve">2 signaling, downregulating NAF-1 </w:t>
      </w:r>
      <w:r>
        <w:t xml:space="preserve">protein </w:t>
      </w:r>
      <w:r w:rsidRPr="00735FCE">
        <w:t>expression, and promoting the accumulation of reactive oxygen species</w:t>
      </w:r>
      <w:r>
        <w:t xml:space="preserve"> </w:t>
      </w:r>
      <w:r w:rsidRPr="00735FCE">
        <w:fldChar w:fldCharType="begin"/>
      </w:r>
      <w:r w:rsidR="00281437">
        <w:instrText xml:space="preserve"> ADDIN ZOTERO_ITEM CSL_CITATION {"citationID":"d75zgiSv","properties":{"formattedCitation":"\\super 323\\nosupersub{}","plainCitation":"323","noteIndex":0},"citationItems":[{"id":3286,"uris":["http://zotero.org/users/9622455/items/VA8KCQHQ"],"itemData":{"id":3286,"type":"article-journal","abstract":"NAF-1 (nutrient-deprivation autophagy factor-1), which is an outer mitochondrial membrane protein, is known to play important roles in calcium metabolism, antiapoptosis, and antiautophagy. Resveratrol, a natural polyphenolic compound, is considered as a potent anticancer agent. Nevertheless, the molecular mechanisms underlying the effects of resveratrol and NAF-1 and their mediation of drug resistance in pancreatic cancer remain unclear. Here, we demonstrate that resveratrol suppresses the expression of NAF-1 in pancreatic cancer cells by inducing cellular reactive oxygen species (ROS) accumulation and activating Nrf2 signaling. In addition, the knockdown of NAF-1 activates apoptosis and impedes the proliferation of pancreatic cancer cells. More importantly, the targeting of NAF-1 by resveratrol can improve the sensitivity of pancreatic cancer cells to gemcitabine. These results highlight the significance of strategies that target NAF-1, which may enhance the efficacy of gemcitabine in pancreatic cancer therapy.","container-title":"Oxidative Medicine and Cellular Longevity","DOI":"10.1155/2018/9482018","ISSN":"1942-0900","journalAbbreviation":"Oxid Med Cell Longev","note":"PMID: 29765509\nPMCID: PMC5885341","page":"9482018","source":"PubMed Central","title":"Resveratrol-Induced Downregulation of NAF-1 Enhances the Sensitivity of Pancreatic Cancer Cells to Gemcitabine via the ROS/Nrf2 Signaling Pathways","volume":"2018","author":[{"family":"Cheng","given":"Liang"},{"family":"Yan","given":"Bin"},{"family":"Chen","given":"Ke"},{"family":"Jiang","given":"Zhengdong"},{"family":"Zhou","given":"Cancan"},{"family":"Cao","given":"Junyu"},{"family":"Qian","given":"Weikun"},{"family":"Li","given":"Jie"},{"family":"Sun","given":"Liankang"},{"family":"Ma","given":"Jiguang"},{"family":"Ma","given":"Qingyong"},{"family":"Sha","given":"Huanchen"}],"issued":{"date-parts":[["2018",3,22]]}}}],"schema":"https://github.com/citation-style-language/schema/raw/master/csl-citation.json"} </w:instrText>
      </w:r>
      <w:r w:rsidRPr="00735FCE">
        <w:fldChar w:fldCharType="separate"/>
      </w:r>
      <w:r w:rsidR="00281437" w:rsidRPr="00281437">
        <w:rPr>
          <w:vertAlign w:val="superscript"/>
        </w:rPr>
        <w:t>323</w:t>
      </w:r>
      <w:r w:rsidRPr="00735FCE">
        <w:fldChar w:fldCharType="end"/>
      </w:r>
      <w:r w:rsidRPr="00735FCE">
        <w:t>. In colon cancer cells, RES inhibit</w:t>
      </w:r>
      <w:r>
        <w:t>ed</w:t>
      </w:r>
      <w:r w:rsidRPr="00735FCE">
        <w:t xml:space="preserve"> Inducible Nitric Oxide Synthase (iNOS) expression and modulate the IGF-1R/Akt/Wnt signaling pathway</w:t>
      </w:r>
      <w:r>
        <w:t>,</w:t>
      </w:r>
      <w:r w:rsidRPr="00735FCE">
        <w:t xml:space="preserve"> while activating p53 and </w:t>
      </w:r>
      <w:r>
        <w:t>thereby</w:t>
      </w:r>
      <w:r w:rsidRPr="00735FCE">
        <w:t xml:space="preserve"> preventing tumor formation</w:t>
      </w:r>
      <w:r>
        <w:t xml:space="preserve"> </w:t>
      </w:r>
      <w:r w:rsidRPr="00735FCE">
        <w:fldChar w:fldCharType="begin"/>
      </w:r>
      <w:r w:rsidR="00281437">
        <w:instrText xml:space="preserve"> ADDIN ZOTERO_ITEM CSL_CITATION {"citationID":"a7JRhcLM","properties":{"formattedCitation":"\\super 324\\nosupersub{}","plainCitation":"324","noteIndex":0},"citationItems":[{"id":3289,"uris":["http://zotero.org/users/9622455/items/5ZF5VW2Y"],"itemData":{"id":3289,"type":"article-journal","abstract":"Inflammation is the principal response invoked by the body to address injuries. Despite inflammation constituting a crucial component of tissue repair, it is well known that unchecked or chronic inflammation becomes deleterious, leading to progressive tissue damage. Studies over the past years focused on foods rich in polyphenols with anti-inflammatory and immunomodulatory properties, since inflammation was recognized to play a central role in several diseases. In this review, we discuss the beneficial effects of resveratrol, the most widely investigated polyphenol, on cancer and neurodegenerative, respiratory, metabolic, and cardiovascular diseases. We highlight how resveratrol, despite its unfavorable pharmacokinetics, can modulate the inflammatory pathways underlying those diseases, and we identify future opportunities for the evaluation of its clinical feasibility.","container-title":"International Journal of Molecular Sciences","DOI":"10.3390/ijms19061812","ISSN":"1422-0067","issue":"6","language":"en","license":"http://creativecommons.org/licenses/by/3.0/","note":"number: 6\npublisher: Multidisciplinary Digital Publishing Institute","page":"1812","source":"www.mdpi.com","title":"Anti-Inflammatory Effects of Resveratrol: Mechanistic Insights","title-short":"Anti-Inflammatory Effects of Resveratrol","volume":"19","author":[{"family":"De Sá Coutinho","given":"Diego"},{"family":"Pacheco","given":"Maria Talita"},{"family":"Frozza","given":"Rudimar Luiz"},{"family":"Bernardi","given":"Andressa"}],"issued":{"date-parts":[["2018",6]]}}}],"schema":"https://github.com/citation-style-language/schema/raw/master/csl-citation.json"} </w:instrText>
      </w:r>
      <w:r w:rsidRPr="00735FCE">
        <w:fldChar w:fldCharType="separate"/>
      </w:r>
      <w:r w:rsidR="00281437" w:rsidRPr="00281437">
        <w:rPr>
          <w:vertAlign w:val="superscript"/>
        </w:rPr>
        <w:t>324</w:t>
      </w:r>
      <w:r w:rsidRPr="00735FCE">
        <w:fldChar w:fldCharType="end"/>
      </w:r>
      <w:r w:rsidRPr="00735FCE">
        <w:t>. Additionally, RES inhibit</w:t>
      </w:r>
      <w:r>
        <w:t>ed</w:t>
      </w:r>
      <w:r w:rsidRPr="00735FCE">
        <w:t xml:space="preserve"> NF-κB signaling in cancer cells</w:t>
      </w:r>
      <w:r>
        <w:t>,</w:t>
      </w:r>
      <w:r w:rsidRPr="00735FCE">
        <w:t xml:space="preserve"> which is involved in sustaining cell viability and </w:t>
      </w:r>
      <w:r>
        <w:t xml:space="preserve">promoting </w:t>
      </w:r>
      <w:r w:rsidRPr="00735FCE">
        <w:t>drug resistance</w:t>
      </w:r>
      <w:r>
        <w:t xml:space="preserve"> </w:t>
      </w:r>
      <w:r w:rsidRPr="00735FCE">
        <w:fldChar w:fldCharType="begin"/>
      </w:r>
      <w:r w:rsidR="00281437">
        <w:instrText xml:space="preserve"> ADDIN ZOTERO_ITEM CSL_CITATION {"citationID":"SPh9XVxY","properties":{"formattedCitation":"\\super 324\\nosupersub{}","plainCitation":"324","noteIndex":0},"citationItems":[{"id":3289,"uris":["http://zotero.org/users/9622455/items/5ZF5VW2Y"],"itemData":{"id":3289,"type":"article-journal","abstract":"Inflammation is the principal response invoked by the body to address injuries. Despite inflammation constituting a crucial component of tissue repair, it is well known that unchecked or chronic inflammation becomes deleterious, leading to progressive tissue damage. Studies over the past years focused on foods rich in polyphenols with anti-inflammatory and immunomodulatory properties, since inflammation was recognized to play a central role in several diseases. In this review, we discuss the beneficial effects of resveratrol, the most widely investigated polyphenol, on cancer and neurodegenerative, respiratory, metabolic, and cardiovascular diseases. We highlight how resveratrol, despite its unfavorable pharmacokinetics, can modulate the inflammatory pathways underlying those diseases, and we identify future opportunities for the evaluation of its clinical feasibility.","container-title":"International Journal of Molecular Sciences","DOI":"10.3390/ijms19061812","ISSN":"1422-0067","issue":"6","language":"en","license":"http://creativecommons.org/licenses/by/3.0/","note":"number: 6\npublisher: Multidisciplinary Digital Publishing Institute","page":"1812","source":"www.mdpi.com","title":"Anti-Inflammatory Effects of Resveratrol: Mechanistic Insights","title-short":"Anti-Inflammatory Effects of Resveratrol","volume":"19","author":[{"family":"De Sá Coutinho","given":"Diego"},{"family":"Pacheco","given":"Maria Talita"},{"family":"Frozza","given":"Rudimar Luiz"},{"family":"Bernardi","given":"Andressa"}],"issued":{"date-parts":[["2018",6]]}}}],"schema":"https://github.com/citation-style-language/schema/raw/master/csl-citation.json"} </w:instrText>
      </w:r>
      <w:r w:rsidRPr="00735FCE">
        <w:fldChar w:fldCharType="separate"/>
      </w:r>
      <w:r w:rsidR="00281437" w:rsidRPr="00281437">
        <w:rPr>
          <w:vertAlign w:val="superscript"/>
        </w:rPr>
        <w:t>324</w:t>
      </w:r>
      <w:r w:rsidRPr="00735FCE">
        <w:fldChar w:fldCharType="end"/>
      </w:r>
      <w:r w:rsidRPr="00735FCE">
        <w:t>. It decrease</w:t>
      </w:r>
      <w:r>
        <w:t xml:space="preserve">d </w:t>
      </w:r>
      <w:r w:rsidRPr="00735FCE">
        <w:t xml:space="preserve">NF-κB acetylation and phosphorylation, </w:t>
      </w:r>
      <w:r>
        <w:t xml:space="preserve">and </w:t>
      </w:r>
      <w:r w:rsidRPr="00735FCE">
        <w:t>block</w:t>
      </w:r>
      <w:r>
        <w:t>ed</w:t>
      </w:r>
      <w:r w:rsidRPr="00735FCE">
        <w:t xml:space="preserve"> NF-κB translocation into the nucleus, </w:t>
      </w:r>
      <w:r>
        <w:t xml:space="preserve">thereby </w:t>
      </w:r>
      <w:r w:rsidRPr="00735FCE">
        <w:t>preventing the transcription of downstream genes</w:t>
      </w:r>
      <w:r>
        <w:t xml:space="preserve"> </w:t>
      </w:r>
      <w:r w:rsidRPr="00735FCE">
        <w:fldChar w:fldCharType="begin"/>
      </w:r>
      <w:r w:rsidR="00281437">
        <w:instrText xml:space="preserve"> ADDIN ZOTERO_ITEM CSL_CITATION {"citationID":"FCuLgTBo","properties":{"formattedCitation":"\\super 324\\nosupersub{}","plainCitation":"324","noteIndex":0},"citationItems":[{"id":3289,"uris":["http://zotero.org/users/9622455/items/5ZF5VW2Y"],"itemData":{"id":3289,"type":"article-journal","abstract":"Inflammation is the principal response invoked by the body to address injuries. Despite inflammation constituting a crucial component of tissue repair, it is well known that unchecked or chronic inflammation becomes deleterious, leading to progressive tissue damage. Studies over the past years focused on foods rich in polyphenols with anti-inflammatory and immunomodulatory properties, since inflammation was recognized to play a central role in several diseases. In this review, we discuss the beneficial effects of resveratrol, the most widely investigated polyphenol, on cancer and neurodegenerative, respiratory, metabolic, and cardiovascular diseases. We highlight how resveratrol, despite its unfavorable pharmacokinetics, can modulate the inflammatory pathways underlying those diseases, and we identify future opportunities for the evaluation of its clinical feasibility.","container-title":"International Journal of Molecular Sciences","DOI":"10.3390/ijms19061812","ISSN":"1422-0067","issue":"6","language":"en","license":"http://creativecommons.org/licenses/by/3.0/","note":"number: 6\npublisher: Multidisciplinary Digital Publishing Institute","page":"1812","source":"www.mdpi.com","title":"Anti-Inflammatory Effects of Resveratrol: Mechanistic Insights","title-short":"Anti-Inflammatory Effects of Resveratrol","volume":"19","author":[{"family":"De Sá Coutinho","given":"Diego"},{"family":"Pacheco","given":"Maria Talita"},{"family":"Frozza","given":"Rudimar Luiz"},{"family":"Bernardi","given":"Andressa"}],"issued":{"date-parts":[["2018",6]]}}}],"schema":"https://github.com/citation-style-language/schema/raw/master/csl-citation.json"} </w:instrText>
      </w:r>
      <w:r w:rsidRPr="00735FCE">
        <w:fldChar w:fldCharType="separate"/>
      </w:r>
      <w:r w:rsidR="00281437" w:rsidRPr="00281437">
        <w:rPr>
          <w:vertAlign w:val="superscript"/>
        </w:rPr>
        <w:t>324</w:t>
      </w:r>
      <w:r w:rsidRPr="00735FCE">
        <w:fldChar w:fldCharType="end"/>
      </w:r>
      <w:r w:rsidRPr="00735FCE">
        <w:t>. Therefore, RES enhances the efficacy of chemotherapy by inhibiting this signaling pathway</w:t>
      </w:r>
      <w:r>
        <w:t xml:space="preserve"> </w:t>
      </w:r>
      <w:r w:rsidRPr="00735FCE">
        <w:fldChar w:fldCharType="begin"/>
      </w:r>
      <w:r w:rsidR="00281437">
        <w:instrText xml:space="preserve"> ADDIN ZOTERO_ITEM CSL_CITATION {"citationID":"dp1Z3Kgg","properties":{"formattedCitation":"\\super 324\\uc0\\u8211{}326\\nosupersub{}","plainCitation":"324–326","noteIndex":0},"citationItems":[{"id":3295,"uris":["http://zotero.org/users/9622455/items/YIZMTLT5"],"itemData":{"id":3295,"type":"article-journal","abstract":"Purpose: Resveratrol (3,4',5-tri-hydroxy-trans-stilbene) is an antioxidant constituent of a wide variety of plant species including grapes. It has gained considerable attention because of its anticancer properties, as shown in solid and hematologic malignancies. Whether resveratrol could inhibit proliferation or induce cytotoxicity in Waldenström's macroglobulinemia (WM) was investigated.Experimental Design: We studied resveratrol-induced inhibition of proliferation and induction of cytotoxicity in WM cell lines, WM primary tumor cells, IgM-secreting cells, and peripheral blood mononuclear cells. The mechanisms of action and different signaling pathways involved were studied using Western blot and gene expression profile analysis. Resveratrol activity was also evaluated in the bone marrow microenvironment. We finally investigated whether or not resveratrol could have any synergistic effect if used in combination with other drugs widely used in the treatment of WM.Results: Resveratrol inhibited proliferation and induced cytotoxicity against WM cells, IgM-secreting cells, as well as primary WM cells, without affecting peripheral blood mononuclear cells; down-regulated Akt, extracellular signal-regulated kinase mitogen-activated protein kinases, and Wnt signaling pathways, as well as Akt activity; induced cell cycle arrest and apoptosis; and triggered c-Jun-NH2-terminal-kinase activation, followed by the activation of intrinsic and extrinsic caspase pathways. Lastly, adherence to bone marrow stromal cells did not confer protection to WM cells against resveratrol-induced cytotoxicity. Furthermore, resveratrol showed synergistic cytotoxicity when combined with dexamethasone, fludarabine, and bortezomib.Conclusion: Our data show that resveratrol has significant antitumor activity in WM, providing the framework for clinical trials in this disease.","container-title":"Clinical Cancer Research","DOI":"10.1158/1078-0432.CCR-07-1750","ISSN":"1078-0432","issue":"6","journalAbbreviation":"Clinical Cancer Research","page":"1849-1858","source":"Silverchair","title":"Resveratrol Exerts Antiproliferative Activity and Induces Apoptosis in Waldenström's Macroglobulinemia","volume":"14","author":[{"family":"Roccaro","given":"Aldo M."},{"family":"Leleu","given":"Xavier"},{"family":"Sacco","given":"Antonio"},{"family":"Moreau","given":"Anne-Sophie"},{"family":"Hatjiharissi","given":"Evdoxia"},{"family":"Jia","given":"Xiaoying"},{"family":"Xu","given":"Lian"},{"family":"Ciccarelli","given":"Bryan"},{"family":"Patterson","given":"Christopher J."},{"family":"Ngo","given":"Hai T."},{"family":"Russo","given":"Domenico"},{"family":"Vacca","given":"Angelo"},{"family":"Dammacco","given":"Franco"},{"family":"Anderson","given":"Kenneth C."},{"family":"Ghobrial","given":"Irene M."},{"family":"Treon","given":"Steven P."}],"issued":{"date-parts":[["2008",3,17]]}}},{"id":3289,"uris":["http://zotero.org/users/9622455/items/5ZF5VW2Y"],"itemData":{"id":3289,"type":"article-journal","abstract":"Inflammation is the principal response invoked by the body to address injuries. Despite inflammation constituting a crucial component of tissue repair, it is well known that unchecked or chronic inflammation becomes deleterious, leading to progressive tissue damage. Studies over the past years focused on foods rich in polyphenols with anti-inflammatory and immunomodulatory properties, since inflammation was recognized to play a central role in several diseases. In this review, we discuss the beneficial effects of resveratrol, the most widely investigated polyphenol, on cancer and neurodegenerative, respiratory, metabolic, and cardiovascular diseases. We highlight how resveratrol, despite its unfavorable pharmacokinetics, can modulate the inflammatory pathways underlying those diseases, and we identify future opportunities for the evaluation of its clinical feasibility.","container-title":"International Journal of Molecular Sciences","DOI":"10.3390/ijms19061812","ISSN":"1422-0067","issue":"6","language":"en","license":"http://creativecommons.org/licenses/by/3.0/","note":"number: 6\npublisher: Multidisciplinary Digital Publishing Institute","page":"1812","source":"www.mdpi.com","title":"Anti-Inflammatory Effects of Resveratrol: Mechanistic Insights","title-short":"Anti-Inflammatory Effects of Resveratrol","volume":"19","author":[{"family":"De Sá Coutinho","given":"Diego"},{"family":"Pacheco","given":"Maria Talita"},{"family":"Frozza","given":"Rudimar Luiz"},{"family":"Bernardi","given":"Andressa"}],"issued":{"date-parts":[["2018",6]]}}},{"id":3292,"uris":["http://zotero.org/users/9622455/items/BVZNCUZT"],"itemData":{"id":3292,"type":"article-journal","abstract":"The use of novel and improved chemopreventive and chemotherapeutic agents for the prevention and treatment of cancer is on the rise. Natural products have always afforded a rich source of such agents. Epidemiological evidence suggests that a higher flavonoid intake is associated with low cancer risk. Accumulating data clearly indicate that the induction of apoptosis is an important component in the chemoprevention of cancer by naturally occurring dietary agents. Resveratrol, a naturally occurring polyphenol, demonstrates pleiotropic health benefits, including antioxidant, anti-inflammatory, antiaging, cardioprotective, and neuroprotective activities. Because of these properties and their wide distribution throughout the plant kingdom, resveratrol is envisioned as a potential chemopreventive/curative agent. Currently, a number of preclinical findings from our lab and elsewhere suggest resveratrol to be a promising natural weapon in the war against cancer. Remarkable progress in elucidating the molecular mechanisms underlying the anticancer properties of resveratrol has been achieved. Here, we focus on some of the myriad pathways that resveratrol targets to exert its chemopreventive role and advocate that resveratrol holds tremendous potential as an efficient anticancer drug of the future.","container-title":"Annals of the New York Academy of Sciences","DOI":"10.1111/j.1749-6632.2010.05870.x","ISSN":"1749-6632","issue":"1","language":"en","license":"© 2011 New York Academy of Sciences","note":"_eprint: https://nyaspubs.onlinelibrary.wiley.com/doi/pdf/10.1111/j.1749-6632.2010.05870.x","page":"1-8","source":"Wiley Online Library","title":"Resveratrol and cellular mechanisms of cancer prevention","volume":"1215","author":[{"family":"Shukla","given":"Yogeshwer"},{"family":"Singh","given":"Richa"}],"issued":{"date-parts":[["2011"]]}}}],"schema":"https://github.com/citation-style-language/schema/raw/master/csl-citation.json"} </w:instrText>
      </w:r>
      <w:r w:rsidRPr="00735FCE">
        <w:fldChar w:fldCharType="separate"/>
      </w:r>
      <w:r w:rsidR="00281437" w:rsidRPr="00281437">
        <w:rPr>
          <w:vertAlign w:val="superscript"/>
        </w:rPr>
        <w:t>324–326</w:t>
      </w:r>
      <w:r w:rsidRPr="00735FCE">
        <w:fldChar w:fldCharType="end"/>
      </w:r>
      <w:r w:rsidRPr="00735FCE">
        <w:t>.</w:t>
      </w:r>
    </w:p>
    <w:p w14:paraId="7FBFCFD1" w14:textId="77777777" w:rsidR="009117C0" w:rsidRPr="00735FCE" w:rsidRDefault="009117C0" w:rsidP="00847BA5">
      <w:pPr>
        <w:pStyle w:val="Heading4"/>
      </w:pPr>
      <w:r>
        <w:t>Anti-Obesity and Anti-Diabetic Effects</w:t>
      </w:r>
    </w:p>
    <w:p w14:paraId="7C9494B6" w14:textId="4A34B99C" w:rsidR="009117C0" w:rsidRPr="00735FCE" w:rsidRDefault="009117C0" w:rsidP="00F5471F">
      <w:pPr>
        <w:ind w:firstLine="720"/>
        <w:jc w:val="left"/>
      </w:pPr>
      <w:r w:rsidRPr="00735FCE">
        <w:t xml:space="preserve">RES </w:t>
      </w:r>
      <w:r>
        <w:t>exhibits</w:t>
      </w:r>
      <w:r w:rsidRPr="00735FCE">
        <w:t xml:space="preserve"> strong anti-obesity and anti-diabetic effects due to multiple mechanisms, one of which is </w:t>
      </w:r>
      <w:r>
        <w:t xml:space="preserve">the </w:t>
      </w:r>
      <w:r w:rsidRPr="00735FCE">
        <w:t>suppression of adipogenesis</w:t>
      </w:r>
      <w:r>
        <w:t xml:space="preserve"> </w:t>
      </w:r>
      <w:r w:rsidRPr="00735FCE">
        <w:fldChar w:fldCharType="begin"/>
      </w:r>
      <w:r w:rsidR="00281437">
        <w:instrText xml:space="preserve"> ADDIN ZOTERO_ITEM CSL_CITATION {"citationID":"TUxOtoId","properties":{"formattedCitation":"\\super 327\\nosupersub{}","plainCitation":"327","noteIndex":0},"citationItems":[{"id":3156,"uris":["http://zotero.org/users/9622455/items/HVPZFV4U"],"itemData":{"id":3156,"type":"article-journal","abstract":"Bone marrow adipose tissue (BMAT) is a unique adipose depot originating from bone marrow stromal stem cells (BMSCs) and regulates bone homeostasis and energy metabolism. An increased BMAT volume is observed in several conditions e.g. obesity, type 2 diabetes, osteoporosis and is known to be associated with bone fragility and increased risk for fracture. Therapeutic approaches to decrease the accumulation of BMAT are clinically relevant. In a screening experiment of natural compounds, we identified Resveratrol (RSV), a plant-derived antioxidant mediating biological effects via sirtuin- related mechanisms, to exert significant effects of BMAT formation. Thus, we examined in details the effects RSV on adipocytic and osteoblastic differentiation of tolermerized human BMSCs (hBMSC-TERT). RSV (1.0 μM) enhanced osteoblastic differentiation and inhibited adipocytic differentiation of hBMSC-TERT when compared with control and Sirtinol (Sirtuin inhibitor). Global gene expression profiling and western blot analysis revealed activation of a number of signaling pathways including focal adhesion kinase (FAK). Pharmacological inhibition of FAK using (PF-573228) and AKT inhibitor (LY-294002) (5μM), diminished RSV-induced osteoblast differentiation. In addition, RSV reduced the levels of senescence-associated secretory phenotype (SASP), gene markers associated with senescence (P53, P16, and P21), intracellular ROS levels and increased gene expression of enzymes protecting cells from oxidative damage (HMOX1 and SOD3). In vitro treatment of primary hBMSCs from aged patients characterized with high adipocytic and low osteoblastic differentiation ability with RSV, significantly enhanced osteoblast and decreased adipocyte formation when compared to hBMSCs from young donors. RSV targets hBMSCs and inhibits adipogenic differentiation and senescence-associated phenotype and thus a potential agent for treating conditions of increased BMAT formation.","container-title":"Bone","DOI":"10.1016/j.bone.2020.115252","ISSN":"8756-3282","journalAbbreviation":"Bone","page":"115252","source":"ScienceDirect","title":"Resveratrol inhibits adipocyte differentiation and cellular senescence of human bone marrow stromal stem cells","volume":"133","author":[{"family":"Ali","given":"Dalia"},{"family":"Chen","given":"Li"},{"family":"Kowal","given":"Justyna M."},{"family":"Okla","given":"Meshail"},{"family":"Manikandan","given":"Muthurangan"},{"family":"AlShehri","given":"Moayad"},{"family":"AlMana","given":"Yousef"},{"family":"AlObaidan","given":"Reham"},{"family":"AlOtaibi","given":"Najd"},{"family":"Hamam","given":"Rimi"},{"family":"Alajez","given":"Nehad M."},{"family":"Aldahmash","given":"Abdullah"},{"family":"Kassem","given":"Moustapha"},{"family":"Alfayez","given":"Musaad"}],"issued":{"date-parts":[["2020",4,1]]}}}],"schema":"https://github.com/citation-style-language/schema/raw/master/csl-citation.json"} </w:instrText>
      </w:r>
      <w:r w:rsidRPr="00735FCE">
        <w:fldChar w:fldCharType="separate"/>
      </w:r>
      <w:r w:rsidR="00281437" w:rsidRPr="00281437">
        <w:rPr>
          <w:vertAlign w:val="superscript"/>
        </w:rPr>
        <w:t>327</w:t>
      </w:r>
      <w:r w:rsidRPr="00735FCE">
        <w:fldChar w:fldCharType="end"/>
      </w:r>
      <w:r w:rsidRPr="00735FCE">
        <w:t xml:space="preserve">. </w:t>
      </w:r>
      <w:r w:rsidR="004B354A" w:rsidRPr="004B354A">
        <w:rPr>
          <w:i/>
        </w:rPr>
        <w:t>In vitro</w:t>
      </w:r>
      <w:r w:rsidRPr="00735FCE">
        <w:t xml:space="preserve"> studies with 3T3-L1 adipocytes </w:t>
      </w:r>
      <w:r>
        <w:t>demonstrated</w:t>
      </w:r>
      <w:r w:rsidRPr="00735FCE">
        <w:t xml:space="preserve"> that RES inhibit</w:t>
      </w:r>
      <w:r>
        <w:t>ed</w:t>
      </w:r>
      <w:r w:rsidRPr="00735FCE">
        <w:t xml:space="preserve"> the expression of crucial adipogenic transcription factors</w:t>
      </w:r>
      <w:r>
        <w:t>, including</w:t>
      </w:r>
      <w:r w:rsidRPr="00735FCE">
        <w:t xml:space="preserve"> C/EBPβ, C/EBPα, and PPARγ</w:t>
      </w:r>
      <w:r>
        <w:t xml:space="preserve">, as well as </w:t>
      </w:r>
      <w:r w:rsidRPr="00735FCE">
        <w:t xml:space="preserve">lipid-associated proteins FABP4 and FASN, </w:t>
      </w:r>
      <w:r>
        <w:t>resulting</w:t>
      </w:r>
      <w:r w:rsidRPr="00735FCE">
        <w:t xml:space="preserve"> in </w:t>
      </w:r>
      <w:r>
        <w:t>reduced</w:t>
      </w:r>
      <w:r w:rsidRPr="00735FCE">
        <w:t xml:space="preserve"> lipid accumulation, </w:t>
      </w:r>
      <w:r>
        <w:t>lower</w:t>
      </w:r>
      <w:r w:rsidRPr="00735FCE">
        <w:t xml:space="preserve"> triglyceride content, and impaired white adipocyte </w:t>
      </w:r>
      <w:r w:rsidRPr="00735FCE">
        <w:lastRenderedPageBreak/>
        <w:t>differentiation and maturation</w:t>
      </w:r>
      <w:r>
        <w:t xml:space="preserve"> </w:t>
      </w:r>
      <w:r w:rsidRPr="00735FCE">
        <w:fldChar w:fldCharType="begin"/>
      </w:r>
      <w:r w:rsidR="00281437">
        <w:instrText xml:space="preserve"> ADDIN ZOTERO_ITEM CSL_CITATION {"citationID":"WumN2MjH","properties":{"formattedCitation":"\\super 328\\nosupersub{}","plainCitation":"328","noteIndex":0},"citationItems":[{"id":3158,"uris":["http://zotero.org/users/9622455/items/6WMTBVAD"],"itemData":{"id":3158,"type":"article-journal","abstract":"Resveratrol butyrate esters (RBEs), which are novel resveratrol-synthesized derivatives, exhibit increased biological activity. This study elucidated the effect of RBEs on fat metabolism and their anti-obesity characteristics. Their molecular mechanism was investigated in the 3T3-L1 murine preadipocyte cells and adipocytes. RBE doses of &lt; 2 μM did not induce a significant change in the viability of 3T3-L1 adipocytes. After RBEs treatment, intracellular lipid droplet accumulation in 3T3-L1 adipocytes was stimulated by methylisobutylxanthine, dexamethasone, and insulin-containing medium. However, a significant dose-dependent reduction in intracellular lipid levels was observed. The mRNA levels of two adipogenic transcription factors (peroxisome proliferator-activated receptor [PPAR] and CCAAT/enhancer-binding proteins [C/EBP]) and lipogenic proteins (fatty acid-binding protein 4 [FABP4] and fatty acid synthase [FAS]) were significantly attenuated by RBE treatment in both MDI-stimulated and differentiated 3T3-L1 adipocytes. Moreover, the phosphorylation level of adenosine monophosphate-activated protein kinase (AMPK) also dramatically increased in the MDI + RBE-treated group compared to that in the MDI + vehicle-treated group. Collectively, our study provides strong evidence that RBEs inhibit adipogenesis by regulating adipogenic protein expression and increasing the p-AMPK/AMPK ratio. Future studies will be conducted on animal models to validate the application of RBEs as a functional food ingredient in improving human health.","container-title":"Journal of Food Science and Technology","DOI":"10.1007/s13197-022-05436-x","ISSN":"0022-1155","issue":"3","journalAbbreviation":"J Food Sci Technol","note":"PMID: 36908355\nPMCID: PMC9998790","page":"1015-1025","source":"PubMed Central","title":"Resveratrol butyrate esters inhibit lipid biosynthesis in 3T3-L1 cells by AMP-activated protein kinase phosphorylation","volume":"60","author":[{"family":"Shih","given":"Ming-Kuei"},{"family":"Hsieh","given":"Shu-Ling"},{"family":"Huang","given":"Yu-Wen"},{"family":"Patel","given":"Anil Kumar"},{"family":"Dong","given":"Cheng-di"},{"family":"Hou","given":"Chih-Yao"}],"issued":{"date-parts":[["2023",3]]}}}],"schema":"https://github.com/citation-style-language/schema/raw/master/csl-citation.json"} </w:instrText>
      </w:r>
      <w:r w:rsidRPr="00735FCE">
        <w:fldChar w:fldCharType="separate"/>
      </w:r>
      <w:r w:rsidR="00281437" w:rsidRPr="00281437">
        <w:rPr>
          <w:vertAlign w:val="superscript"/>
        </w:rPr>
        <w:t>328</w:t>
      </w:r>
      <w:r w:rsidRPr="00735FCE">
        <w:fldChar w:fldCharType="end"/>
      </w:r>
      <w:r w:rsidRPr="00735FCE">
        <w:t xml:space="preserve">. Corresponding </w:t>
      </w:r>
      <w:r w:rsidR="004B354A" w:rsidRPr="004B354A">
        <w:rPr>
          <w:i/>
        </w:rPr>
        <w:t>in vivo</w:t>
      </w:r>
      <w:r w:rsidRPr="00735FCE">
        <w:t xml:space="preserve"> evidence showed that RES supplementation in diet-induced obese mice not only attenuated fat mass and adipocyte hypertrophy but also suppressed pro-adipogenic and lipogenic gene </w:t>
      </w:r>
      <w:r>
        <w:t xml:space="preserve">protein </w:t>
      </w:r>
      <w:r w:rsidRPr="00735FCE">
        <w:t>expression</w:t>
      </w:r>
      <w:r>
        <w:t>,</w:t>
      </w:r>
      <w:r w:rsidRPr="00735FCE">
        <w:t xml:space="preserve"> PPARγ, C/EBPα, SREBP-1c, and FASN in epididymal </w:t>
      </w:r>
      <w:r>
        <w:t xml:space="preserve">WAT </w:t>
      </w:r>
      <w:r w:rsidRPr="00735FCE">
        <w:t>(eWAT)</w:t>
      </w:r>
      <w:r>
        <w:t xml:space="preserve"> </w:t>
      </w:r>
      <w:r w:rsidRPr="00735FCE">
        <w:fldChar w:fldCharType="begin"/>
      </w:r>
      <w:r w:rsidR="00281437">
        <w:instrText xml:space="preserve"> ADDIN ZOTERO_ITEM CSL_CITATION {"citationID":"fO1et8YF","properties":{"formattedCitation":"\\super 329\\nosupersub{}","plainCitation":"329","noteIndex":0},"citationItems":[{"id":3160,"uris":["http://zotero.org/users/9622455/items/P65QVD4B"],"itemData":{"id":3160,"type":"article-journal","abstract":"Resveratrol is a natural polyphenolic stilbene derivative found in a variety of edible fruits, including nuts, berries, and grape skin. Although resveratrol has been suggested to improve thermogenesis in the brown adipose tissues of obese animals, there have been no reports on the anti-adipogenic and anti-inflammatory effects of resveratrol in the white adipose tissues of obese animals. The primary aim of this study was to investigate whether resveratrol attenuates high-fat diet (HFD)-induced adipogenesis and inflammation in the epididymal fat tissues of mice and to explore the underlying mechanisms involved in this attenuation. In comparison with HFD-fed mice, mice fed with a 0.4% resveratrol-supplemented diet (RSD) showed significantly lower body weight gain (−48%), visceral fat-pad weights (−58%), and plasma levels of triglyceride, FFA, total cholesterol, glucose, tumor necrosis factor (TNF) α, and monocyte chemoattractant protein-1 (MCP1). Resveratrol significantly reversed the HFD-induced up-regulation of galanin-mediated signaling molecules (GalR1/2, PKCδ, Cyc-D, E2F1, and p-ERK) and key adipogenic genes (PPARγ2, C/EBPα, SREBP-1c, FAS, LPL, aP2, and leptin) in the epididymal adipose tissues of mice. Furthermore, resveratrol significantly attenuated the HFD-induced up-regulation of pro-inflammatory cytokines (TNFα, IFNα, IFNβ, and IL-6) and their upstream signaling molecules (TLR2/4, MyD88, Tirap, TRIF, TRAF6, IRF5, p-IRF3, and NF-κB) in the adipose tissues of mice. The results of this study suggest that resveratrol inhibits visceral adipogenesis by suppressing the galanin-mediated adipogenesis signaling cascade. It may also attenuate cytokine production in the adipose tissue by repressing the TLR2- and TLR4-mediated pro-inflammatory signaling cascades in HFD-fed mice.","container-title":"Biochemical Pharmacology","DOI":"10.1016/j.bcp.2011.03.012","ISSN":"0006-2952","issue":"11","journalAbbreviation":"Biochemical Pharmacology","page":"1343-1351","source":"ScienceDirect","title":"Resveratrol exerts anti-obesity effects via mechanisms involving down-regulation of adipogenic and inflammatory processes in mice","volume":"81","author":[{"family":"Kim","given":"Soyoung"},{"family":"Jin","given":"Yoojeong"},{"family":"Choi","given":"Youngshim"},{"family":"Park","given":"Taesun"}],"issued":{"date-parts":[["2011",6,1]]}}}],"schema":"https://github.com/citation-style-language/schema/raw/master/csl-citation.json"} </w:instrText>
      </w:r>
      <w:r w:rsidRPr="00735FCE">
        <w:fldChar w:fldCharType="separate"/>
      </w:r>
      <w:r w:rsidR="00281437" w:rsidRPr="00281437">
        <w:rPr>
          <w:vertAlign w:val="superscript"/>
        </w:rPr>
        <w:t>329</w:t>
      </w:r>
      <w:r w:rsidRPr="00735FCE">
        <w:fldChar w:fldCharType="end"/>
      </w:r>
      <w:r w:rsidRPr="00735FCE">
        <w:t xml:space="preserve">. Obese patients also showed </w:t>
      </w:r>
      <w:r>
        <w:t xml:space="preserve">that </w:t>
      </w:r>
      <w:r w:rsidRPr="00735FCE">
        <w:t>RES supplementation improved body composition with decreased adiposity, especially when RES was combined with lifestyle changes</w:t>
      </w:r>
      <w:r>
        <w:t xml:space="preserve"> </w:t>
      </w:r>
      <w:r w:rsidRPr="00735FCE">
        <w:fldChar w:fldCharType="begin"/>
      </w:r>
      <w:r w:rsidR="00281437">
        <w:instrText xml:space="preserve"> ADDIN ZOTERO_ITEM CSL_CITATION {"citationID":"7WWoKWhC","properties":{"formattedCitation":"\\super 330\\nosupersub{}","plainCitation":"330","noteIndex":0},"citationItems":[{"id":3162,"uris":["http://zotero.org/users/9622455/items/LN6QWCSF"],"itemData":{"id":3162,"type":"article-journal","abstract":"Aims\nThe aim of the present study was to evaluate the oral resveratrol effects associated with diet and physical training changes on anthropometric and biochemical parameters.\nMain methods\n25 individuals aged from 30 to 60 years old; with Body Mass Index (BMI) </w:instrText>
      </w:r>
      <w:r w:rsidR="00281437">
        <w:rPr>
          <w:rFonts w:hint="eastAsia"/>
        </w:rPr>
        <w:instrText>≥</w:instrText>
      </w:r>
      <w:r w:rsidR="00281437">
        <w:instrText xml:space="preserve"> 30 kg/m2 were included in the study. Following the primary evaluation (anthropometric and clinical), the patients were randomly divided into 2 groups: (1) Placebo: Physical activity program + Diet + Placebo; (2) Resveratrol: Physical activity program + Diet + Resveratrol (RVS) (250 mg/day) for three months. Anthropometric and biochemical parameters were evaluated at baseline and after the treatment period.\nKey findings\nThe main findings showed that the resveratrol supplementation improved total cholesterol (TC), High-density Lipoprotein cholesterol (HDL-c), Very-low density Lipoprotein cholesterol (VLDL-c), urea, creatinine and albumin serum levels.\nSignificance\nThese findings indicate that this polyphenol may be an option to potentiate the beneficial effects induced by dietary and physical activity programs in the Metabolic Syndrome (MetS) treatment.","container-title":"Life Sciences","DOI":"10.1016/j.lfs.2020.117962","ISSN":"0024-3205","journalAbbreviation":"Life Sciences","page":"117962","source":"ScienceDirect","title":"Oral resveratrol supplementation improves Metabolic Syndrome features in obese patients submitted to a lifestyle-changing program","volume":"256","author":[{"family":"Batista-Jorge","given":"G. C."},{"family":"Barcala-Jorge","given":"A. S."},{"family":"Silveira","given":"M. F."},{"family":"Lelis","given":"D. F."},{"family":"Andrade","given":"J. M. O."},{"family":"Paula","given":"A. M. B.","non-dropping-particle":"de"},{"family":"Guimarães","given":"A. L. S."},{"family":"Santos","given":"S. H. S."}],"issued":{"date-parts":[["2020",9,1]]}}}],"schema":"https://github.com/citation-style-language/schema/raw/master/csl-citation.json"} </w:instrText>
      </w:r>
      <w:r w:rsidRPr="00735FCE">
        <w:fldChar w:fldCharType="separate"/>
      </w:r>
      <w:r w:rsidR="00281437" w:rsidRPr="00281437">
        <w:rPr>
          <w:vertAlign w:val="superscript"/>
        </w:rPr>
        <w:t>330</w:t>
      </w:r>
      <w:r w:rsidRPr="00735FCE">
        <w:fldChar w:fldCharType="end"/>
      </w:r>
      <w:r w:rsidRPr="00735FCE">
        <w:t>.</w:t>
      </w:r>
    </w:p>
    <w:p w14:paraId="6B19F9D5" w14:textId="509020BB" w:rsidR="009117C0" w:rsidRPr="00735FCE" w:rsidRDefault="009117C0" w:rsidP="00F5471F">
      <w:pPr>
        <w:ind w:firstLine="720"/>
        <w:jc w:val="left"/>
      </w:pPr>
      <w:r w:rsidRPr="00735FCE">
        <w:t xml:space="preserve">RES is particularly notable for its ability to induce browning and thermogenesis. In 3T3-L1 and human </w:t>
      </w:r>
      <w:r>
        <w:t>Simpson-Golabi-Behmel syndrome (</w:t>
      </w:r>
      <w:r w:rsidRPr="00735FCE">
        <w:t>SGBS</w:t>
      </w:r>
      <w:r>
        <w:t>)</w:t>
      </w:r>
      <w:r w:rsidRPr="00735FCE">
        <w:t xml:space="preserve"> cells, RES treatment increased the </w:t>
      </w:r>
      <w:r>
        <w:t xml:space="preserve">protein </w:t>
      </w:r>
      <w:r w:rsidRPr="00735FCE">
        <w:t xml:space="preserve">expression </w:t>
      </w:r>
      <w:r>
        <w:t xml:space="preserve">of ATAD3 </w:t>
      </w:r>
      <w:r w:rsidRPr="00735FCE">
        <w:t xml:space="preserve">and </w:t>
      </w:r>
      <w:r>
        <w:t>c</w:t>
      </w:r>
      <w:r w:rsidRPr="00735FCE">
        <w:t xml:space="preserve">ytochrome </w:t>
      </w:r>
      <w:r>
        <w:t xml:space="preserve">c, thereby </w:t>
      </w:r>
      <w:r w:rsidRPr="00735FCE">
        <w:t>stimulat</w:t>
      </w:r>
      <w:r>
        <w:t>ing</w:t>
      </w:r>
      <w:r w:rsidRPr="00735FCE">
        <w:t xml:space="preserve"> mitochondrial biogenesis and oxygen consumption</w:t>
      </w:r>
      <w:r>
        <w:t xml:space="preserve"> </w:t>
      </w:r>
      <w:r w:rsidRPr="00735FCE">
        <w:fldChar w:fldCharType="begin"/>
      </w:r>
      <w:r w:rsidR="00281437">
        <w:instrText xml:space="preserve"> ADDIN ZOTERO_ITEM CSL_CITATION {"citationID":"jtz5fm6U","properties":{"formattedCitation":"\\super 331\\nosupersub{}","plainCitation":"331","noteIndex":0},"citationItems":[{"id":3165,"uris":["http://zotero.org/users/9622455/items/7AML28WG"],"itemData":{"id":3165,"type":"article-journal","abstract":"Resveratrol is attracting much interest because of its potential to decrease body weight and increase life span, influencing liver and muscle function by increasing mitochondrial mass and energy expenditure. Even though resveratrol was already shown to reduce the adipose tissue mass in animal models, its effects on mitochondrial mass and network structure in adipocytes have not yet been studied. For this purpose, we investigated the effect of resveratrol on mitochondrial mass increase and remodeling during adipogenic differentiation of two in vitro models of adipocyte biology, the murine 3T3-L1 cell line and the human SGBS cell strain. We confirm that resveratrol inhibits lipogenesis in differentiating adipocytes, both mouse and human. We further show that this is linked to inhibition of the normally observed mitochondrial mass increase and mitochondrial remodeling. At the molecular level, the anti-lipogenic effect of resveratrol seems to be mediated by a blunted expression increase and an inhibition of acetyl-CoA carboxylase (ACC). This is one of the consequences of an inhibited insulin-induced signaling via Akt, and maintained signaling via AMP-activated protein kinase. The anti-lipogenic effect of resveratrol is further modulated by expression levels of mitochondrial ATAD3, consistent with the emerging role of this protein as an important regulator of mitochondrial biogenesis and lipogenesis. Our data suggest that resveratrol acts on differentiating preadipocytes by inhibiting insulin signaling, mitochondrial biogenesis, and lipogenesis, and that resveratrol-induced reduction of mitochondrial biogenesis and lipid storage contribute to adipose tissue weight loss in animals and humans.","container-title":"Biochimica et Biophysica Acta (BBA) - Bioenergetics","DOI":"10.1016/j.bbabio.2016.03.009","ISSN":"0005-2728","issue":"6","journalAbbreviation":"Biochimica et Biophysica Acta (BBA) - Bioenergetics","page":"643-652","source":"ScienceDirect","title":"Resveratrol inhibits lipogenesis of 3T3-L1 and SGBS cells by inhibition of insulin signaling and mitochondrial mass increase","volume":"1857","author":[{"family":"Li","given":"Shuijie"},{"family":"Bouzar","given":"Célia"},{"family":"Cottet-Rousselle","given":"Cécile"},{"family":"Zagotta","given":"Ivana"},{"family":"Lamarche","given":"Frédéric"},{"family":"Wabitsch","given":"Martin"},{"family":"Tokarska-Schlattner","given":"Malgorzata"},{"family":"Fischer-Posovszky","given":"Pamela"},{"family":"Schlattner","given":"Uwe"},{"family":"Rousseau","given":"Denis"}],"issued":{"date-parts":[["2016",6,1]]}}}],"schema":"https://github.com/citation-style-language/schema/raw/master/csl-citation.json"} </w:instrText>
      </w:r>
      <w:r w:rsidRPr="00735FCE">
        <w:fldChar w:fldCharType="separate"/>
      </w:r>
      <w:r w:rsidR="00281437" w:rsidRPr="00281437">
        <w:rPr>
          <w:vertAlign w:val="superscript"/>
        </w:rPr>
        <w:t>331</w:t>
      </w:r>
      <w:r w:rsidRPr="00735FCE">
        <w:fldChar w:fldCharType="end"/>
      </w:r>
      <w:r w:rsidRPr="00735FCE">
        <w:t xml:space="preserve">. Furthermore, RES treatment induced thermogenic </w:t>
      </w:r>
      <w:r>
        <w:t>gene</w:t>
      </w:r>
      <w:r w:rsidRPr="00735FCE">
        <w:t xml:space="preserve"> expression and </w:t>
      </w:r>
      <w:r>
        <w:t xml:space="preserve">increased </w:t>
      </w:r>
      <w:r w:rsidRPr="00735FCE">
        <w:t xml:space="preserve">energy expenditure in </w:t>
      </w:r>
      <w:r>
        <w:t xml:space="preserve">the </w:t>
      </w:r>
      <w:r w:rsidRPr="00735FCE">
        <w:t>BAT and iWAT of HFD-fed mice</w:t>
      </w:r>
      <w:r>
        <w:t xml:space="preserve"> </w:t>
      </w:r>
      <w:r w:rsidRPr="00735FCE">
        <w:fldChar w:fldCharType="begin"/>
      </w:r>
      <w:r w:rsidR="00281437">
        <w:instrText xml:space="preserve"> ADDIN ZOTERO_ITEM CSL_CITATION {"citationID":"aeO3IOw4","properties":{"formattedCitation":"\\super 332,333\\nosupersub{}","plainCitation":"332,333","noteIndex":0},"citationItems":[{"id":3167,"uris":["http://zotero.org/users/9622455/items/U34F43J3"],"itemData":{"id":3167,"type":"article-journal","abstract":"Development of brown-like/beige adipocytes in white adipose tissue (WAT) helps to reduce obesity. Thus we investigated the effects of resveratrol, a dietary polyphenol capable of preventing obesity and related complications in humans and animal models, on brown-like adipocyte formation in inguinal WAT (iWAT).","container-title":"International Journal of Obesity","DOI":"10.1038/ijo.2015.23","ISSN":"1476-5497","issue":"6","journalAbbreviation":"Int J Obes","language":"en","license":"2015 Macmillan Publishers Limited","note":"publisher: Nature Publishing Group","page":"967-976","source":"www.nature.com","title":"Resveratrol induces brown-like adipocyte formation in white fat through activation of AMP-activated protein kinase (AMPK) α1","volume":"39","author":[{"family":"Wang","given":"S."},{"family":"Liang","given":"X."},{"family":"Yang","given":"Q."},{"family":"Fu","given":"X."},{"family":"Rogers","given":"C. J."},{"family":"Zhu","given":"M."},{"family":"Rodgers","given":"B. D."},{"family":"Jiang","given":"Q."},{"family":"Dodson","given":"M. V."},{"family":"Du","given":"M."}],"issued":{"date-parts":[["2015",6]]}}},{"id":3169,"uris":["http://zotero.org/users/9622455/items/HKIWP4T7"],"itemData":{"id":3169,"type":"article-journal","abstract":"The effect of resveratrol on thermogenesis in skeletal muscle and interscapular brown adipose tissue (IBAT) was investigated. Rats were fed an obesogenic diet supplemented with resveratrol (30mg/kg/day) or not supplemented for 6weeks. Resveratrol intake led to increased gene expression of mitochondrial-transcription-factor-A (TFAM), mitochondrial-protein-cytochrome-C-oxidase subunit-2 (COX2), sirtuin-1 (SIRT1), peroxisome-proliferator-activated-receptor-β/δ (PPARβ/δ) and proliferator-activated-receptor-gamma-coactivator1-α (PGC-1α) in IBAT and increased UCP1protein expression; however, peroxisome-proliferator-activated-receptor-α (PPARα) expression remained unchanged. In gastrocnemius muscle, resveratrol increased the gene expression of TFAM and COX2; however, no changes were observed in levels of SIRT1, PGC-1α and PPARβ/δ. Acetylated-PGC-1α was decreased in the resveratrol-treated group, indicating a higher level of activation, and a significant increase of UCP3 protein expression was observed in this group. The increases in UCP protein expression in two important thermogenic tissues after resveratrol treatment may contribute to increased whole-body energy dissipation, which may help to better understand the body-fat lowering effect of this polyphenol.","container-title":"Food Chemistry","DOI":"10.1016/j.foodchem.2013.03.085","ISSN":"0308-8146","issue":"2","journalAbbreviation":"Food Chemistry","page":"1530-1535","source":"ScienceDirect","title":"Thermogenesis is involved in the body-fat lowering effects of resveratrol in rats","volume":"141","author":[{"family":"Alberdi","given":"Goiuri"},{"family":"Rodríguez","given":"Víctor M."},{"family":"Miranda","given":"Jonatan"},{"family":"Macarulla","given":"M. Teresa"},{"family":"Churruca","given":"Itziar"},{"family":"Portillo","given":"María P."}],"issued":{"date-parts":[["2013",11,15]]}}}],"schema":"https://github.com/citation-style-language/schema/raw/master/csl-citation.json"} </w:instrText>
      </w:r>
      <w:r w:rsidRPr="00735FCE">
        <w:fldChar w:fldCharType="separate"/>
      </w:r>
      <w:r w:rsidR="00281437" w:rsidRPr="00281437">
        <w:rPr>
          <w:vertAlign w:val="superscript"/>
        </w:rPr>
        <w:t>332,333</w:t>
      </w:r>
      <w:r w:rsidRPr="00735FCE">
        <w:fldChar w:fldCharType="end"/>
      </w:r>
      <w:r w:rsidRPr="00735FCE">
        <w:t xml:space="preserve">. Interestingly, fecal microbiota transplantation from RES-treated </w:t>
      </w:r>
      <w:r>
        <w:t xml:space="preserve">mice </w:t>
      </w:r>
      <w:r w:rsidRPr="00735FCE">
        <w:t xml:space="preserve">to untreated mice also </w:t>
      </w:r>
      <w:r>
        <w:t xml:space="preserve">significantly inhibited the fat accumulation and induced browning of WAT </w:t>
      </w:r>
      <w:r w:rsidRPr="00735FCE">
        <w:fldChar w:fldCharType="begin"/>
      </w:r>
      <w:r w:rsidR="00281437">
        <w:instrText xml:space="preserve"> ADDIN ZOTERO_ITEM CSL_CITATION {"citationID":"9XZMNS0W","properties":{"formattedCitation":"\\super 334\\nosupersub{}","plainCitation":"334","noteIndex":0},"citationItems":[{"id":3171,"uris":["http://zotero.org/users/9622455/items/Q9D5G4FQ"],"itemData":{"id":3171,"type":"article-journal","abstract":"Promoting the browning of white fat may be a potential means of combating obesity. Therefore, in this study, we investigated the effect of resveratrol (RES) on the body weight and browning of white fat in high-fat diet (HFD)-induced obese mice and the potential associated mechanism in vivo. Eight-week-old male mice were randomized to receive different treatments: (1), chow without any additional treatment (chow); (2), chow plus 0.4% resveratrol (chow-RES); (3), HFD without any additional treatment (HFD); and (4), HFD plus 0.4% resveratrol (HFD-RES). After 4 weeks of feeding, additional 8-week-old male recipient mice were randomly allocated to the following 4 treatments: (5), HFD and received feces from chow-fed mice; (6), HFD and received feces from chow-RES-fed mice; (7), HFD and received feces from HFD-fed mice; and (8), HFD and received feces from HFD-RES-fed mice. RES treatment significantly inhibited increases in fat accumulation, promoted the browning of white adipose tissue (WAT) and alleviated gut microbiota dysbiosis in HFD-fed mice. Subsequent analyses showed that the gut microbiota remodeling induced by resveratrol had a positive role in WAT browning, and sirtuin-1 (Sirt1) signaling appears to be a key component of this process. Overall, the results show that RES may serve as a potential intervention to reduce obesity by alleviating dysbiosis of the gut microbiota.","container-title":"Molecules","DOI":"10.3390/molecules23123356","ISSN":"1420-3049","issue":"12","language":"en","license":"http://creativecommons.org/licenses/by/3.0/","note":"number: 12\npublisher: Multidisciplinary Digital Publishing Institute","page":"3356","source":"www.mdpi.com","title":"Resveratrol-Induced White Adipose Tissue Browning in Obese Mice by Remodeling Fecal Microbiota","volume":"23","author":[{"family":"Liao","given":"Weiyao"},{"family":"Yin","given":"Xiaohan"},{"family":"Li","given":"Qingrong"},{"family":"Zhang","given":"Hongmin"},{"family":"Liu","given":"Zihui"},{"family":"Zheng","given":"Xinjie"},{"family":"Zheng","given":"Lin"},{"family":"Feng","given":"Xiang"}],"issued":{"date-parts":[["2018",12]]}}}],"schema":"https://github.com/citation-style-language/schema/raw/master/csl-citation.json"} </w:instrText>
      </w:r>
      <w:r w:rsidRPr="00735FCE">
        <w:fldChar w:fldCharType="separate"/>
      </w:r>
      <w:r w:rsidR="00281437" w:rsidRPr="00281437">
        <w:rPr>
          <w:vertAlign w:val="superscript"/>
        </w:rPr>
        <w:t>334</w:t>
      </w:r>
      <w:r w:rsidRPr="00735FCE">
        <w:fldChar w:fldCharType="end"/>
      </w:r>
      <w:r w:rsidRPr="00735FCE">
        <w:t xml:space="preserve">. In clinical trials, supplementation </w:t>
      </w:r>
      <w:r>
        <w:t xml:space="preserve">with </w:t>
      </w:r>
      <w:r w:rsidRPr="00735FCE">
        <w:t xml:space="preserve">RES was shown to increase the </w:t>
      </w:r>
      <w:r>
        <w:t xml:space="preserve">mRNA </w:t>
      </w:r>
      <w:r w:rsidRPr="00735FCE">
        <w:t xml:space="preserve">expression of UCP1, PRDM16, and PGC1α in the </w:t>
      </w:r>
      <w:r>
        <w:t>SAT</w:t>
      </w:r>
      <w:r w:rsidRPr="00735FCE">
        <w:t xml:space="preserve"> of obese patients</w:t>
      </w:r>
      <w:r>
        <w:t xml:space="preserve"> </w:t>
      </w:r>
      <w:r w:rsidRPr="00735FCE">
        <w:fldChar w:fldCharType="begin"/>
      </w:r>
      <w:r w:rsidR="00281437">
        <w:instrText xml:space="preserve"> ADDIN ZOTERO_ITEM CSL_CITATION {"citationID":"LaolivN6","properties":{"formattedCitation":"\\super 335\\nosupersub{}","plainCitation":"335","noteIndex":0},"citationItems":[{"id":3173,"uris":["http://zotero.org/users/9622455/items/ET34YVFU"],"itemData":{"id":3173,"type":"article-journal","abstract":"The present study aimed to evaluate the effects of resveratrol on FNDC5 and thermogenesis markers expression in the adipose tissue of mice and humans. Thirty-two male mice were randomly divided into four groups (n = 8) and fed with: Standard Diet; Standard Diet + Resveratrol (400 mg/kg); High-fat Diet; High-fat Diet + Resveratrol for eight weeks. Twenty male and female volunteers, aged 30–55 years, BMI </w:instrText>
      </w:r>
      <w:r w:rsidR="00281437">
        <w:rPr>
          <w:rFonts w:hint="eastAsia"/>
        </w:rPr>
        <w:instrText>≥</w:instrText>
      </w:r>
      <w:r w:rsidR="00281437">
        <w:instrText xml:space="preserve"> 30 kg/m² were divided into two groups and treated for four weeks with 500 mg trans-resveratrol or placebo, adipose tissue biopsies were taken. Analysis of body weight, food intake, glycemic and lipid profiles, mRNA expression from tissues and primary culture of adipocytes were performed. The main results show that resveratrol improves the glycaemic and lipid profiles along with an increase in the levels of UCP1, PRDM16, PGC1α, and SIRT1. The increase in FNDC5 expression was observed in the mouse and human subcutaneous adipose tissue. The SIRT1 antagonist in adipocyte primary culture resulted in decreased FNDC5 expression. Our data suggest that improved metabolism produced by oral administration of resveratrol is, at least in part, associated with increased thermogenesis followed by high expression of UCP1, PRDM16, PGC1α and that increased FNDC5 expression in the subcutaneous adipose tissue from mice and human might be modulated by SIRT1.","container-title":"Biomedicine &amp; Pharmacotherapy","DOI":"10.1016/j.biopha.2019.108634","ISSN":"0753-3322","journalAbbreviation":"Biomedicine &amp; Pharmacotherapy","page":"108634","source":"ScienceDirect","title":"Effect of resveratrol on expression of genes involved thermogenesis in mice and humans","volume":"112","author":[{"family":"Andrade","given":"João Marcus Oliveira"},{"family":"Barcala-Jorge","given":"Antônio Sérgio"},{"family":"Batista-Jorge","given":"Gislaine Cândida"},{"family":"Paraíso","given":"Alanna Fernandes"},{"family":"Freitas","given":"Kátia Michele","dropping-particle":"de"},{"family":"Lelis","given":"Deborah de Farias"},{"family":"Guimarães","given":"André Luiz Sena"},{"family":"Paula","given":"Alfredo Maurício Batista","non-dropping-particle":"de"},{"family":"Santos","given":"Sérgio Henrique Sousa"}],"issued":{"date-parts":[["2019",4,1]]}}}],"schema":"https://github.com/citation-style-language/schema/raw/master/csl-citation.json"} </w:instrText>
      </w:r>
      <w:r w:rsidRPr="00735FCE">
        <w:fldChar w:fldCharType="separate"/>
      </w:r>
      <w:r w:rsidR="00281437" w:rsidRPr="00281437">
        <w:rPr>
          <w:vertAlign w:val="superscript"/>
        </w:rPr>
        <w:t>335</w:t>
      </w:r>
      <w:r w:rsidRPr="00735FCE">
        <w:fldChar w:fldCharType="end"/>
      </w:r>
      <w:r w:rsidRPr="00735FCE">
        <w:t>.</w:t>
      </w:r>
    </w:p>
    <w:p w14:paraId="5E9259FC" w14:textId="0F9D7DBB" w:rsidR="009117C0" w:rsidRPr="00735FCE" w:rsidRDefault="009117C0" w:rsidP="00F5471F">
      <w:pPr>
        <w:ind w:firstLine="720"/>
        <w:jc w:val="left"/>
      </w:pPr>
      <w:r w:rsidRPr="00735FCE">
        <w:t xml:space="preserve">Browning induced by RES is mechanistically </w:t>
      </w:r>
      <w:r>
        <w:t>mediated</w:t>
      </w:r>
      <w:r w:rsidRPr="00735FCE">
        <w:t xml:space="preserve"> through </w:t>
      </w:r>
      <w:r>
        <w:t xml:space="preserve">the </w:t>
      </w:r>
      <w:r w:rsidRPr="00735FCE">
        <w:t xml:space="preserve">activation of </w:t>
      </w:r>
      <w:r>
        <w:t xml:space="preserve">the </w:t>
      </w:r>
      <w:r w:rsidRPr="00735FCE">
        <w:t>AMPK and SIRT1 signaling pathways</w:t>
      </w:r>
      <w:r>
        <w:t xml:space="preserve"> </w:t>
      </w:r>
      <w:r w:rsidRPr="00735FCE">
        <w:fldChar w:fldCharType="begin"/>
      </w:r>
      <w:r w:rsidR="00281437">
        <w:instrText xml:space="preserve"> ADDIN ZOTERO_ITEM CSL_CITATION {"citationID":"CXEIPiy8","properties":{"formattedCitation":"\\super 336,337\\nosupersub{}","plainCitation":"336,337","noteIndex":0},"citationItems":[{"id":3181,"uris":["http://zotero.org/users/9622455/items/EEYEXY4U"],"itemData":{"id":3181,"type":"article-journal","abstract":"Management of obesity has become a prevalent strategy for preventing the diseases closely integrated with excess body weight such as diabetes over the last half century. Searching for therapeutic agents acting on oxidative stress, adipogenesis and insulin resistance is considered as an efﬁcient approach to control obesity-related diseases. The present study was designed to examine the in vitro and in vivo effects of dihydro-resveratrol (DR2), a naturally occurring compound from Dendrobium medicinal plants, on oxidative stress aggravation, adipogenesis, lipogenesis and insulin sensitivity. We utilized an in vitro 3T3-L1 adipocyte differentiation model to show that DR2 could reduce pre-adipocyte maturation by activation of AMPK/SIRT1 signaling proteins to inhibit p38MAPK proteins. With the use of in vitro oxidative-stress-induced hepatocytes and myoblasts models, DR2 was also shown to be able to reduce oxidative stress aggravation through mediation of Nrf2-related antioxidative cascade, reduce intracellular lipid accumulation through phosphorylation of ACC protein, reduce lipid peroxidation in hepatocytes and promote insulin sensitivity via activation of AKT protein in the insulin-resistant HepG2 cells and C2C12 cells. The effects of DR2 on adipogenesis, lipid accumulation, insulin resistance and blood glucose clearance were further demonstrated in the high-fat diet-induced obesity mouse model. Our in vitro and in vivo studies determined that DR2 could contain therapeutic potential for the treatment of obesity and type 2 diabetes.","container-title":"Nutrients","DOI":"10.3390/nu15133006","ISSN":"2072-6643","issue":"13","journalAbbreviation":"Nutrients","language":"en","license":"https://creativecommons.org/licenses/by/4.0/","page":"3006","source":"DOI.org (Crossref)","title":"Dihydro-Resveratrol Attenuates Oxidative Stress, Adipogenesis and Insulin Resistance in In Vitro Models and High-Fat Diet-Induced Mouse Model via AMPK Activation","volume":"15","author":[{"family":"Lam","given":"Chu-Shing"},{"family":"Xia","given":"Yi-Xuan"},{"family":"Chen","given":"Bai-Sen"},{"family":"Du","given":"Yin-Xiao"},{"family":"Liu","given":"Kang-Lun"},{"family":"Zhang","given":"Hong-Jie"}],"issued":{"date-parts":[["2023",6,30]]}}},{"id":3175,"uris":["http://zotero.org/users/9622455/items/6FWJC45L"],"itemData":{"id":3175,"type":"article-journal","abstract":"Development of brown-like/beige adipocytes in white adipose tissue (WAT) helps to reduce obesity. Thus we investigated the effects of resveratrol, a dietary polyphenol capable of preventing obesity and related complications in humans and animal models, on brown-like adipocyte formation in inguinal WAT (iWAT).","container-title":"International Journal of Obesity","DOI":"10.1038/ijo.2015.23","ISSN":"1476-5497","issue":"6","journalAbbreviation":"Int J Obes","language":"en","license":"2015 Macmillan Publishers Limited","note":"publisher: Nature Publishing Group","page":"967-976","source":"www.nature.com","title":"Resveratrol induces brown-like adipocyte formation in white fat through activation of AMP-activated protein kinase (AMPK) α1","volume":"39","author":[{"family":"Wang","given":"S."},{"family":"Liang","given":"X."},{"family":"Yang","given":"Q."},{"family":"Fu","given":"X."},{"family":"Rogers","given":"C. J."},{"family":"Zhu","given":"M."},{"family":"Rodgers","given":"B. D."},{"family":"Jiang","given":"Q."},{"family":"Dodson","given":"M. V."},{"family":"Du","given":"M."}],"issued":{"date-parts":[["2015",6]]}}}],"schema":"https://github.com/citation-style-language/schema/raw/master/csl-citation.json"} </w:instrText>
      </w:r>
      <w:r w:rsidRPr="00735FCE">
        <w:fldChar w:fldCharType="separate"/>
      </w:r>
      <w:r w:rsidR="00281437" w:rsidRPr="00281437">
        <w:rPr>
          <w:vertAlign w:val="superscript"/>
        </w:rPr>
        <w:t>336,337</w:t>
      </w:r>
      <w:r w:rsidRPr="00735FCE">
        <w:fldChar w:fldCharType="end"/>
      </w:r>
      <w:r w:rsidRPr="00735FCE">
        <w:t xml:space="preserve">. </w:t>
      </w:r>
      <w:r w:rsidR="004B354A" w:rsidRPr="004B354A">
        <w:rPr>
          <w:i/>
        </w:rPr>
        <w:t>In vitro</w:t>
      </w:r>
      <w:r w:rsidRPr="00735FCE">
        <w:t xml:space="preserve"> studies </w:t>
      </w:r>
      <w:r>
        <w:t>demonstrated</w:t>
      </w:r>
      <w:r w:rsidRPr="00735FCE">
        <w:t xml:space="preserve"> the complete loss of RES-induced thermogenic and mitochondrial gene expression with SIRT1 and AMPK knockdown, highlighting the reliance upon these pathways</w:t>
      </w:r>
      <w:r>
        <w:t xml:space="preserve"> </w:t>
      </w:r>
      <w:r w:rsidRPr="00735FCE">
        <w:fldChar w:fldCharType="begin"/>
      </w:r>
      <w:r w:rsidR="00281437">
        <w:instrText xml:space="preserve"> ADDIN ZOTERO_ITEM CSL_CITATION {"citationID":"AX9vCP50","properties":{"formattedCitation":"\\super 338,339\\nosupersub{}","plainCitation":"338,339","noteIndex":0},"citationItems":[{"id":3185,"uris":["http://zotero.org/users/9622455/items/J53M4LT5"],"itemData":{"id":3185,"type":"article-journal","abstract":"The present study aimed to evaluate the effects of resveratrol on FNDC5 and thermogenesis markers expression in the adipose tissue of mice and humans. Thirty-two male mice were randomly divided into four groups (n = 8) and fed with: Standard Diet; Standard Diet + Resveratrol (400 mg/kg); High-fat Diet; High-fat Diet + Resveratrol for eight weeks. Twenty male and female volunteers, aged 30–55 years, BMI </w:instrText>
      </w:r>
      <w:r w:rsidR="00281437">
        <w:rPr>
          <w:rFonts w:hint="eastAsia"/>
        </w:rPr>
        <w:instrText>≥</w:instrText>
      </w:r>
      <w:r w:rsidR="00281437">
        <w:instrText xml:space="preserve"> 30 kg/m² were divided into two groups and treated for four weeks with 500 mg trans-resveratrol or placebo, adipose tissue biopsies were taken. Analysis of body weight, food intake, glycemic and lipid profiles, mRNA expression from tissues and primary culture of adipocytes were performed. The main results show that resveratrol improves the glycaemic and lipid profiles along with an increase in the levels of UCP1, PRDM16, PGC1α, and SIRT1. The increase in FNDC5 expression was observed in the mouse and human subcutaneous adipose tissue. The SIRT1 antagonist in adipocyte primary culture resulted in decreased FNDC5 expression. Our data suggest that improved metabolism produced by oral administration of resveratrol is, at least in part, associated with increased thermogenesis followed by high expression of UCP1, PRDM16, PGC1α and that increased FNDC5 expression in the subcutaneous adipose tissue from mice and human might be modulated by SIRT1.","container-title":"Biomedicine &amp; Pharmacotherapy","DOI":"10.1016/j.biopha.2019.108634","ISSN":"0753-3322","journalAbbreviation":"Biomedicine &amp; Pharmacotherapy","page":"108634","source":"ScienceDirect","title":"Effect of resveratrol on expression of genes involved thermogenesis in mice and humans","volume":"112","author":[{"family":"Andrade","given":"João Marcus Oliveira"},{"family":"Barcala-Jorge","given":"Antônio Sérgio"},{"family":"Batista-Jorge","given":"Gislaine Cândida"},{"family":"Paraíso","given":"Alanna Fernandes"},{"family":"Freitas","given":"Kátia Michele","dropping-particle":"de"},{"family":"Lelis","given":"Deborah de Farias"},{"family":"Guimarães","given":"André Luiz Sena"},{"family":"Paula","given":"Alfredo Maurício Batista","non-dropping-particle":"de"},{"family":"Santos","given":"Sérgio Henrique Sousa"}],"issued":{"date-parts":[["2019",4,1]]}}},{"id":3182,"uris":["http://zotero.org/users/9622455/items/CYMQGQEI"],"itemData":{"id":3182,"type":"article-journal","abstract":"Aim\nWe aimed to investigate the effect of resveratrol (Rsv) on expression of genes regulating triglyceride (TG) accumulation and consumption in differentiated 3T3-L1 preadipocytes.\n\nMethods\n3T3-L1 preadipocytes were cultured in DMEM supplemented with 10% fetal calf serum. Upon reaching confluence, cells were induced to differentiate for 4 days, cultured for 10 days for TG accumulation, and then incubated with Rsv (0, 25 or 50 μM) for 3 days. TG accumulation was analyzed by Oil Red-O staining. To understand how Rsv regulates TG accumulation and consumption, changes in gene and protein expressions of several factors associated with free fatty acid (FFA) uptake and β-oxidation were investigated by real-time RT-PCR and Western blot. For further elucidation of underlying mechanisms, we also investigated gene expressions using Sirtuin1 (Sirt1) and peroxisome proliferator-activated receptor gamma coactivator 1-alpha (PGC1α) siRNA.\n\nResults\nRsv dose dependently enhanced Sirt1 expression and reduced TG accumulation. Rsv-induced reduction of TG accumulation was abolished by inhibition of Sirt1 and PGC1α. Rsv also enhanced expressions of genes involved in FFA uptake [peroxisome proliferator-activated receptor-gamma (PPARγ) and lipoprotein lipase] and in β-oxidation regulation [PGC1-α and carnitine palmitoyl-transferase 1a (CPT1a)]. All these effects were abolished by Sirt1 inhibition.\n\nConclusion\nThe present results suggest that Rsv may augment synthesis and oxidation of fatty acid, and possibly increases energy utilization efficiency in adipocytes through activation of Sirt1. The present study may provide meaningful evidence supporting the efficacy of Rsv in the treatment of obesity.","container-title":"Molecular Genetics and Metabolism Reports","DOI":"10.1016/j.ymgmr.2017.05.003","ISSN":"2214-4269","journalAbbreviation":"Mol Genet Metab Rep","note":"PMID: 28580300\nPMCID: PMC5448575","page":"44-50","source":"PubMed Central","title":"Resveratrol attenuates triglyceride accumulation associated with upregulation of Sirt1 and lipoprotein lipase in 3T3-L1 adipocytes","volume":"12","author":[{"family":"Imamura","given":"Haruki"},{"family":"Nagayama","given":"Daiji"},{"family":"Ishihara","given":"Noriko"},{"family":"Tanaka","given":"Syo"},{"family":"Watanabe","given":"Rena"},{"family":"Watanabe","given":"Yasuhiro"},{"family":"Sato","given":"Yuta"},{"family":"Yamaguchi","given":"Takashi"},{"family":"Ban","given":"Noriko"},{"family":"Kawana","given":"Hidetoshi"},{"family":"Ohira","given":"Masahiro"},{"family":"Endo","given":"Kei"},{"family":"Saiki","given":"Atsuhito"},{"family":"Shirai","given":"Kohji"},{"family":"Tatsuno","given":"Ichiro"}],"issued":{"date-parts":[["2017",5,30]]}}}],"schema":"https://github.com/citation-style-language/schema/raw/master/csl-citation.json"} </w:instrText>
      </w:r>
      <w:r w:rsidRPr="00735FCE">
        <w:fldChar w:fldCharType="separate"/>
      </w:r>
      <w:r w:rsidR="00281437" w:rsidRPr="00281437">
        <w:rPr>
          <w:vertAlign w:val="superscript"/>
        </w:rPr>
        <w:t>338,339</w:t>
      </w:r>
      <w:r w:rsidRPr="00735FCE">
        <w:fldChar w:fldCharType="end"/>
      </w:r>
      <w:r w:rsidRPr="00735FCE">
        <w:t xml:space="preserve">. Likewise, in HFD-fed and diabetic mice, RES supplementation resulted in increased AMPK phosphorylation and upregulation of SIRT1 </w:t>
      </w:r>
      <w:r>
        <w:t xml:space="preserve">protein </w:t>
      </w:r>
      <w:r w:rsidRPr="00735FCE">
        <w:t xml:space="preserve">expression within </w:t>
      </w:r>
      <w:r>
        <w:t>WAT</w:t>
      </w:r>
      <w:r w:rsidRPr="00735FCE">
        <w:t>, which correlated with increased fatty acid oxidation and thermogenesis</w:t>
      </w:r>
      <w:r>
        <w:t xml:space="preserve"> </w:t>
      </w:r>
      <w:r w:rsidRPr="00735FCE">
        <w:fldChar w:fldCharType="begin"/>
      </w:r>
      <w:r w:rsidR="00281437">
        <w:instrText xml:space="preserve"> ADDIN ZOTERO_ITEM CSL_CITATION {"citationID":"NuQIfGCp","properties":{"formattedCitation":"\\super 340\\uc0\\u8211{}343\\nosupersub{}","plainCitation":"340–343","noteIndex":0},"citationItems":[{"id":3196,"uris":["http://zotero.org/users/9622455/items/55LHF3AU"],"itemData":{"id":3196,"type":"article-journal","abstract":"Objectives\nThe objective of this work was to determine the specific mechanisms by which resveratrol inhibits lipogenesis and stimulates lipolysis.\nMethods\nTwelve male mice were individually introduced into a metabolic cage for 24 h to measure basal metabolic rate, prior to intervention. They were randomly divided into two groups, resveratrol (RSV) and control (C), and administered resveratrol intraperitoneally or vehicle, respectively, for two consecutive days. After 24 h, the metabolic energy expenditure was again determined for 24 h, before mice were sacrificed. Protein and gene expression of different enzymes related to metabolism in the hepatic tissue, adipose tissue and gastrocnemius of mice were analyzed by RT-PCR, western blot or ELISA.\nResults\nWe report that resveratrol lowers the respiratory quotient in old mice and that this may be due to the activation of fatty acid mobilization from white adipose tissue (because hormone-activated lipase expression is increased) and fatty acid transport into mitochondria and eventual oxidation in muscle and liver (because transport enzymes and beta oxidation enzymes are also increased). Indeed, we have observed that resveratrol in vivo causes an increase in the expression and phosphorylation of AMPKα in liver, muscle and adipose tissue and an increase in the expression of acyl-CoA synthetase, of carnitine palmitoyl transferase 1 and of carnitine acylcarnitine translocase, all enzymes involved in lipid catabolism. On the other hand, the levels of acetyl-CoA carboxylase as well as those its product, i.e. malonyl CoA, are decreased.\nConclusions\nWe conclude that a controlled dose of resveratrol activates fatty acid mobilization and degradation and inhibits fatty acid synthesis in old mice. This is the first time that these effects of resveratrol in lipid metabolism in healthy old (non-obese) animals are reported.","container-title":"Biomedicine &amp; Pharmacotherapy","DOI":"10.1016/j.biopha.2019.109130","ISSN":"0753-3322","journalAbbreviation":"Biomedicine &amp; Pharmacotherapy","page":"109130","source":"ScienceDirect","title":"Resveratrol shifts energy metabolism to increase lipid oxidation in healthy old mice","volume":"118","author":[{"family":"Gimeno-Mallench","given":"L"},{"family":"Mas-Bargues","given":"C"},{"family":"Inglés","given":"M"},{"family":"Olaso","given":"G"},{"family":"Borras","given":"C"},{"family":"Gambini","given":"J"},{"family":"Vina","given":"J"}],"issued":{"date-parts":[["2019",10,1]]}}},{"id":3187,"uris":["http://zotero.org/users/9622455/items/M8P5XN5P"],"itemData":{"id":3187,"type":"article-journal","abstract":"Development of brown-like/beige adipocytes in white adipose tissue (WAT) helps to reduce obesity. Thus we investigated the effects of resveratrol, a dietary polyphenol capable of preventing obesity and related complications in humans and animal models, on brown-like adipocyte formation in inguinal WAT (iWAT).","container-title":"International Journal of Obesity","DOI":"10.1038/ijo.2015.23","ISSN":"1476-5497","issue":"6","journalAbbreviation":"Int J Obes","language":"en","license":"2015 Macmillan Publishers Limited","note":"publisher: Nature Publishing Group","page":"967-976","source":"www.nature.com","title":"Resveratrol induces brown-like adipocyte formation in white fat through activation of AMP-activated protein kinase (AMPK) α1","volume":"39","author":[{"family":"Wang","given":"S."},{"family":"Liang","given":"X."},{"family":"Yang","given":"Q."},{"family":"Fu","given":"X."},{"family":"Rogers","given":"C. J."},{"family":"Zhu","given":"M."},{"family":"Rodgers","given":"B. D."},{"family":"Jiang","given":"Q."},{"family":"Dodson","given":"M. V."},{"family":"Du","given":"M."}],"issued":{"date-parts":[["2015",6]]}}},{"id":3191,"uris":["http://zotero.org/users/9622455/items/7DICGE8B"],"itemData":{"id":3191,"type":"article-journal","abstract":"Management of obesity has become a prevalent strategy for preventing the diseases closely integrated with excess body weight such as diabetes over the last half century. Searching for therapeutic agents acting on oxidative stress, adipogenesis and insulin resistance is considered as an efficient approach to control obesity-related diseases. The present study was designed to examine the in vitro and in vivo effects of dihydro-resveratrol (DR2), a naturally occurring compound from Dendrobium medicinal plants, on oxidative stress aggravation, adipogenesis, lipogenesis and insulin sensitivity. We utilized an in vitro 3T3-L1 adipocyte differentiation model to show that DR2 could reduce pre-adipocyte maturation by activation of AMPK/SIRT1 signaling proteins to inhibit p38MAPK proteins. With the use of in vitro oxidative-stress-induced hepatocytes and myoblasts models, DR2 was also shown to be able to reduce oxidative stress aggravation through mediation of Nrf2-related antioxidative cascade, reduce intracellular lipid accumulation through phosphorylation of ACC protein, reduce lipid peroxidation in hepatocytes and promote insulin sensitivity via activation of AKT protein in the insulin-resistant HepG2 cells and C2C12 cells. The effects of DR2 on adipogenesis, lipid accumulation, insulin resistance and blood glucose clearance were further demonstrated in the high-fat diet-induced obesity mouse model. Our in vitro and in vivo studies determined that DR2 could contain therapeutic potential for the treatment of obesity and type 2 diabetes.","container-title":"Nutrients","DOI":"10.3390/nu15133006","ISSN":"2072-6643","issue":"13","journalAbbreviation":"Nutrients","note":"PMID: 37447331\nPMCID: PMC10346901","page":"3006","source":"PubMed Central","title":"Dihydro-Resveratrol Attenuates Oxidative Stress, Adipogenesis and Insulin Resistance in In Vitro Models and High-Fat Diet-Induced Mouse Model via AMPK Activation","volume":"15","author":[{"family":"Lam","given":"Chu-Shing"},{"family":"Xia","given":"Yi-Xuan"},{"family":"Chen","given":"Bai-Sen"},{"family":"Du","given":"Yin-Xiao"},{"family":"Liu","given":"Kang-Lun"},{"family":"Zhang","given":"Hong-Ji</w:instrText>
      </w:r>
      <w:r w:rsidR="00281437">
        <w:rPr>
          <w:rFonts w:hint="eastAsia"/>
        </w:rPr>
        <w:instrText>e"}],"issued":{"date-parts":[["2023",6,30]]}}},{"id":3194,"uris":["http://zotero.org/users/9622455/items/E8DPF7RV"],"itemData":{"id":3194,"type":"article-journal","abstract":"Maternal high</w:instrText>
      </w:r>
      <w:r w:rsidR="00281437">
        <w:rPr>
          <w:rFonts w:hint="eastAsia"/>
        </w:rPr>
        <w:instrText>‐</w:instrText>
      </w:r>
      <w:r w:rsidR="00281437">
        <w:rPr>
          <w:rFonts w:hint="eastAsia"/>
        </w:rPr>
        <w:instrText>fat diet impairs brown adipocyte function and correlates with obes</w:instrText>
      </w:r>
      <w:r w:rsidR="00281437">
        <w:instrText>ity in offspring.Maternal resveratrol administration recovers metabolic activity of offspring brown adipose tissue.Maternal resveratrol promotes beige adipocyte development in offspring white adipose tissue.Maternal resveratrol intervention protects offsp</w:instrText>
      </w:r>
      <w:r w:rsidR="00281437">
        <w:rPr>
          <w:rFonts w:hint="eastAsia"/>
        </w:rPr>
        <w:instrText>ring against high</w:instrText>
      </w:r>
      <w:r w:rsidR="00281437">
        <w:rPr>
          <w:rFonts w:hint="eastAsia"/>
        </w:rPr>
        <w:instrText>‐</w:instrText>
      </w:r>
      <w:r w:rsidR="00281437">
        <w:rPr>
          <w:rFonts w:hint="eastAsia"/>
        </w:rPr>
        <w:instrText>fat diet</w:instrText>
      </w:r>
      <w:r w:rsidR="00281437">
        <w:rPr>
          <w:rFonts w:hint="eastAsia"/>
        </w:rPr>
        <w:instrText>‐</w:instrText>
      </w:r>
      <w:r w:rsidR="00281437">
        <w:rPr>
          <w:rFonts w:hint="eastAsia"/>
        </w:rPr>
        <w:instrText>induced obesity.","container-title":"The Journal of Physiology","DOI":"10.1113/JP273478","ISSN":"0022-3751","issue":"5","journalAbbreviation":"J Physiol","note":"PMID: 27891610\nPMCID: PMC5330906","page":"1547-1562","source":"PubMed Central","title":"Resveratrol supplementation of high</w:instrText>
      </w:r>
      <w:r w:rsidR="00281437">
        <w:rPr>
          <w:rFonts w:hint="eastAsia"/>
        </w:rPr>
        <w:instrText>‐</w:instrText>
      </w:r>
      <w:r w:rsidR="00281437">
        <w:rPr>
          <w:rFonts w:hint="eastAsia"/>
        </w:rPr>
        <w:instrText>fat diet</w:instrText>
      </w:r>
      <w:r w:rsidR="00281437">
        <w:rPr>
          <w:rFonts w:hint="eastAsia"/>
        </w:rPr>
        <w:instrText>‐</w:instrText>
      </w:r>
      <w:r w:rsidR="00281437">
        <w:rPr>
          <w:rFonts w:hint="eastAsia"/>
        </w:rPr>
        <w:instrText>fed pregnant mice promotes brown and beige adipocyte development and prevents obesity in male offspring","volume":"595","author":[{"family":"Zou","given":"Tiande"},{"family":"Chen","given":"Daiwen"},{"family":"Yang","given":"Qiyuan"},{"family":"Wang","given":"Bo"},{"family":"Zhu","given":"Mei</w:instrText>
      </w:r>
      <w:r w:rsidR="00281437">
        <w:rPr>
          <w:rFonts w:hint="eastAsia"/>
        </w:rPr>
        <w:instrText>‐</w:instrText>
      </w:r>
      <w:r w:rsidR="00281437">
        <w:rPr>
          <w:rFonts w:hint="eastAsia"/>
        </w:rPr>
        <w:instrText>Jun"},{"family":"Nathanielsz","given":"Peter W."},{"family":"Du","given":"Min"}],"issued":{"date-parts":[["2017",3,1]]}}}],"schema":"https://github.</w:instrText>
      </w:r>
      <w:r w:rsidR="00281437">
        <w:instrText xml:space="preserve">com/citation-style-language/schema/raw/master/csl-citation.json"} </w:instrText>
      </w:r>
      <w:r w:rsidRPr="00735FCE">
        <w:fldChar w:fldCharType="separate"/>
      </w:r>
      <w:r w:rsidR="00281437" w:rsidRPr="00281437">
        <w:rPr>
          <w:vertAlign w:val="superscript"/>
        </w:rPr>
        <w:t>340–343</w:t>
      </w:r>
      <w:r w:rsidRPr="00735FCE">
        <w:fldChar w:fldCharType="end"/>
      </w:r>
      <w:r w:rsidRPr="00735FCE">
        <w:t xml:space="preserve">. Biopsies from humans confirmed increased SIRT1 </w:t>
      </w:r>
      <w:r>
        <w:lastRenderedPageBreak/>
        <w:t xml:space="preserve">mRNA </w:t>
      </w:r>
      <w:r w:rsidRPr="00735FCE">
        <w:t>expression after RES supplementation; however, results from varying trials suggest possible individual or tissue-specific variability</w:t>
      </w:r>
      <w:r>
        <w:t xml:space="preserve"> </w:t>
      </w:r>
      <w:r w:rsidRPr="00735FCE">
        <w:fldChar w:fldCharType="begin"/>
      </w:r>
      <w:r w:rsidR="00281437">
        <w:instrText xml:space="preserve"> ADDIN ZOTERO_ITEM CSL_CITATION {"citationID":"wmKXQIYw","properties":{"formattedCitation":"\\super 344\\nosupersub{}","plainCitation":"344","noteIndex":0},"citationItems":[{"id":3198,"uris":["http://zotero.org/users/9622455/items/I6CAVCCY"],"itemData":{"id":3198,"type":"article-journal","abstract":"The present study aimed to evaluate the effects of resveratrol on FNDC5 and thermogenesis markers expression in the adipose tissue of mice and humans. Thirty-two male mice were randomly divided into four groups (n = 8) and fed with: Standard Diet; Standard Diet + Resveratrol (400 mg/kg); High-fat Diet; High-fat Diet + Resveratrol for eight weeks. Twenty male and female volunteers, aged 30–55 years, BMI </w:instrText>
      </w:r>
      <w:r w:rsidR="00281437">
        <w:rPr>
          <w:rFonts w:hint="eastAsia"/>
        </w:rPr>
        <w:instrText>≥</w:instrText>
      </w:r>
      <w:r w:rsidR="00281437">
        <w:instrText xml:space="preserve"> 30 kg/m² were divided into two groups and treated for four weeks with 500 mg trans-resveratrol or placebo, adipose tissue biopsies were taken. Analysis of body weight, food intake, glycemic and lipid profiles, mRNA expression from tissues and primary culture of adipocytes were performed. The main results show that resveratrol improves the glycaemic and lipid profiles along with an increase in the levels of UCP1, PRDM16, PGC1α, and SIRT1. The increase in FNDC5 expression was observed in the mouse and human subcutaneous adipose tissue. The SIRT1 antagonist in adipocyte primary culture resulted in decreased FNDC5 expression. Our data suggest that improved metabolism produced by oral administration of resveratrol is, at least in part, associated with increased thermogenesis followed by high expression of UCP1, PRDM16, PGC1α and that increased FNDC5 expression in the subcutaneous adipose tissue from mice and human might be modulated by SIRT1.","container-title":"Biomedicine &amp; Pharmacotherapy","DOI":"10.1016/j.biopha.2019.108634","ISSN":"0753-3322","journalAbbreviation":"Biomedicine &amp; Pharmacotherapy","page":"108634","source":"ScienceDirect","title":"Effect of resveratrol on expression of genes involved thermogenesis in mice and humans","volume":"112","author":[{"family":"Andrade","given":"João Marcus Oliveira"},{"family":"Barcala-Jorge","given":"Antônio Sérgio"},{"family":"Batista-Jorge","given":"Gislaine Cândida"},{"family":"Paraíso","given":"Alanna Fernandes"},{"family":"Freitas","given":"Kátia Michele","dropping-particle":"de"},{"family":"Lelis","given":"Deborah de Farias"},{"family":"Guimarães","given":"André Luiz Sena"},{"family":"Paula","given":"Alfredo Maurício Batista","non-dropping-particle":"de"},{"family":"Santos","given":"Sérgio Henrique Sousa"}],"issued":{"date-parts":[["2019",4,1]]}}}],"schema":"https://github.com/citation-style-language/schema/raw/master/csl-citation.json"} </w:instrText>
      </w:r>
      <w:r w:rsidRPr="00735FCE">
        <w:fldChar w:fldCharType="separate"/>
      </w:r>
      <w:r w:rsidR="00281437" w:rsidRPr="00281437">
        <w:rPr>
          <w:vertAlign w:val="superscript"/>
        </w:rPr>
        <w:t>344</w:t>
      </w:r>
      <w:r w:rsidRPr="00735FCE">
        <w:fldChar w:fldCharType="end"/>
      </w:r>
      <w:r w:rsidRPr="00735FCE">
        <w:t>.</w:t>
      </w:r>
    </w:p>
    <w:p w14:paraId="2F931142" w14:textId="06F680DA" w:rsidR="009117C0" w:rsidRPr="00735FCE" w:rsidRDefault="009117C0" w:rsidP="00F5471F">
      <w:pPr>
        <w:ind w:firstLine="720"/>
        <w:jc w:val="left"/>
      </w:pPr>
      <w:r w:rsidRPr="00735FCE">
        <w:t xml:space="preserve">RES also mitigates the inflammation and oxidative stress associated with obesity, both of which contribute </w:t>
      </w:r>
      <w:r>
        <w:t>significantly</w:t>
      </w:r>
      <w:r w:rsidRPr="00735FCE">
        <w:t xml:space="preserve"> to metabolic dysfunction</w:t>
      </w:r>
      <w:r>
        <w:t xml:space="preserve"> </w:t>
      </w:r>
      <w:r w:rsidRPr="00735FCE">
        <w:fldChar w:fldCharType="begin"/>
      </w:r>
      <w:r w:rsidR="00281437">
        <w:instrText xml:space="preserve"> ADDIN ZOTERO_ITEM CSL_CITATION {"citationID":"WwV7puKZ","properties":{"formattedCitation":"\\super 345\\nosupersub{}","plainCitation":"345","noteIndex":0},"citationItems":[{"id":3200,"uris":["http://zotero.org/users/9622455/items/BSJWCS2Q"],"itemData":{"id":3200,"type":"article-journal","abstract":"Obesity is gaining acceptance as a serious primary health burden that impairs the quality of life because of its associated complications, including diabetes, cardiovascular diseases, cancer, asthma, sleep disorders, hepatic dysfunction, renal dysfunction, and infertility. It is a complex metabolic disorder with a multifactorial origin. Growing evidence suggests that oxidative stress plays a role as the critical factor linking obesity with its associated complications. Obesity per se can induce systemic oxidative stress through various biochemical mechanisms, such as superoxide generation from NADPH oxidases, oxidative phosphorylation, glyceraldehyde auto-oxidation, protein kinase C activation, and polyol and hexosamine pathways. Other factors that also contribute to oxidative stress in obesity include hyperleptinemia, low antioxidant defense, chronic inflammation, and postprandial reactive oxygen species generation. In addition, recent studies suggest that adipose tissue plays a critical role in regulating the pathophysiological mechanisms of obesity and its related co-morbidities. To establish an adequate platform for the prevention of obesity and its associated health risks, understanding the factors that contribute to the cause of obesity is necessary. The most current list of obesity determinants includes genetic factors, dietary intake, physical activity, environmental and socioeconomic factors, eating disorders, and societal influences. On the basis of the currently identified predominant determinants of obesity, a broad range of strategies have been recommended to reduce the prevalence of obesity, such as regular physical activity, ad libitum food intake limiting to certain micronutrients, increased dietary intake of fruits and vegetables, and meal replacements. This review aims to highlight recent findings regarding the role of oxidative stress in the pathogenesis of obesity and its associated risk factors, the role of dysfunctional adipose tissue in development of these risk factors, and potential strategies to regulate body weight loss/gain for better health benefits.","container-title":"Metabolic Syndrome and Related Disorders","DOI":"10.1089/met.2015.0095","ISSN":"1540-4196","issue":"10","journalAbbreviation":"Metab Syndr Relat Disord","note":"PMID: 26569333\nPMCID: PMC4808277","page":"423-444","source":"PubMed Central","title":"Obesity, Oxidative Stress, Adipose Tissue Dysfunction, and the Associated Health Risks: Causes and Therapeutic Strategies","title-short":"Obesity, Oxidative Stress, Adipose Tissue Dysfunction, and the Associated Health Risks","volume":"13","author":[{"family":"Manna","given":"Prasenjit"},{"family":"Jain","given":"Sushil K."}],"issued":{"date-parts":[["2015",12,1]]}}}],"schema":"https://github.com/citation-style-language/schema/raw/master/csl-citation.json"} </w:instrText>
      </w:r>
      <w:r w:rsidRPr="00735FCE">
        <w:fldChar w:fldCharType="separate"/>
      </w:r>
      <w:r w:rsidR="00281437" w:rsidRPr="00281437">
        <w:rPr>
          <w:vertAlign w:val="superscript"/>
        </w:rPr>
        <w:t>345</w:t>
      </w:r>
      <w:r w:rsidRPr="00735FCE">
        <w:fldChar w:fldCharType="end"/>
      </w:r>
      <w:r w:rsidRPr="00735FCE">
        <w:t xml:space="preserve">. RES diminished COX-2 </w:t>
      </w:r>
      <w:r>
        <w:t xml:space="preserve">mRNA </w:t>
      </w:r>
      <w:r w:rsidRPr="00735FCE">
        <w:t xml:space="preserve">expression and secretion of </w:t>
      </w:r>
      <w:r>
        <w:t>pro-inflammatory</w:t>
      </w:r>
      <w:r w:rsidRPr="00735FCE">
        <w:t xml:space="preserve"> cytokines</w:t>
      </w:r>
      <w:r>
        <w:t>,</w:t>
      </w:r>
      <w:r w:rsidRPr="00735FCE">
        <w:t xml:space="preserve"> such as IL-6, IL-1β, LPS</w:t>
      </w:r>
      <w:r>
        <w:t>,</w:t>
      </w:r>
      <w:r w:rsidRPr="00735FCE">
        <w:t xml:space="preserve"> and TNF-α in </w:t>
      </w:r>
      <w:r>
        <w:t xml:space="preserve">human </w:t>
      </w:r>
      <w:r w:rsidRPr="00735FCE">
        <w:t>adipocytes</w:t>
      </w:r>
      <w:r>
        <w:t xml:space="preserve"> </w:t>
      </w:r>
      <w:r w:rsidRPr="00735FCE">
        <w:fldChar w:fldCharType="begin"/>
      </w:r>
      <w:r w:rsidR="00281437">
        <w:instrText xml:space="preserve"> ADDIN ZOTERO_ITEM CSL_CITATION {"citationID":"NAop8wF1","properties":{"formattedCitation":"\\super 346\\uc0\\u8211{}348\\nosupersub{}","plainCitation":"346–348","noteIndex":0},"citationItems":[{"id":3207,"uris":["http://zotero.org/users/9622455/items/3G58EL3H"],"itemData":{"id":3207,"type":"article-journal","abstract":"Inflammation plays a role in trans-10, cis-12 (10,12)-conjugated linoleic acid (CLA)-mediated delipidation and insulin resistance in adipocytes. Given the anti-inflammatory role of resveratrol (RSV), we hypothesized that RSV would attenuate inflammation and insulin resistance caused by 10,12 CLA in human adipocytes. RSV blocked 10,12 CLA induction of the inflammatory response by preventing activation of extracellular signal-related kinase and induction of inflammatory gene expression (i.e., IL-6, IL-8, IL-1β) within 12 h. Similarly, RSV suppressed 10,12 CLA-mediated activation of the inflammatory prostaglandin pathway involving phospholipase A2, cyclooxygenase-2, and PGF2α. In addition, RSV attenuated 10,12 CLA increase of intracellular calcium and reactive oxygen species associated with cellular stress, and activation of stress-related proteins (i.e., activating transcription factor 3, JNK) within 12 h. 10,12 CLA-mediated insulin resistance and suppression of fatty acid uptake and triglyceride content were attenuated by RSV. Finally, 10,12 CLA-mediated decrease of peroxisome proliferator-activated receptor γ (PPARγ) protein levels and activation of a peroxisome proliferator response element (PPRE) reporter were prevented by RSV. RSV increased the basal activity of PPRE, suggesting that RSV increases PPARγ activity. Collectively, these data demonstrate for the first time that RSV prevents 10,12 CLA-mediated insulin resistance and delipidation in human adipocytes by attenuating inflammation and cellular stress and increasing PPARγ activity.","container-title":"Journal of Lipid Research","DOI":"10.1194/jlr.M800258-JLR200","ISSN":"0022-2275","issue":"2","journalAbbreviation":"J Lipid Res","note":"PMID: 18776171\nPMCID: PMC2636921","page":"225-232","source":"PubMed Central","title":"Conjugated linoleic acid-mediated inflammation and insulin resistance in human adipocytes are attenuated by resveratrol","volume":"50","author":[{"family":"Kennedy","given":"Arion"},{"family":"Overman","given":"Angel"},{"family":"LaPoint","given":"Kathleen"},{"family":"Hopkins","given":"Robin"},{"family":"West","given":"Tiffany"},{"family":"Chuang","given":"Chia-Chi"},{"family":"Martinez","given":"Kristina"},{"family":"Bell","given":"Doris"},{"family":"McIntosh","given":"Michael"}],"issued":{"date-parts":[["2009",2]]}}},{"id":3203,"uris":["http://zotero.org/users/9622455/items/P9K5VSI8"],"itemData":{"id":3203,"type":"article-journal","abstract":"This study aimed to determine whether resveratrol treatment alleviates endoplasmic reticulum stress and changes the expression of adipokines in adipose tissues and cells.","container-title":"Endocrine","DOI":"10.1007/s12020-016-1212-2","ISSN":"1559-0100","issue":"3","journalAbbreviation":"Endocrine","language":"en","page":"773-785","source":"Springer Link","title":"Influence of resveratrol on endoplasmic reticulum stress and expression of adipokines in adipose tissues/adipocytes induced by high-calorie diet or palmitic acid","volume":"55","author":[{"family":"Chen","given":"Li"},{"family":"Wang","given":"Ting"},{"family":"Chen","given":"Guanjun"},{"family":"Wang","given":"Nuojin"},{"family":"Gui","given":"Li"},{"family":"Dai","given":"Fang"},{"family":"Fang","given":"Zhaohui"},{"family":"Zhang","given":"Qiu"},{"family":"Lu","given":"Yunxia"}],"issued":{"date-parts":[["2017",3,1]]}}},{"id":3205,"uris":["http://zotero.org/users/9622455/items/6AUCJCXA"],"itemData":{"id":3205,"type":"article-journal","abstract":"Gestational diabetes mellitus (GDM), which complicates up to 20% of all pregnancies, is associated with low-grade maternal inflammation and peripheral insulin resistance. Sterile inflammation and infection are key mediators of this inflammation and peripheral insulin resistance. Resveratrol, a stilbene-type phytophenol, has been implicated to exert beneficial properties including potent anti-inflammatory and antidiabetic effects in non-pregnant humans and experimental animal models of GDM. However, studies showing the effects of resveratrol on inflammation and insulin resistance associated with GDM in human tissues have been limited. In this study, human placenta, adipose (omental and subcutaneous) tissue and skeletal muscle were stimulated with pro-inflammatory cytokines TNF-α and IL-1β, the bacterial product lipopolysaccharide (LPS) and the synthetic viral dsRNA analogue polyinosinic:polycytidylic acid (poly(I:C)) to induce a GDM-like model. Treatment with resveratrol significantly reduced the expression and secretion of pro-inflammatory cytokines IL-6, IL-1α, IL-1β and pro-inflammatory chemokines IL-8 and MCP-1 in human placenta and omental and subcutaneous adipose tissue. Resveratrol also significantly restored the defects in the insulin signalling pathway and glucose uptake induced by TNF-α, LPS and poly(I:C). Collectively, these findings suggest that resveratrol reduces inflammation and insulin resistance induced by chemical and microbial products. Resveratrol may be a useful preventative therapeutic for pregnancies complicated by inflammation and insulin resistance, like GDM.","container-title":"PLOS ONE","DOI":"10.1371/journal.pone.0173373","ISSN":"1932-6203","issue":"3","journalAbbreviation":"PLOS ONE","language":"en","note":"publisher: Public Library of Science","page":"e0173373","source":"PLoS Journals","title":"Resveratrol ameliorates the chemical and microbial induction of inflammation and insulin resistance in human placenta, adipose tissue and skeletal muscle","volume":"12","author":[{"family":"Tran","given":"Ha T."},{"family":"Liong","given":"Stella"},{"family":"Lim","given":"Ratana"},{"family":"Barker","given":"Gillian"},{"family":"Lappas","given":"Martha"}],"issued":{"date-parts":[["2017",3,9]]}}}],"schema":"https://github.com/citation-style-language/schema/raw/master/csl-citation.json"} </w:instrText>
      </w:r>
      <w:r w:rsidRPr="00735FCE">
        <w:fldChar w:fldCharType="separate"/>
      </w:r>
      <w:r w:rsidR="00281437" w:rsidRPr="00281437">
        <w:rPr>
          <w:vertAlign w:val="superscript"/>
        </w:rPr>
        <w:t>346–348</w:t>
      </w:r>
      <w:r w:rsidRPr="00735FCE">
        <w:fldChar w:fldCharType="end"/>
      </w:r>
      <w:r w:rsidRPr="00735FCE">
        <w:t>. RES also alleviated ER stress markers</w:t>
      </w:r>
      <w:r>
        <w:t>, such as</w:t>
      </w:r>
      <w:r w:rsidRPr="00735FCE">
        <w:t xml:space="preserve"> GRP78 and CHOP</w:t>
      </w:r>
      <w:r>
        <w:t xml:space="preserve">, </w:t>
      </w:r>
      <w:r w:rsidRPr="00735FCE">
        <w:t>and reduced ROS levels in adipocytes</w:t>
      </w:r>
      <w:r>
        <w:t xml:space="preserve"> </w:t>
      </w:r>
      <w:r w:rsidRPr="00735FCE">
        <w:fldChar w:fldCharType="begin"/>
      </w:r>
      <w:r w:rsidR="00281437">
        <w:instrText xml:space="preserve"> ADDIN ZOTERO_ITEM CSL_CITATION {"citationID":"J1Mz1qmt","properties":{"formattedCitation":"\\super 347\\nosupersub{}","plainCitation":"347","noteIndex":0},"citationItems":[{"id":3203,"uris":["http://zotero.org/users/9622455/items/P9K5VSI8"],"itemData":{"id":3203,"type":"article-journal","abstract":"This study aimed to determine whether resveratrol treatment alleviates endoplasmic reticulum stress and changes the expression of adipokines in adipose tissues and cells.","container-title":"Endocrine","DOI":"10.1007/s12020-016-1212-2","ISSN":"1559-0100","issue":"3","journalAbbreviation":"Endocrine","language":"en","page":"773-785","source":"Springer Link","title":"Influence of resveratrol on endoplasmic reticulum stress and expression of adipokines in adipose tissues/adipocytes induced by high-calorie diet or palmitic acid","volume":"55","author":[{"family":"Chen","given":"Li"},{"family":"Wang","given":"Ting"},{"family":"Chen","given":"Guanjun"},{"family":"Wang","given":"Nuojin"},{"family":"Gui","given":"Li"},{"family":"Dai","given":"Fang"},{"family":"Fang","given":"Zhaohui"},{"family":"Zhang","given":"Qiu"},{"family":"Lu","given":"Yunxia"}],"issued":{"date-parts":[["2017",3,1]]}}}],"schema":"https://github.com/citation-style-language/schema/raw/master/csl-citation.json"} </w:instrText>
      </w:r>
      <w:r w:rsidRPr="00735FCE">
        <w:fldChar w:fldCharType="separate"/>
      </w:r>
      <w:r w:rsidR="00281437" w:rsidRPr="00281437">
        <w:rPr>
          <w:vertAlign w:val="superscript"/>
        </w:rPr>
        <w:t>347</w:t>
      </w:r>
      <w:r w:rsidRPr="00735FCE">
        <w:fldChar w:fldCharType="end"/>
      </w:r>
      <w:r w:rsidRPr="00735FCE">
        <w:t xml:space="preserve">. In mice fed with </w:t>
      </w:r>
      <w:r>
        <w:t>an</w:t>
      </w:r>
      <w:r w:rsidRPr="00735FCE">
        <w:t xml:space="preserve"> HFD, RES suppressed inflammatory cytokines and ER stress in adipose tissues</w:t>
      </w:r>
      <w:r>
        <w:t xml:space="preserve"> </w:t>
      </w:r>
      <w:r w:rsidRPr="00735FCE">
        <w:fldChar w:fldCharType="begin"/>
      </w:r>
      <w:r w:rsidR="00281437">
        <w:instrText xml:space="preserve"> ADDIN ZOTERO_ITEM CSL_CITATION {"citationID":"2hI1PE6a","properties":{"formattedCitation":"\\super 349\\nosupersub{}","plainCitation":"349","noteIndex":0},"citationItems":[{"id":3216,"uris":["http://zotero.org/users/9622455/items/R2Q6M32Z"],"itemData":{"</w:instrText>
      </w:r>
      <w:r w:rsidR="00281437">
        <w:rPr>
          <w:rFonts w:hint="eastAsia"/>
        </w:rPr>
        <w:instrText>id":3216,"type":"article-journal","abstract":"Background and Purpose\nHypoxic activation of hypoxia</w:instrText>
      </w:r>
      <w:r w:rsidR="00281437">
        <w:rPr>
          <w:rFonts w:hint="eastAsia"/>
        </w:rPr>
        <w:instrText>‐</w:instrText>
      </w:r>
      <w:r w:rsidR="00281437">
        <w:rPr>
          <w:rFonts w:hint="eastAsia"/>
        </w:rPr>
        <w:instrText>inducible factor 1</w:instrText>
      </w:r>
      <w:r w:rsidR="00281437">
        <w:rPr>
          <w:rFonts w:hint="eastAsia"/>
        </w:rPr>
        <w:instrText>α</w:instrText>
      </w:r>
      <w:r w:rsidR="00281437">
        <w:rPr>
          <w:rFonts w:hint="eastAsia"/>
        </w:rPr>
        <w:instrText xml:space="preserve">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and fibrosis in adipose tissue contribute to adipose dysfunction. This study was designed to investigate the effects of metformin and resveratrol on the regulation of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xml:space="preserve"> and fibrosis in hypoxic adipose tissue.\n\nExperimental Approach\nMice were fed a high</w:instrText>
      </w:r>
      <w:r w:rsidR="00281437">
        <w:rPr>
          <w:rFonts w:hint="eastAsia"/>
        </w:rPr>
        <w:instrText>‐</w:instrText>
      </w:r>
      <w:r w:rsidR="00281437">
        <w:rPr>
          <w:rFonts w:hint="eastAsia"/>
        </w:rPr>
        <w:instrText>fat diet to induce hypoxia and fibrosis in adipose tissue; adipose tissue incubated in vitro in 1% O2 showed a similar change. The effects of metformin and resveratrol on hypoxia,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xml:space="preserve"> accumulation, endoplasmic reticulum stress and gene expressions of extracellular matrix components and pro</w:instrText>
      </w:r>
      <w:r w:rsidR="00281437">
        <w:rPr>
          <w:rFonts w:hint="eastAsia"/>
        </w:rPr>
        <w:instrText>‐</w:instrText>
      </w:r>
      <w:r w:rsidR="00281437">
        <w:rPr>
          <w:rFonts w:hint="eastAsia"/>
        </w:rPr>
        <w:instrText>inflammatory cytokines were examined.\n\nKey Results\nOral administration of metformin or resveratrol prevented hypoxia and reduced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xml:space="preserve"> accumulation with dephosphorylation of inositol</w:instrText>
      </w:r>
      <w:r w:rsidR="00281437">
        <w:rPr>
          <w:rFonts w:hint="eastAsia"/>
        </w:rPr>
        <w:instrText>‐</w:instrText>
      </w:r>
      <w:r w:rsidR="00281437">
        <w:rPr>
          <w:rFonts w:hint="eastAsia"/>
        </w:rPr>
        <w:instrText>requiring enzyme 1</w:instrText>
      </w:r>
      <w:r w:rsidR="00281437">
        <w:rPr>
          <w:rFonts w:hint="eastAsia"/>
        </w:rPr>
        <w:instrText>α</w:instrText>
      </w:r>
      <w:r w:rsidR="00281437">
        <w:rPr>
          <w:rFonts w:hint="eastAsia"/>
        </w:rPr>
        <w:instrText xml:space="preserve"> and eukaryotic initiation factor 2</w:instrText>
      </w:r>
      <w:r w:rsidR="00281437">
        <w:rPr>
          <w:rFonts w:hint="eastAsia"/>
        </w:rPr>
        <w:instrText>α</w:instrText>
      </w:r>
      <w:r w:rsidR="00281437">
        <w:rPr>
          <w:rFonts w:hint="eastAsia"/>
        </w:rPr>
        <w:instrText>, indicative of suppression of hypoxic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xml:space="preserve"> activation and endoplasmic reticulum stress. Metformin and resveratrol down</w:instrText>
      </w:r>
      <w:r w:rsidR="00281437">
        <w:rPr>
          <w:rFonts w:hint="eastAsia"/>
        </w:rPr>
        <w:instrText>‐</w:instrText>
      </w:r>
      <w:r w:rsidR="00281437">
        <w:rPr>
          <w:rFonts w:hint="eastAsia"/>
        </w:rPr>
        <w:instrText>regulated gene expressions of Col3</w:instrText>
      </w:r>
      <w:r w:rsidR="00281437">
        <w:rPr>
          <w:rFonts w:hint="eastAsia"/>
        </w:rPr>
        <w:instrText>α</w:instrText>
      </w:r>
      <w:r w:rsidR="00281437">
        <w:rPr>
          <w:rFonts w:hint="eastAsia"/>
        </w:rPr>
        <w:instrText>, Col6</w:instrText>
      </w:r>
      <w:r w:rsidR="00281437">
        <w:rPr>
          <w:rFonts w:hint="eastAsia"/>
        </w:rPr>
        <w:instrText>α</w:instrText>
      </w:r>
      <w:r w:rsidR="00281437">
        <w:rPr>
          <w:rFonts w:hint="eastAsia"/>
        </w:rPr>
        <w:instrText>, elastin and lysyl oxidase and thereby reduced collagen deposition in adipose tissue. The increased gene expressions of TNF</w:instrText>
      </w:r>
      <w:r w:rsidR="00281437">
        <w:rPr>
          <w:rFonts w:hint="eastAsia"/>
        </w:rPr>
        <w:instrText>‐α</w:instrText>
      </w:r>
      <w:r w:rsidR="00281437">
        <w:rPr>
          <w:rFonts w:hint="eastAsia"/>
        </w:rPr>
        <w:instrText>, IL</w:instrText>
      </w:r>
      <w:r w:rsidR="00281437">
        <w:rPr>
          <w:rFonts w:hint="eastAsia"/>
        </w:rPr>
        <w:instrText>‐</w:instrText>
      </w:r>
      <w:r w:rsidR="00281437">
        <w:rPr>
          <w:rFonts w:hint="eastAsia"/>
        </w:rPr>
        <w:instrText>6, monocyte chemoattractant protein 1 and F4/80 were also down</w:instrText>
      </w:r>
      <w:r w:rsidR="00281437">
        <w:rPr>
          <w:rFonts w:hint="eastAsia"/>
        </w:rPr>
        <w:instrText>‐</w:instrText>
      </w:r>
      <w:r w:rsidR="00281437">
        <w:rPr>
          <w:rFonts w:hint="eastAsia"/>
        </w:rPr>
        <w:instrText>regulated by metformin and resveratrol. Metformin and resveratrol had similar effects in adipose tissue exposed to 1% O2. Metformin reduced ATP production and prevented the reduction in oxygen tension in 3T3</w:instrText>
      </w:r>
      <w:r w:rsidR="00281437">
        <w:rPr>
          <w:rFonts w:hint="eastAsia"/>
        </w:rPr>
        <w:instrText>‐</w:instrText>
      </w:r>
      <w:r w:rsidR="00281437">
        <w:rPr>
          <w:rFonts w:hint="eastAsia"/>
        </w:rPr>
        <w:instrText>L1 cells, suggesting that it prevented hypoxia by limiting oxygen consumption, whereas resveratrol reduced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xml:space="preserve"> accumulation by promoting its proteasomal degradation via the regulation of AMPK/SIRT1.\n\nConclusion and Implications\nHypoxia and fibrosis are early causes of adipose dysfunction in obesity. Both metformin and resveratrol effectively inhibited HIF</w:instrText>
      </w:r>
      <w:r w:rsidR="00281437">
        <w:rPr>
          <w:rFonts w:hint="eastAsia"/>
        </w:rPr>
        <w:instrText>‐</w:instrText>
      </w:r>
      <w:r w:rsidR="00281437">
        <w:rPr>
          <w:rFonts w:hint="eastAsia"/>
        </w:rPr>
        <w:instrText>1</w:instrText>
      </w:r>
      <w:r w:rsidR="00281437">
        <w:rPr>
          <w:rFonts w:hint="eastAsia"/>
        </w:rPr>
        <w:instrText>α</w:instrText>
      </w:r>
      <w:r w:rsidR="00281437">
        <w:rPr>
          <w:rFonts w:hint="eastAsia"/>
        </w:rPr>
        <w:instrText xml:space="preserve"> activation</w:instrText>
      </w:r>
      <w:r w:rsidR="00281437">
        <w:rPr>
          <w:rFonts w:hint="eastAsia"/>
        </w:rPr>
        <w:instrText>‐</w:instrText>
      </w:r>
      <w:r w:rsidR="00281437">
        <w:rPr>
          <w:rFonts w:hint="eastAsia"/>
        </w:rPr>
        <w:instrText>induced fibrosis and inflammation in adipose tissue, although by different mechanisms.","container-title":"British Journal of Pharmacology","DOI":"10.1111/bph.13493","ISSN":"0007-1188","issue":"12","journalAbbreviation":"Br J Pharmacol","note":"PMID: 27059094\nPMCID: PMC4882491","page":"2001-2015","source":"PubMed Central","title":"The role of metformin and resveratrol in the prevention of hypoxia</w:instrText>
      </w:r>
      <w:r w:rsidR="00281437">
        <w:rPr>
          <w:rFonts w:hint="eastAsia"/>
        </w:rPr>
        <w:instrText>‐</w:instrText>
      </w:r>
      <w:r w:rsidR="00281437">
        <w:rPr>
          <w:rFonts w:hint="eastAsia"/>
        </w:rPr>
        <w:instrText>inducible factor 1</w:instrText>
      </w:r>
      <w:r w:rsidR="00281437">
        <w:rPr>
          <w:rFonts w:hint="eastAsia"/>
        </w:rPr>
        <w:instrText>α</w:instrText>
      </w:r>
      <w:r w:rsidR="00281437">
        <w:rPr>
          <w:rFonts w:hint="eastAsia"/>
        </w:rPr>
        <w:instrText xml:space="preserve"> accu</w:instrText>
      </w:r>
      <w:r w:rsidR="00281437">
        <w:instrText>mulation and fibrosis in hypoxic adipose tissue","volume":"173","author":[{"family":"Li","given":"Xiaole"},{"family":"Li","given":"Jia"},{"family":"Wang","given":"Lulu"},{"family":"Li","given":"Aiyun"},{"family":"Qiu","given":"Zhixia"},{"family":"Qi","giv</w:instrText>
      </w:r>
      <w:r w:rsidR="00281437">
        <w:rPr>
          <w:rFonts w:hint="eastAsia"/>
        </w:rPr>
        <w:instrText>en":"Lian</w:instrText>
      </w:r>
      <w:r w:rsidR="00281437">
        <w:rPr>
          <w:rFonts w:hint="eastAsia"/>
        </w:rPr>
        <w:instrText>‐</w:instrText>
      </w:r>
      <w:r w:rsidR="00281437">
        <w:rPr>
          <w:rFonts w:hint="eastAsia"/>
        </w:rPr>
        <w:instrText>wen"},{"family":"Kou","given":"Junping"},{"family":"Liu","given":"Kang"},{"family":"Liu","given":"Baolin"},{"family":"Huang","given":"Fang"}],"issued":{"date-parts":[["2016",6]]}}}],"schema":"https://github.com/citation-style-language/schema/raw</w:instrText>
      </w:r>
      <w:r w:rsidR="00281437">
        <w:instrText xml:space="preserve">/master/csl-citation.json"} </w:instrText>
      </w:r>
      <w:r w:rsidRPr="00735FCE">
        <w:fldChar w:fldCharType="separate"/>
      </w:r>
      <w:r w:rsidR="00281437" w:rsidRPr="00281437">
        <w:rPr>
          <w:vertAlign w:val="superscript"/>
        </w:rPr>
        <w:t>349</w:t>
      </w:r>
      <w:r w:rsidRPr="00735FCE">
        <w:fldChar w:fldCharType="end"/>
      </w:r>
      <w:r w:rsidRPr="00735FCE">
        <w:t>. Clinical trials also reported that RES reduced systemic inflammatory markers</w:t>
      </w:r>
      <w:r>
        <w:t>, including</w:t>
      </w:r>
      <w:r w:rsidRPr="00735FCE">
        <w:t xml:space="preserve"> C-reactive protein (CRP), IL-6, </w:t>
      </w:r>
      <w:r>
        <w:t xml:space="preserve">and </w:t>
      </w:r>
      <w:r w:rsidRPr="00735FCE">
        <w:t>TNF-α</w:t>
      </w:r>
      <w:r>
        <w:t>, as well as</w:t>
      </w:r>
      <w:r w:rsidRPr="00735FCE">
        <w:t xml:space="preserve"> oxidative stress markers, MDA and SOD</w:t>
      </w:r>
      <w:r>
        <w:t xml:space="preserve">, </w:t>
      </w:r>
      <w:r w:rsidRPr="00735FCE">
        <w:t xml:space="preserve">in obese participants </w:t>
      </w:r>
      <w:r w:rsidRPr="00735FCE">
        <w:fldChar w:fldCharType="begin"/>
      </w:r>
      <w:r w:rsidR="00281437">
        <w:instrText xml:space="preserve"> ADDIN ZOTERO_ITEM CSL_CITATION {"citationID":"7ugoBpVv","properties":{"formattedCitation":"\\super 350\\nosupersub{}","plainCitation":"350","noteIndex":0},"citationItems":[{"id":3219,"uris":["http://zotero.org/users/9622455/items/E2ST7ARI"],"itemData":{"id":3219,"type":"article-journal","abstract":"Aims\nThe aim of the present study was to evaluate the oral resveratrol effects associated with diet and physical training changes on anthropometric and biochemical parameters.\nMain methods\n25 individuals aged from 30 to 60 years old; with Body Mass Index (BMI) </w:instrText>
      </w:r>
      <w:r w:rsidR="00281437">
        <w:rPr>
          <w:rFonts w:hint="eastAsia"/>
        </w:rPr>
        <w:instrText>≥</w:instrText>
      </w:r>
      <w:r w:rsidR="00281437">
        <w:instrText xml:space="preserve"> 30 kg/m2 were included in the study. Following the primary evaluation (anthropometric and clinical), the patients were randomly divided into 2 groups: (1) Placebo: Physical activity program + Diet + Placebo; (2) Resveratrol: Physical activity program + Diet + Resveratrol (RVS) (250 mg/day) for three months. Anthropometric and biochemical parameters were evaluated at baseline and after the treatment period.\nKey findings\nThe main findings showed that the resveratrol supplementation improved total cholesterol (TC), High-density Lipoprotein cholesterol (HDL-c), Very-low density Lipoprotein cholesterol (VLDL-c), urea, creatinine and albumin serum levels.\nSignificance\nThese findings indicate that this polyphenol may be an option to potentiate the beneficial effects induced by dietary and physical activity programs in the Metabolic Syndrome (MetS) treatment.","container-title":"Life Sciences","DOI":"10.1016/j.lfs.2020.117962","ISSN":"0024-3205","journalAbbreviation":"Life Sciences","page":"117962","source":"ScienceDirect","title":"Oral resveratrol supplementation improves Metabolic Syndrome features in obese patients submitted to a lifestyle-changing program","volume":"256","author":[{"family":"Batista-Jorge","given":"G. C."},{"family":"Barcala-Jorge","given":"A. S."},{"family":"Silveira","given":"M. F."},{"family":"Lelis","given":"D. F."},{"family":"Andrade","given":"J. M. O."},{"family":"Paula","given":"A. M. B.","non-dropping-particle":"de"},{"family":"Guimarães","given":"A. L. S."},{"family":"Santos","given":"S. H. S."}],"issued":{"date-parts":[["2020",9,1]]}}}],"schema":"https://github.com/citation-style-language/schema/raw/master/csl-citation.json"} </w:instrText>
      </w:r>
      <w:r w:rsidRPr="00735FCE">
        <w:fldChar w:fldCharType="separate"/>
      </w:r>
      <w:r w:rsidR="00281437" w:rsidRPr="00281437">
        <w:rPr>
          <w:vertAlign w:val="superscript"/>
        </w:rPr>
        <w:t>350</w:t>
      </w:r>
      <w:r w:rsidRPr="00735FCE">
        <w:fldChar w:fldCharType="end"/>
      </w:r>
      <w:r w:rsidRPr="00735FCE">
        <w:t>.</w:t>
      </w:r>
    </w:p>
    <w:p w14:paraId="3809DC5B" w14:textId="541DDC78" w:rsidR="009117C0" w:rsidRDefault="009117C0" w:rsidP="00F5471F">
      <w:pPr>
        <w:ind w:firstLine="720"/>
        <w:jc w:val="left"/>
      </w:pPr>
      <w:r w:rsidRPr="00735FCE">
        <w:t>Furthermore, RES</w:t>
      </w:r>
      <w:r w:rsidRPr="00735FCE">
        <w:rPr>
          <w:lang w:eastAsia="zh-CN"/>
        </w:rPr>
        <w:t xml:space="preserve"> </w:t>
      </w:r>
      <w:r w:rsidRPr="00735FCE">
        <w:t>enhances insulin sensitivity and glucose metabolism</w:t>
      </w:r>
      <w:r>
        <w:t xml:space="preserve"> </w:t>
      </w:r>
      <w:r w:rsidRPr="00735FCE">
        <w:fldChar w:fldCharType="begin"/>
      </w:r>
      <w:r w:rsidR="00281437">
        <w:instrText xml:space="preserve"> ADDIN ZOTERO_ITEM CSL_CITATION {"citationID":"4kLpoLRr","properties":{"formattedCitation":"\\super 351,352\\nosupersub{}","plainCitation":"351,352","noteIndex":0},"citationItems":[{"id":3224,"uris":["http://zotero.org/users/9622455/items/YGF3233Z"],"itemData":{"id":3224,"type":"article-journal","abstract":"Background:\nDiabetes mellitus is a spectrum of metabolic disorders characterized by hyperglycemia and shows a growing global public health problem in the elderly. Resveratrol presents antiaging, anti-inflammatory, antitumor antioxidant, and cardioprotective activities. The purpose of this study was to investigate the ameliorative effects of resveratrol on blood glucose, insulin metabolism, lipid profile, renal function, inflammation, and nutrient sensing systems in the elderly patients with type 2 diabetes mellitus.\n\nMethods:\nThe study is a single-blind, parallel-group, randomized controlled clinical trial consisting of a 6-month treatment period. A total of 472 elderly patients with type 2 diabetes mellitus were enrolled, and included participants will be randomized into 2 groups: resveratrol (n = 242) and placebo (n = 230). The clinical efficacy and changes in clinical parameters in each group will be measured at the indicated time. Clinical parameters included blood glucose, insulin resistance index, blood lipid index, proinflammatory cytokines, renal function, and nutrient sensing systems.\n\nResults:\nResveratrol treatment greatly improved glucose metabolism, insulin tolerance, and insulin metabolism compared to placebo. Resveratrol relieved symptoms through enhancing nutrient sensing systems, which in turn reduced production and activity of glucose-6-phosphatase. Compared with placebo, resveratrol treatment significantly decreased proinflammatory cytokines glycated hemoglobin/hemoglobin A1c, interleukin-6, tumor necrosis factor-alpha, and interleukin-1beta in the elderly diabetes. Resveratrol treatment decreased blood glucose parameters, improved the lipid profile (total cholesterol, low-density lipoprotein, high-density lipoprotein, and triglycerides), and renal function compared to placebo.\n\nConclusion:\nIn conclusion, resveratrol treatment improves inflammation, renal function, blood glucose parameters, inflammation, insulin resistance, and nutrient sensing systems in the elderly patients with type 2 diabetes mellitus, indicating resveratrol may be a potential therapeutic drug for the treatment of the elderly patients with type 2 diabetes mellitus.","container-title":"Medicine","DOI":"10.1097/MD.0000000000030049","ISSN":"0025-7974","issue":"32","journalAbbreviation":"Medicine (Baltimore)","note":"PMID: 35960095\nPMCID: PMC9371579","page":"e30049","source":"PubMed Central","title":"Effects of resveratrol therapy on glucose metabolism, insulin resistance, inflammation, and renal function in the elderly patients with type 2 diabetes mellitus: A randomized controlled clinical trial protocol","title-short":"Effects of resveratrol therapy on glucose metabolism, insulin resistance, inflammation, and renal function in the elderly patients with type 2 diabetes mellitus","volume":"101","author":[{"family":"Ma","given":"Nan"},{"family":"Zhang","given":"Youzhi"}],"issued":{"date-parts":[["2022",8,12]]}}},{"id":3222,"uris":["http://zotero.org/users/9622455/items/BQLP7GVF"],"itemData":{"id":3222,"type":"article-journal","abstract":"Background:\nThe results of human clinical trials investigating the effects of resveratrol on glucose control and insulin sensitivity are inconsistent.\nObjective:\nWe aimed to quantitatively evaluate the effects of resveratrol on glucose control and insulin sensitivity.\nDesign:\nWe performed a strategic literature search of PubMed, Embase, MEDLINE, and the Cochrane Library (updated to March 2014) for randomized controlled trials that estimated the effects of resveratrol on glucose control and insulin sensitivity. Study quality was assessed by using the Jadad scale. Weighted mean differences were calculated for net changes in glycemic measures by using fixed-effects or random-effects models. We performed prespecified subgroup and sensitivity analyses to evaluate potential heterogeneity. Meta-regression analyses were conducted to investigate dose effects of resveratrol on fasting glucose and insulin concentrations in nondiabetic subjects.\nResults:\nEleven studies comprising a total of 388 subjects were included in this meta-analysis. Resveratrol consumption significantly reduced fasting glucose, insulin, glycated hemoglobin, and insulin resistance (measured by using the homeostatic model assessment) levels in participants with diabetes. No significant effect of resveratrol on glycemic measures of nondiabetic participants was found in the meta-analysis. Subgroup and sensitivity analyses indicated that the pooled effects of resveratrol on fasting glucose and insulin concentrations in nondiabetic participants were not affected by body mass index, study design, resveratrol dose, study duration, or Jadad score.\nConclusions:\nResveratrol significantly improves glucose control and insulin sensitivity in persons with diabetes but does not affect glycemic measures in nondiabetic persons. Additional high-quality studies are needed to further evaluate the potential benefits of resveratrol in humans.","container-title":"The American Journal of Clinical Nutrition","DOI":"10.3945/ajcn.113.082024","ISSN":"0002-9165","issue":"6","journalAbbreviation":"The American Journal of Clinical Nutrition","page":"1510-1519","source":"ScienceDirect","title":"Effect of resveratrol on glucose control and insulin sensitivity: a meta-analysis of 11 randomized controlled trials123","title-short":"Effect of resveratrol on glucose control and insulin sensitivity","volume":"99","author":[{"family":"Liu","given":"Kai"},{"family":"Zhou","given":"Rui"},{"family":"Wang","given":"Bin"},{"family":"Mi","given":"Man-Tian"}],"issued":{"date-parts":[["2014",6,1]]}}}],"schema":"https://github.com/citation-style-language/schema/raw/master/csl-citation.json"} </w:instrText>
      </w:r>
      <w:r w:rsidRPr="00735FCE">
        <w:fldChar w:fldCharType="separate"/>
      </w:r>
      <w:r w:rsidR="00281437" w:rsidRPr="00281437">
        <w:rPr>
          <w:vertAlign w:val="superscript"/>
        </w:rPr>
        <w:t>351,352</w:t>
      </w:r>
      <w:r w:rsidRPr="00735FCE">
        <w:fldChar w:fldCharType="end"/>
      </w:r>
      <w:r w:rsidRPr="00735FCE">
        <w:t xml:space="preserve">. In </w:t>
      </w:r>
      <w:r>
        <w:t xml:space="preserve">human </w:t>
      </w:r>
      <w:r w:rsidRPr="00735FCE">
        <w:t>muscle cells, RES enhanced glucose uptake by promoting GLUT4 translocation and activating IRS-1 and AKT signaling</w:t>
      </w:r>
      <w:r>
        <w:t xml:space="preserve"> </w:t>
      </w:r>
      <w:r w:rsidRPr="00735FCE">
        <w:fldChar w:fldCharType="begin"/>
      </w:r>
      <w:r w:rsidR="00281437">
        <w:instrText xml:space="preserve"> ADDIN ZOTERO_ITEM CSL_CITATION {"citationID":"fJIvchnP","properties":{"formattedCitation":"\\super 353\\nosupersub{}","plainCitation":"353","noteIndex":0},"citationItems":[{"id":3227,"uris":["http://zotero.org/users/9622455/items/CGBB7T7W"],"itemData":{"id":3227,"type":"article-journal","abstract":"Gestational diabetes mellitus (GDM), which complicates up to 20% of all pregnancies, is associated with low-grade maternal inflammation and peripheral insulin resistance. Sterile inflammation and infection are key mediators of this inflammation and peripheral insulin resistance. Resveratrol, a stilbene-type phytophenol, has been implicated to exert beneficial properties including potent anti-inflammatory and antidiabetic effects in non-pregnant humans and experimental animal models of GDM. However, studies showing the effects of resveratrol on inflammation and insulin resistance associated with GDM in human tissues have been limited. In this study, human placenta, adipose (omental and subcutaneous) tissue and skeletal muscle were stimulated with pro-inflammatory cytokines TNF-α and IL-1β, the bacterial product lipopolysaccharide (LPS) and the synthetic viral dsRNA analogue polyinosinic:polycytidylic acid (poly(I:C)) to induce a GDM-like model. Treatment with resveratrol significantly reduced the expression and secretion of pro-inflammatory cytokines IL-6, IL-1α, IL-1β and pro-inflammatory chemokines IL-8 and MCP-1 in human placenta and omental and subcutaneous adipose tissue. Resveratrol also significantly restored the defects in the insulin signalling pathway and glucose uptake induced by TNF-α, LPS and poly(I:C). Collectively, these findings suggest that resveratrol reduces inflammation and insulin resistance induced by chemical and microbial products. Resveratrol may be a useful preventative therapeutic for pregnancies complicated by inflammation and insulin resistance, like GDM.","container-title":"PLOS ONE","DOI":"10.1371/journal.pone.0173373","ISSN":"1932-6203","issue":"3","journalAbbreviation":"PLOS ONE","language":"en","note":"publisher: Public Library of Science","page":"e0173373","source":"PLoS Journals","title":"Resveratrol ameliorates the chemical and microbial induction of inflammation and insulin resistance in human placenta, adipose tissue and skeletal muscle","volume":"12","author":[{"family":"Tran","given":"Ha T."},{"family":"Liong","given":"Stella"},{"family":"Lim","given":"Ratana"},{"family":"Barker","given":"Gillian"},{"family":"Lappas","given":"Martha"}],"issued":{"date-parts":[["2017",3,9]]}}}],"schema":"https://github.com/citation-style-language/schema/raw/master/csl-citation.json"} </w:instrText>
      </w:r>
      <w:r w:rsidRPr="00735FCE">
        <w:fldChar w:fldCharType="separate"/>
      </w:r>
      <w:r w:rsidR="00281437" w:rsidRPr="00281437">
        <w:rPr>
          <w:vertAlign w:val="superscript"/>
        </w:rPr>
        <w:t>353</w:t>
      </w:r>
      <w:r w:rsidRPr="00735FCE">
        <w:fldChar w:fldCharType="end"/>
      </w:r>
      <w:r w:rsidRPr="00735FCE">
        <w:t>. These effects are amplified by the activation of AMPK, a central energy sensor</w:t>
      </w:r>
      <w:r>
        <w:t xml:space="preserve"> </w:t>
      </w:r>
      <w:r w:rsidRPr="00735FCE">
        <w:fldChar w:fldCharType="begin"/>
      </w:r>
      <w:r w:rsidR="00281437">
        <w:instrText xml:space="preserve"> ADDIN ZOTERO_ITEM CSL_CITATION {"citationID":"TPv25KyH","properties":{"formattedCitation":"\\super 354\\nosupersub{}","plainCitation":"354","noteIndex":0},"citationItems":[{"id":3229,"uris":["http://zotero.org/users/9622455/items/NDWEMC5R"],"itemData":{"id":3229,"type":"article-journal","abstract":"AMP-activated protein kinase (AMPK) enhances glucose transporter GLUT4 regulation. AMPK also suppresses energy-consuming pathways such as cholesterol synthesis. Interestingly, recent in vitro and in vivo data suggest that excess membrane cholesterol impairs GLUT4 regulation. Therefore, this study tested whether a beneficial, GLUT4-regulatory aspect of AMPK stimulation involved cholesterol lowering. Using L6 myotubes stably expressing an exofacial myc-epitope-tagged-GLUT4, AMPK stimulation by 5-aminoimidazole-4-carboxamide-1-β-d-ribonucleoside (AICAR; 45 min, 1 mm) or 2,4-dinitrophenol (DNP; 30 min, 200 μm) increased cell surface GLUT4myc labeling by approximately </w:instrText>
      </w:r>
      <w:r w:rsidR="00281437">
        <w:rPr>
          <w:rFonts w:ascii="Cambria Math" w:hAnsi="Cambria Math" w:cs="Cambria Math"/>
        </w:rPr>
        <w:instrText>∼</w:instrText>
      </w:r>
      <w:r w:rsidR="00281437">
        <w:instrText>25% (P &lt; 0.05). Insulin (20 min, 100 nm) also increased GLUT4myc labeling by about 50% (P &lt; 0.05), which was further enhanced (</w:instrText>
      </w:r>
      <w:r w:rsidR="00281437">
        <w:rPr>
          <w:rFonts w:ascii="Cambria Math" w:hAnsi="Cambria Math" w:cs="Cambria Math"/>
        </w:rPr>
        <w:instrText>∼</w:instrText>
      </w:r>
      <w:r w:rsidR="00281437">
        <w:instrText xml:space="preserve">25%, P &lt; 0.05) by AICAR or DNP. Consistent with AMPK-mediated suppression of cholesterol synthesis, AICAR and DNP decreased membrane cholesterol by 20–25% (P &lt; 0.05). Whereas AMPK knockdown prevented the enhanced basal and insulin-stimulated GLUT4myc labeling by AICAR and DNP, cholesterol replenishment only blocked the AMPK-associated enhancement in insulin action. Cells cultured in a hyperinsulinemic milieu, resembling conditions in vivo that promote the progression/worsening of insulin resistance, displayed an increase in membrane cholesterol. This occurred concomitantly with a loss of cortical filamentous actin (F-actin) and defects in GLUT4 regulation by insulin. These derangements were prevented by AMPK stimulation. Examination of skeletal muscle from insulin-resistant Zucker rats revealed a similar elevation in membrane cholesterol and loss of F-actin. Lowering cholesterol to control levels restored F-actin structure and insulin sensitivity. In conclusion, these data suggest a novel aspect of GLUT4 regulation by AMPK involves membrane cholesterol lowering. Moreover, this AMPK-mediated process protected against hyperinsulinemia-induced insulin resistance.","container-title":"Endocrinology","DOI":"10.1210/en.2011-2099","ISSN":"0013-7227","issue":"5","journalAbbreviation":"Endocrinology","note":"PMID: 22434076\nPMCID: PMC3339638","page":"2130-2141","source":"PubMed Central","title":"AMPK Enhances Insulin-Stimulated GLUT4 Regulation via Lowering Membrane Cholesterol","volume":"153","author":[{"family":"Habegger","given":"Kirk M."},{"family":"Hoffman","given":"Nolan J."},{"family":"Ridenour","given":"Colin M."},{"family":"Brozinick","given":"Joseph T."},{"family":"Elmendorf","given":"Jeffrey S."}],"issued":{"date-parts":[["2012",5]]}}}],"schema":"https://github.com/citation-style-language/schema/raw/master/csl-citation.json"} </w:instrText>
      </w:r>
      <w:r w:rsidRPr="00735FCE">
        <w:fldChar w:fldCharType="separate"/>
      </w:r>
      <w:r w:rsidR="00281437" w:rsidRPr="00281437">
        <w:rPr>
          <w:vertAlign w:val="superscript"/>
        </w:rPr>
        <w:t>354</w:t>
      </w:r>
      <w:r w:rsidRPr="00735FCE">
        <w:fldChar w:fldCharType="end"/>
      </w:r>
      <w:r w:rsidRPr="00735FCE">
        <w:t>. In type 2 diabetic models, RES reduced gluconeogenesis by inhibiting the forkhead-related transcription factor</w:t>
      </w:r>
      <w:r>
        <w:t xml:space="preserve">s </w:t>
      </w:r>
      <w:r w:rsidRPr="00735FCE">
        <w:t>(FOXO1 and FOXO3</w:t>
      </w:r>
      <w:r>
        <w:t xml:space="preserve">) </w:t>
      </w:r>
      <w:r w:rsidRPr="00735FCE">
        <w:fldChar w:fldCharType="begin"/>
      </w:r>
      <w:r w:rsidR="00281437">
        <w:instrText xml:space="preserve"> ADDIN ZOTERO_ITEM CSL_CITATION {"citationID":"ACjgRBEd","properties":{"formattedCitation":"\\super 355\\nosupersub{}","plainCitation":"355","noteIndex":0},"citationItems":[{"id":3231,"uris":["http://zotero.org/users/9622455/items/JYW8URHZ"],"itemData":{"id":3231,"type":"article-journal","abstract":"Induced oxidative stress in diabetes mellitus (DM) plays a critical role in insulin resistance. Fork head-related transcription factor (FOXO) proteins are important transcriptional factors involved in oxidative stress and insulin resistance. Resveratrol (RSV) is a polyphenol with hypoglycemic and antioxidant properties. The aims of the present study were to examine the effects of RSV on FOXO gene expression, serum superoxide dismutase (SOD) activity, insulin level, and insulin resistance in type 2 diabetic (T2DM) rats. Thirty male Wistar rats were used in this study. DM was induced in rats (n=24) using streptozotocin (STZ) and nicotinamide; then, they were divided into 4 groups of 6 rats each. Six untreated normal rats were used as normal control group; diabetic rats in groups 2 to 5 were treated with 0, 1, 5 and 10 mg /kg body weight of RSV, respectively for 30 days. At the end of the experimental period, the rats were sacriﬁced, their sera were separated, and adipose tissues were obtained and stored at −80 °C. Serum glucose and SOD activity levels were determined biochemically, and serum insulin level was determined by ELISA method. Gere expression in FOXO1 and FOXO3a in adipose tissue was evaluated using re</w:instrText>
      </w:r>
      <w:r w:rsidR="00281437">
        <w:rPr>
          <w:rFonts w:hint="eastAsia"/>
        </w:rPr>
        <w:instrText>al</w:instrText>
      </w:r>
      <w:r w:rsidR="00281437">
        <w:rPr>
          <w:rFonts w:hint="eastAsia"/>
        </w:rPr>
        <w:instrText>‐</w:instrText>
      </w:r>
      <w:r w:rsidR="00281437">
        <w:rPr>
          <w:rFonts w:hint="eastAsia"/>
        </w:rPr>
        <w:instrText>time PCR. Results indicated that RSV significantly reduced blood glucose level, increased insulin level and improved insulin sensitivity. RSV resulted in an increased serum SOD activity and caused decreased FOXO1 and FOXO3a expression in adipose tissue</w:instrText>
      </w:r>
      <w:r w:rsidR="00281437">
        <w:instrText xml:space="preserve"> of rats with T2DM. Therefore, by attenuation of FOXO expression in adipose tissue of T2DM rats, RSV showed a hypoglycemic potential and antioxidant properties, and consequently ameliorated insulin resistance.","container-title":"International Journal of Molecular and Cellular Medicine","DOI":"10.22088/IJMCM.BUMS.7.3.176","ISSN":"2251-9637","issue":"3","journalAbbreviation":"Int J Mol Cell Med","note":"PMID: 31565649\nPMCID: PMC6744618","page":"176-184","source":"PubMed Central","title":"Effects of Resveratrol on FOXO1 and FOXO3a Genes Expression in Adipose Tissue, Serum Insulin, Insulin Resistance and Serum SOD Activity in Type 2 Diabetic Rats","volume":"7","author":[{"family":"Asadi","given":"Soheila"},{"family":"Rahimi","given":"Zohreh"},{"family":"Saidijam","given":"Massoud"},{"family":"Shabab","given":"Nooshin"},{"family":"Goodarzi","given":"Mohammad Taghi"}],"issued":{"date-parts":[["2018"]]}}}],"schema":"https://github.com/citation-style-language/schema/raw/master/csl-citation.json"} </w:instrText>
      </w:r>
      <w:r w:rsidRPr="00735FCE">
        <w:fldChar w:fldCharType="separate"/>
      </w:r>
      <w:r w:rsidR="00281437" w:rsidRPr="00281437">
        <w:rPr>
          <w:vertAlign w:val="superscript"/>
        </w:rPr>
        <w:t>355</w:t>
      </w:r>
      <w:r w:rsidRPr="00735FCE">
        <w:fldChar w:fldCharType="end"/>
      </w:r>
      <w:r w:rsidRPr="00735FCE">
        <w:t xml:space="preserve">. RES counteracted the pro-gluconeogenic effects of dapagliflozin, </w:t>
      </w:r>
      <w:r>
        <w:t xml:space="preserve">thereby </w:t>
      </w:r>
      <w:r w:rsidRPr="00735FCE">
        <w:t xml:space="preserve">further </w:t>
      </w:r>
      <w:r>
        <w:t>demonstrating</w:t>
      </w:r>
      <w:r w:rsidRPr="00735FCE">
        <w:t xml:space="preserve"> its hypoglycemic potential</w:t>
      </w:r>
      <w:r>
        <w:t xml:space="preserve"> </w:t>
      </w:r>
      <w:r w:rsidRPr="00735FCE">
        <w:fldChar w:fldCharType="begin"/>
      </w:r>
      <w:r w:rsidR="00281437">
        <w:instrText xml:space="preserve"> ADDIN ZOTERO_ITEM CSL_CITATION {"citationID":"2jg66mVo","properties":{"formattedCitation":"\\super 356\\nosupersub{}","plainCitation":"356","noteIndex":0},"citationItems":[{"id":3234,"uris":["http://zotero.org/users/9622455/items/4ADCPH3L"],"itemData":{"id":3234,"type":"article-journal","abstract":"Dapagliflozin alleviates hyperglycemia by increasing glycosuria, but it induces renal gluconeogenesis, thus neutralizing its efficacy. Resveratrol (Rsv), a natural polyphenolic chemical, improves insulin sensitivity in type 2 diabetes (T2D). Here, we investigated the regulatory effects and underlying mechanisms of Rsv on dapagliflozin-induced renal gluconeogenesis. Male ob/ob mice were given the vehicle (HF), dapagliflozin (1 mg kg−1), Rsv (10 mg kg−1), or dapagliflozin and Rsv combination for 10 weeks. Glucose metabolism was evaluated by glucose and pyruvate tolerance tests. HK-2 cells (human renal proximal tubule cells) were treated with dapagliflozin (1 μmol L−1) for 2 h and further incubated with Rsv (10 μmol L−1) for 12 h. The effects of Rsv on gluconeogenesis and insulin signaling were assessed. Dapagliflozin treatment increased glucose production in HK-2 cells and lowered blood glucose and induced gluconeogenesis in ob/ob mice. After Rsv treatment, the enhanced glucose production and gluconeogenesis were alleviated. The upregulated mRNA and protein expression of phosphoenolpyruvate carboxykinase (PEPCK) and glucose-6-phosphatase (G6Pase) and the activation of the forkhead transcription factor O1 (FoxO1) protein in the dapagliflozin group were attenuated by Rsv administration. Rsv also improved renal insulin signaling by increasing PI3K and Akt phosphorylation. The PI3K inhibitor LY294002 dramatically decreased the p-Akt expression and activated FoxO1 by dephosphorylation, thus diminishing the inhibitory effects of Rsv on dapagliflozin-induced PEPCK and G6Pase expression. The data showed the mechanisms of Rsv in attenuating dapagliflozin-induced renal gluconeogenesis via activating the PI3K/Akt pathway and further suppressing FoxO1 activation, suggesting a potential intervention to achieve better glucose-lowering effects for SGLT2 inhibitors in T2D therapy.","container-title":"Food &amp; Function","DOI":"10.1039/D0FO02387F","ISSN":"2042-650X","issue":"3","journalAbbreviation":"Food Funct.","language":"en","note":"publisher: The Royal Society of Chemistry","page":"1207-1218","source":"pubs.rsc.org","title":"Resveratrol attenuates dapagliflozin-induced renal gluconeogenesis via activating the PI3K/Akt pathway and suppressing the FoxO1 pathway in type 2 diabetes","volume":"12","author":[{"family":"Sun","given":"Xiaoya"},{"family":"Cao","given":"Ziqiang"},{"family":"Ma","given":"Yuanyuan"},{"family":"Shao","given":"Yimin"},{"family":"Zhang","given":"Junqing"},{"family":"Yuan","given":"Geheng"},{"family":"Guo","given":"Xiaohui"}],"issued":{"date-parts":[["2021",2,15]]}}}],"schema":"https://github.com/citation-style-language/schema/raw/master/csl-citation.json"} </w:instrText>
      </w:r>
      <w:r w:rsidRPr="00735FCE">
        <w:fldChar w:fldCharType="separate"/>
      </w:r>
      <w:r w:rsidR="00281437" w:rsidRPr="00281437">
        <w:rPr>
          <w:vertAlign w:val="superscript"/>
        </w:rPr>
        <w:t>356</w:t>
      </w:r>
      <w:r w:rsidRPr="00735FCE">
        <w:fldChar w:fldCharType="end"/>
      </w:r>
      <w:r w:rsidRPr="00735FCE">
        <w:t>. A</w:t>
      </w:r>
      <w:r>
        <w:t>dditionally</w:t>
      </w:r>
      <w:r w:rsidRPr="00735FCE">
        <w:t>, the inhibition of intestinal α-glucosidase by RES aids in control</w:t>
      </w:r>
      <w:r>
        <w:t>ling</w:t>
      </w:r>
      <w:r w:rsidRPr="00735FCE">
        <w:t xml:space="preserve"> postprandial glucose</w:t>
      </w:r>
      <w:r>
        <w:t xml:space="preserve"> levels</w:t>
      </w:r>
      <w:r w:rsidRPr="00735FCE">
        <w:t xml:space="preserve"> by </w:t>
      </w:r>
      <w:r>
        <w:t xml:space="preserve">regulating </w:t>
      </w:r>
      <w:r w:rsidRPr="00735FCE">
        <w:t>carbohydrate digestion and absorption</w:t>
      </w:r>
      <w:r>
        <w:t xml:space="preserve"> </w:t>
      </w:r>
      <w:r w:rsidRPr="00735FCE">
        <w:fldChar w:fldCharType="begin"/>
      </w:r>
      <w:r w:rsidR="00281437">
        <w:instrText xml:space="preserve"> ADDIN ZOTERO_ITEM CSL_CITATION {"citationID":"Ia4CU5fo","properties":{"formattedCitation":"\\super 357\\nosupersub{}","plainCitation":"357","noteIndex":0},"citationItems":[{"id":3235,"uris":["http://zotero.org/users/9622455/items/XVVB9BSW"],"itemData":{"id":3235,"type":"article-journal","abstract":"Dietary polyphenols have been shown to inhibit α-glucosidase, an enzyme target of some antidiabetic drugs. Resveratrol, a polyphenol found in grapes and wine, has been reported to inhibit the activity of yeast</w:instrText>
      </w:r>
      <w:r w:rsidR="00281437">
        <w:rPr>
          <w:rFonts w:hint="eastAsia"/>
        </w:rPr>
        <w:instrText xml:space="preserve"> </w:instrText>
      </w:r>
      <w:r w:rsidR="00281437">
        <w:rPr>
          <w:rFonts w:hint="eastAsia"/>
        </w:rPr>
        <w:instrText>α</w:instrText>
      </w:r>
      <w:r w:rsidR="00281437">
        <w:rPr>
          <w:rFonts w:hint="eastAsia"/>
        </w:rPr>
        <w:instrText xml:space="preserve">-glucosidase. This triggered our interest to synthesize analogs and determine their effect on mammalian </w:instrText>
      </w:r>
      <w:r w:rsidR="00281437">
        <w:rPr>
          <w:rFonts w:hint="eastAsia"/>
        </w:rPr>
        <w:instrText>α</w:instrText>
      </w:r>
      <w:r w:rsidR="00281437">
        <w:rPr>
          <w:rFonts w:hint="eastAsia"/>
        </w:rPr>
        <w:instrText>-glucosidase activity. Using either sucrose or maltose as substrate resveratrol, piceatannol and 3</w:instrText>
      </w:r>
      <w:r w:rsidR="00281437">
        <w:rPr>
          <w:rFonts w:hint="eastAsia"/>
        </w:rPr>
        <w:instrText>′</w:instrText>
      </w:r>
      <w:r w:rsidR="00281437">
        <w:rPr>
          <w:rFonts w:hint="eastAsia"/>
        </w:rPr>
        <w:instrText>-hydroxypterostilbene showed strong inhibition of</w:instrText>
      </w:r>
      <w:r w:rsidR="00281437">
        <w:instrText xml:space="preserve"> mammalian α-glucosidase activity; pinostilbene, cis-desoxyrhapontigenin and trans-desoxyrhapontigenin had moderate inhibition. Compared to acarbose (IC50 3–13 μg/ml), piceatannol and resveratrol inhibited mammalian α-glucosidase to a lesser extent (IC50 </w:instrText>
      </w:r>
      <w:r w:rsidR="00281437">
        <w:rPr>
          <w:rFonts w:hint="eastAsia"/>
        </w:rPr>
        <w:instrText>14</w:instrText>
      </w:r>
      <w:r w:rsidR="00281437">
        <w:rPr>
          <w:rFonts w:hint="eastAsia"/>
        </w:rPr>
        <w:instrText>–</w:instrText>
      </w:r>
      <w:r w:rsidR="00281437">
        <w:rPr>
          <w:rFonts w:hint="eastAsia"/>
        </w:rPr>
        <w:instrText>84 and 111</w:instrText>
      </w:r>
      <w:r w:rsidR="00281437">
        <w:rPr>
          <w:rFonts w:hint="eastAsia"/>
        </w:rPr>
        <w:instrText>–</w:instrText>
      </w:r>
      <w:r w:rsidR="00281437">
        <w:rPr>
          <w:rFonts w:hint="eastAsia"/>
        </w:rPr>
        <w:instrText xml:space="preserve">120 </w:instrText>
      </w:r>
      <w:r w:rsidR="00281437">
        <w:rPr>
          <w:rFonts w:hint="eastAsia"/>
        </w:rPr>
        <w:instrText>μ</w:instrText>
      </w:r>
      <w:r w:rsidR="00281437">
        <w:rPr>
          <w:rFonts w:hint="eastAsia"/>
        </w:rPr>
        <w:instrText>g/ml, respectively). 3</w:instrText>
      </w:r>
      <w:r w:rsidR="00281437">
        <w:rPr>
          <w:rFonts w:hint="eastAsia"/>
        </w:rPr>
        <w:instrText>′</w:instrText>
      </w:r>
      <w:r w:rsidR="00281437">
        <w:rPr>
          <w:rFonts w:hint="eastAsia"/>
        </w:rPr>
        <w:instrText>-Hydroxypterostilbene (IC50 105</w:instrText>
      </w:r>
      <w:r w:rsidR="00281437">
        <w:rPr>
          <w:rFonts w:hint="eastAsia"/>
        </w:rPr>
        <w:instrText>–</w:instrText>
      </w:r>
      <w:r w:rsidR="00281437">
        <w:rPr>
          <w:rFonts w:hint="eastAsia"/>
        </w:rPr>
        <w:instrText xml:space="preserve">302 </w:instrText>
      </w:r>
      <w:r w:rsidR="00281437">
        <w:rPr>
          <w:rFonts w:hint="eastAsia"/>
        </w:rPr>
        <w:instrText>μ</w:instrText>
      </w:r>
      <w:r w:rsidR="00281437">
        <w:rPr>
          <w:rFonts w:hint="eastAsia"/>
        </w:rPr>
        <w:instrText>g/ml) was 23</w:instrText>
      </w:r>
      <w:r w:rsidR="00281437">
        <w:rPr>
          <w:rFonts w:hint="eastAsia"/>
        </w:rPr>
        <w:instrText>–</w:instrText>
      </w:r>
      <w:r w:rsidR="00281437">
        <w:rPr>
          <w:rFonts w:hint="eastAsia"/>
        </w:rPr>
        <w:instrText>35-fold less potent than acarbose. We investigated the effect of piceatannol and resveratrol on postprandial blood glucose response in high-fat-fed C57Bl/6 mice. A</w:instrText>
      </w:r>
      <w:r w:rsidR="00281437">
        <w:instrText xml:space="preserve">nimals administered resveratrol (30 mg/kg body weight [BW]) or piceatannol (14 mg/kg BW) 60 min prior to sucrose or starch loading had a delayed absorption of carbohydrates, resulting in significant lowering of postprandial blood glucose concentrations, similar to the antidiabetic drug acarbose, while no significant effect was observed with the glucose-loaded animals. Our studies demonstrate that the dietary polyphenols resveratrol and piceatannol lower postprandial hyperglycemia and indicate that inhibition of intestinal α-glucosidase activity may be a potential mechanism contributing to their antidiabetic property.","container-title":"The Journal of Nutritional Biochemistry","DOI":"10.1016/j.jnutbio.2017.05.008","ISSN":"0955-2863","journalAbbreviation":"The Journal of Nutritional Biochemistry","page":"86-93","source":"ScienceDirect","title":"α-Glucosidase inhibitory effect of resveratrol and piceatannol","volume":"47","author":[{"family":"Zhang","given":"Albert J."},{"family":"Rimando","given":"Agnes M."},{"family":"Mizuno","given":"Cassia S."},{"family":"Mathews","given":"Suresh T."}],"issued":{"date-parts":[["2017",9,1]]}}}],"schema":"https://github.com/citation-style-language/schema/raw/master/csl-citation.json"} </w:instrText>
      </w:r>
      <w:r w:rsidRPr="00735FCE">
        <w:fldChar w:fldCharType="separate"/>
      </w:r>
      <w:r w:rsidR="00281437" w:rsidRPr="00281437">
        <w:rPr>
          <w:vertAlign w:val="superscript"/>
        </w:rPr>
        <w:t>357</w:t>
      </w:r>
      <w:r w:rsidRPr="00735FCE">
        <w:fldChar w:fldCharType="end"/>
      </w:r>
      <w:r w:rsidRPr="00735FCE">
        <w:t>. In preclinical studies involving animals with HFD</w:t>
      </w:r>
      <w:r>
        <w:t xml:space="preserve">-induced </w:t>
      </w:r>
      <w:r w:rsidRPr="00735FCE">
        <w:t>diabetes, RES enhanced insulin sensitivity, improved fasting glucose control, decreased triglyceride concentration, and reduced body weight</w:t>
      </w:r>
      <w:r>
        <w:t xml:space="preserve"> </w:t>
      </w:r>
      <w:r w:rsidRPr="00735FCE">
        <w:fldChar w:fldCharType="begin"/>
      </w:r>
      <w:r w:rsidR="00281437">
        <w:instrText xml:space="preserve"> ADDIN ZOTERO_ITEM CSL_CITATION {"citationID":"QNCp5yzN","properties":{"formattedCitation":"\\super 358,359\\nosupersub{}","plainCitation":"358,359","noteIndex":0},"citationItems":[{"id":3240,"uris":["http://zotero.org/users/9622455/items/NNJAALYD"],"itemData":{"id":3240,"type":"article-journal","abstract":"Resveratrol is a natural polyphenolic stilbene derivative found in a variety of edible fruits, including nuts, berries, and grape skin. Although resveratrol has been suggested to improve thermogenesis in the brown adipose tissues of obese animals, there have been no reports on the anti-adipogenic and anti-inflammatory effects of resveratrol in the white adipose tissues of obese animals. The primary aim of this study was to investigate whether resveratrol attenuates high-fat diet (HFD)-induced adipogenesis and inflammation in the epididymal fat tissues of mice and to explore the underlying mechanisms involved in this attenuation. In comparison with HFD-fed mice, mice fed with a 0.4% resveratrol-supplemented diet (RSD) showed significantly lower body weight gain (−48%), visceral fat-pad weights (−58%), and plasma levels of triglyceride, FFA, total cholesterol, glucose, tumor necrosis factor (TNF) α, and monocyte chemoattractant protein-1 (MCP1). Resveratrol significantly reversed the HFD-induced up-regulation of galanin-mediated signaling molecules (GalR1/2, PKCδ, Cyc-D, E2F1, and p-ERK) and key adipogenic genes (PPARγ2, C/EBPα, SREBP-1c, FAS, LPL, aP2, and leptin) in the epididymal adipose tissues of mice. Furthermore, resveratrol significantly attenuated the HFD-induced up-regulation of pro-inflammatory cytokines (TNFα, IFNα, IFNβ, and IL-6) and their upstream signaling molecules (TLR2/4, MyD88, Tirap, TRIF, TRAF6, IRF5, p-IRF3, and NF-κB) in the adipose tissues of mice. The results of this study suggest that resveratrol inhibits visceral adipogenesis by suppressing the galanin-mediated adipogenesis signaling cascade. It may also attenuate cytokine production in the adipose tissue by repressing the TLR2- and TLR4-mediated pro-inflammatory signaling cascades in HFD-fed mice.","container-title":"Biochemical Pharmacology","DOI":"10.1016/j.bcp.2011.03.012","ISSN":"0006-2952","issue":"11","journalAbbreviation":"Biochemical Pharmacology","page":"1343-1351","source":"ScienceDirect","title":"Resveratrol exerts anti-obesity effects via mechanisms involving down-regulation of adipogenic and inflammatory processes in mice","volume":"81","author":[{"family":"Kim","given":"Soyoung"},{"family":"Jin","given":"Yoojeong"},{"family":"Choi","given":"Youngshim"},{"family":"Park","given":"Taesun"}],"issued":{"date-parts":[["2011",6,1]]}}},{"id":3237,"uris":["http://zotero.org/users/9622455/items/PJD8JRXS"],"itemData":{"id":3237,"type":"article-journal","abstract":"This study was performed to investigate the hypolipidemic, antiobese, and antiatherogenic effects of resveratrol in apoE-deficient mice fed an atherogenic diet (20% fat and 1% cholesterol). These animals were fed an atherogenic diet containing 0.02% lovastatin (w/w) or 0.02% resveratrol (w/w) for 12 weeks. Resveratrol and lovastatin supplementation significantly reduced either the body weight or epididymal fat weight without altering the food intake and food efficiency ratio. Resveratrol significantly decreased the plasma total cholesterol (total-C), low-density lipoprotein cholesterol (LDL-C), non-high-density lipoprotein cholesterol (non-HDL-C) concentrations, apoB/apoA-I ratio, hepatic cholesterol, and triglyceride (TG) contents, whereas significantly it increased the plasma HDL-C concentration compared with the control and lovastatin groups. Plasma and hepatic TG and plasma apoB levels were significantly lower in both the lovastatin and resveratrol groups than in the control group without altering the plasma apoA-I concentration. Both resveratrol and lovastatin significantly decreased hepatic fatty acid and TG synthesis, whereas they increased fatty acid oxidation (β-oxidation) except for the carnitine palmitoyltransferase activity compared with the control group. However, there was no difference in hepatic 3-hydroxyl-3-methylglutaryl-CoA reductase activity among the groups, although hepatic acyl-CoA: cholesterol acyltransferase activity was significantly lower in the lovastatin groups than in the control group. In epididymal adipose tissue, resveratrol supplementation led to an increase in β-oxidation and decrease in TG synthesis, compared with the control group. Tissue morphology revealed that there were dramatic decreases in hepatic lipid droplets and aortic fatty streaks by resveratrol and lovastatin supplementation. This study demonstrates that resveratrol exerts not only antiobesity and hypolipidemic effects, but also protective effects for the liver and aorta through the modulation of lipid metabolism in both the liver and white adipose tissues.","container-title":"Journal of Medicinal Food","DOI":"10.1089/jmf.2013.2885","ISSN":"1096-620X","issue":"3","journalAbbreviation":"J Med Food","note":"PMID: 24433070\nPMCID: PMC3961783","page":"310-316","source":"PubMed Central","title":"Antiobesity and Vasoprotective Effects of Resveratrol in ApoE-Deficient Mice","volume":"17","author":[{"family":"Jeon","given":"Seon-Min"},{"family":"Lee","given":"Seung-A"},{"family":"Choi","given":"Myung-Sook"}],"issued":{"date-parts":[["2014",3,1]]}}}],"schema":"https://github.com/citation-style-language/schema/raw/master/csl-citation.json"} </w:instrText>
      </w:r>
      <w:r w:rsidRPr="00735FCE">
        <w:fldChar w:fldCharType="separate"/>
      </w:r>
      <w:r w:rsidR="00281437" w:rsidRPr="00281437">
        <w:rPr>
          <w:vertAlign w:val="superscript"/>
        </w:rPr>
        <w:t>358,359</w:t>
      </w:r>
      <w:r w:rsidRPr="00735FCE">
        <w:fldChar w:fldCharType="end"/>
      </w:r>
      <w:r w:rsidRPr="00735FCE">
        <w:t>. In clinical trials, RES also improved HOMA-IR scores and reduced fasting glucose levels in individuals with obesity</w:t>
      </w:r>
      <w:r>
        <w:t xml:space="preserve"> </w:t>
      </w:r>
      <w:r w:rsidRPr="00735FCE">
        <w:fldChar w:fldCharType="begin"/>
      </w:r>
      <w:r w:rsidR="00281437">
        <w:instrText xml:space="preserve"> ADDIN ZOTERO_ITEM CSL_CITATION {"citationID":"wV1PkVv2","properties":{"formattedCitation":"\\super 350\\nosupersub{}","plainCitation":"350","noteIndex":0},"citationItems":[{"id":3219,"uris":["http://zotero.org/users/9622455/items/E2ST7ARI"],"itemData":{"id":3219,"type":"article-journal","abstract":"Aims\nThe aim of the present study was to evaluate the oral resveratrol effects associated with diet and physical training changes on anthropometric and biochemical parameters.\nMain methods\n25 individuals aged from 30 to 60 years old; with Body Mass Index (BMI) </w:instrText>
      </w:r>
      <w:r w:rsidR="00281437">
        <w:rPr>
          <w:rFonts w:hint="eastAsia"/>
        </w:rPr>
        <w:instrText>≥</w:instrText>
      </w:r>
      <w:r w:rsidR="00281437">
        <w:instrText xml:space="preserve"> 30 kg/m2 were included in the study. Following the primary evaluation (anthropometric and clinical), the patients were randomly divided into 2 groups: (1) Placebo: Physical activity program + Diet + Placebo; (2) Resveratrol: Physical activity program + Diet + Resveratrol (RVS) (250 mg/day) for three months. Anthropometric and biochemical parameters were evaluated at baseline and after the treatment period.\nKey findings\nThe main findings showed that the resveratrol supplementation improved total cholesterol (TC), High-density Lipoprotein cholesterol (HDL-c), Very-low density Lipoprotein cholesterol (VLDL-c), urea, creatinine and albumin serum levels.\nSignificance\nThese findings indicate that this polyphenol may be an option to potentiate the beneficial effects induced by dietary and physical activity programs in the Metabolic Syndrome (MetS) treatment.","container-title":"Life Sciences","DOI":"10.1016/j.lfs.2020.117962","ISSN":"0024-3205","journalAbbreviation":"Life Sciences","page":"117962","source":"ScienceDirect","title":"Oral resveratrol supplementation improves Metabolic Syndrome features in obese patients submitted to a lifestyle-changing program","volume":"256","author":[{"family":"Batista-Jorge","given":"G. C."},{"family":"Barcala-Jorge","given":"A. S."},{"family":"Silveira","given":"M. F."},{"family":"Lelis","given":"D. F."},{"family":"Andrade","given":"J. M. O."},{"family":"Paula","given":"A. M. B.","non-dropping-particle":"de"},{"family":"Guimarães","given":"A. L. S."},{"family":"Santos","given":"S. H. S."}],"issued":{"date-parts":[["2020",9,1]]}}}],"schema":"https://github.com/citation-style-language/schema/raw/master/csl-citation.json"} </w:instrText>
      </w:r>
      <w:r w:rsidRPr="00735FCE">
        <w:fldChar w:fldCharType="separate"/>
      </w:r>
      <w:r w:rsidR="00281437" w:rsidRPr="00281437">
        <w:rPr>
          <w:vertAlign w:val="superscript"/>
        </w:rPr>
        <w:t>350</w:t>
      </w:r>
      <w:r w:rsidRPr="00735FCE">
        <w:fldChar w:fldCharType="end"/>
      </w:r>
      <w:r w:rsidRPr="00735FCE">
        <w:t xml:space="preserve">. However, the effects of RES on metabolism were minimal </w:t>
      </w:r>
      <w:r>
        <w:t xml:space="preserve">in </w:t>
      </w:r>
      <w:r w:rsidRPr="00735FCE">
        <w:lastRenderedPageBreak/>
        <w:t xml:space="preserve">subjects who were </w:t>
      </w:r>
      <w:r>
        <w:t>neither</w:t>
      </w:r>
      <w:r w:rsidRPr="00735FCE">
        <w:t xml:space="preserve"> obese </w:t>
      </w:r>
      <w:r>
        <w:t>n</w:t>
      </w:r>
      <w:r w:rsidRPr="00735FCE">
        <w:t xml:space="preserve">or metabolically healthy, suggesting </w:t>
      </w:r>
      <w:r>
        <w:t xml:space="preserve">that </w:t>
      </w:r>
      <w:r w:rsidRPr="00735FCE">
        <w:t>its benefits may be greater in the presence of metabolic stress</w:t>
      </w:r>
      <w:r>
        <w:t xml:space="preserve"> </w:t>
      </w:r>
      <w:r w:rsidRPr="00735FCE">
        <w:fldChar w:fldCharType="begin"/>
      </w:r>
      <w:r w:rsidR="00281437">
        <w:instrText xml:space="preserve"> ADDIN ZOTERO_ITEM CSL_CITATION {"citationID":"ndSqvlrf","properties":{"formattedCitation":"\\super 360\\nosupersub{}","plainCitation":"360","noteIndex":0},"citationItems":[{"id":3244,"uris":["http://zotero.org/users/9622455/items/AQP2M75K"],"itemData":{"id":3244,"type":"article-journal","abstract":"Resveratrol has been reported to improve metabolic function in metabolically-abnormal rodents and humans, but has not been studied in non-obese people with normal glucose tolerance. We conducted a randomized, double-blind, placebo-controlled trial to evaluate the metabolic effects of 12 weeks of resveratrol supplementation (75 mg/day) in non-obese, postmenopausal women with normal glucose tolerance. Although resveratrol supplementation increased plasma resveratrol concentration, it did not change body composition, resting metabolic rate, plasma lipids, or inflammatory markers. A two-stage hyperinsulinemic-euglycemic clamp procedure, in conjunction with stable isotopically-labeled tracer infusions, demonstrated that resveratrol did not increase liver, skeletal muscle, or adipose tissue insulin sensitivity. Consistent with the absence of in vivo metabolic effects, resveratrol did not affect its putative molecular targets, including AMPK, Sirt1, Nampt, and Pgc-1α, in either skeletal muscle or adipose tissue. These findings demonstrate that resveratrol supplementation does not have beneficial metabolic effects in non-obese, postmenopausal women with normal glucose tolerance.","container-title":"Cell metabolism","DOI":"10.1016/j.cmet.2012.09.015","ISSN":"1550-4131","issue":"5","journalAbbreviation":"Cell Metab","note":"PMID: 23102619\nPMCID: PMC3496026","page":"658-664","source":"PubMed Central","title":"Resveratrol supplementation does not improve metabolic function in non-obese women with normal glucose tolerance","volume":"16","author":[{"family":"Yoshino","given":"Jun"},{"family":"Conte","given":"Caterina"},{"family":"Fontana","given":"Luigi"},{"family":"Mittendorfer","given":"Bettina"},{"family":"Imai","given":"Shin-ichiro"},{"family":"Schechtman","given":"Kenneth B."},{"family":"Gu","given":"Charles"},{"family":"Kunz","given":"Iris"},{"family":"Fanelli","given":"Filippo Rossi"},{"family":"Patterson","given":"Bruce W."},{"family":"Klein","given":"Samuel"}],"issued":{"date-parts":[["2012",11,7]]}}}],"schema":"https://github.com/citation-style-language/schema/raw/master/csl-citation.json"} </w:instrText>
      </w:r>
      <w:r w:rsidRPr="00735FCE">
        <w:fldChar w:fldCharType="separate"/>
      </w:r>
      <w:r w:rsidR="00281437" w:rsidRPr="00281437">
        <w:rPr>
          <w:vertAlign w:val="superscript"/>
        </w:rPr>
        <w:t>360</w:t>
      </w:r>
      <w:r w:rsidRPr="00735FCE">
        <w:fldChar w:fldCharType="end"/>
      </w:r>
      <w:r>
        <w:t>.</w:t>
      </w:r>
    </w:p>
    <w:p w14:paraId="6D575E8E" w14:textId="00926749" w:rsidR="009117C0" w:rsidRPr="00735FCE" w:rsidRDefault="009117C0" w:rsidP="00F5471F">
      <w:pPr>
        <w:ind w:firstLine="720"/>
        <w:jc w:val="left"/>
      </w:pPr>
      <w:r w:rsidRPr="00735FCE">
        <w:t xml:space="preserve">Type 1 diabetes can also benefit from RES. Research indicates that RES can suppress islet CXCL16 </w:t>
      </w:r>
      <w:r>
        <w:t xml:space="preserve">protein </w:t>
      </w:r>
      <w:r w:rsidRPr="00735FCE">
        <w:t xml:space="preserve">expression, </w:t>
      </w:r>
      <w:r>
        <w:t xml:space="preserve">thereby reducing </w:t>
      </w:r>
      <w:r w:rsidRPr="00735FCE">
        <w:t>inflammation in the pancreas</w:t>
      </w:r>
      <w:r>
        <w:t xml:space="preserve"> </w:t>
      </w:r>
      <w:r w:rsidRPr="00735FCE">
        <w:fldChar w:fldCharType="begin"/>
      </w:r>
      <w:r w:rsidR="00281437">
        <w:instrText xml:space="preserve"> ADDIN ZOTERO_ITEM CSL_CITATION {"citationID":"beotFExh","properties":{"formattedCitation":"\\super 361\\nosupersub{}","plainCitation":"361","noteIndex":0},"citationItems":[{"id":3242,"uris":["http://zotero.org/users/9622455/items/RJ5I6VZF"],"itemData":{"id":3242,"type":"article-journal","abstract":"The role of CXC chemokine ligand 16 (CXCL16), oxidized LDL (ox-LDL), tissue factor (TF) and autophagy-induced beta cell death in type 1 diabetes mellitus (T1DM) pathogenesis is still unclear. We examined the therapeutic potential and mechanism of resveratrol (RES) against T1DM. Diabetes was induced in Balb/c mice by i. p. injection of 55 mg/kg streptozotocin (STZ) for five consecutive days. The control group received vehicles. RES or (RES + STZ) groups received RES (50 mg/kg, i. p.) daily for 12 days starting from the fourth day of buffer or STZ injections, respectively. Blood glucose, serum insulin, beta cell mass, serum lipid profiles, histological changes, oxidative stress biomarkers were determined. Moreover, CXCL16, TF, ox-LDL, P62 and LC3 tissue expression were also analyzed. Diabetic mice showed a marked deterioration in biochemical, physical and oxidative stress parameters. Interestingly, immunofluorescence analysis showed a remarkable elevation in CXCL16 (12 folds), ox-LDL (9 folds), TF (8.3 folds) in pancreatic B-cells. Moreover, western blotting revealed a profound increase in ox-LDL (2.6 folds), TF (3.2 folds), while a significant decline in P62 (0.34) and LC3 (0.25) when compared to control. RES mitigated biochemical, physical, oxidative imbalance and distorted pancreatic architecture in T1DM mice. Intriguingly, CXCL16, ox-LDL, TF and autophagic markers were also restored after RES treatment. Our data give the first direct evidence that beta cell–specific CXCL16/ox-LDL pathway activation is a potential trigger of TF activation and autophagic beta cell death in T1DM. Moreover, RES may have potential therapeutic applications for prevention of T1DM mainly via ameliorating this pathway.","container-title":"European Journal of Pharmacology","DOI":"10.1016/j.ejphar.2021.174059","ISSN":"0014-2999","journalAbbreviation":"European Journal of Pharmacology","page":"174059","source":"ScienceDirect","title":"Resveratrol mitigates pancreatic TF activation and autophagy-mediated beta cell death via inhibition of CXCL16/ox-LDL pathway: A novel protective mechanism against type 1 diabetes mellitus in mice","title-short":"Resveratrol mitigates pancreatic TF activation and autophagy-mediated beta cell death via inhibition of CXCL16/ox-LDL pathway","volume":"901","author":[{"family":"Darwish","given":"Mostafa A."},{"family":"Abdel-Bakky","given":"Mohamed S."},{"family":"Messiha","given":"Basim A. S."},{"family":"Abo-Saif","given":"Ali A."},{"family":"Abo-Youssef","given":"Amira M."}],"issued":{"date-parts":[["2021",6,15]]}}}],"schema":"https://github.com/citation-style-language/schema/raw/master/csl-citation.json"} </w:instrText>
      </w:r>
      <w:r w:rsidRPr="00735FCE">
        <w:fldChar w:fldCharType="separate"/>
      </w:r>
      <w:r w:rsidR="00281437" w:rsidRPr="00281437">
        <w:rPr>
          <w:vertAlign w:val="superscript"/>
        </w:rPr>
        <w:t>361</w:t>
      </w:r>
      <w:r w:rsidRPr="00735FCE">
        <w:fldChar w:fldCharType="end"/>
      </w:r>
      <w:r w:rsidRPr="00735FCE">
        <w:t xml:space="preserve">. This anti-inflammatory action is complemented by its ability to protect pancreatic β-cells </w:t>
      </w:r>
      <w:r>
        <w:t>through</w:t>
      </w:r>
      <w:r w:rsidRPr="00735FCE">
        <w:t xml:space="preserve"> modulation of the CXCL16/oxidized LDL pathway, ultimately preserving insulin secretion capacity</w:t>
      </w:r>
      <w:r>
        <w:t xml:space="preserve"> </w:t>
      </w:r>
      <w:r w:rsidRPr="00735FCE">
        <w:fldChar w:fldCharType="begin"/>
      </w:r>
      <w:r w:rsidR="00281437">
        <w:instrText xml:space="preserve"> ADDIN ZOTERO_ITEM CSL_CITATION {"citationID":"VsT7qYwp","properties":{"formattedCitation":"\\super 361\\nosupersub{}","plainCitation":"361","noteIndex":0},"citationItems":[{"id":3242,"uris":["http://zotero.org/users/9622455/items/RJ5I6VZF"],"itemData":{"id":3242,"type":"article-journal","abstract":"The role of CXC chemokine ligand 16 (CXCL16), oxidized LDL (ox-LDL), tissue factor (TF) and autophagy-induced beta cell death in type 1 diabetes mellitus (T1DM) pathogenesis is still unclear. We examined the therapeutic potential and mechanism of resveratrol (RES) against T1DM. Diabetes was induced in Balb/c mice by i. p. injection of 55 mg/kg streptozotocin (STZ) for five consecutive days. The control group received vehicles. RES or (RES + STZ) groups received RES (50 mg/kg, i. p.) daily for 12 days starting from the fourth day of buffer or STZ injections, respectively. Blood glucose, serum insulin, beta cell mass, serum lipid profiles, histological changes, oxidative stress biomarkers were determined. Moreover, CXCL16, TF, ox-LDL, P62 and LC3 tissue expression were also analyzed. Diabetic mice showed a marked deterioration in biochemical, physical and oxidative stress parameters. Interestingly, immunofluorescence analysis showed a remarkable elevation in CXCL16 (12 folds), ox-LDL (9 folds), TF (8.3 folds) in pancreatic B-cells. Moreover, western blotting revealed a profound increase in ox-LDL (2.6 folds), TF (3.2 folds), while a significant decline in P62 (0.34) and LC3 (0.25) when compared to control. RES mitigated biochemical, physical, oxidative imbalance and distorted pancreatic architecture in T1DM mice. Intriguingly, CXCL16, ox-LDL, TF and autophagic markers were also restored after RES treatment. Our data give the first direct evidence that beta cell–specific CXCL16/ox-LDL pathway activation is a potential trigger of TF activation and autophagic beta cell death in T1DM. Moreover, RES may have potential therapeutic applications for prevention of T1DM mainly via ameliorating this pathway.","container-title":"European Journal of Pharmacology","DOI":"10.1016/j.ejphar.2021.174059","ISSN":"0014-2999","journalAbbreviation":"European Journal of Pharmacology","page":"174059","source":"ScienceDirect","title":"Resveratrol mitigates pancreatic TF activation and autophagy-mediated beta cell death via inhibition of CXCL16/ox-LDL pathway: A novel protective mechanism against type 1 diabetes mellitus in mice","title-short":"Resveratrol mitigates pancreatic TF activation and autophagy-mediated beta cell death via inhibition of CXCL16/ox-LDL pathway","volume":"901","author":[{"family":"Darwish","given":"Mostafa A."},{"family":"Abdel-Bakky","given":"Mohamed S."},{"family":"Messiha","given":"Basim A. S."},{"family":"Abo-Saif","given":"Ali A."},{"family":"Abo-Youssef","given":"Amira M."}],"issued":{"date-parts":[["2021",6,15]]}}}],"schema":"https://github.com/citation-style-language/schema/raw/master/csl-citation.json"} </w:instrText>
      </w:r>
      <w:r w:rsidRPr="00735FCE">
        <w:fldChar w:fldCharType="separate"/>
      </w:r>
      <w:r w:rsidR="00281437" w:rsidRPr="00281437">
        <w:rPr>
          <w:vertAlign w:val="superscript"/>
        </w:rPr>
        <w:t>361</w:t>
      </w:r>
      <w:r w:rsidRPr="00735FCE">
        <w:fldChar w:fldCharType="end"/>
      </w:r>
      <w:r w:rsidRPr="00735FCE">
        <w:t>.</w:t>
      </w:r>
    </w:p>
    <w:p w14:paraId="4BD36313" w14:textId="655A4721" w:rsidR="009117C0" w:rsidRPr="00735FCE" w:rsidRDefault="009117C0" w:rsidP="00F5471F">
      <w:pPr>
        <w:ind w:firstLine="720"/>
        <w:jc w:val="left"/>
      </w:pPr>
      <w:r w:rsidRPr="00735FCE">
        <w:t xml:space="preserve">As part of its metabolic benefits, RES appears to </w:t>
      </w:r>
      <w:r>
        <w:t>alter</w:t>
      </w:r>
      <w:r w:rsidRPr="00735FCE">
        <w:t xml:space="preserve"> the gut microbiota composition</w:t>
      </w:r>
      <w:r>
        <w:t xml:space="preserve"> </w:t>
      </w:r>
      <w:r w:rsidRPr="00735FCE">
        <w:fldChar w:fldCharType="begin"/>
      </w:r>
      <w:r w:rsidR="00281437">
        <w:instrText xml:space="preserve"> ADDIN ZOTERO_ITEM CSL_CITATION {"citationID":"oIS2kn9r","properties":{"formattedCitation":"\\super 362\\nosupersub{}","plainCitation":"362","noteIndex":0},"citationItems":[{"id":3247,"uris":["http://zotero.org/users/9622455/items/R2MEQQSQ"],"itemData":{"id":3247,"type":"article-journal","abstract":"Natural products have been a long-standing source for exploring health-beneficial components from time immemorial. Modern science has had a renewed interest in natural-products-based drug discovery. The quest for new potential secondary metabolites or exploring enhanced activities for existing molecules remains a pertinent topic for research. Resveratrol belongs to the stilbenoid polyphenols group that encompasses two phenol rings linked by ethylene bonds. Several plant species and foods, including grape skin and seeds, are the primary source of this compound. Resveratrol is known to possess potent anti-inflammatory, antiproliferative, and immunoregulatory properties. Among the notable bioactivities associated with resveratrol, its pivotal role in safeguarding the intestinal barrier is highlighted for its capacity to prevent intestinal inflammation and regulate the gut microbiome. A better understanding of how oxidative stress can be controlled using resveratrol and its capability to protect the intestinal barrier from a gut microbiome perspective can shed more light on associated physiological conditions. Additionally, resveratrol exhibits antitumor activity, proving its potential for cancer treatment and prevention. Moreover, cardioprotective, vasorelaxant, phytoestrogenic, and neuroprotective benefits have also been reported. The pharmaceutical industry continues to encounter difficulties administering resveratrol owing to its inadequate bioavailability and poor solubility, which must be addressed simultaneously. This report summarizes the currently available literature unveiling the pharmacological effects of resveratrol.","container-title":"International Journal of Molecular Sciences","DOI":"10.3390/ijms25063370","ISSN":"1422-0067","issue":"6","language":"en","license":"http://creativecommons.org/licenses/by/3.0/","note":"number: 6\npublisher: Multidisciplinary Digital Publishing Institute","page":"3370","source":"www.mdpi.com","title":"Resveratrol as a Promising Nutraceutical: Implications in Gut Microbiota Modulation, Inflammatory Disorders, and Colorectal Cancer","title-short":"Resveratrol as a Promising Nutraceutical","volume":"25","author":[{"family":"Prakash","given":"Vidhya"},{"family":"Bose","given":"Chinchu"},{"family":"Sunilkumar","given":"Damu"},{"family":"Cherian","given":"Robin Mathew"},{"family":"Thomas","given":"Shwetha Susan"},{"family":"Nair","given":"Bipin G."}],"issued":{"date-parts":[["2024",1]]}}}],"schema":"https://github.com/citation-style-language/schema/raw/master/csl-citation.json"} </w:instrText>
      </w:r>
      <w:r w:rsidRPr="00735FCE">
        <w:fldChar w:fldCharType="separate"/>
      </w:r>
      <w:r w:rsidR="00281437" w:rsidRPr="00281437">
        <w:rPr>
          <w:vertAlign w:val="superscript"/>
        </w:rPr>
        <w:t>362</w:t>
      </w:r>
      <w:r w:rsidRPr="00735FCE">
        <w:fldChar w:fldCharType="end"/>
      </w:r>
      <w:r w:rsidRPr="00735FCE">
        <w:t xml:space="preserve">. In both HFD and </w:t>
      </w:r>
      <w:r w:rsidRPr="0081602E">
        <w:rPr>
          <w:i/>
        </w:rPr>
        <w:t>db/db</w:t>
      </w:r>
      <w:r w:rsidRPr="00735FCE">
        <w:t xml:space="preserve"> mice, RES altered the gut microbial composition by increasing the relative abundance of Bacteroidetes and reducing Firmicutes, a shift commonly associated with improved metabolic profiles</w:t>
      </w:r>
      <w:r>
        <w:t xml:space="preserve"> </w:t>
      </w:r>
      <w:r w:rsidRPr="00735FCE">
        <w:fldChar w:fldCharType="begin"/>
      </w:r>
      <w:r w:rsidR="00281437">
        <w:instrText xml:space="preserve"> ADDIN ZOTERO_ITEM CSL_CITATION {"citationID":"Od8O0GWf","properties":{"formattedCitation":"\\super 363,364\\nosupersub{}","plainCitation":"363,364","noteIndex":0},"citationItems":[{"id":3254,"uris":["http://zotero.org/users/9622455/items/YWVSW7NW"],"itemData":{"id":3254,"type":"article-journal","abstract":"Resveratrol (RSV) is a natural polyphenol with putative anti-obesity effects; however, its mechanisms of action remain unclear due to its low bioavailability. Microbial functions in the physiology result from the microbiota–host coevolution has profoundly affected host metabolism. Here, we sought to determine how beneficial microbiome caused by RSV interventions affects antiobesity.","container-title":"International Journal of Obesity","DOI":"10.1038/s41366-019-0332-1","ISSN":"1476-5497","issue":"1","journalAbbreviation":"Int J Obes","language":"en","license":"2019 Springer Nature Limited","note":"publisher: Nature Publishing Group","page":"213-225","source":"www.nature.com","title":"Resveratrol-induced gut microbiota reduces obesity in high-fat diet-fed mice","volume":"44","author":[{"family":"Wang","given":"Pan"},{"family":"Li","given":"Daotong"},{"family":"Ke","given":"Weixin"},{"family":"Liang","given":"Dong"},{"family":"Hu","given":"Xiaosong"},{"family":"Chen","given":"Fang"}],"issued":{"date-parts":[["2020",1]]}}},{"id":3252,"uris":["http://zotero.org/users/9622455/items/XGFHJGF3"],"itemData":{"id":3252,"type":"article-journal","abstract":"Current evidence has linked dietary resveratrol (RSV) intake to the activation of brown adipose tissue (BAT) and induction of white adipose tissue (WAT) browning, which may be a potential means of improving glucose homeostasis. However, the underlying mechanisms remain unclear.","container-title":"International Journal of Obesity","DOI":"10.1038/s41366-020-0566-y","ISSN":"1476-5497","issue":"8","journalAbbreviation":"Int J Obes","language":"en","license":"2020 The Author(s), under exclusive licence to Springer Nature Limited","note":"publisher: Nature Publishing Group","page":"1678-1690","source":"www.nature.com","title":"Resveratrol enhances brown adipose tissue activity and white adipose tissue browning in part by regulating bile acid metabolism via gut microbiota remodeling","volume":"44","author":[{"family":"Hui","given":"Suocheng"},{"family":"Liu","given":"Yang"},{"family":"Huang","given":"Li"},{"family":"Zheng","given":"Lin"},{"family":"Zhou","given":"Min"},{"family":"Lang","given":"Hedong"},{"family":"Wang","given":"Xiaolan"},{"family":"Yi","given":"Long"},{"family":"Mi","given":"Mantian"}],"issued":{"date-parts":[["2020",8]]}}}],"schema":"https://github.com/citation-style-language/schema/raw/master/csl-citation.json"} </w:instrText>
      </w:r>
      <w:r w:rsidRPr="00735FCE">
        <w:fldChar w:fldCharType="separate"/>
      </w:r>
      <w:r w:rsidR="00281437" w:rsidRPr="00281437">
        <w:rPr>
          <w:vertAlign w:val="superscript"/>
        </w:rPr>
        <w:t>363,364</w:t>
      </w:r>
      <w:r w:rsidRPr="00735FCE">
        <w:fldChar w:fldCharType="end"/>
      </w:r>
      <w:r w:rsidRPr="00735FCE">
        <w:t>. Fecal microbiota transplantation (FMT) from RES-treated mice to recipient mice also reduced weight gain, WAT mass, glucose</w:t>
      </w:r>
      <w:r>
        <w:t>,</w:t>
      </w:r>
      <w:r w:rsidRPr="00735FCE">
        <w:t xml:space="preserve"> and</w:t>
      </w:r>
      <w:r>
        <w:t xml:space="preserve"> improved</w:t>
      </w:r>
      <w:r w:rsidRPr="00735FCE">
        <w:t xml:space="preserve"> insulin sensitivity</w:t>
      </w:r>
      <w:r>
        <w:t xml:space="preserve"> </w:t>
      </w:r>
      <w:r w:rsidRPr="00735FCE">
        <w:fldChar w:fldCharType="begin"/>
      </w:r>
      <w:r w:rsidR="00281437">
        <w:instrText xml:space="preserve"> ADDIN ZOTERO_ITEM CSL_CITATION {"citationID":"AB3XMceh","properties":{"formattedCitation":"\\super 365\\nosupersub{}","plainCitation":"365","noteIndex":0},"citationItems":[{"id":3256,"uris":["http://zotero.org/users/9622455/items/WC89C63V"],"itemData":{"id":3256,"type":"article-journal","abstract":"Promoting the browning of white fat may be a potential means of combating obesity. Therefore, in this study, we investigated the effect of resveratrol (RES) on the body weight and browning of white fat in high-fat diet (HFD)-induced obese mice and the potential associated mechanism in vivo. Eight-week-old male mice were randomized to receive different treatments: (1), chow without any additional treatment (chow); (2), chow plus 0.4% resveratrol (chow-RES); (3), HFD without any additional treatment (HFD); and (4), HFD plus 0.4% resveratrol (HFD-RES). After 4 weeks of feeding, additional 8-week-old male recipient mice were randomly allocated to the following 4 treatments: (5), HFD and received feces from chow-fed mice; (6), HFD and received feces from chow-RES-fed mice; (7), HFD and received feces from HFD-fed mice; and (8), HFD and received feces from HFD-RES-fed mice. RES treatment significantly inhibited increases in fat accumulation, promoted the browning of white adipose tissue (WAT) and alleviated gut microbiota dysbiosis in HFD-fed mice. Subsequent analyses showed that the gut microbiota remodeling induced by resveratrol had a positive role in WAT browning, and sirtuin-1 (Sirt1) signaling appears to be a key component of this process. Overall, the results show that RES may serve as a potential intervention to reduce obesity by alleviating dysbiosis of the gut microbiota.","container-title":"Molecules","DOI":"10.3390/molecules23123356","ISSN":"1420-3049","issue":"12","journalAbbreviation":"Molecules","note":"PMID: 30567366\nPMCID: PMC6321286","page":"3356","source":"PubMed Central","title":"Resveratrol-Induced White Adipose Tissue Browning in Obese Mice by Remodeling Fecal Microbiota","volume":"23","author":[{"family":"Liao","given":"Weiyao"},{"family":"Yin","given":"Xiaohan"},{"family":"Li","given":"Qingrong"},{"family":"Zhang","given":"Hongmin"},{"family":"Liu","given":"Zihui"},{"family":"Zheng","given":"Xinjie"},{"family":"Zheng","given":"Lin"},{"family":"Feng","given":"Xiang"}],"issued":{"date-parts":[["2018",12,18]]}}}],"schema":"https://github.com/citation-style-language/schema/raw/master/csl-citation.json"} </w:instrText>
      </w:r>
      <w:r w:rsidRPr="00735FCE">
        <w:fldChar w:fldCharType="separate"/>
      </w:r>
      <w:r w:rsidR="00281437" w:rsidRPr="00281437">
        <w:rPr>
          <w:vertAlign w:val="superscript"/>
        </w:rPr>
        <w:t>365</w:t>
      </w:r>
      <w:r w:rsidRPr="00735FCE">
        <w:fldChar w:fldCharType="end"/>
      </w:r>
      <w:r w:rsidRPr="00735FCE">
        <w:t>. In addition, FMT recipients displayed increased</w:t>
      </w:r>
      <w:r>
        <w:t xml:space="preserve"> mRNA</w:t>
      </w:r>
      <w:r w:rsidRPr="00735FCE">
        <w:t xml:space="preserve"> expression of thermogenic and browning genes </w:t>
      </w:r>
      <w:r w:rsidRPr="00DE5EC2">
        <w:rPr>
          <w:i/>
          <w:iCs/>
        </w:rPr>
        <w:t>Ucp1</w:t>
      </w:r>
      <w:r w:rsidRPr="00735FCE">
        <w:t xml:space="preserve">, </w:t>
      </w:r>
      <w:r w:rsidRPr="00DE5EC2">
        <w:rPr>
          <w:i/>
          <w:iCs/>
        </w:rPr>
        <w:t>Prdm16</w:t>
      </w:r>
      <w:r w:rsidRPr="00735FCE">
        <w:t xml:space="preserve">, </w:t>
      </w:r>
      <w:r w:rsidRPr="00DE5EC2">
        <w:rPr>
          <w:i/>
          <w:iCs/>
        </w:rPr>
        <w:t>Pgc1α</w:t>
      </w:r>
      <w:r w:rsidRPr="00735FCE">
        <w:t xml:space="preserve">, </w:t>
      </w:r>
      <w:r w:rsidRPr="00DE5EC2">
        <w:rPr>
          <w:i/>
          <w:iCs/>
        </w:rPr>
        <w:t>Sirt1</w:t>
      </w:r>
      <w:r w:rsidRPr="00735FCE">
        <w:t xml:space="preserve">, and reduced expression of lipogenic genes </w:t>
      </w:r>
      <w:r w:rsidRPr="00DE5EC2">
        <w:rPr>
          <w:i/>
          <w:iCs/>
        </w:rPr>
        <w:t>Srebp1c</w:t>
      </w:r>
      <w:r w:rsidRPr="00735FCE">
        <w:t xml:space="preserve">, </w:t>
      </w:r>
      <w:r w:rsidRPr="00DE5EC2">
        <w:rPr>
          <w:i/>
          <w:iCs/>
        </w:rPr>
        <w:t>Fasn</w:t>
      </w:r>
      <w:r w:rsidRPr="00735FCE">
        <w:t xml:space="preserve">, </w:t>
      </w:r>
      <w:r w:rsidRPr="00DE5EC2">
        <w:rPr>
          <w:i/>
          <w:iCs/>
        </w:rPr>
        <w:t>Scd1</w:t>
      </w:r>
      <w:r w:rsidRPr="00735FCE">
        <w:t xml:space="preserve">, </w:t>
      </w:r>
      <w:r>
        <w:t xml:space="preserve">and </w:t>
      </w:r>
      <w:r w:rsidRPr="00DE5EC2">
        <w:rPr>
          <w:i/>
          <w:iCs/>
        </w:rPr>
        <w:t>Acac</w:t>
      </w:r>
      <w:r w:rsidRPr="00DE5EC2">
        <w:rPr>
          <w:i/>
          <w:iCs/>
        </w:rPr>
        <w:sym w:font="Symbol" w:char="F061"/>
      </w:r>
      <w:r>
        <w:t xml:space="preserve"> </w:t>
      </w:r>
      <w:r w:rsidRPr="00735FCE">
        <w:t>in WAT and BAT</w:t>
      </w:r>
      <w:r>
        <w:t xml:space="preserve"> </w:t>
      </w:r>
      <w:r w:rsidRPr="00735FCE">
        <w:fldChar w:fldCharType="begin"/>
      </w:r>
      <w:r w:rsidR="00281437">
        <w:instrText xml:space="preserve"> ADDIN ZOTERO_ITEM CSL_CITATION {"citationID":"f8K08QCm","properties":{"formattedCitation":"\\super 363\\nosupersub{}","plainCitation":"363","noteIndex":0},"citationItems":[{"id":3254,"uris":["http://zotero.org/users/9622455/items/YWVSW7NW"],"itemData":{"id":3254,"type":"article-journal","abstract":"Resveratrol (RSV) is a natural polyphenol with putative anti-obesity effects; however, its mechanisms of action remain unclear due to its low bioavailability. Microbial functions in the physiology result from the microbiota–host coevolution has profoundly affected host metabolism. Here, we sought to determine how beneficial microbiome caused by RSV interventions affects antiobesity.","container-title":"International Journal of Obesity","DOI":"10.1038/s41366-019-0332-1","ISSN":"1476-5497","issue":"1","journalAbbreviation":"Int J Obes","language":"en","license":"2019 Springer Nature Limited","note":"publisher: Nature Publishing Group","page":"213-225","source":"www.nature.com","title":"Resveratrol-induced gut microbiota reduces obesity in high-fat diet-fed mice","volume":"44","author":[{"family":"Wang","given":"Pan"},{"family":"Li","given":"Daotong"},{"family":"Ke","given":"Weixin"},{"family":"Liang","given":"Dong"},{"family":"Hu","given":"Xiaosong"},{"family":"Chen","given":"Fang"}],"issued":{"date-parts":[["2020",1]]}}}],"schema":"https://github.com/citation-style-language/schema/raw/master/csl-citation.json"} </w:instrText>
      </w:r>
      <w:r w:rsidRPr="00735FCE">
        <w:fldChar w:fldCharType="separate"/>
      </w:r>
      <w:r w:rsidR="00281437" w:rsidRPr="00281437">
        <w:rPr>
          <w:vertAlign w:val="superscript"/>
        </w:rPr>
        <w:t>363</w:t>
      </w:r>
      <w:r w:rsidRPr="00735FCE">
        <w:fldChar w:fldCharType="end"/>
      </w:r>
      <w:r w:rsidRPr="00735FCE">
        <w:t xml:space="preserve">. Supporting the animal data, a human randomized controlled trial in </w:t>
      </w:r>
      <w:r>
        <w:t xml:space="preserve">Caucasian male </w:t>
      </w:r>
      <w:r w:rsidRPr="00735FCE">
        <w:t xml:space="preserve">obese subjects with metabolic syndrome showed </w:t>
      </w:r>
      <w:r>
        <w:t xml:space="preserve">that </w:t>
      </w:r>
      <w:r w:rsidRPr="00735FCE">
        <w:t xml:space="preserve">30 days </w:t>
      </w:r>
      <w:r>
        <w:t xml:space="preserve">of </w:t>
      </w:r>
      <w:r w:rsidRPr="00735FCE">
        <w:t>supplementation with RES (1 g twice daily) significantly increased the relative abundance of Akkermansia, Barnesiella, and Odoribacter</w:t>
      </w:r>
      <w:r>
        <w:t xml:space="preserve"> </w:t>
      </w:r>
      <w:r>
        <w:fldChar w:fldCharType="begin"/>
      </w:r>
      <w:r w:rsidR="00281437">
        <w:instrText xml:space="preserve"> ADDIN ZOTERO_ITEM CSL_CITATION {"citationID":"a2dshgpsoaj","properties":{"formattedCitation":"\\super 366\\nosupersub{}","plainCitation":"366","noteIndex":0},"citationItems":[{"id":4170,"uris":["http://zotero.org/users/9622455/items/TVL8GGN9"],"itemData":{"id":4170,"type":"article-journal","abstract":"Background and Aim:\nThe metabolic syndrome (MetS) is a pathological condition comprised of abdominal obesity, insulin resistance, hypertension, and hyperlipidemia. It has become a major threat globally, resulting in rapidly increasing rates of diabetes, coronary heart disease, and stroke. The polyphenol resveratrol (RES) is believed to improve glucose homeostasis and insulin resistance by activating sirtuin, which acetylates and coactivates downstream targets and affects glucose and lipid homeostasis in the liver, insulin secretion in the pancreas, and glucose uptake in skeletal muscle. We studied the effects of RES on insulin resistance, glucose homeostasis, and concomitant effects on adipose tissue metabolism and fecal microbiota in insulin-resistant subjects with the MetS.\n\nMethods:\nA total of 28 obese men with the MetS were studied during a 35-day stay in the Rockefeller University Hospital metabolic unit. Subjects were randomized to receive RES 1 g orally twice daily or placebo while kept weight stable and consuming a western-style diet. At baseline, and after 30 days of RES or placebo administration, subjects underwent testing that included a euglycemic, hyperinsulinemic clamp, 2-h oral glucose tolerance test (GTT), resting energy expenditure, daily blood pressure monitoring, abdominal adipose tissue biopsy, and fecal and blood collections.\n\nResults:\nRES induced no changes in insulin resistance but reduced the 120-min time point and the area under the curve for glucose concentration in the 2-h GTT. In post-hoc analysis, Caucasian subjects showed a significant improvement in insulin sensitivity and glucose homeostasis after GTT, whereas non-Caucasians showed no similar effects. Levels of fasting plasma RES and its primary metabolite dihydroresveratrol were variable and did not explain the racial differences in glucose homeostasis. RES administration to Caucasian subjects leads to an increase in several taxa including Akkermansia muciniphila.\n\nConclusions:\nRES 2 g administered orally to obese men with MetS and insulin resistance marginally altered glucose homeostasis. However, in a small group of Caucasians, insulin resistance and glucose homeostasis improved. No concomitant changes in adipose tissue metabolism occurred, but fecal microbiota showed RES-induced changes.\n\nRelevance for Patients:\nThe MetS increases the risk of diabetes, heart disease, and stroke. A major component of the syndrome is insulin resistance, resulting in systemic inflammation and hyperinsulinemia. The primary treatment consists of lifestyle changes, improved diet, and increased physical activity. This is often unsuccessful. In this study, RES was well tolerated. In Caucasian men, it significantly improved insulin sensitivity and glucose homeostasis. Similar results were found in studies that consisted exclusively of Caucasian men. However, RES presents a novel addition to the current treatment of the MetS and its sequelae.","container-title":"Journal of Clinical and Translational Research","ISSN":"2382-6533","issue":"2","journalAbbreviation":"J Clin Transl Res","note":"PMID: 30873501\nPMCID: PMC6412609","page":"122-135","source":"PubMed Central","title":"The effects of trans-resveratrol on insulin resistance, inflammation, and microbiota in men with the metabolic syndrome: A pilot randomized, placebo-controlled clinical trial","title-short":"The effects of trans-resveratrol on insulin resistance, inflammation, and microbiota in men with the metabolic syndrome","volume":"4","author":[{"family":"Walker","given":"Jeanne M."},{"family":"Eckardt","given":"Patricia"},{"family":"Aleman","given":"Jose O."},{"family":"Rosa","given":"Joel Correa","non-dropping-particle":"da"},{"family":"Liang","given":"Yupu"},{"family":"Iizumi","given":"Tadasu"},{"family":"Etheve","given":"Stephane"},{"family":"Blaser","given":"Martin J."},{"family":"L.Breslow","given":"Jan"},{"family":"Holt","given":"Peter R."}],"issued":{"date-parts":[["2018",12,7]]}}}],"schema":"https://github.com/citation-style-language/schema/raw/master/csl-citation.json"} </w:instrText>
      </w:r>
      <w:r>
        <w:fldChar w:fldCharType="separate"/>
      </w:r>
      <w:r w:rsidR="00281437" w:rsidRPr="00281437">
        <w:rPr>
          <w:vertAlign w:val="superscript"/>
        </w:rPr>
        <w:t>366</w:t>
      </w:r>
      <w:r>
        <w:fldChar w:fldCharType="end"/>
      </w:r>
      <w:r w:rsidRPr="00735FCE">
        <w:t>. The alteration</w:t>
      </w:r>
      <w:r>
        <w:t>s</w:t>
      </w:r>
      <w:r w:rsidRPr="00735FCE">
        <w:t xml:space="preserve"> in microbiota composition</w:t>
      </w:r>
      <w:r>
        <w:t>s</w:t>
      </w:r>
      <w:r w:rsidRPr="00735FCE">
        <w:t xml:space="preserve"> w</w:t>
      </w:r>
      <w:r>
        <w:t>ere</w:t>
      </w:r>
      <w:r w:rsidRPr="00735FCE">
        <w:t xml:space="preserve"> linked with enhanced maintenance of glucose levels </w:t>
      </w:r>
      <w:r>
        <w:t xml:space="preserve">and </w:t>
      </w:r>
      <w:r w:rsidRPr="00735FCE">
        <w:t>insulin sensitivity, highlighting the possibilit</w:t>
      </w:r>
      <w:r>
        <w:t>ies</w:t>
      </w:r>
      <w:r w:rsidRPr="00735FCE">
        <w:t xml:space="preserve"> </w:t>
      </w:r>
      <w:r>
        <w:t>that</w:t>
      </w:r>
      <w:r w:rsidRPr="00735FCE">
        <w:t xml:space="preserve"> RES modulat</w:t>
      </w:r>
      <w:r>
        <w:t>es</w:t>
      </w:r>
      <w:r w:rsidRPr="00735FCE">
        <w:t xml:space="preserve"> host metabolism through the gut microbiome in both preclinical and clinical settings</w:t>
      </w:r>
      <w:r>
        <w:t xml:space="preserve"> </w:t>
      </w:r>
      <w:r w:rsidRPr="00735FCE">
        <w:fldChar w:fldCharType="begin"/>
      </w:r>
      <w:r w:rsidR="00281437">
        <w:instrText xml:space="preserve"> ADDIN ZOTERO_ITEM CSL_CITATION {"citationID":"SbsjNWME","properties":{"formattedCitation":"\\super 367\\nosupersub{}","plainCitation":"367","noteIndex":0},"citationItems":[{"id":3249,"uris":["http://zotero.org/users/9622455/items/SLUY552N"],"itemData":{"id":3249,"type":"article-journal","abstract":"Although a general healthy gut microbiota cannot be defined due to numerous internal and external individual factors, such as sex, age, ethnicity, genetics, environment, diet and drugs affect its composition, certain microbial species and gut microbiota compositions seem to be related to the progression of insulin resistance to type 2 diabetes, as well as the development of microvascular and macrovascular complications of diabetes. The present review aimed at gathering the reported information describing how resveratrol induced changes in microbiota composition can mediate the positive effects of this polyphenol on glucose homeostasis under type 2 diabetic conditions, both in animals and humans. Based on the fact that some changes observed in the gut microbiota of type 2 diabetic animals and patients are reversed by resveratrol treatment, and taking into account that some resveratrol mediated changes in gut microbiota composition are similar to those induced by anti-diabetic drugs such as metformin, it can be proposed that four genera, Alistipes, Allobaculum, Desulfovibrio and Blautia could be involved in the benefits of resveratrol on glycameic control. Nevertheless some limitations are observed in this research field: (a) the number of studies analyzing both the effects of resveratrol on glucose homeostasis and microbiota composition in the same cohort of animals, in order to know the potential involvement of microbiota in the anti-diabetic effects of this phenolic compound, are very scarce and practically inexistent in the case of humans., (b) the studies present inconsistencies concerning the effects of resveratrol on gut microbiota changes, (c) the experimental design used do not allow the researchers to establish a causal relationship between the changes in microbiota and the anti-diabetic effect, in the vast majority of the studies, (d) the knowledge about the role of each type of bacteria on glycaemic control is not sufficient so far.","container-title":"Frontiers in Nutrition","DOI":"10.3389/fnut.2022.1084702","ISSN":"2296-861X","journalAbbreviation":"Front Nutr","note":"PMID: 36687699\nPMCID: PMC9852824","page":"1084702","source":"PubMed Central","title":"Relationship between changes in microbiota induced by resveratrol and its anti-diabetic effect on type 2 diabetes","volume":"9","author":[{"family":"Fernandez-Quintela","given":"Alfredo"},{"family":"Macarulla","given":"María Teresa"},{"family":"Gómez-Zorita","given":"Saioa"},{"family":"González","given":"Marcela"},{"family":"Milton-Laskibar","given":"Iñaki"},{"family":"Portillo","given":"María P."}],"issued":{"date-parts":[["2023",1,6]]}}}],"schema":"https://github.com/citation-style-language/schema/raw/master/csl-citation.json"} </w:instrText>
      </w:r>
      <w:r w:rsidRPr="00735FCE">
        <w:fldChar w:fldCharType="separate"/>
      </w:r>
      <w:r w:rsidR="00281437" w:rsidRPr="00281437">
        <w:rPr>
          <w:vertAlign w:val="superscript"/>
        </w:rPr>
        <w:t>367</w:t>
      </w:r>
      <w:r w:rsidRPr="00735FCE">
        <w:fldChar w:fldCharType="end"/>
      </w:r>
      <w:r w:rsidRPr="00735FCE">
        <w:t>.</w:t>
      </w:r>
    </w:p>
    <w:p w14:paraId="078CA28D" w14:textId="375333F3" w:rsidR="009117C0" w:rsidRDefault="009117C0" w:rsidP="00F5471F">
      <w:pPr>
        <w:ind w:firstLine="720"/>
        <w:jc w:val="left"/>
      </w:pPr>
      <w:r w:rsidRPr="00735FCE">
        <w:lastRenderedPageBreak/>
        <w:t>Overall, research suggests that RES may promote metabolic health by enhancing insulin sensitivity and</w:t>
      </w:r>
      <w:r>
        <w:t xml:space="preserve"> promoting the</w:t>
      </w:r>
      <w:r w:rsidRPr="00735FCE">
        <w:t xml:space="preserve"> browning </w:t>
      </w:r>
      <w:r>
        <w:t>of WAT</w:t>
      </w:r>
      <w:r w:rsidRPr="00735FCE">
        <w:t xml:space="preserve"> through </w:t>
      </w:r>
      <w:r>
        <w:t>several</w:t>
      </w:r>
      <w:r w:rsidRPr="00735FCE">
        <w:t xml:space="preserve"> molecular pathways</w:t>
      </w:r>
      <w:r>
        <w:t xml:space="preserve"> </w:t>
      </w:r>
      <w:r w:rsidRPr="00735FCE">
        <w:fldChar w:fldCharType="begin"/>
      </w:r>
      <w:r w:rsidR="00281437">
        <w:instrText xml:space="preserve"> ADDIN ZOTERO_ITEM CSL_CITATION {"citationID":"ucgLbkoW","properties":{"formattedCitation":"\\super 368,369\\nosupersub{}","plainCitation":"368,369","noteIndex":0},"citationItems":[{"id":3268,"uris":["http://zotero.org/users/9622455/items/TZRFRH3S"],"item</w:instrText>
      </w:r>
      <w:r w:rsidR="00281437">
        <w:rPr>
          <w:rFonts w:hint="eastAsia"/>
        </w:rPr>
        <w:instrText>Data":{"id":3268,"type":"article-journal","abstract":"Resveratrol, also known as 3,5,4</w:instrText>
      </w:r>
      <w:r w:rsidR="00281437">
        <w:rPr>
          <w:rFonts w:hint="eastAsia"/>
        </w:rPr>
        <w:instrText>′</w:instrText>
      </w:r>
      <w:r w:rsidR="00281437">
        <w:rPr>
          <w:rFonts w:hint="eastAsia"/>
        </w:rPr>
        <w:instrText>-trihydroxystilbene, is a natural polyphenol that occurs as a phytoalexin. It is produced by plant sources such as grapes, apples, blueberries, plums, peanuts, and othe</w:instrText>
      </w:r>
      <w:r w:rsidR="00281437">
        <w:instrText xml:space="preserve">r oilseeds. This compound has a variety of effects on human health and diseases. This review summarizes the mounting evidence that resveratrol is helpful in treating metabolic syndrome and related disorders. Resveratrol can be provided either early as a reprogramming agent or later as part of treatment. A few of the main mechanisms underlying the beneficial effects of resveratrol on metabolic syndrome are outlined. This review also discusses the potential of resveratrol derivatives as a complementary or alternative medicine. In conclusion, resveratrol could be a useful regimen for the prevention and treatment of metabolic syndrome and its related conditions.","container-title":"International Journal of Molecular Sciences","DOI":"10.3390/ijms20030535","ISSN":"1422-0067","issue":"3","language":"en","license":"http://creativecommons.org/licenses/by/3.0/","note":"number: 3\npublisher: Multidisciplinary Digital Publishing Institute","page":"535","source":"www.mdpi.com","title":"The Effects of Resveratrol in the Treatment of Metabolic Syndrome","volume":"20","author":[{"family":"Hou","given":"Chih-Yao"},{"family":"Tain","given":"You-Lin"},{"family":"Yu","given":"Hong-Ren"},{"family":"Huang","given":"Li-Tung"}],"issued":{"date-parts":[["2019",1]]}}},{"id":3261,"uris":["http://zotero.org/users/9622455/items/VSA9CLJG"],"itemData":{"id":3261,"type":"article-journal","abstract":"Resveratrol (RSV) and quercetin (QRC) modify energy metabolism and reduce cardiovascular risk factors included in the metabolic syndrome (MetS). These natural compounds upregulate and activate sirtuins (SIRTs), a family of NAD-dependent histone deacetylases. We analyzed the effect of two doses of a commercial combination of RSV and QRC on serum fatty acid composition and their regulation of SIRTs 1–3 and PPAR-γ expression in white adipose tissue. MetS was induced in Wistar rats by adding 30% sucrose to drinking water for five months. Rats were divided into control and two groups receiving the two different doses of RSV and QRC in drinking water daily for 4 weeks following the 5 months of sucrose treatment. Commercial kits were used to determine serum parameters and the expressions of SIRTs in WAT were analysed by western blot. In MetS rats body mass, central adiposity, insulin, triglycerides, non-HDL-C, leptin, adiponectin, monounsaturated fatty acids (MUFAs), and nonesterified fatty acids (NEFAs) were increased, while polyunsaturated fatty acids (PUFAs) and HDL-C were decreased. SIRT 1 and SIRT 2 were downregulated, while PPAR-γ was increased. RSV + QRC administration improved the serum health parameters modified by MetS and upregulate SIRT 1 and SIRT 2 expression in white abdominal tissue in MetS animals.","container-title":"Evidence-based Complementary and Alternative Medicine : eCAM","DOI":"10.1155/2015/474032","ISSN":"1741-427X","journalAbbreviation":"Evid Based Complement Alternat Med","note":"PMID: 26609312\nPMCID: PMC4644561","page":"474032","source":"PubMed Central","title":"The Combination of Resveratrol and Quercetin Attenuates Metabolic Syndrome in Rats by Modifying the Serum Fatty Acid Composition and by Upregulating SIRT 1 and SIRT 2 Expression in White Adipose Tissue","volume":"2015","author":[{"family":"Peredo-Escárcega","given":"Ana Elena"},{"family":"Guarner-Lans","given":"Verónica"},{"family":"Pérez-Torres","given":"Israel"},{"family":"Ortega-Ocampo","given":"Sergio"},{"family":"Carreón-Torres","given":"Elizabeth"},{"family":"Castrejón-Tellez","given":"Vicente"},{"family":"Díaz-Díaz","given":"Eulises"},{"family":"Rubio-Ruiz","given":"María Esther"}],"issued":{"date-parts":[["2015"]]}}}],"schema":"https://github.com/citation-style-language/schema/raw/master/csl-citation.json"} </w:instrText>
      </w:r>
      <w:r w:rsidRPr="00735FCE">
        <w:fldChar w:fldCharType="separate"/>
      </w:r>
      <w:r w:rsidR="00281437" w:rsidRPr="00281437">
        <w:rPr>
          <w:vertAlign w:val="superscript"/>
        </w:rPr>
        <w:t>368,369</w:t>
      </w:r>
      <w:r w:rsidRPr="00735FCE">
        <w:fldChar w:fldCharType="end"/>
      </w:r>
      <w:r w:rsidRPr="00735FCE">
        <w:t xml:space="preserve">. However, while several studies have reported the browning and anti-diabetic effects of RES, the causal relationship between adipose tissue browning and improved insulin signaling remains unclear. Also, it is unclear whether these effects persist in diabetic models or whether sex differences influence the response to RES. Thus, studies investigating how RES-induced browning affects insulin sensitivity in diabetic adipocytes and how these effects differ between </w:t>
      </w:r>
      <w:r>
        <w:t>males</w:t>
      </w:r>
      <w:r w:rsidRPr="00735FCE">
        <w:t xml:space="preserve"> and </w:t>
      </w:r>
      <w:r>
        <w:t>females</w:t>
      </w:r>
      <w:r w:rsidRPr="00735FCE">
        <w:t xml:space="preserve"> are warranted.</w:t>
      </w:r>
    </w:p>
    <w:p w14:paraId="13DC90EE" w14:textId="5E0EFCB4" w:rsidR="009765AB" w:rsidRPr="00DB2C42" w:rsidRDefault="009765AB" w:rsidP="009765AB">
      <w:pPr>
        <w:spacing w:line="240" w:lineRule="auto"/>
      </w:pPr>
    </w:p>
    <w:p w14:paraId="09F241D7" w14:textId="0172685A" w:rsidR="00A00939" w:rsidRPr="00DB2C42" w:rsidRDefault="00A00939" w:rsidP="009765AB">
      <w:pPr>
        <w:pStyle w:val="Bibliography"/>
      </w:pPr>
    </w:p>
    <w:p w14:paraId="7093FA39" w14:textId="0094B07F" w:rsidR="00360404" w:rsidRPr="00DB2C42" w:rsidRDefault="00A00939" w:rsidP="00B427F1">
      <w:pPr>
        <w:spacing w:line="240" w:lineRule="auto"/>
      </w:pPr>
      <w:r w:rsidRPr="00DB2C42">
        <w:br w:type="page"/>
      </w:r>
    </w:p>
    <w:p w14:paraId="4AFD85FE" w14:textId="72A921E2" w:rsidR="003356BE" w:rsidRPr="00DB2C42" w:rsidRDefault="001B17E6" w:rsidP="00F37087">
      <w:pPr>
        <w:pStyle w:val="Heading1"/>
      </w:pPr>
      <w:bookmarkStart w:id="81" w:name="_Toc204848642"/>
      <w:r w:rsidRPr="00DB2C42">
        <w:lastRenderedPageBreak/>
        <w:t xml:space="preserve">CHAPTER III </w:t>
      </w:r>
      <w:r w:rsidR="00033A31" w:rsidRPr="00033A31">
        <w:t>DETERMINE IF DIABETIC DB/DB MICE HAVE THERMOGENIC DEFECTS AND COMPARE SEX DIFFERENCES</w:t>
      </w:r>
      <w:bookmarkEnd w:id="81"/>
    </w:p>
    <w:p w14:paraId="12652BBD" w14:textId="1073BC26" w:rsidR="001B17E6" w:rsidRPr="00DB2C42" w:rsidRDefault="003356BE" w:rsidP="00B427F1">
      <w:pPr>
        <w:spacing w:line="240" w:lineRule="auto"/>
        <w:rPr>
          <w:b/>
          <w:bCs/>
          <w:caps/>
        </w:rPr>
      </w:pPr>
      <w:r w:rsidRPr="00DB2C42">
        <w:br w:type="page"/>
      </w:r>
    </w:p>
    <w:p w14:paraId="77F36034" w14:textId="77777777" w:rsidR="00360404" w:rsidRPr="00DB2C42" w:rsidRDefault="00360404" w:rsidP="00360404">
      <w:pPr>
        <w:pStyle w:val="Heading2"/>
      </w:pPr>
      <w:bookmarkStart w:id="82" w:name="_Toc190984265"/>
      <w:bookmarkStart w:id="83" w:name="_Toc200810402"/>
      <w:bookmarkStart w:id="84" w:name="_Toc204848643"/>
      <w:r w:rsidRPr="00DB2C42">
        <w:lastRenderedPageBreak/>
        <w:t>Abstract</w:t>
      </w:r>
      <w:bookmarkEnd w:id="82"/>
      <w:bookmarkEnd w:id="83"/>
      <w:bookmarkEnd w:id="84"/>
    </w:p>
    <w:p w14:paraId="04CCC2DB" w14:textId="12B209C7" w:rsidR="006642A2" w:rsidRDefault="00FA6796" w:rsidP="00F5471F">
      <w:pPr>
        <w:ind w:firstLine="720"/>
        <w:jc w:val="left"/>
      </w:pPr>
      <w:r w:rsidRPr="001E796A">
        <w:t xml:space="preserve">Obesity is a chronic metabolic disorder </w:t>
      </w:r>
      <w:r>
        <w:t>characterized by</w:t>
      </w:r>
      <w:r w:rsidRPr="001E796A">
        <w:t xml:space="preserve"> an energy imbalance </w:t>
      </w:r>
      <w:r>
        <w:t>that</w:t>
      </w:r>
      <w:r w:rsidRPr="001E796A">
        <w:t xml:space="preserve"> affects multiple systems</w:t>
      </w:r>
      <w:r>
        <w:t>,</w:t>
      </w:r>
      <w:r w:rsidRPr="001E796A">
        <w:t xml:space="preserve"> </w:t>
      </w:r>
      <w:r>
        <w:t>including</w:t>
      </w:r>
      <w:r w:rsidRPr="001E796A">
        <w:t xml:space="preserve"> thermoregulation.</w:t>
      </w:r>
      <w:r>
        <w:t xml:space="preserve"> </w:t>
      </w:r>
      <w:r w:rsidRPr="001E796A">
        <w:t xml:space="preserve">This study aimed to analyze thermogenesis and </w:t>
      </w:r>
      <w:r>
        <w:t>thermogenic protein expression in adipose tissue</w:t>
      </w:r>
      <w:r w:rsidRPr="001E796A">
        <w:t xml:space="preserve"> in leptin receptor-deficient (</w:t>
      </w:r>
      <w:r w:rsidRPr="00533304">
        <w:rPr>
          <w:i/>
        </w:rPr>
        <w:t>db/db</w:t>
      </w:r>
      <w:r w:rsidRPr="001E796A">
        <w:t xml:space="preserve">) mice and their lean </w:t>
      </w:r>
      <w:r>
        <w:t>wild-type</w:t>
      </w:r>
      <w:r w:rsidRPr="001E796A">
        <w:t xml:space="preserve"> (WT) counterparts</w:t>
      </w:r>
      <w:r>
        <w:t>,</w:t>
      </w:r>
      <w:r w:rsidRPr="001E796A">
        <w:t xml:space="preserve"> </w:t>
      </w:r>
      <w:r>
        <w:t>with a focus on sex differences</w:t>
      </w:r>
      <w:r w:rsidRPr="001E796A">
        <w:t xml:space="preserve">. As </w:t>
      </w:r>
      <w:r>
        <w:t>reported previously</w:t>
      </w:r>
      <w:r w:rsidRPr="001E796A">
        <w:t xml:space="preserve">, </w:t>
      </w:r>
      <w:r>
        <w:t xml:space="preserve">the </w:t>
      </w:r>
      <w:r w:rsidRPr="00533304">
        <w:rPr>
          <w:i/>
        </w:rPr>
        <w:t>db/db</w:t>
      </w:r>
      <w:r w:rsidRPr="001E796A">
        <w:t xml:space="preserve"> mice had much </w:t>
      </w:r>
      <w:r>
        <w:t>higher</w:t>
      </w:r>
      <w:r w:rsidRPr="001E796A">
        <w:t xml:space="preserve"> body weight and </w:t>
      </w:r>
      <w:r>
        <w:t xml:space="preserve">absolute </w:t>
      </w:r>
      <w:r w:rsidRPr="001E796A">
        <w:t>adipose tissue mass</w:t>
      </w:r>
      <w:r>
        <w:t xml:space="preserve"> and adipose tissue mass/body weight percentages</w:t>
      </w:r>
      <w:r w:rsidRPr="001E796A">
        <w:t xml:space="preserve"> compared to </w:t>
      </w:r>
      <w:r>
        <w:t xml:space="preserve">the </w:t>
      </w:r>
      <w:r w:rsidRPr="001E796A">
        <w:t xml:space="preserve">WT mice. </w:t>
      </w:r>
      <w:r>
        <w:t xml:space="preserve">Female </w:t>
      </w:r>
      <w:r w:rsidRPr="00AC3A79">
        <w:rPr>
          <w:i/>
          <w:iCs/>
        </w:rPr>
        <w:t>db/db</w:t>
      </w:r>
      <w:r>
        <w:t xml:space="preserve"> mice had the lowest core temperature among all 4 groups at room temperature, which were significantly lower than female WT controls. Moreover, the core</w:t>
      </w:r>
      <w:r w:rsidRPr="001E796A">
        <w:t xml:space="preserve"> temperature</w:t>
      </w:r>
      <w:r>
        <w:t>s</w:t>
      </w:r>
      <w:r w:rsidRPr="001E796A">
        <w:t xml:space="preserve"> </w:t>
      </w:r>
      <w:r>
        <w:t>of</w:t>
      </w:r>
      <w:r w:rsidRPr="001E796A">
        <w:t xml:space="preserve"> </w:t>
      </w:r>
      <w:r w:rsidRPr="00533304">
        <w:rPr>
          <w:i/>
        </w:rPr>
        <w:t>db/db</w:t>
      </w:r>
      <w:r w:rsidRPr="001E796A">
        <w:t xml:space="preserve"> mice </w:t>
      </w:r>
      <w:r>
        <w:t>dropped significantly faster than their same sex WT controls in response</w:t>
      </w:r>
      <w:r w:rsidRPr="001E796A">
        <w:t xml:space="preserve"> to cold stress, </w:t>
      </w:r>
      <w:r>
        <w:t>indicating</w:t>
      </w:r>
      <w:r w:rsidRPr="001E796A">
        <w:t xml:space="preserve"> impaired thermoregulation. Even though absolute heat production w</w:t>
      </w:r>
      <w:r>
        <w:t>as</w:t>
      </w:r>
      <w:r w:rsidRPr="001E796A">
        <w:t xml:space="preserve"> greater in </w:t>
      </w:r>
      <w:r>
        <w:t xml:space="preserve">the </w:t>
      </w:r>
      <w:r w:rsidRPr="00533304">
        <w:rPr>
          <w:i/>
        </w:rPr>
        <w:t>db/db</w:t>
      </w:r>
      <w:r w:rsidRPr="001E796A">
        <w:t xml:space="preserve"> mice at room temperature, </w:t>
      </w:r>
      <w:r>
        <w:t>they were significantly</w:t>
      </w:r>
      <w:r w:rsidRPr="001E796A">
        <w:t xml:space="preserve"> lower when adjusted for body weight, indicating reduced metabolic efficiency. </w:t>
      </w:r>
      <w:r>
        <w:t>Furthermore, b</w:t>
      </w:r>
      <w:r w:rsidRPr="001E796A">
        <w:t xml:space="preserve">oth PGC1α and UCP1 protein levels were found to be lower in the brown adipose tissue (BAT) and the subcutaneous white adipose tissue (sWAT) of </w:t>
      </w:r>
      <w:r>
        <w:t xml:space="preserve">the </w:t>
      </w:r>
      <w:r w:rsidRPr="00533304">
        <w:rPr>
          <w:i/>
        </w:rPr>
        <w:t>db/db</w:t>
      </w:r>
      <w:r w:rsidRPr="001E796A">
        <w:t xml:space="preserve"> </w:t>
      </w:r>
      <w:r>
        <w:t>mice of both sexes with no significant sex differences</w:t>
      </w:r>
      <w:r w:rsidRPr="001E796A">
        <w:t xml:space="preserve">. </w:t>
      </w:r>
      <w:r>
        <w:t>Taken together</w:t>
      </w:r>
      <w:r w:rsidRPr="001E796A">
        <w:t xml:space="preserve">, </w:t>
      </w:r>
      <w:r>
        <w:t xml:space="preserve">we show that </w:t>
      </w:r>
      <w:r w:rsidRPr="00533304">
        <w:rPr>
          <w:i/>
        </w:rPr>
        <w:t>db/db</w:t>
      </w:r>
      <w:r w:rsidRPr="001E796A">
        <w:t xml:space="preserve"> mice have impaired thermogenic capacity</w:t>
      </w:r>
      <w:r>
        <w:t xml:space="preserve"> under room temperature and in response to cold</w:t>
      </w:r>
      <w:r w:rsidRPr="001E796A">
        <w:t>.</w:t>
      </w:r>
      <w:r>
        <w:t xml:space="preserve"> </w:t>
      </w:r>
      <w:r w:rsidRPr="001E796A">
        <w:t xml:space="preserve">Sex differences in the </w:t>
      </w:r>
      <w:r>
        <w:t xml:space="preserve">thermoregulation and cold tolerance in the </w:t>
      </w:r>
      <w:r w:rsidRPr="00AC3A79">
        <w:rPr>
          <w:i/>
          <w:iCs/>
        </w:rPr>
        <w:t>db/db</w:t>
      </w:r>
      <w:r>
        <w:t xml:space="preserve"> mice warrant </w:t>
      </w:r>
      <w:r w:rsidRPr="001E796A">
        <w:t>further investigation.</w:t>
      </w:r>
    </w:p>
    <w:p w14:paraId="3ED79CD9" w14:textId="35A56642" w:rsidR="000114E2" w:rsidRDefault="00503797" w:rsidP="00847BA5">
      <w:pPr>
        <w:pStyle w:val="Heading2"/>
        <w:jc w:val="left"/>
      </w:pPr>
      <w:r>
        <w:br w:type="page"/>
      </w:r>
      <w:bookmarkStart w:id="85" w:name="_Toc200810403"/>
      <w:bookmarkStart w:id="86" w:name="_Toc201001680"/>
      <w:bookmarkStart w:id="87" w:name="_Toc204848644"/>
      <w:r w:rsidR="000114E2" w:rsidRPr="001E796A">
        <w:lastRenderedPageBreak/>
        <w:t>Introduction</w:t>
      </w:r>
      <w:bookmarkEnd w:id="85"/>
      <w:bookmarkEnd w:id="86"/>
      <w:bookmarkEnd w:id="87"/>
    </w:p>
    <w:p w14:paraId="70A90220" w14:textId="2C499F1C" w:rsidR="000114E2" w:rsidRPr="00825326" w:rsidRDefault="000114E2" w:rsidP="00F5471F">
      <w:pPr>
        <w:ind w:firstLine="720"/>
        <w:jc w:val="left"/>
      </w:pPr>
      <w:r w:rsidRPr="00825326">
        <w:t>Obesity is a chronic metabolic disease characterized by excess</w:t>
      </w:r>
      <w:r>
        <w:t>ive</w:t>
      </w:r>
      <w:r w:rsidRPr="00825326">
        <w:t xml:space="preserve"> fat storage in adipose tissue due to prolonged energy intake exceeding energy </w:t>
      </w:r>
      <w:r>
        <w:t xml:space="preserve">expenditure </w:t>
      </w:r>
      <w:r w:rsidRPr="00825326">
        <w:fldChar w:fldCharType="begin"/>
      </w:r>
      <w:r w:rsidR="00F812BF">
        <w:instrText xml:space="preserve"> ADDIN ZOTERO_ITEM CSL_CITATION {"citationID":"WAOXdt11","properties":{"formattedCitation":"\\super 370\\nosupersub{}","plainCitation":"370","noteIndex":0},"citationItems":[{"id":2723,"uris":["http://zotero.org/users/9622455/items/B2492VAY"],"itemData":{"id":2723,"type":"article-journal","container-title":"The Lancet Diabetes &amp; Endocrinology","DOI":"10.1016/S2213-8587(24)00316-4","ISSN":"2213-8587, 2213-8595","issue":"3","journalAbbreviation":"The Lancet Diabetes &amp; Endocrinology","language":"English","note":"publisher: Elsevier\nPMID: 39824205","page":"221-262","source":"www.thelancet.com","title":"Definition and diagnostic criteria of clinical obesity","volume":"13","author":[{"family":"Rubino","given":"Francesco"},{"family":"Cummings","given":"David E."},{"family":"Eckel","given":"Robert H."},{"family":"Cohen","given":"Ricardo V."},{"family":"Wilding","given":"John P. H."},{"family":"Brown","given":"Wendy A."},{"family":"Stanford","given":"Fatima Cody"},{"family":"Batterham","given":"Rachel L."},{"family":"Farooqi","given":"I. Sadaf"},{"family":"Farpour-Lambert","given":"Nathalie J."},{"family":"Roux","given":"Carel W.","dropping-particle":"le"},{"family":"Sattar","given":"Naveed"},{"family":"Baur","given":"Louise A."},{"family":"Morrison","given":"Katherine M."},{"family":"Misra","given":"Anoop"},{"family":"Kadowaki","given":"Takashi"},{"family":"Tham","given":"Kwang Wei"},{"family":"Sumithran","given":"Priya"},{"family":"Garvey","given":"W. Timothy"},{"family":"Kirwan","given":"John P."},{"family":"Fernández-Real","given":"José-Manuel"},{"family":"Corkey","given":"Barbara E."},{"family":"Toplak","given":"Hermann"},{"family":"Kokkinos","given":"Alexander"},{"family":"Kushner","given":"Robert F."},{"family":"Branca","given":"Francesco"},{"family":"Valabhji","given":"Jonathan"},{"family":"Blüher","given":"Matthias"},{"family":"Bornstein","given":"Stefan R."},{"family":"Grill","given":"Harvey J."},{"family":"Ravussin","given":"Eric"},{"family":"Gregg","given":"Edward"},{"family":"Busaidi","given":"Noor B. Al"},{"family":"Alfaris","given":"Nasreen F."},{"family":"Ozairi","given":"Ebaa Al"},{"family":"Carlsson","given":"Lena M. S."},{"family":"Clément","given":"Karine"},{"family":"Després","given":"Jean-Pierre"},{"family":"Dixon","given":"John B."},{"family":"Galea","given":"Gauden"},{"family":"Kaplan","given":"Lee M."},{"family":"Laferrère","given":"Blandine"},{"family":"Laville","given":"Martine"},{"family":"Lim","given":"Soo"},{"family":"Fuentes","given":"Jesús R. Luna"},{"family":"Mooney","given":"Vicki M."},{"family":"Nadglowski","given":"Joseph"},{"family":"Urudinachi","given":"Agbo"},{"family":"Olszanecka-Glinianowicz","given":"Magdalena"},{"family":"Pan","given":"An"},{"family":"Pattou","given":"Francois"},{"family":"Schauer","given":"Philip R."},{"family":"Tschöp","given":"Matthias H."},{"family":"Merwe","given":"Maria T.","dropping-particle":"van der"},{"family":"Vettor","given":"Roberto"},{"family":"Mingrone","given":"Geltrude"}],"issued":{"date-parts":[["2025",3,1]]}}}],"schema":"https://github.com/citation-style-language/schema/raw/master/csl-citation.json"} </w:instrText>
      </w:r>
      <w:r w:rsidRPr="00825326">
        <w:fldChar w:fldCharType="separate"/>
      </w:r>
      <w:r w:rsidR="00F812BF" w:rsidRPr="00F812BF">
        <w:rPr>
          <w:vertAlign w:val="superscript"/>
        </w:rPr>
        <w:t>370</w:t>
      </w:r>
      <w:r w:rsidRPr="00825326">
        <w:fldChar w:fldCharType="end"/>
      </w:r>
      <w:r w:rsidRPr="00825326">
        <w:rPr>
          <w:vertAlign w:val="superscript"/>
        </w:rPr>
        <w:t>,</w:t>
      </w:r>
      <w:r w:rsidRPr="00825326">
        <w:fldChar w:fldCharType="begin"/>
      </w:r>
      <w:r w:rsidR="00F812BF">
        <w:instrText xml:space="preserve"> ADDIN ZOTERO_ITEM CSL_CITATION {"citationID":"aomvpGfs","properties":{"formattedCitation":"\\super 371\\nosupersub{}","plainCitation":"371","noteIndex":0},"citationItems":[{"id":2726,"uris":["http://zotero.org/users/9622455/items/8I3PBJ6I"],"itemData":{"id":2726,"type":"article-journal","container-title":"International Journal of Obesity","DOI":"10.1038/s41366-022-01088-1","ISSN":"1476-5497","issue":"6","journalAbbreviation":"Int J Obes","language":"en","license":"2022 The Author(s), under exclusive licence to Springer Nature Limited","note":"publisher: Nature Publishing Group","page":"1081-1082","source":"www.nature.com","title":"What is obesity?","volume":"46","author":[{"family":"Dhurandhar","given":"Nikhil V."}],"issued":{"date-parts":[["2022",6]]}}}],"schema":"https://github.com/citation-style-language/schema/raw/master/csl-citation.json"} </w:instrText>
      </w:r>
      <w:r w:rsidRPr="00825326">
        <w:fldChar w:fldCharType="separate"/>
      </w:r>
      <w:r w:rsidR="00F812BF" w:rsidRPr="00F812BF">
        <w:rPr>
          <w:vertAlign w:val="superscript"/>
        </w:rPr>
        <w:t>371</w:t>
      </w:r>
      <w:r w:rsidRPr="00825326">
        <w:fldChar w:fldCharType="end"/>
      </w:r>
      <w:r w:rsidRPr="00825326">
        <w:t xml:space="preserve">. </w:t>
      </w:r>
      <w:r>
        <w:t>Al</w:t>
      </w:r>
      <w:r w:rsidRPr="00825326">
        <w:t xml:space="preserve">though the accumulation of obesity is </w:t>
      </w:r>
      <w:r>
        <w:t>influenced</w:t>
      </w:r>
      <w:r w:rsidRPr="00825326">
        <w:t xml:space="preserve"> by numerous factors</w:t>
      </w:r>
      <w:r>
        <w:t xml:space="preserve">, including </w:t>
      </w:r>
      <w:r w:rsidRPr="00825326">
        <w:t>genetics, personal habits, and environment, the imbalance of energy equilibrium remains the leading factor of concern</w:t>
      </w:r>
      <w:r>
        <w:t xml:space="preserve"> </w:t>
      </w:r>
      <w:r w:rsidRPr="00825326">
        <w:fldChar w:fldCharType="begin"/>
      </w:r>
      <w:r w:rsidR="00F812BF">
        <w:instrText xml:space="preserve"> ADDIN ZOTERO_ITEM CSL_CITATION {"citationID":"KYCh3J1k","properties":{"formattedCitation":"\\super 372,373\\nosupersub{}","plainCitation":"372,373","noteIndex":0},"citationItems":[{"id":2730,"uris":["http://zotero.org/users/9622455/items/NHWRP43M"],"itemData":{"id":2730,"type":"article-journal","abstract":"Background: Though the benefits of healthy lifestyle choices are well-established among the general population, less is known about how developing and adhering to healthy lifestyle habits benefits obese versus normal weight or overweight individuals. The purpose of this study was to determine the association between healthy lifestyle habits (eating 5 or more fruits and vegetables daily, exercising regularly, consuming alcohol in moderation, and not smoking) and mortality in a large, population-based sample stratified by body mass index (BMI).\nMethods: We examined the association between healthy lifestyle habits and mortality in a sample of 11,761 men and women from the National Health and Nutrition Examination Survey III; subjects were ages 21 and older and fell at various points along the BMI scale, from normal weight to obese. Subjects were enrolled between October 1988 and October 1994 and were followed for an average of 170 months.\nResults: After multivariable adjustment for age, sex, race, education, and marital status, the hazard ratios (95% CIs) for all-cause mortality for individuals who adhered to 0, 1, 2, or 3 healthy habits were 3.27 (2.36–4.54), 2.59 (2.06–3.25), 1.74 (1.51–2.02), and 1.29 (1.09–1.53), respectively, relative to individuals who adhered to all 4 healthy habits. When stratified into normal weight, overweight, and obese groups, all groups benefited from the adoption of healthy habits, with the greatest benefit seen within the obese group.\nConclusions: Healthy lifestyle habits are associated with a significant decrease in mortality regardless of baseline body mass index.","container-title":"The Journal of the American Board of Family Medicine","DOI":"10.3122/jabfm.2012.01.110164","ISSN":"1557-2625, 1558-7118","issue":"1","journalAbbreviation":"J Am Board Fam Med","language":"en","license":"© Copyright 2012 by the American Board of Family Medicine.","note":"publisher: American Board of Family Medicine\nsection: Original Research\nPMID: 22218619","page":"9-15","source":"www.jabfm.org","title":"Healthy Lifestyle Habits and Mortality in Overweight and Obese Individuals","volume":"25","author":[{"family":"Matheson","given":"Eric M."},{"family":"King","given":"Dana E."},{"family":"Everett","given":"Charles J."}],"issued":{"date-parts":[["2012",1,1]]}}},{"id":4093,"uris":["http://zotero.org/users/9622455/items/62EQ456U"],"itemData":{"id":4093,"type":"article-journal","abstract":"The prevalence of obesity has tripled over the past four decades, imposing an enormous burden on people’s health. Polygenic (or common) obesity and rare, severe, early-onset monogenic obesity are often polarized as distinct diseases. However, gene discovery studies for both forms of obesity show that they have shared genetic and biological underpinnings, pointing to a key role for the brain in the control of body weight. Genome-wide association studies (GWAS) with increasing sample sizes and advances in sequencing technology are the main drivers behind a recent flurry of new discoveries. However, it is the post-GWAS, cross-disciplinary collaborations, which combine new omics technologies and analytical approaches, that have started to facilitate translation of genetic loci into meaningful biology and new avenues for treatment.","container-title":"Nature Reviews Genetics","DOI":"10.1038/s41576-021-00414-z","ISSN":"1471-0064","issue":"2","journalAbbreviation":"Nat Rev Genet","language":"en","license":"2021 Springer Nature Limited","note":"publisher: Nature Publishing Group","page":"120-133","source":"www.nature.com","title":"The genetics of obesity: from discovery to biology","title-short":"The genetics of obesity","volume":"23","author":[{"family":"Loos","given":"Ruth J. F."},{"family":"Yeo","given":"Giles S. H."}],"issued":{"date-parts":[["2022",2]]}}}],"schema":"https://github.com/citation-style-language/schema/raw/master/csl-citation.json"} </w:instrText>
      </w:r>
      <w:r w:rsidRPr="00825326">
        <w:fldChar w:fldCharType="separate"/>
      </w:r>
      <w:r w:rsidR="00F812BF" w:rsidRPr="00F812BF">
        <w:rPr>
          <w:vertAlign w:val="superscript"/>
        </w:rPr>
        <w:t>372,373</w:t>
      </w:r>
      <w:r w:rsidRPr="00825326">
        <w:fldChar w:fldCharType="end"/>
      </w:r>
      <w:r w:rsidRPr="00825326">
        <w:rPr>
          <w:vertAlign w:val="superscript"/>
        </w:rPr>
        <w:t>,</w:t>
      </w:r>
      <w:r>
        <w:fldChar w:fldCharType="begin"/>
      </w:r>
      <w:r>
        <w:instrText xml:space="preserve"> ADDIN ZOTERO_ITEM CSL_CITATION {"citationID":"a245tp5446p","properties":{"formattedCitation":"\\uldash{\\super 1\\nosupersub{}}","plainCitation":"1","dontUpdate":true,"noteIndex":0},"citationItems":[{"id":4161,"uris":["http://zotero.org/users/9622455/items/X4LEIN4B"],"itemData":{"id":4161,"type":"chapter","abstract":"The evidence for social and environmental factors that contribute to obesity are often underappreciated. Obesity prevalence is significantly associated with sex, racial ethnic identity, and socioeconomic status, which creates complex relationships between each of these characteristics. Food availability remains an important factor associated with obesity that relates to differences in prevalence seen across geographical areas and higher rates of obesity within low socioeconomic status individuals. Proliferation of high calorie, energy dense food options that are or perceived as more affordable combined with reductions in occupational and transportation related physical activity can contribute to a sustained positive energy balance. Additionally, environments experiencing deprivation, disorder, or high crime have been shown to be associated with higher odds of obesity, which may appear more frequently in low social status individuals. Both objective and subjective measures of social status and inequality are associated with increased energy intake and decreased energy expenditure, which could place individuals of low social status at greater risk for obesity development. Given the complexity of this multifactorial disease, effective obesity care requires knowledge of these complex relationships and an integration between the health systems and surrounding community. Resources for practicing clinicians regarding methods of screening for social and environmental factors in clinical care are provided in addition to information on a program that has been widely dispersed and made accessible to those who may be the most at risk. For complete coverage of all related areas of Endocrinology, please visit our on-line FREE web-text, WWW.ENDOTEXT.ORG.","call-number":"NBK278977","container-title":"Endotext","event-place":"South Dartmouth (MA)","language":"eng","license":"Copyright © 2000-2025, MDText.com, Inc.","note":"PMID: 25905211","publisher":"MDText.com, Inc.","publisher-place":"South Dartmouth (MA)","source":"PubMed","title":"Social and Environmental Factors Influencing Obesity","URL":"http://www.ncbi.nlm.nih.gov/books/NBK278977/","author":[{"family":"Lee","given":"Alexandra"},{"family":"Cardel","given":"Michelle"},{"family":"Donahoo","given":"William T."}],"editor":[{"family":"Feingold","given":"Kenneth R."},{"family":"Ahmed","given":"S. Faisal"},{"family":"Anawalt","given":"Bradley"},{"family":"Blackman","given":"Marc R."},{"family":"Boyce","given":"Alison"},{"family":"Chrousos","given":"George"},{"family":"Corpas","given":"Emiliano"},{"family":"Herder","given":"Wouter W.","non-dropping-particle":"de"},{"family":"Dhatariya","given":"Ketan"},{"family":"Dungan","given":"Kathleen"},{"family":"Hofland","given":"Johannes"},{"family":"Kalra","given":"Sanjay"},{"family":"Kaltsas","given":"Gregory"},{"family":"Kapoor","given":"Nitin"},{"family":"Koch","given":"Christian"},{"family":"Kopp","given":"Peter"},{"family":"Korbonits","given":"Márta"},{"family":"Kovacs","given":"Christopher S."},{"family":"Kuohung","given":"Wendy"},{"family":"Laferrère","given":"Blandine"},{"family":"Levy","given":"Miles"},{"family":"McGee","given":"Elizabeth A."},{"family":"McLachlan","given":"Robert"},{"family":"Muzumdar","given":"Radhika"},{"family":"Purnell","given":"Jonathan"},{"family":"Rey","given":"Rodolfo"},{"family":"Sahay","given":"Rakesh"},{"family":"Shah","given":"Amy S."},{"family":"Singer","given":"Frederick"},{"family":"Sperling","given":"Mark A."},{"family":"Stratakis","given":"Constantine A."},{"family":"Trence","given":"Dace L."},{"family":"Wilson","given":"Don P."}],"accessed":{"date-parts":[["2025",7,10]]},"issued":{"date-parts":[["2000"]]}}},{"id":2743,"uris":["http://zotero.org/users/9622455/items/YAQEMSTL"],"itemData":{"id":2743,"type":"article-journal","abstract":"Purpose\nThe aim of this paper is to review the evidence of the association between energy balance and obesity.\n\nMethods\nIn December 2015, the International Agency for Research on Cancer (IARC), Lyon, France convened a Working Group of international experts to review the evidence regarding energy balance and obesity, with a focus on Low and Middle Income Countries (LMIC).\n\nResults\nThe global epidemic of obesity and the double burden, in LMICs, of malnutrition (coexistence of undernutrition and overnutrition) are both related to poor quality diet and unbalanced energy intake. Dietary patterns consistent with a traditional Mediterranean diet and other measures of diet quality can contribute to long-term weight control. Limiting consumption of sugar-sweetened beverages has a particularly important role in weight control. Genetic factors alone cannot explain the global epidemic of obesity. However, genetic, epigenetic factors and the microbiota could influence individual responses to diet and physical activity.\n\nConclusion\nEnergy intake that exceeds energy expenditure is the main driver of weight gain. The quality of the diet may exert its effect on energy balance through complex hormonal and neurological pathways that influence satiety and possibly through other mechanisms. The food environment, marketing of unhealthy foods and urbanization, and reduction in sedentary behaviors and physical activity play important roles. Most of the evidence comes from High Income Countries and more research is needed in LMICs.","container-title":"Cancer Causes &amp; Control","DOI":"10.1007/s10552-017-0869-z","ISSN":"0957-5243","issue":"3","journalAbbreviation":"Cancer Causes Control","note":"PMID: 28210884\nPMCID: PMC5325830","page":"247-258","source":"PubMed Central","title":"Energy balance and obesity: what are the main drivers?","title-short":"Energy balance and obesity","volume":"28","author":[{"family":"Romieu","given":"Isabelle"},{"family":"Dossus","given":"Laure"},{"family":"Barquera","given":"Simón"},{"family":"Blottière","given":"Hervé M."},{"family":"Franks","given":"Paul W."},{"family":"Gunter","given":"Marc"},{"family":"Hwalla","given":"Nahla"},{"family":"Hursting","given":"Stephen D."},{"family":"Leitzmann","given":"Michael"},{"family":"Margetts","given":"Barrie"},{"family":"Nishida","given":"Chizuru"},{"family":"Potischman","given":"Nancy"},{"family":"Seidell","given":"Jacob"},{"family":"Stepien","given":"Magdalena"},{"family":"Wang","given":"Youfa"},{"family":"Westerterp","given":"Klaas"},{"family":"Winichagoon","given":"Pattanee"},{"family":"Wiseman","given":"Martin"},{"family":"Willett","given":"Walter C."}],"issued":{"date-parts":[["2017"]]}}},{"id":2733,"uris":["http://zotero.org/users/9622455/items/ZFR8JWPS"],"itemData":{"id":2733,"type":"article-journal","container-title":"Nutrients","DOI":"10.3390/nu15132896","ISSN":"2072-6643","issue":"13","journalAbbreviation":"Nutrients","note":"PMID: 37447222\nPMCID: PMC10343820","page":"2896","source":"PubMed Central","title":"Overweight and Obesity: The Interplay of Eating Habits and Physical Activity","title-short":"Overweight and Obesity","volume":"15","author":[{"family":"Moschonis","given":"George"},{"family":"Trakman","given":"Gina Louise"}],"issued":{"date-parts":[["2023",6,27]]}}},{"id":642,"uris":["http://zotero.org/users/9622455/items/L7NJMBG9"],"itemData":{"id":642,"type":"article-journal","abstract":"Obesity represents one of the most serious global health issues with </w:instrText>
      </w:r>
      <w:r>
        <w:rPr>
          <w:rFonts w:ascii="Cambria Math" w:hAnsi="Cambria Math" w:cs="Cambria Math"/>
        </w:rPr>
        <w:instrText>∼</w:instrText>
      </w:r>
      <w:r>
        <w:instrText xml:space="preserve">310 million people presently affected. It develops because of a mismatch between energy intake and expenditure that results from behavior (feeding behavior and time spent active) and physiology (resting metabolism and expenditure when active). Both of these traits are affected by environmental and genetic factors. The dramatic increase in the numbers of obese people in Western societies reflects mostly changing environmental factors and is linked to reduced activity and perhaps also increased food intake. However, in all societies and subpopulations, there are both obese and nonobese subjects. These differences are primarily a consequence of genetic factors as is revealed by the high heritability for body mass index. Most researchers agree that energy balance and, hence, body weight are regulated phenomena. There is some disagreement about exactly how this regulation occurs. However, a common model is the “lipostatic” regulation system, whereby our energy stores generate signals that are compared with targets encoded in the brain, and differences between these drive our food intake levels, activity patterns, and resting and active metabolisms. Considerable advances were made in the last decade in understanding the molecular basis of this lipostatic system. Some obese people have high body weight because they have broken lipostats, but these are a rare minority. This suggests that for the majority of obese people, the lipostat is set at an inappropriately high level. When combined with exposure to an environment where there is ready availability of food at low energy costs to obtain it, obesity develops. The evolutionary background to how such a system might have evolved involves the evolution of social behavior, the harnessing of fire, and the development of weapons that effectively freed humans from the risks of predation. The lipostatic model not only explains why some people become obese whereas others do not, but also allows us to understand why energy-controlled diets do not work. Drug-based solutions to the obesity problem that work with the lipostat, rather than against it, are presently under development and will probably be in regular use within 5–10 y. However, several lines of evidence including genetic mapping studies of quantitative trait loci associated with obesity suggest that our present understanding of the regulatory system is still rudimentary. In particular, we know nothing about how the target body weight in the brain is encoded. As our understanding in this field advances, new drug targets are likely to emerge and allow us to treat this crippling disorder.","container-title":"The Journal of Nutrition","DOI":"10.1093/jn/134.8.2090S","ISSN":"0022-3166","issue":"8","journalAbbreviation":"The Journal of Nutrition","page":"2090S-2105S","source":"ScienceDirect","title":"Obesity: The Integrated Roles of Environment and Genetics","title-short":"Obesity","volume":"134","author":[{"family":"Speakman","given":"John R."}],"issued":{"date-parts":[["2004",8,1]]}}},{"id":4095,"uris":["http://zotero.org/users/9622455/items/6S5RHLZE"],"itemData":{"id":4095,"type":"chapter","abstract":"The evidence for social and environmental factors that contribute to obesity are often underappreciated. Obesity prevalence is significantly associated with sex, racial ethnic identity, and socioeconomic status, which creates complex relationships between each of these characteristics. Food availability remains an important factor associated with obesity that relates to differences in prevalence seen across geographical areas and higher rates of obesity within low socioeconomic status individuals. Proliferation of high calorie, energy dense food options that are or perceived as more affordable combined with reductions in occupational and transportation related physical activity can contribute to a sustained positive energy balance. Additionally, environments experiencing deprivation, disorder, or high crime have been shown to be associated with higher odds of obesity, which may appear more frequently in low social status individuals. Both objective and subjective measures of social status and inequality are associated with increased energy intake and decreased energy expenditure, which could place individuals of low social status at greater risk for obesity development. Given the complexity of this multifactorial disease, effective obesity care requires knowledge of these complex relationships and an integration between the health systems and surrounding community. Resources for practicing clinicians regarding methods of screening for social and environmental factors in clinical care are provided in addition to information on a program that has been widely dispersed and made accessible to those who may be the most at risk. For complete coverage of all related areas of Endocrinology, please visit our on-line FREE web-text, WWW.ENDOTEXT.ORG.","call-number":"NBK278977","container-title":"Endotext","event-place":"South Dartmouth (MA)","language":"eng","license":"Copyright © 2000-2025, MDText.com, Inc.","note":"PMID: 25905211","publisher":"MDText.com, Inc.","publisher-place":"South Dartmouth (MA)","source":"PubMed","title":"Social and Environmental Factors Influencing Obesity","URL":"http://www.ncbi.nlm.nih.gov/books/NBK278977/","author":[{"family":"Lee","given":"Alexandra"},{"family":"Cardel","given":"Michelle"},{"family":"Donahoo","given":"William T."}],"editor":[{"family":"Feingold","given":"Kenneth R."},{"family":"Ahmed","given":"S. Faisal"},{"family":"Anawalt","given":"Bradley"},{"family":"Blackman","given":"Marc R."},{"family":"Boyce","given":"Alison"},{"family":"Chrousos","given":"George"},{"family":"Corpas","given":"Emiliano"},{"family":"Herder","given":"Wouter W.","non-dropping-particle":"de"},{"family":"Dhatariya","given":"Ketan"},{"family":"Dungan","given":"Kathleen"},{"family":"Hofland","given":"Johannes"},{"family":"Kalra","given":"Sanjay"},{"family":"Kaltsas","given":"Gregory"},{"family":"Kapoor","given":"Nitin"},{"family":"Koch","given":"Christian"},{"family":"Kopp","given":"Peter"},{"family":"Korbonits","given":"Márta"},{"family":"Kovacs","given":"Christopher S."},{"family":"Kuohung","given":"Wendy"},{"family":"Laferrère","given":"Blandine"},{"family":"Levy","given":"Miles"},{"family":"McGee","given":"Elizabeth A."},{"family":"McLachlan","given":"Robert"},{"family":"Muzumdar","given":"Radhika"},{"family":"Purnell","given":"Jonathan"},{"family":"Rey","given":"Rodolfo"},{"family":"Sahay","given":"Rakesh"},{"family":"Shah","given":"Amy S."},{"family":"Singer","given":"Frederick"},{"family":"Sperling","given":"Mark A."},{"family":"Stratakis","given":"Constantine A."},{"family":"Trence","given":"Dace L."},{"family":"Wilson","given":"Don P."}],"accessed":{"date-parts":[["2025",6,13]]},"issued":{"date-parts":[["2000"]]}}}],"schema":"https://github.com/citation-style-language/schema/raw/master/csl-citation.json"} </w:instrText>
      </w:r>
      <w:r>
        <w:fldChar w:fldCharType="separate"/>
      </w:r>
      <w:r w:rsidRPr="001C425A">
        <w:rPr>
          <w:vertAlign w:val="superscript"/>
        </w:rPr>
        <w:t>5–9</w:t>
      </w:r>
      <w:r>
        <w:fldChar w:fldCharType="end"/>
      </w:r>
      <w:r w:rsidRPr="00825326">
        <w:t>. Obesity is also associated with</w:t>
      </w:r>
      <w:r>
        <w:t xml:space="preserve"> an</w:t>
      </w:r>
      <w:r w:rsidRPr="00825326">
        <w:t xml:space="preserve"> increased risk of a sort of metabolic disorders like insulin resistance, inflammation, and impaired thermoregulation </w:t>
      </w:r>
      <w:r w:rsidRPr="00825326">
        <w:fldChar w:fldCharType="begin"/>
      </w:r>
      <w:r w:rsidR="00F812BF">
        <w:instrText xml:space="preserve"> ADDIN ZOTERO_ITEM CSL_CITATION {"citationID":"qptEiIH4","properties":{"formattedCitation":"\\super 378\\nosupersub{}","plainCitation":"378","noteIndex":0},"citationItems":[{"id":4098,"uris":["http://zotero.org/users/9622455/items/5BQUAL7U"],"itemData":{"id":4098,"type":"article-journal","abstract":"Obesity is becoming an epidemic in the United States and worldwide and increases risk for many diseases, particularly insulin resistance, type 2 diabetes mellitus, and cardiovascular disease. The mechanisms linking obesity with these diseases remain incompletely understood. Over the past 2 to 3 decades, it has been recognized that in obesity, inflammation, with increased accumulation and inflammatory polarization of immune cells, takes place in various tissues, including adipose tissue, skeletal muscle, liver, gut, pancreatic islet, and brain and may contribute to obesity-linked metabolic dysfunctions, leading to insulin resistance and type 2 diabetes mellitus. Therapies targeting inflammation have shed light on certain obesity-linked diseases, including type 2 diabetes mellitus and atherosclerotic cardiovascular disease, but remain to be tested further and confirmed in clinical trials. This review focuses on inflammation in adipose tissue and its potential role in insulin resistance associated with obesity.","container-title":"Circulation Research","DOI":"10.1161/CIRCRESAHA.119.315896","issue":"11","note":"publisher: American Heart Association","page":"1549-1564","source":"ahajournals.org (Atypon)","title":"Metabolic Inflammation and Insulin Resistance in Obesity","volume":"126","author":[{"family":"Wu","given":"Huaizhu"},{"family":"Ballantyne","given":"Christie M."}],"issued":{"date-parts":[["2020",1,22]]}}}],"schema":"https://github.com/citation-style-language/schema/raw/master/csl-citation.json"} </w:instrText>
      </w:r>
      <w:r w:rsidRPr="00825326">
        <w:fldChar w:fldCharType="separate"/>
      </w:r>
      <w:r w:rsidR="00F812BF" w:rsidRPr="00F812BF">
        <w:rPr>
          <w:vertAlign w:val="superscript"/>
        </w:rPr>
        <w:t>378</w:t>
      </w:r>
      <w:r w:rsidRPr="00825326">
        <w:fldChar w:fldCharType="end"/>
      </w:r>
      <w:r w:rsidRPr="00825326">
        <w:rPr>
          <w:vertAlign w:val="superscript"/>
        </w:rPr>
        <w:t>,</w:t>
      </w:r>
      <w:r w:rsidRPr="00825326">
        <w:fldChar w:fldCharType="begin"/>
      </w:r>
      <w:r w:rsidR="00F812BF">
        <w:instrText xml:space="preserve"> ADDIN ZOTERO_ITEM CSL_CITATION {"citationID":"Ht7FVwmP","properties":{"formattedCitation":"\\super 379\\uc0\\u8211{}381\\nosupersub{}","plainCitation":"379–381","noteIndex":0},"citationItems":[{"id":2751,"uris":["http://zotero.org/users/9622455/items/FPRBPV6U"],"itemData":{"id":2751,"type":"chapter","abstract":"Excised fat tissue has a lower thermal conductivity than excised lean tissue. In theory then subcutaneous fat might serve as a barrier to heat loss and influence thermoregulatory abilities. In some aquatic mammals and animals from severely cold habitats subcutaneous adipose tissue has evolved into a continuous sheet that envelopes the organs and acts as a thermal insulation layer. This layer can comprise more than half of the cross-sectional area of the body. In most mammals however, the distribution of fat is less continuous. It has been suggested that in tropical animals this distribution may in fact allow animals to still store energy while not impeding heat loss. Studies of humans immersed in cool water convincingly demonstrate that obesity in humans also serves an insulation function. Humans with obesity cool less rapidly and have to elevate their metabolism less significantly than lean individuals when immersed in water. Although obesity provides an advantage in cold conditions it conversely impedes heat loss and makes obese people susceptible to heat stress more than lean individuals. In small mammals like mice the role of subcutaneous (or intradermal) fat for providing thermal insulation is less clear. In theory variations in thermoregulatory capacity may allow individuals different capabilities to burn off excess consumption. Hence, thermoregulatory variations may cause obesity differences. Thermoregulatory capacity is related to ambient temperature. Yet, levels of obesity are only weakly related to ambient temperature and this effect disappears when confounding factors like poverty and race are taken into account. Hence we conclude that obesity may have a significant impact on thermoregulatory physiology, but the converse is much less likely.","collection-title":"Thermoregulation: From Basic Neuroscience to Clinical Neurology Part I","container-title":"Handbook of Clinical Neurology","note":"DOI: 10.1016/B978-0-444-63912-7.00026-6","page":"431-443","publisher":"Elsevier","source":"ScienceDirect","title":"Chapter 26 - Obesity and thermoregulation","URL":"https://www.sciencedirect.com/science/article/pii/B9780444639127000266","volume":"156","author":[{"family":"Speakman","given":"John R."}],"editor":[{"family":"Romanovsky","given":"Andrej A."}],"accessed":{"date-parts":[["2025",3,26]]},"issued":{"date-parts":[["2018",1,1]]}}},{"id":2746,"uris":["http://zotero.org/users/9622455/items/34LNWPBV"],"itemData":{"id":2746,"type":"article-journal","container-title":"Journal of Clinical Investigation","ISSN":"0021-9738","issue":"4","journalAbbreviation":"J Clin Invest","note":"PMID: 10953022\nPMCID: PMC380258","page":"473-481","source":"PubMed Central","title":"Obesity and insulin resistance","volume":"106","author":[{"family":"Kahn","given":"Barbara B."},{"family":"Flier","given":"Jeffrey S."}],"issued":{"date-parts":[["2000",8,15]]}}},{"id":4100,"uris":["http://zotero.org/users/9622455/items/XH2QNCB9"],"itemData":{"id":4100,"type":"article-journal","abstract":"Obesity is becoming an epidemic in the United States and worldwide and increases risk for many diseases, particularly insulin resistance, type 2 diabetes mellitus, and cardiovascular disease. The mechanisms linking obesity with these diseases remain incompletely understood. Over the past 2 to 3 decades, it has been recognized that in obesity, inflammation, with increased accumulation and inflammatory polarization of immune cells, takes place in various tissues, including adipose tissue, skeletal muscle, liver, gut, pancreatic islet, and brain and may contribute to obesity-linked metabolic dysfunctions, leading to insulin resistance and type 2 diabetes mellitus. Therapies targeting inflammation have shed light on certain obesity-linked diseases, including type 2 diabetes mellitus and atherosclerotic cardiovascular disease, but remain to be tested further and confirmed in clinical trials. This review focuses on inflammation in adipose tissue and its potential role in insulin resistance associated with obesity.","container-title":"Circulation Research","DOI":"10.1161/CIRCRESAHA.119.315896","issue":"11","note":"publisher: American Heart Association","page":"1549-1564","source":"ahajournals.org (Atypon)","title":"Metabolic Inflammation and Insulin Resistance in Obesity","volume":"126","author":[{"family":"Wu","given":"Huaizhu"},{"family":"Ballantyne","given":"Christie M."}],"issued":{"date-parts":[["2020",1,22]]}}}],"schema":"https://github.com/citation-style-language/schema/raw/master/csl-citation.json"} </w:instrText>
      </w:r>
      <w:r w:rsidRPr="00825326">
        <w:fldChar w:fldCharType="separate"/>
      </w:r>
      <w:r w:rsidR="00F812BF" w:rsidRPr="00F812BF">
        <w:rPr>
          <w:vertAlign w:val="superscript"/>
        </w:rPr>
        <w:t>379–381</w:t>
      </w:r>
      <w:r w:rsidRPr="00825326">
        <w:fldChar w:fldCharType="end"/>
      </w:r>
      <w:r w:rsidRPr="00825326">
        <w:rPr>
          <w:vertAlign w:val="superscript"/>
        </w:rPr>
        <w:t>,</w:t>
      </w:r>
      <w:r w:rsidRPr="00825326">
        <w:fldChar w:fldCharType="begin"/>
      </w:r>
      <w:r w:rsidR="00F812BF">
        <w:instrText xml:space="preserve"> ADDIN ZOTERO_ITEM CSL_CITATION {"citationID":"Znl86Itw","properties":{"formattedCitation":"\\super 382\\nosupersub{}","plainCitation":"382","noteIndex":0},"citationItems":[{"id":2753,"uris":["http://zotero.org/users/9622455/items/NDZXS6H7"],"itemData":{"id":2753,"type":"article-journal","abstract":"There is conflicting evidence regarding the association between body temperature and obesity. We aimed to assess the associations between body temperature and several adiposity and metabolic markers according to gender and menopausal status in a large population-based sample.","container-title":"International Journal of Obesity","DOI":"10.1038/s41366-018-0218-7","ISSN":"1476-5497","issue":"5","journalAbbreviation":"Int J Obes","language":"en","license":"2018 The Author(s)","note":"publisher: Nature Publishing Group","page":"1026-1033","source":"www.nature.com","title":"Association of body temperature with obesity. The CoLaus study","volume":"43","author":[{"family":"Bastardot","given":"François"},{"family":"Marques-Vidal","given":"Pedro"},{"family":"Vollenweider","given":"Peter"}],"issued":{"date-parts":[["2019",5]]}}}],"schema":"https://github.com/citation-style-language/schema/raw/master/csl-citation.json"} </w:instrText>
      </w:r>
      <w:r w:rsidRPr="00825326">
        <w:fldChar w:fldCharType="separate"/>
      </w:r>
      <w:r w:rsidR="00F812BF" w:rsidRPr="00F812BF">
        <w:rPr>
          <w:vertAlign w:val="superscript"/>
        </w:rPr>
        <w:t>382</w:t>
      </w:r>
      <w:r w:rsidRPr="00825326">
        <w:fldChar w:fldCharType="end"/>
      </w:r>
      <w:r w:rsidRPr="00825326">
        <w:t>.</w:t>
      </w:r>
    </w:p>
    <w:p w14:paraId="1EC388E7" w14:textId="609B29B9" w:rsidR="000114E2" w:rsidRPr="00825326" w:rsidRDefault="000114E2" w:rsidP="00F5471F">
      <w:pPr>
        <w:ind w:firstLine="720"/>
        <w:jc w:val="left"/>
      </w:pPr>
      <w:r w:rsidRPr="00825326">
        <w:t>Thermogenesis, particularly non-shivering thermogenesis mediated by brown adipose tissue (BAT) and the browning of white adipose tissue (WAT), plays a central role in maintaining energy balance</w:t>
      </w:r>
      <w:r>
        <w:t xml:space="preserve"> </w:t>
      </w:r>
      <w:r w:rsidRPr="00825326">
        <w:fldChar w:fldCharType="begin"/>
      </w:r>
      <w:r w:rsidR="00F812BF">
        <w:instrText xml:space="preserve"> ADDIN ZOTERO_ITEM CSL_CITATION {"citationID":"kZRDf36a","properties":{"formattedCitation":"\\super 383\\nosupersub{}","plainCitation":"383","noteIndex":0},"citationItems":[{"id":2755,"uris":["http://zotero.org/users/9622455/items/IC94WJWK"],"itemData":{"id":2755,"type":"article-journal","abstract":"Adipose tissues are dynamic tissues that play crucial physiological roles in maintaining health and homeostasis. Although white adipose tissue and brown adipose tissue are currently considered key endocrine organs, they differ functionally and morphologically. The existence of the beige or brite adipocytes, cells displaying intermediary characteristics between white and brown adipocytes, illustrates the plastic nature of the adipose tissue. These cells are generated through white adipose tissue browning, a process associated with augmented non-shivering thermogenesis and metabolic capacity. This process involves the upregulation of the uncoupling protein 1, a molecule that uncouples the respiratory chain from Adenosine triphosphate synthesis, producing heat. β-3 adrenergic receptor system is one important mediator of white adipose tissue browning, during cold exposure. Surprisingly, hyperthermia may also induce beige activation and white adipose tissue beiging. Physical exercising copes with increased levels of specific molecules, including Beta-Aminoisobutyric acid, irisin, and Fibroblast growth factor 21 (FGF21), which induce adipose tissue browning. FGF21 is a stress-responsive hormone that interacts with beta-klotho. The central roles played by hormones in the browning process highlight the relevance of the individual lifestyle, including circadian rhythm and diet. Circadian rhythm involves the sleep–wake cycle and is regulated by melatonin, a hormone associated with UCP1 level upregulation. In contrast to the pro-inflammatory and adipose tissue disrupting effects of the western diet, specific food items, including capsaicin and n-3 polyunsaturated fatty acids, and dietary interventions such as calorie restriction and intermittent fasting, favor white adipose tissue browning and metabolic efficiency. The intestinal microbiome has also been pictured as a key factor in regulating white tissue browning, as it modulates bile acid levels, important molecules for the thermogenic program activation. During embryogenesis, in which adipose tissue formation is affected by Bone morphogenetic proteins that regulate gene expression, the stimuli herein discussed influence an orchestra of gene expression regulators, including a plethora of transcription factors, and chromatin remodeling enzymes, and non-coding RNAs. Considering the detrimental effects of adipose tissue browning and the disparities between adipose tissue characteristics in mice and humans, further efforts will benefit a better understanding of adipose tissue plasticity biology and its applicability to managing the overwhelming burden of several chronic diseases.","container-title":"Nutrition &amp; Metabolism","DOI":"10.1186/s12986-022-00694-0","ISSN":"1743-7075","issue":"1","journalAbbreviation":"Nutrition &amp; Metabolism","page":"61","source":"BioMed Central","title":"Browning of the white adipose tissue regulation: new insights into nutritional and metabolic relevance in health and diseases","title-short":"Browning of the white adipose tissue regulation","volume":"19","author":[{"family":"Machado","given":"Sabrina Azevedo"},{"family":"Pasquarelli-do-Nascimento","given":"Gabriel"},{"family":"Silva","given":"Debora Santos","non-dropping-particle":"da"},{"family":"Farias","given":"Gabriel Ribeiro"},{"family":"Oliveira Santos","given":"Igor","non-dropping-particle":"de"},{"family":"Baptista","given":"Luana Borges"},{"family":"Magalhães","given":"Kelly Grace"}],"issued":{"date-parts":[["2022",9,6]]}}}],"schema":"https://github.com/citation-style-language/schema/raw/master/csl-citation.json"} </w:instrText>
      </w:r>
      <w:r w:rsidRPr="00825326">
        <w:fldChar w:fldCharType="separate"/>
      </w:r>
      <w:r w:rsidR="00F812BF" w:rsidRPr="00F812BF">
        <w:rPr>
          <w:vertAlign w:val="superscript"/>
        </w:rPr>
        <w:t>383</w:t>
      </w:r>
      <w:r w:rsidRPr="00825326">
        <w:fldChar w:fldCharType="end"/>
      </w:r>
      <w:r w:rsidRPr="00825326">
        <w:rPr>
          <w:vertAlign w:val="superscript"/>
        </w:rPr>
        <w:t>,</w:t>
      </w:r>
      <w:r w:rsidRPr="00825326">
        <w:fldChar w:fldCharType="begin"/>
      </w:r>
      <w:r w:rsidR="00F812BF">
        <w:instrText xml:space="preserve"> ADDIN ZOTERO_ITEM CSL_CITATION {"citationID":"Um3NPmfQ","properties":{"formattedCitation":"\\super 384\\nosupersub{}","plainCitation":"384","noteIndex":0},"citationItems":[{"id":2758,"uris":["http://zotero.org/users/9622455/items/SDJP6TSI"],"itemData":{"id":2758,"type":"article-journal","abstract":"The incidence of the metabolic syndrome has reached epidemic levels in the Western world. With respect to the energy balance, most attention has been given to reducing energy (food) intake. Increasing energy expenditure is an important alternative strategy. Facultative thermogenesis, which is the increase in energy expenditure in response to cold or diet, may be an effective way to affect the energy balance. The recent identification of functional brown adipose tissue (BAT) in adult humans promoted a renewed interest in nonshivering thermogenesis (NST). The purpose of this review is to highlight the recent insight in NST, general aspects of its regulation, the major tissues involved, and its metabolic consequences. Sustainable NST in adult humans amounts to 15% of the average daily energy expenditure. Calculations based on the limited available literature show that BAT thermogenesis can amount to 5% of the basal metabolic rate. It is likely that at least a substantial part of NST can be attributed to BAT, but it is possible that other tissues contribute to NST. Several studies on mitochondrial uncoupling indicate that skeletal muscle is another potential contributor to facultative thermogenesis in humans. The general and synergistic role of the sympathetic nervous system and the thyroid axis in relation to NST is discussed. Finally, perspectives on BAT and skeletal muscle NST are given.","container-title":"American Journal of Physiology-Regulatory, Integrative and Comparative Physiology","DOI":"10.1152/ajpregu.00652.2010","ISSN":"0363-6119","issue":"2","note":"publisher: American Physiological Society","page":"R285-R296","source":"journals.physiology.org (Atypon)","title":"Implications of nonshivering thermogenesis for energy balance regulation in humans","volume":"301","author":[{"family":"Marken Lichtenbelt","given":"Wouter D.","non-dropping-particle":"van"},{"family":"Schrauwen","given":"Patrick"}],"issued":{"date-parts":[["2011",8]]}}}],"schema":"https://github.com/citation-style-language/schema/raw/master/csl-citation.json"} </w:instrText>
      </w:r>
      <w:r w:rsidRPr="00825326">
        <w:fldChar w:fldCharType="separate"/>
      </w:r>
      <w:r w:rsidR="00F812BF" w:rsidRPr="00F812BF">
        <w:rPr>
          <w:vertAlign w:val="superscript"/>
        </w:rPr>
        <w:t>384</w:t>
      </w:r>
      <w:r w:rsidRPr="00825326">
        <w:fldChar w:fldCharType="end"/>
      </w:r>
      <w:r w:rsidRPr="00825326">
        <w:t>. The thermogenic processes are profoundly influenced by PGC1α and UCP1</w:t>
      </w:r>
      <w:r>
        <w:t xml:space="preserve"> </w:t>
      </w:r>
      <w:r w:rsidRPr="00825326">
        <w:fldChar w:fldCharType="begin"/>
      </w:r>
      <w:r w:rsidR="00F812BF">
        <w:instrText xml:space="preserve"> ADDIN ZOTERO_ITEM CSL_CITATION {"citationID":"ow2sac51","properties":{"formattedCitation":"\\super 385\\nosupersub{}","plainCitation":"385","noteIndex":0},"citationItems":[{"id":2760,"uris":["http://zotero.org/users/9622455/items/7BR3ID8M"],"itemData":{"id":2760,"type":"article-journal","abstract":"Adipocyte biology has been intensely researched in recent years due to the emergence of obesity as a serious global health concern and because of the realization that adipose tissue is more than simply a cell type that stores and releases lipids. The plasticity of adipose tissues, to rapidly adapt to altered physiological states of energy demand, is under neuronal and endocrine control. The capacity for white adipocytes to store chemical energy in lipid droplets is key for protecting other organs from the toxic effects of ectopic lipid deposition. In contrast, thermogenic (brown and beige) adipocytes combust macronutrients to generate heat. The thermogenic activity of adipocytes allows them to protect themselves and other tissues from lipid overaccumulation. Advances in brown fat biology have uncovered key molecular players involved in adipocyte determination, differentiation, and thermogenic activation. It is now, well appreciated that three distinct adipocyte types exist: white, beige, and brown. Moreover, functional differences are present within adipocyte subtypes located in anatomically distinct locations. Adding to this complexity is the recent realization from single-cell sequencing studies that adipocyte progenitors are also heterogeneous. Understanding the molecular details of how to increase the number of thermogenic fat cells and their activation may delineate some of the pathophysiological basis of obesity and obesity-related diseases. Here, we review recent advances that have extended our understanding of the central role that adipose tissue plays in energy balance and the mechanisms that control their amount and function.","container-title":"The FEBS Journal","DOI":"10.1111/febs.15331","ISSN":"1742-4658","issue":"16","language":"en","note":"_eprint: https://onlinelibrary.wiley.com/doi/pdf/10.1111/febs.15331","page":"3370-3385","source":"Wiley Online Library","title":"Regulation of adipocyte thermogenesis: mechanisms controlling obesity","title-short":"Regulation of adipocyte thermogenesis","volume":"287","author":[{"family":"Hussain","given":"Mohammed Faiz"},{"family":"Roesler","given":"Anna"},{"family":"Kazak","given":"Lawrence"}],"issued":{"date-parts":[["2020"]]}}}],"schema":"https://github.com/citation-style-language/schema/raw/master/csl-citation.json"} </w:instrText>
      </w:r>
      <w:r w:rsidRPr="00825326">
        <w:fldChar w:fldCharType="separate"/>
      </w:r>
      <w:r w:rsidR="00F812BF" w:rsidRPr="00F812BF">
        <w:rPr>
          <w:vertAlign w:val="superscript"/>
        </w:rPr>
        <w:t>385</w:t>
      </w:r>
      <w:r w:rsidRPr="00825326">
        <w:fldChar w:fldCharType="end"/>
      </w:r>
      <w:r w:rsidRPr="00825326">
        <w:rPr>
          <w:vertAlign w:val="superscript"/>
        </w:rPr>
        <w:t>,</w:t>
      </w:r>
      <w:r w:rsidRPr="00825326">
        <w:fldChar w:fldCharType="begin"/>
      </w:r>
      <w:r w:rsidR="00F812BF">
        <w:instrText xml:space="preserve"> ADDIN ZOTERO_ITEM CSL_CITATION {"citationID":"YkSOwzI8","properties":{"formattedCitation":"\\super 386\\nosupersub{}","plainCitation":"386","noteIndex":0},"citationItems":[{"id":2763,"uris":["http://zotero.org/users/9622455/items/UUWQ6RUC"],"itemData":{"id":2763,"type":"article-journal","abstract":"Mitochondria play an essential role in the ability of brown fat to generate heat, and the PGC-1 coactivators control several aspects of mitochondrial biogenesis. To investigate their speciﬁc roles in brown fat cells, we generated immortal preadipocyte lines from the brown adipose tissue of mice lacking PGC-1a. We could then efﬁciently knockdown PGC-1b expression by shRNA expression. Loss of PGC-1a did not alter brown fat differentiation but severely reduced the induction of thermogenic genes. Cells deﬁcient in either PGC-1a or PGC-1b coactivators showed a small decrease in the differentiation-dependant program of mitochondrial biogenesis and respiration; however, this increase in mitochondrial number and function was totally abolished during brown fat differentiation when both PGC-1a and PGC-1b were deﬁcient. These data show that PGC-1a is essential for brown fat thermogenesis but not brown fat differentiation, and the PGC-1 coactivators play an absolutely essential but complementary function in differentiation-induced mitochondrial biogenesis.","container-title":"Cell Metabolism","DOI":"10.1016/j.cmet.2006.04.002","ISSN":"15504131","issue":"5","journalAbbreviation":"Cell Metabolism","language":"en","license":"https://www.elsevier.com/tdm/userlicense/1.0/","page":"333-341","source":"DOI.org (Crossref)","title":"Complementary action of the PGC-1 coactivators in mitochondrial biogenesis and brown fat differentiation","volume":"3","author":[{"family":"Uldry","given":"Marc"},{"family":"Yang","given":"Wenli"},{"family":"St-Pierre","given":"Julie"},{"family":"Lin","given":"Jiandie"},{"family":"Seale","given":"Patrick"},{"family":"Spiegelman","given":"Bruce M."}],"issued":{"date-parts":[["2006",5]]}}}],"schema":"https://github.com/citation-style-language/schema/raw/master/csl-citation.json"} </w:instrText>
      </w:r>
      <w:r w:rsidRPr="00825326">
        <w:fldChar w:fldCharType="separate"/>
      </w:r>
      <w:r w:rsidR="00F812BF" w:rsidRPr="00F812BF">
        <w:rPr>
          <w:vertAlign w:val="superscript"/>
        </w:rPr>
        <w:t>386</w:t>
      </w:r>
      <w:r w:rsidRPr="00825326">
        <w:fldChar w:fldCharType="end"/>
      </w:r>
      <w:r w:rsidRPr="00825326">
        <w:rPr>
          <w:vertAlign w:val="superscript"/>
        </w:rPr>
        <w:t>,18</w:t>
      </w:r>
      <w:r>
        <w:rPr>
          <w:vertAlign w:val="superscript"/>
        </w:rPr>
        <w:t>19</w:t>
      </w:r>
      <w:r w:rsidR="00F812BF">
        <w:rPr>
          <w:vertAlign w:val="superscript"/>
        </w:rPr>
        <w:t>387</w:t>
      </w:r>
      <w:r w:rsidRPr="00825326">
        <w:fldChar w:fldCharType="begin"/>
      </w:r>
      <w:r w:rsidR="00F812BF">
        <w:instrText xml:space="preserve"> ADDIN ZOTERO_ITEM CSL_CITATION {"citationID":"MV4bUSeo","properties":{"formattedCitation":"\\super 387\\nosupersub{}","plainCitation":"","noteIndex":0},"citationItems":[{"id":4102,"uris":["http://zotero.org/users/9622455/items/IAHSPZJR"],"itemData":{"id":4102,"type":"article-journal","abstract":"Thermogenesis by uncoupling protein 1 (UCP1) is one of the primary mechanisms by which brown adipose tissue (BAT) increases energy expenditure. UCP1 resides in the inner mitochondrial membrane (IMM), where it dissipates membrane potential independent of adenosine triphosphate (ATP) synthase. Here, we provide evidence that phosphatidylethanolamine (PE) modulates UCP1-dependent proton conductance across the IMM to modulate thermogenesis. Mitochondrial lipidomic analyses revealed PE as a signature molecule whose abundance bidirectionally responds to changes in thermogenic burden. Reduction in mitochondrial PE by deletion of phosphatidylserine decarboxylase (PSD) made mice cold intolerant and insensitive to β3 adrenergic receptor agonist-induced increase in whole-body oxygen consumption. High-resolution respirometry and fluorometry of BAT mitochondria showed that loss of mitochondrial PE specifically lowers UCP1-dependent respiration without compromising electron transfer efficiency or ATP synthesis. These findings were confirmed by a reduction in UCP1 proton current in PE-deficient mitoplasts. Thus, PE performs a previously unknown role as a temperature-responsive rheostat that regulates UCP1-dependent thermogenesis.","container-title":"Science Advances","DOI":"10.1126/sciadv.ade7864","ISSN":"2375-2548","issue":"8","journalAbbreviation":"Sci Adv","language":"eng","note":"PMID: 36827367\nPMCID: PMC9956115","page":"eade7864","source":"PubMed","title":"Mitochondrial phosphatidylethanolamine modulates UCP1 to promote brown adipose thermogenesis","volume":"9","author":[{"family":"Johnson","given":"Jordan M."},{"family":"Peterlin","given":"Alek D."},{"family":"Balderas","given":"Enrique"},{"family":"Sustarsic","given":"Elahu G."},{"family":"Maschek","given":"J. Alan"},{"family":"Lang","given":"Marisa J."},{"family":"Jara-Ramos","given":"Alejandro"},{"family":"Panic","given":"Vanja"},{"family":"Morgan","given":"Jeffrey T."},{"family":"Villanueva","given":"Claudio J."},{"family":"Sanchez","given":"Alejandro"},{"family":"Rutter","given":"Jared"},{"family":"Lodhi","given":"Irfan J."},{"family":"Cox","given":"James E."},{"family":"Fisher-Wellman","given":"Kelsey H."},{"family":"Chaudhuri","given":"Dipayan"},{"family":"Gerhart-Hines","given":"Zachary"},{"family":"Funai","given":"Katsuhiko"}],"issued":{"date-parts":[["2023",2,24]]}}}],"schema":"https://github.com/citation-style-language/schema/raw/master/csl-citation.json"} </w:instrText>
      </w:r>
      <w:r w:rsidRPr="00825326">
        <w:fldChar w:fldCharType="separate"/>
      </w:r>
      <w:r w:rsidRPr="00825326">
        <w:fldChar w:fldCharType="end"/>
      </w:r>
      <w:r w:rsidRPr="00825326">
        <w:t>. PGC1α promotes UCP1’s transcription alongside other thermogenic genes</w:t>
      </w:r>
      <w:r>
        <w:t xml:space="preserve"> </w:t>
      </w:r>
      <w:r w:rsidRPr="00825326">
        <w:fldChar w:fldCharType="begin"/>
      </w:r>
      <w:r w:rsidR="00F812BF">
        <w:instrText xml:space="preserve"> ADDIN ZOTERO_ITEM CSL_CITATION {"citationID":"SsjCqICJ","properties":{"formattedCitation":"\\super 388\\nosupersub{}","plainCitation":"388","noteIndex":0},"citationItems":[{"id":2765,"uris":["http://zotero.org/users/9622455/items/3YLRZTIM"],"itemData":{"id":2765,"type":"article-journal","abstract":"High expression of the peroxisome proliferator-activated receptor α (PPARα) differentiates brown fat from white, and is related to its high capacity of lipid oxidation. We analyzed the effects of PPARα activation on expression of the brown fat-specific uncoupling protein-1 (ucp-1) gene. Activators of PPARα increased UCP-1 mRNA levels severalfold both in primary brown adipocytes and in brown fat in vivo. Transient transfection assays indicated that the (−4551)U</w:instrText>
      </w:r>
      <w:r w:rsidR="00F812BF">
        <w:rPr>
          <w:rFonts w:hint="eastAsia"/>
        </w:rPr>
        <w:instrText>CP1-CAT construct, containing the 5</w:instrText>
      </w:r>
      <w:r w:rsidR="00F812BF">
        <w:rPr>
          <w:rFonts w:hint="eastAsia"/>
        </w:rPr>
        <w:instrText>′</w:instrText>
      </w:r>
      <w:r w:rsidR="00F812BF">
        <w:rPr>
          <w:rFonts w:hint="eastAsia"/>
        </w:rPr>
        <w:instrText>-regulatory region of the rat ucp-1 gene, was activated by PPAR</w:instrText>
      </w:r>
      <w:r w:rsidR="00F812BF">
        <w:rPr>
          <w:rFonts w:hint="eastAsia"/>
        </w:rPr>
        <w:instrText>α</w:instrText>
      </w:r>
      <w:r w:rsidR="00F812BF">
        <w:rPr>
          <w:rFonts w:hint="eastAsia"/>
        </w:rPr>
        <w:instrText xml:space="preserve"> co-transfection in a dose-dependent manner and this activation was potentiated by Wy 14,643 and retinoid X receptor </w:instrText>
      </w:r>
      <w:r w:rsidR="00F812BF">
        <w:rPr>
          <w:rFonts w:hint="eastAsia"/>
        </w:rPr>
        <w:instrText>α</w:instrText>
      </w:r>
      <w:r w:rsidR="00F812BF">
        <w:rPr>
          <w:rFonts w:hint="eastAsia"/>
        </w:rPr>
        <w:instrText>. The coactivators CBP and PPAR</w:instrText>
      </w:r>
      <w:r w:rsidR="00F812BF">
        <w:rPr>
          <w:rFonts w:hint="eastAsia"/>
        </w:rPr>
        <w:instrText>γ</w:instrText>
      </w:r>
      <w:r w:rsidR="00F812BF">
        <w:rPr>
          <w:rFonts w:hint="eastAsia"/>
        </w:rPr>
        <w:instrText>-coac</w:instrText>
      </w:r>
      <w:r w:rsidR="00F812BF">
        <w:instrText xml:space="preserve">tivator-1 (PGC-1), which is highly expressed in brown fat, also enhanced the PPARα-dependent regulation of the ucp-1 gene. Deletion and point-mutation mapping analysis indicated that the PPARα-responsive element was located in the upstream enhancer region of the ucp-1 gene. This −2485/−2458 element bound PPARα and PPARγ from brown fat nuclei. Moreover, this element behaved as a promiscuous responsive site to either PPARα or PPARγ activation, and we propose that it mediates ucp-1 gene up-regulation associated with adipogenic differentiation (via PPARγ) or in coordination with gene expression for the fatty acid oxidation machinery required for active thermogenesis (via PPARα).","container-title":"Journal of Biological Chemistry","DOI":"10.1074/jbc.M006246200","ISSN":"0021-9258","issue":"2","journalAbbreviation":"Journal of Biological Chemistry","page":"1486-1493","source":"ScienceDirect","title":"Peroxisome Proliferator-activated Receptor α Activates Transcription of the Brown Fat Uncoupling Protein-1 Gene: A LINK BETWEEN REGULATION OF THE THERMOGENIC AND LIPID OXIDATION PATHWAYS IN THE BROWN FAT CELL*","title-short":"Peroxisome Proliferator-activated Receptor α Activates Transcription of the Brown Fat Uncoupling Protein-1 Gene","volume":"276","author":[{"family":"Barberá","given":"M. José"},{"family":"Schlüter","given":"Agatha"},{"family":"Pedraza","given":"Neus"},{"family":"Iglesias","given":"Roser"},{"family":"Villarroya","given":"Francesc"},{"family":"Giralt","given":"Marta"}],"issued":{"date-parts":[["2001",1,12]]}}}],"schema":"https://github.com/citation-style-language/schema/raw/master/csl-citation.json"} </w:instrText>
      </w:r>
      <w:r w:rsidRPr="00825326">
        <w:fldChar w:fldCharType="separate"/>
      </w:r>
      <w:r w:rsidR="00F812BF" w:rsidRPr="00F812BF">
        <w:rPr>
          <w:vertAlign w:val="superscript"/>
        </w:rPr>
        <w:t>388</w:t>
      </w:r>
      <w:r w:rsidRPr="00825326">
        <w:fldChar w:fldCharType="end"/>
      </w:r>
      <w:r w:rsidRPr="00825326">
        <w:rPr>
          <w:vertAlign w:val="superscript"/>
        </w:rPr>
        <w:t>,</w:t>
      </w:r>
      <w:r w:rsidRPr="00825326">
        <w:fldChar w:fldCharType="begin"/>
      </w:r>
      <w:r w:rsidR="00F812BF">
        <w:instrText xml:space="preserve"> ADDIN ZOTERO_ITEM CSL_CITATION {"citationID":"wW64ONmk","properties":{"formattedCitation":"\\super 389\\nosupersub{}","plainCitation":"389","noteIndex":0},"citationItems":[{"id":2767,"uris":["http://zotero.org/users/9622455/items/PBGAUXXW"],"itemData":{"id":2767,"type":"article-journal","abstract":"Uncoupling protein (UCP) is expressed only in brown adipocytes and is responsible for the unique thermogenic properties of this cell type. The novel brown preadipocyte cell line, HIB-1B, expresses UCP in a strictly differentiation-dependent manner. Transgenic mice studies have shown that a region from kb -2.8 to -1.0 of the marine UCP gene is required for brown adipocyte-specific expression. Subsequent analysis identified a potent 220-bp enhancer from kb -2.5 to -2.3. We show that this enhancer is active only in differentiated HIB-1B adipocytes, and we identify a peroxisome proliferator-activated receptor gamma (PPARgamma) response element, referred to as UCP regulatory element 1 (URE1), within the enhancer. URE1 has differentiation-dependent enhancing activity in HIB-1B cells and is required for enhancer action, since mutations of URE1 that block protein binding abolish enhancer activity. We also show that PPAR gamma antibodies block binding to URE1 of nuclear extracts from cultured brown adipocytes and from the brown adipose tissue of cold-exposed mice. Protein binding to URE1 increases substantially during differentiation of HIB-1B preadipocytes, and PPAR-gamma mRNA levels increase correspondingly. Although forced expression of PPAR gamma and retinoid X receptor alpha activates the enhancer in HIB-1B preadipocytes, these receptors are not capable of activating the enhancer in NIH 3T3 fibroblasts. Our results show that PPAR gamma is a regulator of the differentiation-dependent expression of UCP and suggest that there are additional factors in HIB-1B cells required for brown adipocyte-specific UCP expression.","container-title":"Molecular and Cellular Biology","ISSN":"0270-7306","issue":"7","journalAbbreviation":"Mol Cell Biol","note":"PMID: 8668156\nPMCID: PMC231335","page":"3410-3419","source":"PubMed Central","title":"Differentiation-dependent expression of the brown adipocyte uncoupling protein gene: regulation by peroxisome proliferator-activated receptor gamma.","title-short":"Differentiation-dependent expression of the brown adipocyte uncoupling protein gene","volume":"16","author":[{"family":"Sears","given":"I B"},{"family":"MacGinnitie","given":"M A"},{"family":"Kovacs","given":"L G"},{"family":"Graves","given":"R A"}],"issued":{"date-parts":[["1996",7]]}}}],"schema":"https://github.com/citation-style-language/schema/raw/master/csl-citation.json"} </w:instrText>
      </w:r>
      <w:r w:rsidRPr="00825326">
        <w:fldChar w:fldCharType="separate"/>
      </w:r>
      <w:r w:rsidR="00F812BF" w:rsidRPr="00F812BF">
        <w:rPr>
          <w:vertAlign w:val="superscript"/>
        </w:rPr>
        <w:t>389</w:t>
      </w:r>
      <w:r w:rsidRPr="00825326">
        <w:fldChar w:fldCharType="end"/>
      </w:r>
      <w:r w:rsidRPr="00825326">
        <w:t>. UCP1 is found within the inner membrane of mitochondria in brown and beige fat cells, and it produces heat via the uncoupling of oxidative phosphorylation from ATP synthesis</w:t>
      </w:r>
      <w:r>
        <w:t xml:space="preserve"> </w:t>
      </w:r>
      <w:r w:rsidRPr="00825326">
        <w:fldChar w:fldCharType="begin"/>
      </w:r>
      <w:r w:rsidR="00F812BF">
        <w:instrText xml:space="preserve"> ADDIN ZOTERO_ITEM CSL_CITATION {"citationID":"XahPjhWv","properties":{"formattedCitation":"\\super 390\\nosupersub{}","plainCitation":"390","noteIndex":0},"citationItems":[{"id":2770,"uris":["http://zotero.org/users/9622455/items/39AKT6XE"],"itemData":{"id":2770,"type":"article-journal","abstract":"Cold and other environmental factors induce “browning” of white fat depots — development of beige adipocytes with morphological and functional resemblance to brown fat. Similar to brown fat, beige adipocytes are assumed to express mitochondrial uncoupling protein 1 (UCP1) and are thermogenic due to the UCP1-mediated H+ leak across the inner mitochondrial membrane. However, this assumption has never been tested directly. Herein we patch-clamped the inner mitochondrial membrane of beige and brown fat to provide a direct comparison of their thermogenic H+ leak (IH). All inguinal beige adipocytes had robust UCP1-dependent IH comparable to brown fat, but it was about three times less sensitive to purine nucleotide inhibition. Strikingly, only ~15% of epididymal beige adipocytes had IH, while in the rest UCP1-dependent IH was undetectable. Despite the absence of UCP1 in the majority of epididymal beige adipocytes, these cells employ prominent creatine cycling as a UCP1-independent thermogenic mechanism.,","container-title":"Cell metabolism","DOI":"10.1016/j.cmet.2017.03.002","ISSN":"1550-4131","issue":"4","journalAbbreviation":"Cell Metab","note":"PMID: 28380374\nPMCID: PMC5448977","page":"811-822.e4","source":"PubMed Central","title":"Mitochondrial Patch-Clamp of Beige Adipocytes Reveals UCP1-positive and UCP1-negative Cells Both Exhibiting Futile Creatine Cycling","volume":"25","author":[{"family":"Bertholet","given":"Ambre M."},{"family":"Kazak","given":"Lawrence"},{"family":"Chouchani","given":"Edward T."},{"family":"Bogaczyńska","given":"Marta G."},{"family":"Paranjpe","given":"Ishan"},{"family":"Wainwright","given":"Gabrielle L."},{"family":"Bétourné","given":"Alexandre"},{"family":"Kajimura","given":"Shingo"},{"family":"Spiegelman","given":"Bruce M."},{"family":"Kirichok","given":"Yuriy"}],"issued":{"date-parts":[["2017",4,4]]}}}],"schema":"https://github.com/citation-style-language/schema/raw/master/csl-citation.json"} </w:instrText>
      </w:r>
      <w:r w:rsidRPr="00825326">
        <w:fldChar w:fldCharType="separate"/>
      </w:r>
      <w:r w:rsidR="00F812BF" w:rsidRPr="00F812BF">
        <w:rPr>
          <w:vertAlign w:val="superscript"/>
        </w:rPr>
        <w:t>390</w:t>
      </w:r>
      <w:r w:rsidRPr="00825326">
        <w:fldChar w:fldCharType="end"/>
      </w:r>
      <w:r w:rsidRPr="00825326">
        <w:rPr>
          <w:vertAlign w:val="superscript"/>
        </w:rPr>
        <w:t>,</w:t>
      </w:r>
      <w:r w:rsidRPr="00825326">
        <w:rPr>
          <w:vertAlign w:val="superscript"/>
        </w:rPr>
        <w:fldChar w:fldCharType="begin"/>
      </w:r>
      <w:r w:rsidR="00F812BF">
        <w:rPr>
          <w:vertAlign w:val="superscript"/>
        </w:rPr>
        <w:instrText xml:space="preserve"> ADDIN ZOTERO_ITEM CSL_CITATION {"citationID":"i4QXThNv","properties":{"formattedCitation":"\\super 391\\nosupersub{}","plainCitation":"391","noteIndex":0},"citationItems":[{"id":4105,"uris":["http://zotero.org/users/9622455/items/7U3AY3KH"],"itemData":{"id":4105,"type":"article-journal","abstract":"Mammals have two types of thermogenic adipocytes: brown adipocytes and beige adipocytes.Thermogenic adipocytes express high levels of uncoupling protein 1 (UCP1) to dissipates energy in the form of heat by uncoupling the mitochondrial proton gradient from mitochondrial respiration. There is much evidence that UCP1 is the center of BAT thermogenesis and systemic energy homeostasis. Recently, UCP1 independent thermogenic pathway identified in thermogenic adipocytes. Importantly, the thermogenic pathways are different in brown and beige adipocytes. Ca2+-ATPase 2b calcium cycling mechanism is selective to beige adipocytes. It remains unknown how the multiple thermogenic mechanisms are coordinately regulated. The discovery of UCP1-independent thermogenic mechanisms potential offer new opportunities for improving obesity and type 2 diabetes particularly in groups such as elderly and obese populations who do not possess UCP1 positive adipocytes.","container-title":"Frontiers in Endocrinology","DOI":"10.3389/fendo.2020.00498","ISSN":"1664-2392","journalAbbreviation":"Front. Endocrinol.","language":"English","note":"publisher: Frontiers","source":"Frontiers","title":"UCP1 Dependent and Independent Thermogenesis in Brown and Beige Adipocytes","URL":"https://www.frontiersin.org/journals/endocrinology/articles/10.3389/fendo.2020.00498/full","volume":"11","author":[{"family":"Ikeda","given":"Kenji"},{"family":"Yamada","given":"Tetsuya"}],"accessed":{"date-parts":[["2025",6,13]]},"issued":{"date-parts":[["2020",7,28]]}}}],"schema":"https://github.com/citation-style-language/schema/raw/master/csl-citation.json"} </w:instrText>
      </w:r>
      <w:r w:rsidRPr="00825326">
        <w:rPr>
          <w:vertAlign w:val="superscript"/>
        </w:rPr>
        <w:fldChar w:fldCharType="separate"/>
      </w:r>
      <w:r w:rsidR="00F812BF" w:rsidRPr="00F812BF">
        <w:rPr>
          <w:vertAlign w:val="superscript"/>
        </w:rPr>
        <w:t>391</w:t>
      </w:r>
      <w:r w:rsidRPr="00825326">
        <w:rPr>
          <w:vertAlign w:val="superscript"/>
        </w:rPr>
        <w:fldChar w:fldCharType="end"/>
      </w:r>
      <w:r w:rsidRPr="00825326">
        <w:t>. Together, they drive energy expenditure and maintain thermal homeostasis through thermogenesis in mitochondria. Deficiencies in these proteins are closely related to metabolic inefficiency and thermogenic failure in obesity.</w:t>
      </w:r>
    </w:p>
    <w:p w14:paraId="4E67C262" w14:textId="1F056422" w:rsidR="000114E2" w:rsidRDefault="000114E2" w:rsidP="00F5471F">
      <w:pPr>
        <w:ind w:firstLine="720"/>
        <w:jc w:val="left"/>
      </w:pPr>
      <w:r w:rsidRPr="001E796A">
        <w:t xml:space="preserve">The </w:t>
      </w:r>
      <w:r w:rsidRPr="00533304">
        <w:rPr>
          <w:i/>
        </w:rPr>
        <w:t>db/db</w:t>
      </w:r>
      <w:r w:rsidRPr="001E796A">
        <w:t xml:space="preserve"> mice are deficient </w:t>
      </w:r>
      <w:r>
        <w:t>in</w:t>
      </w:r>
      <w:r w:rsidRPr="001E796A">
        <w:t xml:space="preserve"> the leptin receptor and are widely used as models of obesity and type 2 diabetes</w:t>
      </w:r>
      <w:r>
        <w:t>, which</w:t>
      </w:r>
      <w:r w:rsidRPr="001E796A">
        <w:t xml:space="preserve"> spontaneously develop uncontrolled large appetites, massive body fat, and concurrent insulin insensitivity</w:t>
      </w:r>
      <w:r>
        <w:t xml:space="preserve"> </w:t>
      </w:r>
      <w:r w:rsidRPr="001E796A">
        <w:fldChar w:fldCharType="begin"/>
      </w:r>
      <w:r w:rsidR="00F812BF">
        <w:instrText xml:space="preserve"> ADDIN ZOTERO_ITEM CSL_CITATION {"citationID":"KwaWJoDk","properties":{"formattedCitation":"\\super 392\\nosupersub{}","plainCitation":"392","noteIndex":0},"citationItems":[{"id":2775,"uris":["http://zotero.org/users/9622455/items/B5IDD68L"],"itemData":{"id":2775,"type":"article-journal","abstract":"Among the most widely used animal models in obesity-induced type 2 diabetes mellitus (T2DM) research are the congenital leptin- and leptin receptor-deficient rodent models. These include the leptin-deficient ob/ob mice and the leptin receptor-deficient db/db mice, Zucker fatty rats, Zucker diabetic fatty rats, SHR/N-cp rats, and JCR:LA-cp rats. After decades of mechanistic and therapeutic research schemes with these animal models, many species differences have been uncovered, but researchers continue to overlook these differences, leading to untranslatable research. The purpose of this review is to analyze and comprehensively recapitulate the most common leptin/leptin receptor-based animal models with respect to their relevance and translatability to human T2DM. Our analysis revealed that, although these rodents develop obesity due to hyperphagia caused by abnormal leptin/leptin receptor signaling with the subsequent appearance of T2DM-like manifestations, these are in fact secondary to genetic mutations that do not reflect disease etiology in humans, for whom leptin or leptin receptor deficiency is not an important contributor to T2DM. A detailed comparison of the roles of genetic susceptibility, obesity, hyperglycemia, hyperinsulinemia, insulin resistance, and diabetic complications as well as leptin expression, signaling, and other factors that confound translation are presented here. There are substantial differences between these animal models and human T2DM that limit reliable, reproducible, and translatable insight into human T2DM. Therefore, it is imperative that researchers recognize and acknowledge the limitations of the leptin/leptin receptor-based rodent models and invest in research methods that would be directly and reliably applicable to humans in order to advance T2DM management.","container-title":"Current Diabetes Reviews","DOI":"10.2174/1573399810666140508121012","ISSN":"1573-3998","issue":"2","journalAbbreviation":"Curr Diabetes Rev","note":"PMID: 24809394\nPMCID: PMC4082168","page":"131-145","source":"PubMed Central","title":"Leptin- and Leptin Receptor-Deficient Rodent Models: Relevance for Human Type 2 Diabetes","title-short":"Leptin- and Leptin Receptor-Deficient Rodent Models","volume":"10","author":[{"family":"Wang","given":"Bingxuan"},{"family":"P.","given":"Charukeshi Chandrasekera"},{"family":"Pippin","given":"John J."}],"issued":{"date-parts":[["2014",3]]}}}],"schema":"https://github.com/citation-style-language/schema/raw/master/csl-citation.json"} </w:instrText>
      </w:r>
      <w:r w:rsidRPr="001E796A">
        <w:fldChar w:fldCharType="separate"/>
      </w:r>
      <w:r w:rsidR="00F812BF" w:rsidRPr="00F812BF">
        <w:rPr>
          <w:vertAlign w:val="superscript"/>
        </w:rPr>
        <w:t>392</w:t>
      </w:r>
      <w:r w:rsidRPr="001E796A">
        <w:fldChar w:fldCharType="end"/>
      </w:r>
      <w:r w:rsidRPr="001E796A">
        <w:t xml:space="preserve">. Metabolic responses, particularly the thermogenic phenotype of </w:t>
      </w:r>
      <w:r w:rsidRPr="00533304">
        <w:rPr>
          <w:i/>
        </w:rPr>
        <w:t>db/db</w:t>
      </w:r>
      <w:r w:rsidRPr="001E796A">
        <w:t xml:space="preserve"> mice, are not yet fully understood, nor are sex differences. While prior studies have demonstrated impaired BAT function in obese rodents, few have </w:t>
      </w:r>
      <w:r w:rsidRPr="001E796A">
        <w:lastRenderedPageBreak/>
        <w:t>systematically examined the interplay between obesity, sex, and thermogenic dysfunction at both the physiological and molecular levels</w:t>
      </w:r>
      <w:r>
        <w:t xml:space="preserve"> </w:t>
      </w:r>
      <w:r w:rsidRPr="001E796A">
        <w:fldChar w:fldCharType="begin"/>
      </w:r>
      <w:r w:rsidR="00F812BF">
        <w:instrText xml:space="preserve"> ADDIN ZOTERO_ITEM CSL_CITATION {"citationID":"ugUWsTzV","properties":{"formattedCitation":"\\super 393\\nosupersub{}","plainCitation":"393","noteIndex":0},"citationItems":[{"id":2778,"uris":["http://zotero.org/users/9622455/items/YVA563WU"],"itemData":{"id":2778,"type":"article-journal","abstract":"Purpose of review \n          The review highlights recent findings regarding the functions of mitochondria in adipocytes, providing an understanding of their central roles in regulating substrate metabolism, energy expenditure, disposal of reactive oxygen species (ROS), and in the pathophysiology of obesity and insulin resistance, as well as roles in the mechanisms that affect adipogenesis and mature adipocyte function.\n          Recent findings \n          Nutrient excess leads to mitochondrial dysfunction, which in turn leads to obesity-related pathologies, in part due to the harmful effects of ROS. The recent recognition of ‘ectopic’ brown adipose in humans suggests that this tissue may play an underappreciated role in the control of energy expenditure. Transcription factors, PGC-1α and PRDM16, which regulate brown adipogenesis, and members of the TGF-β superfamily that modulate this process may be important new targets for antiobesity drugs.\n          Summary \n          Mitochondria play central roles in ATP production, energy expenditure, and disposal of ROS. Excessive energy substrates lead to mitochondrial dysfunction with consequential effects on lipid and glucose metabolism. Adipocytes help to maintain the appropriate balance between energy storage and expenditure and maintaining this balance requires normal mitochondrial function. Many adipokines, including members of the TGF-β superfamily, and transcriptional coactivators, PGC-1α and PRDM16, are important regulators of this process.","container-title":"Current Opinion in Endocrinology, Diabetes and Obesity","DOI":"10.1097/MED.0b013e32833c3026","ISSN":"1752-296X","issue":"5","language":"en-US","page":"446","source":"journals.lww.com","title":"Mitochondrial dysfunction in obesity","volume":"17","author":[{"family":"Bournat","given":"Juan C."},{"family":"Brown","given":"Chester W."}],"issued":{"date-parts":[["2010",10]]}}}],"schema":"https://github.com/citation-style-language/schema/raw/master/csl-citation.json"} </w:instrText>
      </w:r>
      <w:r w:rsidRPr="001E796A">
        <w:fldChar w:fldCharType="separate"/>
      </w:r>
      <w:r w:rsidR="00F812BF" w:rsidRPr="00F812BF">
        <w:rPr>
          <w:vertAlign w:val="superscript"/>
        </w:rPr>
        <w:t>393</w:t>
      </w:r>
      <w:r w:rsidRPr="001E796A">
        <w:fldChar w:fldCharType="end"/>
      </w:r>
      <w:r w:rsidRPr="001E796A">
        <w:rPr>
          <w:vertAlign w:val="superscript"/>
        </w:rPr>
        <w:t>,</w:t>
      </w:r>
      <w:r w:rsidRPr="001E796A">
        <w:fldChar w:fldCharType="begin"/>
      </w:r>
      <w:r w:rsidR="00F812BF">
        <w:instrText xml:space="preserve"> ADDIN ZOTERO_ITEM CSL_CITATION {"citationID":"xbr0qMtT","properties":{"formattedCitation":"\\super 394\\nosupersub{}","plainCitation":"394","noteIndex":0},"citationItems":[{"id":2781,"uris":["http://zotero.org/users/9622455/items/FSHIWTZY"],"itemData":{"id":2781,"type":"article-journal","container-title":"Cell Metabolism","DOI":"10.1016/j.cmet.2014.07.005","ISSN":"1550-4131","issue":"3","journalAbbreviation":"Cell Metabolism","language":"English","note":"publisher: Elsevier\nPMID: 25127354","page":"396-407","source":"www.cell.com","title":"The Browning of White Adipose Tissue: Some Burning Issues","title-short":"The Browning of White Adipose Tissue","volume":"20","author":[{"family":"Nedergaard","given":"Jan"},{"family":"Cannon","given":"Barbara"}],"issued":{"date-parts":[["2014",9,2]]}}}],"schema":"https://github.com/citation-style-language/schema/raw/master/csl-citation.json"} </w:instrText>
      </w:r>
      <w:r w:rsidRPr="001E796A">
        <w:fldChar w:fldCharType="separate"/>
      </w:r>
      <w:r w:rsidR="00F812BF" w:rsidRPr="00F812BF">
        <w:rPr>
          <w:vertAlign w:val="superscript"/>
        </w:rPr>
        <w:t>394</w:t>
      </w:r>
      <w:r w:rsidRPr="001E796A">
        <w:fldChar w:fldCharType="end"/>
      </w:r>
      <w:r w:rsidRPr="001E796A">
        <w:t>.</w:t>
      </w:r>
    </w:p>
    <w:p w14:paraId="7D9919D7" w14:textId="763034D6" w:rsidR="000114E2" w:rsidRPr="001E796A" w:rsidRDefault="000114E2" w:rsidP="00F5471F">
      <w:pPr>
        <w:ind w:firstLine="720"/>
        <w:jc w:val="left"/>
      </w:pPr>
      <w:r w:rsidRPr="001E796A">
        <w:t xml:space="preserve">In this study, we evaluated the thermogenic and metabolic traits of </w:t>
      </w:r>
      <w:r w:rsidRPr="00533304">
        <w:rPr>
          <w:i/>
        </w:rPr>
        <w:t>db/db</w:t>
      </w:r>
      <w:r w:rsidRPr="001E796A">
        <w:t xml:space="preserve"> mice </w:t>
      </w:r>
      <w:r>
        <w:t>in comparison to</w:t>
      </w:r>
      <w:r w:rsidRPr="001E796A">
        <w:t xml:space="preserve"> their </w:t>
      </w:r>
      <w:r>
        <w:t>wild-type</w:t>
      </w:r>
      <w:r w:rsidRPr="001E796A">
        <w:t xml:space="preserve"> (WT) counterparts, </w:t>
      </w:r>
      <w:r>
        <w:t>with</w:t>
      </w:r>
      <w:r w:rsidRPr="001E796A">
        <w:t xml:space="preserve"> </w:t>
      </w:r>
      <w:r>
        <w:t>a focus</w:t>
      </w:r>
      <w:r w:rsidRPr="001E796A">
        <w:t xml:space="preserve"> </w:t>
      </w:r>
      <w:r w:rsidR="00BA6577">
        <w:t>on</w:t>
      </w:r>
      <w:r w:rsidR="00BA6577" w:rsidRPr="001E796A">
        <w:t xml:space="preserve"> </w:t>
      </w:r>
      <w:r w:rsidRPr="001E796A">
        <w:t xml:space="preserve">sex </w:t>
      </w:r>
      <w:r>
        <w:t>difference</w:t>
      </w:r>
      <w:r w:rsidRPr="001E796A">
        <w:t xml:space="preserve">s. </w:t>
      </w:r>
    </w:p>
    <w:p w14:paraId="7581510D" w14:textId="5EDF9091" w:rsidR="000114E2" w:rsidRPr="001E796A" w:rsidRDefault="000114E2" w:rsidP="00847BA5">
      <w:pPr>
        <w:pStyle w:val="Heading2"/>
        <w:jc w:val="left"/>
      </w:pPr>
      <w:bookmarkStart w:id="88" w:name="_Toc190984267"/>
      <w:bookmarkStart w:id="89" w:name="_Toc200810404"/>
      <w:bookmarkStart w:id="90" w:name="_Toc201001681"/>
      <w:bookmarkStart w:id="91" w:name="_Toc204848645"/>
      <w:r>
        <w:t>Materials</w:t>
      </w:r>
      <w:r w:rsidRPr="001E796A">
        <w:t xml:space="preserve"> and </w:t>
      </w:r>
      <w:r>
        <w:t>M</w:t>
      </w:r>
      <w:r w:rsidRPr="001E796A">
        <w:t>ethods</w:t>
      </w:r>
      <w:bookmarkEnd w:id="88"/>
      <w:bookmarkEnd w:id="89"/>
      <w:bookmarkEnd w:id="90"/>
      <w:bookmarkEnd w:id="91"/>
    </w:p>
    <w:p w14:paraId="7D0F5AFA" w14:textId="77777777" w:rsidR="000114E2" w:rsidRPr="001E796A" w:rsidRDefault="000114E2" w:rsidP="00847BA5">
      <w:pPr>
        <w:pStyle w:val="Heading3"/>
        <w:jc w:val="left"/>
      </w:pPr>
      <w:bookmarkStart w:id="92" w:name="_Toc190984268"/>
      <w:bookmarkStart w:id="93" w:name="_Toc200810405"/>
      <w:bookmarkStart w:id="94" w:name="_Toc201001682"/>
      <w:bookmarkStart w:id="95" w:name="_Toc204848646"/>
      <w:r w:rsidRPr="001E796A">
        <w:t xml:space="preserve">Animal </w:t>
      </w:r>
      <w:r>
        <w:t>M</w:t>
      </w:r>
      <w:r w:rsidRPr="001E796A">
        <w:t xml:space="preserve">odels and </w:t>
      </w:r>
      <w:r>
        <w:t>H</w:t>
      </w:r>
      <w:r w:rsidRPr="001E796A">
        <w:t>ousing</w:t>
      </w:r>
      <w:bookmarkEnd w:id="92"/>
      <w:bookmarkEnd w:id="93"/>
      <w:bookmarkEnd w:id="94"/>
      <w:bookmarkEnd w:id="95"/>
    </w:p>
    <w:p w14:paraId="51222161" w14:textId="5705D13F" w:rsidR="000114E2" w:rsidRPr="001E796A" w:rsidRDefault="000114E2" w:rsidP="00F5471F">
      <w:pPr>
        <w:ind w:firstLine="720"/>
        <w:jc w:val="left"/>
      </w:pPr>
      <w:r w:rsidRPr="001E796A">
        <w:t>A pair of heterozygous (</w:t>
      </w:r>
      <w:r>
        <w:t xml:space="preserve">B6. </w:t>
      </w:r>
      <w:r w:rsidRPr="001E796A">
        <w:t>BKS</w:t>
      </w:r>
      <w:r>
        <w:t xml:space="preserve"> (D)</w:t>
      </w:r>
      <w:r w:rsidRPr="001E796A">
        <w:t>-</w:t>
      </w:r>
      <w:r w:rsidRPr="399BD9ED">
        <w:rPr>
          <w:i/>
          <w:iCs/>
        </w:rPr>
        <w:t>Lepr</w:t>
      </w:r>
      <w:r w:rsidRPr="399BD9ED">
        <w:rPr>
          <w:i/>
          <w:iCs/>
          <w:vertAlign w:val="superscript"/>
        </w:rPr>
        <w:t>db</w:t>
      </w:r>
      <w:r w:rsidRPr="00EF23A5">
        <w:t>/</w:t>
      </w:r>
      <w:r>
        <w:t>J</w:t>
      </w:r>
      <w:r w:rsidRPr="001E796A">
        <w:t>) mice were purchased at 6 weeks of age from the Jackson Laboratory</w:t>
      </w:r>
      <w:r>
        <w:t xml:space="preserve"> and bred in house </w:t>
      </w:r>
      <w:r w:rsidRPr="001E796A">
        <w:t xml:space="preserve">to generate </w:t>
      </w:r>
      <w:r w:rsidRPr="00533304">
        <w:rPr>
          <w:i/>
        </w:rPr>
        <w:t>db/db</w:t>
      </w:r>
      <w:r w:rsidRPr="001E796A">
        <w:t xml:space="preserve"> and </w:t>
      </w:r>
      <w:r>
        <w:t>wild-type</w:t>
      </w:r>
      <w:r w:rsidRPr="001E796A">
        <w:t xml:space="preserve"> littermates. Offspring were genotyped at weaning (3 weeks old) to identify </w:t>
      </w:r>
      <w:r>
        <w:t>wild-type</w:t>
      </w:r>
      <w:r w:rsidRPr="001E796A">
        <w:t xml:space="preserve"> and </w:t>
      </w:r>
      <w:r w:rsidRPr="00533304">
        <w:rPr>
          <w:i/>
        </w:rPr>
        <w:t>db/db</w:t>
      </w:r>
      <w:r w:rsidRPr="001E796A">
        <w:t xml:space="preserve"> mice, </w:t>
      </w:r>
      <w:r w:rsidR="00D60C5B">
        <w:t xml:space="preserve">a previously reported </w:t>
      </w:r>
      <w:r w:rsidR="00D60C5B">
        <w:fldChar w:fldCharType="begin"/>
      </w:r>
      <w:r w:rsidR="00D60C5B">
        <w:instrText xml:space="preserve"> ADDIN ZOTERO_ITEM CSL_CITATION {"citationID":"a22n27gj1m0","properties":{"formattedCitation":"\\super 395\\nosupersub{}","plainCitation":"395","noteIndex":0},"citationItems":[{"id":220,"uris":["http://zotero.org/users/9622455/items/7V2A6S2C"],"itemData":{"id":220,"type":"article-journal","container-title":"Acta Pharmacologica Sinica","DOI":"10.1038/aps.2017.52","ISSN":"1671-4083, 1745-7254","issue":"1","journalAbbreviation":"Acta Pharmacol Sin","language":"en","page":"117-123","source":"DOI.org (Crossref)","title":"A novel and quick PCR-based method to genotype mice with a leptin receptor mutation (db/db mice)","volume":"39","author":[{"family":"Peng","given":"Bao-yu"},{"family":"Wang","given":"Qiang"},{"family":"Luo","given":"Yan-hong"},{"family":"He","given":"Jian-feng"},{"family":"Tan","given":"Tao"},{"family":"Zhu","given":"Hua"}],"issued":{"date-parts":[["2018",1]]}}}],"schema":"https://github.com/citation-style-language/schema/raw/master/csl-citation.json"} </w:instrText>
      </w:r>
      <w:r w:rsidR="00D60C5B">
        <w:fldChar w:fldCharType="separate"/>
      </w:r>
      <w:r w:rsidR="00D60C5B" w:rsidRPr="000A741B">
        <w:rPr>
          <w:vertAlign w:val="superscript"/>
        </w:rPr>
        <w:t>395</w:t>
      </w:r>
      <w:r w:rsidR="00D60C5B">
        <w:fldChar w:fldCharType="end"/>
      </w:r>
      <w:r w:rsidR="00D60C5B">
        <w:t xml:space="preserve">, </w:t>
      </w:r>
      <w:r w:rsidRPr="001E796A">
        <w:t xml:space="preserve">which were used for experiments. Mice were housed under a 12-hour light/dark cycle in a temperature-controlled </w:t>
      </w:r>
      <w:r>
        <w:t xml:space="preserve">(22-23 </w:t>
      </w:r>
      <w:r>
        <w:rPr>
          <w:vertAlign w:val="superscript"/>
        </w:rPr>
        <w:t>o</w:t>
      </w:r>
      <w:r>
        <w:t xml:space="preserve">C) </w:t>
      </w:r>
      <w:r w:rsidRPr="001E796A">
        <w:t xml:space="preserve">facility. Mice were provided </w:t>
      </w:r>
      <w:r w:rsidRPr="007D1C2E">
        <w:rPr>
          <w:i/>
          <w:iCs/>
        </w:rPr>
        <w:t xml:space="preserve">ad </w:t>
      </w:r>
      <w:r w:rsidR="007D1C2E" w:rsidRPr="007D1C2E">
        <w:rPr>
          <w:i/>
          <w:iCs/>
        </w:rPr>
        <w:t>libitum</w:t>
      </w:r>
      <w:r w:rsidR="007D1C2E" w:rsidRPr="001E796A">
        <w:t xml:space="preserve"> </w:t>
      </w:r>
      <w:r w:rsidRPr="001E796A">
        <w:t>access to a standard chow diet and water. All experimental procedures were approved by the Institutional Animal Care and Use Committee (</w:t>
      </w:r>
      <w:r>
        <w:t>I</w:t>
      </w:r>
      <w:r w:rsidRPr="001E796A">
        <w:t>ACUC) at the University of Tennessee</w:t>
      </w:r>
      <w:r>
        <w:t xml:space="preserve"> (Protocol# 2320)</w:t>
      </w:r>
      <w:r w:rsidRPr="001E796A">
        <w:t xml:space="preserve"> and complied with institutional and national guidelines for the ethical use of animals. </w:t>
      </w:r>
    </w:p>
    <w:p w14:paraId="25676A1F" w14:textId="77777777" w:rsidR="000114E2" w:rsidRPr="001E796A" w:rsidRDefault="000114E2" w:rsidP="00847BA5">
      <w:pPr>
        <w:pStyle w:val="Heading3"/>
        <w:jc w:val="left"/>
      </w:pPr>
      <w:bookmarkStart w:id="96" w:name="_Toc204848647"/>
      <w:bookmarkStart w:id="97" w:name="_Toc190984269"/>
      <w:bookmarkStart w:id="98" w:name="_Toc200810406"/>
      <w:bookmarkStart w:id="99" w:name="_Toc201001683"/>
      <w:r w:rsidRPr="001E796A">
        <w:t xml:space="preserve">Indirect </w:t>
      </w:r>
      <w:r>
        <w:t>C</w:t>
      </w:r>
      <w:r w:rsidRPr="001E796A">
        <w:t>alorimetry</w:t>
      </w:r>
      <w:bookmarkEnd w:id="96"/>
      <w:r w:rsidRPr="001E796A">
        <w:t xml:space="preserve"> </w:t>
      </w:r>
      <w:bookmarkEnd w:id="97"/>
      <w:bookmarkEnd w:id="98"/>
      <w:bookmarkEnd w:id="99"/>
    </w:p>
    <w:p w14:paraId="0B5EDF9D" w14:textId="66B05D2D" w:rsidR="000114E2" w:rsidRPr="001E796A" w:rsidRDefault="000114E2" w:rsidP="00F5471F">
      <w:pPr>
        <w:ind w:firstLine="720"/>
        <w:jc w:val="left"/>
      </w:pPr>
      <w:r w:rsidRPr="001E796A">
        <w:t xml:space="preserve">Heat production was assessed using the Comprehensive Lab Animal Monitoring System (CLAMS, Columbus Instruments, Columbus, OH, USA). Mice were individually housed in metabolic chambers under a 12-hour light/dark cycle in a temperature-controlled environment with </w:t>
      </w:r>
      <w:r w:rsidRPr="008F3CC3">
        <w:rPr>
          <w:i/>
          <w:iCs/>
        </w:rPr>
        <w:t>a</w:t>
      </w:r>
      <w:r w:rsidR="007D1C2E">
        <w:rPr>
          <w:i/>
          <w:iCs/>
        </w:rPr>
        <w:t>d</w:t>
      </w:r>
      <w:r w:rsidRPr="008F3CC3">
        <w:rPr>
          <w:i/>
          <w:iCs/>
        </w:rPr>
        <w:t xml:space="preserve"> libitum</w:t>
      </w:r>
      <w:r w:rsidRPr="001E796A">
        <w:t xml:space="preserve"> access to food and water. Mice remained in the system for 72 </w:t>
      </w:r>
      <w:r>
        <w:t>hr</w:t>
      </w:r>
      <w:r w:rsidRPr="001E796A">
        <w:t>, with an initial 24-</w:t>
      </w:r>
      <w:r w:rsidR="007D1C2E">
        <w:t>h</w:t>
      </w:r>
      <w:r w:rsidRPr="001E796A">
        <w:t>r acclimation period followed by 48 hours of continuous metabolic measurements.</w:t>
      </w:r>
    </w:p>
    <w:p w14:paraId="51B52DED" w14:textId="77777777" w:rsidR="000114E2" w:rsidRPr="001E796A" w:rsidRDefault="000114E2" w:rsidP="00847BA5">
      <w:pPr>
        <w:pStyle w:val="Heading3"/>
        <w:jc w:val="left"/>
      </w:pPr>
      <w:bookmarkStart w:id="100" w:name="_Toc190984270"/>
      <w:bookmarkStart w:id="101" w:name="_Toc200810407"/>
      <w:bookmarkStart w:id="102" w:name="_Toc201001684"/>
      <w:bookmarkStart w:id="103" w:name="_Toc204848648"/>
      <w:r w:rsidRPr="001E796A">
        <w:lastRenderedPageBreak/>
        <w:t xml:space="preserve">Cold </w:t>
      </w:r>
      <w:r>
        <w:t>T</w:t>
      </w:r>
      <w:r w:rsidRPr="001E796A">
        <w:t xml:space="preserve">olerance </w:t>
      </w:r>
      <w:r>
        <w:t>T</w:t>
      </w:r>
      <w:r w:rsidRPr="001E796A">
        <w:t>est</w:t>
      </w:r>
      <w:bookmarkEnd w:id="100"/>
      <w:bookmarkEnd w:id="101"/>
      <w:bookmarkEnd w:id="102"/>
      <w:bookmarkEnd w:id="103"/>
    </w:p>
    <w:p w14:paraId="2EAFB72A" w14:textId="1539460A" w:rsidR="000114E2" w:rsidRPr="001E796A" w:rsidRDefault="000114E2" w:rsidP="00F5471F">
      <w:pPr>
        <w:ind w:firstLine="720"/>
        <w:jc w:val="left"/>
      </w:pPr>
      <w:r w:rsidRPr="001E796A">
        <w:t xml:space="preserve">Mice were individually housed in pre-cooled cages at 4°C without bedding. Mice had </w:t>
      </w:r>
      <w:r w:rsidRPr="008F3CC3">
        <w:rPr>
          <w:i/>
          <w:iCs/>
        </w:rPr>
        <w:t>a</w:t>
      </w:r>
      <w:r w:rsidR="007D1C2E">
        <w:rPr>
          <w:i/>
          <w:iCs/>
        </w:rPr>
        <w:t>d</w:t>
      </w:r>
      <w:r w:rsidRPr="008F3CC3">
        <w:rPr>
          <w:i/>
          <w:iCs/>
        </w:rPr>
        <w:t xml:space="preserve"> libitum</w:t>
      </w:r>
      <w:r w:rsidRPr="001E796A">
        <w:t xml:space="preserve"> access to food and water. Core body temperature was measured at 0 min, 30 min, </w:t>
      </w:r>
      <w:r>
        <w:rPr>
          <w:rFonts w:hint="eastAsia"/>
          <w:lang w:eastAsia="zh-CN"/>
        </w:rPr>
        <w:t>1</w:t>
      </w:r>
      <w:r>
        <w:rPr>
          <w:lang w:eastAsia="zh-CN"/>
        </w:rPr>
        <w:t xml:space="preserve"> hr</w:t>
      </w:r>
      <w:r w:rsidRPr="001E796A">
        <w:t xml:space="preserve">, 2 hr, 3 hr, </w:t>
      </w:r>
      <w:r>
        <w:t xml:space="preserve">and </w:t>
      </w:r>
      <w:r>
        <w:rPr>
          <w:rFonts w:hint="eastAsia"/>
          <w:lang w:eastAsia="zh-CN"/>
        </w:rPr>
        <w:t>4</w:t>
      </w:r>
      <w:r w:rsidRPr="001E796A">
        <w:t xml:space="preserve"> hr using a rectal thermometer (Physitemp Instruments, Clifton, NJ). Mice were immediately returned to room temperature (</w:t>
      </w:r>
      <w:r>
        <w:rPr>
          <w:rFonts w:ascii="Symbol" w:eastAsia="Symbol" w:hAnsi="Symbol" w:cs="Symbol"/>
        </w:rPr>
        <w:t>~</w:t>
      </w:r>
      <w:r w:rsidRPr="001E796A">
        <w:t xml:space="preserve">22°C) if their temperature fell below </w:t>
      </w:r>
      <w:r>
        <w:t xml:space="preserve">30 </w:t>
      </w:r>
      <w:r w:rsidRPr="001E796A">
        <w:t>°C</w:t>
      </w:r>
      <w:r w:rsidR="009971CC">
        <w:t xml:space="preserve"> and were removed from the test</w:t>
      </w:r>
      <w:r w:rsidR="00CE4693">
        <w:t>.</w:t>
      </w:r>
    </w:p>
    <w:p w14:paraId="26128679" w14:textId="77777777" w:rsidR="000114E2" w:rsidRPr="001E796A" w:rsidRDefault="000114E2" w:rsidP="00847BA5">
      <w:pPr>
        <w:pStyle w:val="Heading3"/>
        <w:jc w:val="left"/>
      </w:pPr>
      <w:bookmarkStart w:id="104" w:name="_Toc190984271"/>
      <w:bookmarkStart w:id="105" w:name="_Toc200810408"/>
      <w:bookmarkStart w:id="106" w:name="_Toc201001685"/>
      <w:bookmarkStart w:id="107" w:name="_Toc204848649"/>
      <w:r w:rsidRPr="001E796A">
        <w:t xml:space="preserve">Body </w:t>
      </w:r>
      <w:r>
        <w:t>W</w:t>
      </w:r>
      <w:r w:rsidRPr="001E796A">
        <w:t xml:space="preserve">eight and </w:t>
      </w:r>
      <w:r>
        <w:t>T</w:t>
      </w:r>
      <w:r w:rsidRPr="001E796A">
        <w:t xml:space="preserve">issue </w:t>
      </w:r>
      <w:r>
        <w:t>C</w:t>
      </w:r>
      <w:r w:rsidRPr="001E796A">
        <w:t>ollection</w:t>
      </w:r>
      <w:bookmarkEnd w:id="104"/>
      <w:bookmarkEnd w:id="105"/>
      <w:bookmarkEnd w:id="106"/>
      <w:bookmarkEnd w:id="107"/>
    </w:p>
    <w:p w14:paraId="2FBD9CFC" w14:textId="77AE97B6" w:rsidR="000114E2" w:rsidRPr="001E796A" w:rsidRDefault="008E1975" w:rsidP="00F5471F">
      <w:pPr>
        <w:ind w:firstLine="720"/>
        <w:jc w:val="left"/>
      </w:pPr>
      <w:r w:rsidRPr="001E796A">
        <w:t>At 1</w:t>
      </w:r>
      <w:r>
        <w:t>3</w:t>
      </w:r>
      <w:r w:rsidRPr="001E796A">
        <w:t>-1</w:t>
      </w:r>
      <w:r>
        <w:t>5</w:t>
      </w:r>
      <w:r w:rsidRPr="001E796A">
        <w:t xml:space="preserve"> weeks of age, mice were fasted for 12-15 h</w:t>
      </w:r>
      <w:r>
        <w:t>r</w:t>
      </w:r>
      <w:r w:rsidRPr="001E796A">
        <w:t xml:space="preserve"> and euthanized via CO₂ asphyxiation followed by cervical dislocation. Body weight was recorded to the nearest 0.1 g using a scale. </w:t>
      </w:r>
      <w:r>
        <w:t>Various fat pads, including gonadal WAT (gWAT) and inguinal s</w:t>
      </w:r>
      <w:r w:rsidRPr="001E796A">
        <w:t xml:space="preserve">ubcutaneous </w:t>
      </w:r>
      <w:r>
        <w:t>WAT</w:t>
      </w:r>
      <w:r w:rsidRPr="001E796A">
        <w:t xml:space="preserve"> </w:t>
      </w:r>
      <w:r>
        <w:t xml:space="preserve">(sWAT) </w:t>
      </w:r>
      <w:r w:rsidRPr="001E796A">
        <w:t xml:space="preserve">and </w:t>
      </w:r>
      <w:r>
        <w:t>interscapular BAT,</w:t>
      </w:r>
      <w:r w:rsidRPr="001E796A">
        <w:t xml:space="preserve"> were dissected, cleared of connective tissue, and weighed. </w:t>
      </w:r>
    </w:p>
    <w:p w14:paraId="183C3EE6" w14:textId="77777777" w:rsidR="000114E2" w:rsidRPr="001E796A" w:rsidRDefault="000114E2" w:rsidP="00847BA5">
      <w:pPr>
        <w:pStyle w:val="Heading3"/>
        <w:jc w:val="left"/>
      </w:pPr>
      <w:bookmarkStart w:id="108" w:name="_Toc190984272"/>
      <w:bookmarkStart w:id="109" w:name="_Toc200810409"/>
      <w:bookmarkStart w:id="110" w:name="_Toc201001686"/>
      <w:bookmarkStart w:id="111" w:name="_Toc204848650"/>
      <w:r>
        <w:t>Western</w:t>
      </w:r>
      <w:r w:rsidRPr="001E796A">
        <w:t xml:space="preserve"> </w:t>
      </w:r>
      <w:r>
        <w:t>A</w:t>
      </w:r>
      <w:r w:rsidRPr="001E796A">
        <w:t>nalysis</w:t>
      </w:r>
      <w:bookmarkEnd w:id="108"/>
      <w:bookmarkEnd w:id="109"/>
      <w:bookmarkEnd w:id="110"/>
      <w:bookmarkEnd w:id="111"/>
    </w:p>
    <w:p w14:paraId="5A45BEBE" w14:textId="77777777" w:rsidR="000114E2" w:rsidRPr="001E796A" w:rsidRDefault="000114E2" w:rsidP="00F5471F">
      <w:pPr>
        <w:ind w:firstLine="720"/>
        <w:jc w:val="left"/>
      </w:pPr>
      <w:r w:rsidRPr="001E796A">
        <w:t xml:space="preserve">BAT and sWAT samples were homogenized in ice-cold RIPA lysis buffer (Cell Signaling, Danvers, MA). </w:t>
      </w:r>
      <w:r>
        <w:t>Tissue h</w:t>
      </w:r>
      <w:r w:rsidRPr="001E796A">
        <w:t xml:space="preserve">omogenates were centrifuged at 12,000 × g for 15 minutes at 4°C, and supernatants were stored at -80°C. Protein concentrations were determined via Pierce™ BCA protein assay kit (ThermoFisher Scientific, Waltham, MA). Equal amounts of protein were separated on 10% SDS-PAGE gels and transferred to PVDF membranes. Membranes were blocked with 5% non-fat milk in TBST (Tris-buffered saline with 0.1% Tween-20) for 1 hour and incubated overnight at 4°C with primary antibodies: Anti-PGC1α (1:1000; </w:t>
      </w:r>
      <w:r w:rsidRPr="006005D8">
        <w:t xml:space="preserve">Cat# </w:t>
      </w:r>
      <w:r>
        <w:t xml:space="preserve">AB3242; </w:t>
      </w:r>
      <w:r w:rsidRPr="001E796A">
        <w:t>Millipore Sigma), Anti-UCP1 (1:1000;</w:t>
      </w:r>
      <w:r>
        <w:t xml:space="preserve"> </w:t>
      </w:r>
      <w:r w:rsidRPr="006005D8">
        <w:t>Cat#</w:t>
      </w:r>
      <w:r>
        <w:t xml:space="preserve"> U6382; Sigma Aldrich</w:t>
      </w:r>
      <w:r w:rsidRPr="001E796A">
        <w:t xml:space="preserve">), </w:t>
      </w:r>
      <w:r w:rsidRPr="006005D8">
        <w:t>anti-ERK</w:t>
      </w:r>
      <w:r>
        <w:t>1/</w:t>
      </w:r>
      <w:r w:rsidRPr="006005D8">
        <w:t>2 (</w:t>
      </w:r>
      <w:r>
        <w:t>1:2000</w:t>
      </w:r>
      <w:r w:rsidRPr="006005D8">
        <w:t>; Cat#</w:t>
      </w:r>
      <w:r>
        <w:t xml:space="preserve"> </w:t>
      </w:r>
      <w:r w:rsidRPr="006005D8">
        <w:t>9102S</w:t>
      </w:r>
      <w:r>
        <w:t xml:space="preserve">; </w:t>
      </w:r>
      <w:r w:rsidRPr="001E796A">
        <w:t>Cell Signaling Technology</w:t>
      </w:r>
      <w:r w:rsidRPr="006005D8">
        <w:t>)</w:t>
      </w:r>
      <w:r w:rsidRPr="001E5B86">
        <w:t xml:space="preserve"> </w:t>
      </w:r>
      <w:r>
        <w:t xml:space="preserve">or </w:t>
      </w:r>
      <w:r w:rsidRPr="006005D8">
        <w:t>anti-ERK1</w:t>
      </w:r>
      <w:r>
        <w:t>/2</w:t>
      </w:r>
      <w:r w:rsidRPr="006005D8">
        <w:t xml:space="preserve"> (</w:t>
      </w:r>
      <w:r>
        <w:t>1:2000</w:t>
      </w:r>
      <w:r w:rsidRPr="006005D8">
        <w:t>; Cat# 4695S</w:t>
      </w:r>
      <w:r>
        <w:t xml:space="preserve">; </w:t>
      </w:r>
      <w:r w:rsidRPr="006005D8">
        <w:t>C</w:t>
      </w:r>
      <w:r>
        <w:t xml:space="preserve">ell </w:t>
      </w:r>
      <w:r w:rsidRPr="006005D8">
        <w:t>S</w:t>
      </w:r>
      <w:r>
        <w:t xml:space="preserve">ignaling </w:t>
      </w:r>
      <w:r w:rsidRPr="006005D8">
        <w:t>T</w:t>
      </w:r>
      <w:r>
        <w:t>echnology</w:t>
      </w:r>
      <w:r w:rsidRPr="006005D8">
        <w:t>)</w:t>
      </w:r>
      <w:r w:rsidRPr="001E796A">
        <w:t xml:space="preserve">. After washing, membranes were incubated with HRP-conjugated secondary </w:t>
      </w:r>
      <w:r w:rsidRPr="001E796A">
        <w:lastRenderedPageBreak/>
        <w:t>antibodies (1:4000</w:t>
      </w:r>
      <w:r w:rsidRPr="006005D8">
        <w:t>; Cat# 7074S</w:t>
      </w:r>
      <w:r>
        <w:t xml:space="preserve">; </w:t>
      </w:r>
      <w:r w:rsidRPr="006005D8">
        <w:t>C</w:t>
      </w:r>
      <w:r>
        <w:t xml:space="preserve">ell </w:t>
      </w:r>
      <w:r w:rsidRPr="006005D8">
        <w:t>S</w:t>
      </w:r>
      <w:r>
        <w:t xml:space="preserve">ignaling </w:t>
      </w:r>
      <w:r w:rsidRPr="006005D8">
        <w:t>T</w:t>
      </w:r>
      <w:r>
        <w:t>echnology</w:t>
      </w:r>
      <w:r w:rsidRPr="006005D8">
        <w:t xml:space="preserve">) </w:t>
      </w:r>
      <w:r w:rsidRPr="001E796A">
        <w:t>for 1 hour at room temperature. Protein bands were visualized using SuperSignal West Pico Chemiluminescent Substrate (ThermoFisher Scientific, Waltham, MA) and ChemiDoc XRS+ system (Bio-Rad, Hercules, CA). The densitometry of bands was quantified by ImageJ</w:t>
      </w:r>
      <w:r>
        <w:t xml:space="preserve"> (NIH, Bethesda, MD).</w:t>
      </w:r>
    </w:p>
    <w:p w14:paraId="40B359E9" w14:textId="77777777" w:rsidR="000114E2" w:rsidRPr="001E796A" w:rsidRDefault="000114E2" w:rsidP="00847BA5">
      <w:pPr>
        <w:pStyle w:val="Heading3"/>
        <w:jc w:val="left"/>
      </w:pPr>
      <w:bookmarkStart w:id="112" w:name="_Toc190984273"/>
      <w:bookmarkStart w:id="113" w:name="_Toc200810410"/>
      <w:bookmarkStart w:id="114" w:name="_Toc201001687"/>
      <w:bookmarkStart w:id="115" w:name="_Toc204848651"/>
      <w:r w:rsidRPr="001E796A">
        <w:t xml:space="preserve">Statistical </w:t>
      </w:r>
      <w:r>
        <w:t>A</w:t>
      </w:r>
      <w:r w:rsidRPr="001E796A">
        <w:t>nalysis</w:t>
      </w:r>
      <w:bookmarkEnd w:id="112"/>
      <w:bookmarkEnd w:id="113"/>
      <w:bookmarkEnd w:id="114"/>
      <w:bookmarkEnd w:id="115"/>
    </w:p>
    <w:p w14:paraId="3B8D2626" w14:textId="71FEE1B8" w:rsidR="000114E2" w:rsidRPr="001E796A" w:rsidRDefault="000114E2" w:rsidP="00F5471F">
      <w:pPr>
        <w:ind w:firstLine="720"/>
        <w:jc w:val="left"/>
      </w:pPr>
      <w:r w:rsidRPr="001E796A">
        <w:t xml:space="preserve">Data are </w:t>
      </w:r>
      <w:r>
        <w:rPr>
          <w:rFonts w:hint="eastAsia"/>
          <w:lang w:eastAsia="zh-CN"/>
        </w:rPr>
        <w:t>presented</w:t>
      </w:r>
      <w:r w:rsidRPr="001E796A">
        <w:t xml:space="preserve"> as mean ± SEM. </w:t>
      </w:r>
      <w:r>
        <w:t>One-way ANOVA</w:t>
      </w:r>
      <w:r w:rsidRPr="001E796A">
        <w:t xml:space="preserve"> was used for</w:t>
      </w:r>
      <w:r>
        <w:t xml:space="preserve"> </w:t>
      </w:r>
      <w:r w:rsidRPr="00E055E8">
        <w:rPr>
          <w:b/>
          <w:bCs/>
          <w:color w:val="000000" w:themeColor="text1"/>
        </w:rPr>
        <w:t xml:space="preserve">Figures </w:t>
      </w:r>
      <w:r w:rsidR="00132D78" w:rsidRPr="00E055E8">
        <w:rPr>
          <w:b/>
          <w:bCs/>
          <w:color w:val="000000" w:themeColor="text1"/>
        </w:rPr>
        <w:t>3.</w:t>
      </w:r>
      <w:r w:rsidRPr="00E055E8">
        <w:rPr>
          <w:b/>
          <w:bCs/>
          <w:color w:val="000000" w:themeColor="text1"/>
        </w:rPr>
        <w:t>1</w:t>
      </w:r>
      <w:r w:rsidR="00EF09AF" w:rsidRPr="00E055E8">
        <w:rPr>
          <w:b/>
          <w:bCs/>
          <w:color w:val="000000" w:themeColor="text1"/>
        </w:rPr>
        <w:t xml:space="preserve">, </w:t>
      </w:r>
      <w:r w:rsidR="00132D78" w:rsidRPr="00E055E8">
        <w:rPr>
          <w:b/>
          <w:bCs/>
        </w:rPr>
        <w:t>3.3</w:t>
      </w:r>
      <w:r w:rsidR="00EF09AF" w:rsidRPr="00E055E8">
        <w:rPr>
          <w:b/>
          <w:bCs/>
        </w:rPr>
        <w:t>,</w:t>
      </w:r>
      <w:r w:rsidR="00EF09AF">
        <w:t xml:space="preserve"> and </w:t>
      </w:r>
      <w:r w:rsidR="00EF09AF" w:rsidRPr="00E055E8">
        <w:rPr>
          <w:b/>
          <w:bCs/>
        </w:rPr>
        <w:t>3.</w:t>
      </w:r>
      <w:r w:rsidR="00E055E8" w:rsidRPr="00E055E8">
        <w:rPr>
          <w:b/>
          <w:bCs/>
        </w:rPr>
        <w:t>4</w:t>
      </w:r>
      <w:r w:rsidRPr="001E796A">
        <w:t xml:space="preserve">. </w:t>
      </w:r>
      <w:r>
        <w:t xml:space="preserve">Two-way ANOVA was used for </w:t>
      </w:r>
      <w:r w:rsidRPr="00E055E8">
        <w:rPr>
          <w:b/>
          <w:bCs/>
        </w:rPr>
        <w:t xml:space="preserve">Figures </w:t>
      </w:r>
      <w:r w:rsidR="00EF09AF" w:rsidRPr="00E055E8">
        <w:rPr>
          <w:b/>
          <w:bCs/>
        </w:rPr>
        <w:t>3.2, 3.5</w:t>
      </w:r>
      <w:r>
        <w:t xml:space="preserve"> and </w:t>
      </w:r>
      <w:r w:rsidR="00EF09AF" w:rsidRPr="00E055E8">
        <w:rPr>
          <w:b/>
          <w:bCs/>
        </w:rPr>
        <w:t>3.6</w:t>
      </w:r>
      <w:r>
        <w:t xml:space="preserve">. </w:t>
      </w:r>
      <w:r w:rsidRPr="001E796A">
        <w:t>A p-value &lt; 0.05 was considered statistically significant. All analyses were performed using GraphPad Prism (GraphPad Software, San Diego, CA).</w:t>
      </w:r>
    </w:p>
    <w:p w14:paraId="30FD45DD" w14:textId="49CBA8BD" w:rsidR="000114E2" w:rsidRPr="001E796A" w:rsidRDefault="000114E2" w:rsidP="00847BA5">
      <w:pPr>
        <w:pStyle w:val="Heading2"/>
        <w:jc w:val="left"/>
      </w:pPr>
      <w:bookmarkStart w:id="116" w:name="_Toc190984274"/>
      <w:bookmarkStart w:id="117" w:name="_Toc200810411"/>
      <w:bookmarkStart w:id="118" w:name="_Toc201001688"/>
      <w:bookmarkStart w:id="119" w:name="_Toc204848652"/>
      <w:r w:rsidRPr="001E796A">
        <w:t>Results</w:t>
      </w:r>
      <w:bookmarkEnd w:id="116"/>
      <w:bookmarkEnd w:id="117"/>
      <w:bookmarkEnd w:id="118"/>
      <w:bookmarkEnd w:id="119"/>
    </w:p>
    <w:p w14:paraId="7F6E02C0" w14:textId="77777777" w:rsidR="000114E2" w:rsidRPr="001E796A" w:rsidRDefault="000114E2" w:rsidP="00847BA5">
      <w:pPr>
        <w:pStyle w:val="Heading3"/>
        <w:jc w:val="left"/>
      </w:pPr>
      <w:bookmarkStart w:id="120" w:name="_Toc190984275"/>
      <w:bookmarkStart w:id="121" w:name="_Toc200810412"/>
      <w:bookmarkStart w:id="122" w:name="_Toc201001689"/>
      <w:bookmarkStart w:id="123" w:name="_Toc204848653"/>
      <w:r w:rsidRPr="001E796A">
        <w:t xml:space="preserve">Body </w:t>
      </w:r>
      <w:r>
        <w:t>W</w:t>
      </w:r>
      <w:r w:rsidRPr="001E796A">
        <w:t xml:space="preserve">eight and </w:t>
      </w:r>
      <w:r>
        <w:t>A</w:t>
      </w:r>
      <w:r w:rsidRPr="001E796A">
        <w:t xml:space="preserve">dipose </w:t>
      </w:r>
      <w:r>
        <w:t>T</w:t>
      </w:r>
      <w:r w:rsidRPr="001E796A">
        <w:t xml:space="preserve">issue </w:t>
      </w:r>
      <w:r>
        <w:t>M</w:t>
      </w:r>
      <w:r w:rsidRPr="001E796A">
        <w:t>ass</w:t>
      </w:r>
      <w:bookmarkEnd w:id="120"/>
      <w:bookmarkEnd w:id="121"/>
      <w:bookmarkEnd w:id="122"/>
      <w:bookmarkEnd w:id="123"/>
    </w:p>
    <w:p w14:paraId="3FC365B9" w14:textId="034A0218" w:rsidR="00D32065" w:rsidRDefault="00D32065" w:rsidP="00F5471F">
      <w:pPr>
        <w:ind w:firstLine="720"/>
        <w:jc w:val="left"/>
      </w:pPr>
      <w:r w:rsidRPr="001E796A">
        <w:t xml:space="preserve">Male and female </w:t>
      </w:r>
      <w:r>
        <w:t>wild-type</w:t>
      </w:r>
      <w:r w:rsidRPr="001E796A">
        <w:t xml:space="preserve"> (WT) and </w:t>
      </w:r>
      <w:r w:rsidRPr="00533304">
        <w:rPr>
          <w:i/>
        </w:rPr>
        <w:t>db/db</w:t>
      </w:r>
      <w:r w:rsidRPr="001E796A">
        <w:t xml:space="preserve"> mice were evaluated for body weight and adipose tissue mass at </w:t>
      </w:r>
      <w:r>
        <w:t>termination</w:t>
      </w:r>
      <w:r w:rsidRPr="001E796A">
        <w:t xml:space="preserve"> at </w:t>
      </w:r>
      <w:r>
        <w:t>13–15</w:t>
      </w:r>
      <w:r w:rsidRPr="001E796A">
        <w:t xml:space="preserve"> </w:t>
      </w:r>
      <w:r>
        <w:t>weeks</w:t>
      </w:r>
      <w:r w:rsidRPr="001E796A">
        <w:t xml:space="preserve"> of age. As </w:t>
      </w:r>
      <w:r>
        <w:t xml:space="preserve">reported previously </w:t>
      </w:r>
      <w:r>
        <w:fldChar w:fldCharType="begin"/>
      </w:r>
      <w:r w:rsidR="000A741B">
        <w:instrText xml:space="preserve"> ADDIN ZOTERO_ITEM CSL_CITATION {"citationID":"a1eg5an9mgs","properties":{"formattedCitation":"\\super 396\\nosupersub{}","plainCitation":"396","noteIndex":0},"citationItems":[{"id":391,"uris":["http://zotero.org/users/9622455/items/9GD2FCAG"],"itemData":{"id":391,"type":"article-journal","abstract":"Leptin-deficient ob/ob mice and leptin receptor-deficient db/db mice are commonly used mice models mimicking the conditions of obesity and type 2 diabetes development. However, although ob/ob and db/db mice are similarly gaining weight and developing massive obesity, db/db mice are more diabetic than ob/ob mice. It remains still unclear why targeting the same pathway—leptin signaling—leads to the development of two different phenotypes. Given that gut microbes dialogue with the host via different metabolites (e.g., short-chain fatty acids) but also contribute to the regulation of bile acids metabolism, we investigated whether inflammatory markers, bacterial components, bile acids, short-chain fatty acids, and gut microbes could contribute to explain the specific phenotype discriminating the onset of an obese and/or a diabetic state in ob/ob and db/db mice.","container-title":"Microbiome","DOI":"10.1186/s40168-021-01097-8","ISSN":"2049-2618","issue":"1","journalAbbreviation":"Microbiome","page":"147","source":"BioMed Central","title":"Novel insights into the genetically obese (ob/ob) and diabetic (db/db) mice: two sides of the same coin","title-short":"Novel insights into the genetically obese (ob/ob) and diabetic (db/db) mice","volume":"9","author":[{"family":"Suriano","given":"Francesco"},{"family":"Vieira-Silva","given":"Sara"},{"family":"Falony","given":"Gwen"},{"family":"Roumain","given":"Martin"},{"family":"Paquot","given":"Adrien"},{"family":"Pelicaen","given":"Rudy"},{"family":"Régnier","given":"Marion"},{"family":"Delzenne","given":"Nathalie M."},{"family":"Raes","given":"Jeroen"},{"family":"Muccioli","given":"Giulio G."},{"family":"Van Hul","given":"Matthias"},{"family":"Cani","given":"Patrice D."}],"issued":{"date-parts":[["2021",6,28]]}}}],"schema":"https://github.com/citation-style-language/schema/raw/master/csl-citation.json"} </w:instrText>
      </w:r>
      <w:r>
        <w:fldChar w:fldCharType="separate"/>
      </w:r>
      <w:r w:rsidR="000A741B" w:rsidRPr="000A741B">
        <w:rPr>
          <w:vertAlign w:val="superscript"/>
        </w:rPr>
        <w:t>396</w:t>
      </w:r>
      <w:r>
        <w:fldChar w:fldCharType="end"/>
      </w:r>
      <w:r w:rsidRPr="001E796A">
        <w:t xml:space="preserve">, </w:t>
      </w:r>
      <w:r>
        <w:t xml:space="preserve">the </w:t>
      </w:r>
      <w:r w:rsidRPr="00533304">
        <w:rPr>
          <w:i/>
        </w:rPr>
        <w:t>db/db</w:t>
      </w:r>
      <w:r w:rsidRPr="001E796A">
        <w:t xml:space="preserve"> mice had much greater body weight</w:t>
      </w:r>
      <w:r>
        <w:t>s</w:t>
      </w:r>
      <w:r w:rsidRPr="001E796A">
        <w:t xml:space="preserve"> than </w:t>
      </w:r>
      <w:r>
        <w:t xml:space="preserve">their </w:t>
      </w:r>
      <w:r w:rsidRPr="001E796A">
        <w:t xml:space="preserve">WT </w:t>
      </w:r>
      <w:r>
        <w:t xml:space="preserve">control </w:t>
      </w:r>
      <w:r w:rsidRPr="001E796A">
        <w:t>mice</w:t>
      </w:r>
      <w:r>
        <w:t xml:space="preserve"> in both sexes</w:t>
      </w:r>
      <w:r w:rsidRPr="001E796A">
        <w:t xml:space="preserve"> </w:t>
      </w:r>
      <w:r>
        <w:t>(</w:t>
      </w:r>
      <w:r>
        <w:rPr>
          <w:rFonts w:hint="eastAsia"/>
          <w:lang w:eastAsia="zh-CN"/>
        </w:rPr>
        <w:t xml:space="preserve">28.35 </w:t>
      </w:r>
      <w:r w:rsidR="00F5471F" w:rsidRPr="0007687B">
        <w:t>±</w:t>
      </w:r>
      <w:r>
        <w:rPr>
          <w:rFonts w:hint="eastAsia"/>
          <w:lang w:eastAsia="zh-CN"/>
        </w:rPr>
        <w:t xml:space="preserve"> 0.70</w:t>
      </w:r>
      <w:r>
        <w:rPr>
          <w:lang w:eastAsia="zh-CN"/>
        </w:rPr>
        <w:t xml:space="preserve"> g (M-WT), 22.02 </w:t>
      </w:r>
      <w:r w:rsidR="00F5471F" w:rsidRPr="0007687B">
        <w:t>±</w:t>
      </w:r>
      <w:r>
        <w:rPr>
          <w:lang w:eastAsia="zh-CN"/>
        </w:rPr>
        <w:t xml:space="preserve"> 0.56 g (F-WT), </w:t>
      </w:r>
      <w:r>
        <w:t xml:space="preserve">51.87 </w:t>
      </w:r>
      <w:r w:rsidR="00F5471F" w:rsidRPr="0007687B">
        <w:t>±</w:t>
      </w:r>
      <w:r>
        <w:t xml:space="preserve"> 0.8</w:t>
      </w:r>
      <w:r w:rsidR="00F5471F">
        <w:t>5</w:t>
      </w:r>
      <w:r>
        <w:t xml:space="preserve"> g (M-</w:t>
      </w:r>
      <w:r w:rsidRPr="00114BBD">
        <w:rPr>
          <w:i/>
          <w:iCs/>
        </w:rPr>
        <w:t>db/db</w:t>
      </w:r>
      <w:r>
        <w:t xml:space="preserve">), and </w:t>
      </w:r>
      <w:r>
        <w:rPr>
          <w:lang w:eastAsia="zh-CN"/>
        </w:rPr>
        <w:t xml:space="preserve">53.8 </w:t>
      </w:r>
      <w:r w:rsidR="00F5471F" w:rsidRPr="0007687B">
        <w:t>±</w:t>
      </w:r>
      <w:r>
        <w:rPr>
          <w:lang w:eastAsia="zh-CN"/>
        </w:rPr>
        <w:t xml:space="preserve"> 1.07 g (F-</w:t>
      </w:r>
      <w:r w:rsidRPr="00114BBD">
        <w:rPr>
          <w:i/>
          <w:iCs/>
          <w:lang w:eastAsia="zh-CN"/>
        </w:rPr>
        <w:t>db/db</w:t>
      </w:r>
      <w:r>
        <w:rPr>
          <w:lang w:eastAsia="zh-CN"/>
        </w:rPr>
        <w:t xml:space="preserve">) </w:t>
      </w:r>
      <w:r w:rsidRPr="001E796A">
        <w:t>(</w:t>
      </w:r>
      <w:r w:rsidR="00AC7807" w:rsidRPr="00E055E8">
        <w:rPr>
          <w:b/>
          <w:bCs/>
        </w:rPr>
        <w:fldChar w:fldCharType="begin"/>
      </w:r>
      <w:r w:rsidR="00AC7807" w:rsidRPr="00E055E8">
        <w:rPr>
          <w:b/>
          <w:bCs/>
        </w:rPr>
        <w:instrText xml:space="preserve"> REF _Ref200803997 \h </w:instrText>
      </w:r>
      <w:r w:rsidR="00E055E8">
        <w:rPr>
          <w:b/>
          <w:bCs/>
        </w:rPr>
        <w:instrText xml:space="preserve"> \* MERGEFORMAT </w:instrText>
      </w:r>
      <w:r w:rsidR="00AC7807" w:rsidRPr="00E055E8">
        <w:rPr>
          <w:b/>
          <w:bCs/>
        </w:rPr>
      </w:r>
      <w:r w:rsidR="00AC7807" w:rsidRPr="00E055E8">
        <w:rPr>
          <w:b/>
          <w:bCs/>
        </w:rPr>
        <w:fldChar w:fldCharType="separate"/>
      </w:r>
      <w:r w:rsidR="00AC7807" w:rsidRPr="00E055E8">
        <w:rPr>
          <w:b/>
          <w:bCs/>
        </w:rPr>
        <w:t>Figure 3.</w:t>
      </w:r>
      <w:r w:rsidR="00AC7807" w:rsidRPr="00E055E8">
        <w:rPr>
          <w:b/>
          <w:bCs/>
          <w:noProof/>
        </w:rPr>
        <w:t>1</w:t>
      </w:r>
      <w:r w:rsidR="00AC7807" w:rsidRPr="00E055E8">
        <w:rPr>
          <w:b/>
          <w:bCs/>
        </w:rPr>
        <w:fldChar w:fldCharType="end"/>
      </w:r>
      <w:r w:rsidRPr="00E055E8">
        <w:rPr>
          <w:b/>
          <w:bCs/>
        </w:rPr>
        <w:t>A</w:t>
      </w:r>
      <w:r w:rsidRPr="001E796A">
        <w:t>)</w:t>
      </w:r>
      <w:r>
        <w:rPr>
          <w:lang w:eastAsia="zh-CN"/>
        </w:rPr>
        <w:t xml:space="preserve">. </w:t>
      </w:r>
      <w:r>
        <w:t>There were sex differences in WT mice</w:t>
      </w:r>
      <w:r w:rsidRPr="001E796A">
        <w:t xml:space="preserve">; female WT mice had </w:t>
      </w:r>
      <w:r>
        <w:t xml:space="preserve">significantly </w:t>
      </w:r>
      <w:r w:rsidRPr="001E796A">
        <w:t>lower body weight</w:t>
      </w:r>
      <w:r>
        <w:t>s</w:t>
      </w:r>
      <w:r w:rsidRPr="001E796A">
        <w:t xml:space="preserve"> compared to male WT mice</w:t>
      </w:r>
      <w:r>
        <w:t xml:space="preserve">; however, the sex differences in body weights were lost in the </w:t>
      </w:r>
      <w:r w:rsidRPr="00114BBD">
        <w:rPr>
          <w:i/>
          <w:iCs/>
        </w:rPr>
        <w:t>db/</w:t>
      </w:r>
      <w:r>
        <w:rPr>
          <w:i/>
          <w:iCs/>
        </w:rPr>
        <w:t>d</w:t>
      </w:r>
      <w:r w:rsidRPr="00114BBD">
        <w:rPr>
          <w:i/>
          <w:iCs/>
        </w:rPr>
        <w:t>b</w:t>
      </w:r>
      <w:r>
        <w:t xml:space="preserve"> mice (</w:t>
      </w:r>
      <w:r w:rsidR="00AC7807" w:rsidRPr="00E055E8">
        <w:rPr>
          <w:b/>
          <w:bCs/>
        </w:rPr>
        <w:fldChar w:fldCharType="begin"/>
      </w:r>
      <w:r w:rsidR="00AC7807" w:rsidRPr="00E055E8">
        <w:rPr>
          <w:b/>
          <w:bCs/>
        </w:rPr>
        <w:instrText xml:space="preserve"> REF _Ref200803997 \h </w:instrText>
      </w:r>
      <w:r w:rsidR="00E055E8">
        <w:rPr>
          <w:b/>
          <w:bCs/>
        </w:rPr>
        <w:instrText xml:space="preserve"> \* MERGEFORMAT </w:instrText>
      </w:r>
      <w:r w:rsidR="00AC7807" w:rsidRPr="00E055E8">
        <w:rPr>
          <w:b/>
          <w:bCs/>
        </w:rPr>
      </w:r>
      <w:r w:rsidR="00AC7807" w:rsidRPr="00E055E8">
        <w:rPr>
          <w:b/>
          <w:bCs/>
        </w:rPr>
        <w:fldChar w:fldCharType="separate"/>
      </w:r>
      <w:r w:rsidR="00AC7807" w:rsidRPr="00E055E8">
        <w:rPr>
          <w:b/>
          <w:bCs/>
        </w:rPr>
        <w:t>Figure 3.</w:t>
      </w:r>
      <w:r w:rsidR="00AC7807" w:rsidRPr="00E055E8">
        <w:rPr>
          <w:b/>
          <w:bCs/>
          <w:noProof/>
        </w:rPr>
        <w:t>1</w:t>
      </w:r>
      <w:r w:rsidR="00AC7807" w:rsidRPr="00E055E8">
        <w:rPr>
          <w:b/>
          <w:bCs/>
        </w:rPr>
        <w:fldChar w:fldCharType="end"/>
      </w:r>
      <w:r w:rsidRPr="00E055E8">
        <w:rPr>
          <w:b/>
          <w:bCs/>
        </w:rPr>
        <w:t>A</w:t>
      </w:r>
      <w:r>
        <w:t xml:space="preserve">). The </w:t>
      </w:r>
      <w:r>
        <w:rPr>
          <w:lang w:eastAsia="zh-CN"/>
        </w:rPr>
        <w:t xml:space="preserve">interscapular BAT weights were also significantly elevated in the </w:t>
      </w:r>
      <w:r w:rsidRPr="00533304">
        <w:rPr>
          <w:i/>
          <w:iCs/>
          <w:lang w:eastAsia="zh-CN"/>
        </w:rPr>
        <w:t>db/db</w:t>
      </w:r>
      <w:r>
        <w:rPr>
          <w:lang w:eastAsia="zh-CN"/>
        </w:rPr>
        <w:t xml:space="preserve"> mice compared to their WT controls in both sexes </w:t>
      </w:r>
      <w:r>
        <w:t xml:space="preserve">(0.134 </w:t>
      </w:r>
      <w:r w:rsidRPr="0007687B">
        <w:t>±</w:t>
      </w:r>
      <w:r>
        <w:t xml:space="preserve"> 0.01 </w:t>
      </w:r>
      <w:r w:rsidRPr="0007687B">
        <w:t>g</w:t>
      </w:r>
      <w:r>
        <w:t xml:space="preserve"> (M-WT), 0.10 </w:t>
      </w:r>
      <w:r w:rsidRPr="0007687B">
        <w:t>±</w:t>
      </w:r>
      <w:r>
        <w:t xml:space="preserve"> 0.01 </w:t>
      </w:r>
      <w:r w:rsidRPr="0007687B">
        <w:t>g</w:t>
      </w:r>
      <w:r>
        <w:t xml:space="preserve"> (F-WT), 0.42 </w:t>
      </w:r>
      <w:r w:rsidRPr="0007687B">
        <w:t>±</w:t>
      </w:r>
      <w:r>
        <w:t xml:space="preserve"> 0.02 g (M-</w:t>
      </w:r>
      <w:r w:rsidRPr="00114BBD">
        <w:rPr>
          <w:i/>
          <w:iCs/>
        </w:rPr>
        <w:t>db/db</w:t>
      </w:r>
      <w:r>
        <w:t xml:space="preserve">), and 0.52 </w:t>
      </w:r>
      <w:r w:rsidRPr="0007687B">
        <w:t>±</w:t>
      </w:r>
      <w:r>
        <w:t xml:space="preserve"> 0.05 g (F-</w:t>
      </w:r>
      <w:r w:rsidRPr="00114BBD">
        <w:rPr>
          <w:i/>
          <w:iCs/>
        </w:rPr>
        <w:t>db/db</w:t>
      </w:r>
      <w:r>
        <w:t xml:space="preserve">) </w:t>
      </w:r>
      <w:r>
        <w:rPr>
          <w:lang w:eastAsia="zh-CN"/>
        </w:rPr>
        <w:t>(</w:t>
      </w:r>
      <w:r w:rsidR="00AC7807" w:rsidRPr="00E055E8">
        <w:rPr>
          <w:b/>
          <w:bCs/>
        </w:rPr>
        <w:fldChar w:fldCharType="begin"/>
      </w:r>
      <w:r w:rsidR="00AC7807" w:rsidRPr="00E055E8">
        <w:rPr>
          <w:b/>
          <w:bCs/>
          <w:lang w:eastAsia="zh-CN"/>
        </w:rPr>
        <w:instrText xml:space="preserve"> REF _Ref200803997 \h </w:instrText>
      </w:r>
      <w:r w:rsidR="00E055E8">
        <w:rPr>
          <w:b/>
          <w:bCs/>
        </w:rPr>
        <w:instrText xml:space="preserve"> \* MERGEFORMAT </w:instrText>
      </w:r>
      <w:r w:rsidR="00AC7807" w:rsidRPr="00E055E8">
        <w:rPr>
          <w:b/>
          <w:bCs/>
        </w:rPr>
      </w:r>
      <w:r w:rsidR="00AC7807" w:rsidRPr="00E055E8">
        <w:rPr>
          <w:b/>
          <w:bCs/>
        </w:rPr>
        <w:fldChar w:fldCharType="separate"/>
      </w:r>
      <w:r w:rsidR="00AC7807" w:rsidRPr="00E055E8">
        <w:rPr>
          <w:b/>
          <w:bCs/>
        </w:rPr>
        <w:t>Figure 3.</w:t>
      </w:r>
      <w:r w:rsidR="00AC7807" w:rsidRPr="00E055E8">
        <w:rPr>
          <w:b/>
          <w:bCs/>
          <w:noProof/>
        </w:rPr>
        <w:t>1</w:t>
      </w:r>
      <w:r w:rsidR="00AC7807" w:rsidRPr="00E055E8">
        <w:rPr>
          <w:b/>
          <w:bCs/>
        </w:rPr>
        <w:fldChar w:fldCharType="end"/>
      </w:r>
      <w:r w:rsidRPr="00E055E8">
        <w:rPr>
          <w:b/>
          <w:bCs/>
        </w:rPr>
        <w:t>B</w:t>
      </w:r>
      <w:r>
        <w:t>)</w:t>
      </w:r>
      <w:r w:rsidRPr="0007687B">
        <w:t>.</w:t>
      </w:r>
      <w:r>
        <w:t xml:space="preserve"> Similarly, BAT weight/body weight percentages were also elevated </w:t>
      </w:r>
      <w:r w:rsidRPr="00605FA4">
        <w:t xml:space="preserve">in </w:t>
      </w:r>
      <w:r>
        <w:t xml:space="preserve">the </w:t>
      </w:r>
      <w:r w:rsidRPr="00533304">
        <w:rPr>
          <w:i/>
          <w:iCs/>
        </w:rPr>
        <w:t>db/db</w:t>
      </w:r>
      <w:r w:rsidRPr="00605FA4">
        <w:t xml:space="preserve"> mice of both sexes compared to WT controls </w:t>
      </w:r>
      <w:r>
        <w:t xml:space="preserve">(0.47 </w:t>
      </w:r>
      <w:r w:rsidRPr="00605FA4">
        <w:t>±</w:t>
      </w:r>
      <w:r>
        <w:t xml:space="preserve"> 0.03 </w:t>
      </w:r>
      <w:r w:rsidRPr="00605FA4">
        <w:t>% (M-WT)</w:t>
      </w:r>
      <w:r>
        <w:t xml:space="preserve">, 0.44 </w:t>
      </w:r>
      <w:r w:rsidRPr="00605FA4">
        <w:t>±</w:t>
      </w:r>
      <w:r>
        <w:t xml:space="preserve"> 0.02 </w:t>
      </w:r>
      <w:r w:rsidRPr="00605FA4">
        <w:t>% (F-WT)</w:t>
      </w:r>
      <w:r>
        <w:t>, 0.81</w:t>
      </w:r>
      <w:r w:rsidRPr="00605FA4">
        <w:t xml:space="preserve"> ±</w:t>
      </w:r>
      <w:r>
        <w:t xml:space="preserve"> 0.04 </w:t>
      </w:r>
      <w:r w:rsidRPr="00605FA4">
        <w:t>% (M-</w:t>
      </w:r>
      <w:r w:rsidRPr="00533304">
        <w:rPr>
          <w:i/>
          <w:iCs/>
        </w:rPr>
        <w:lastRenderedPageBreak/>
        <w:t>db/db</w:t>
      </w:r>
      <w:r w:rsidRPr="00605FA4">
        <w:t xml:space="preserve">), </w:t>
      </w:r>
      <w:r>
        <w:t xml:space="preserve">and 0.98 </w:t>
      </w:r>
      <w:r w:rsidRPr="00605FA4">
        <w:t>±</w:t>
      </w:r>
      <w:r>
        <w:t xml:space="preserve"> 0.10 </w:t>
      </w:r>
      <w:r w:rsidRPr="00605FA4">
        <w:t>% (F-</w:t>
      </w:r>
      <w:r w:rsidRPr="00533304">
        <w:rPr>
          <w:i/>
          <w:iCs/>
        </w:rPr>
        <w:t>db/db</w:t>
      </w:r>
      <w:r w:rsidRPr="00605FA4">
        <w:t>)</w:t>
      </w:r>
      <w:r>
        <w:t xml:space="preserve">) </w:t>
      </w:r>
      <w:r w:rsidRPr="00605FA4">
        <w:t>(</w:t>
      </w:r>
      <w:r w:rsidR="00AC7807" w:rsidRPr="00E055E8">
        <w:rPr>
          <w:b/>
          <w:bCs/>
        </w:rPr>
        <w:fldChar w:fldCharType="begin"/>
      </w:r>
      <w:r w:rsidR="00AC7807" w:rsidRPr="00E055E8">
        <w:rPr>
          <w:b/>
          <w:bCs/>
        </w:rPr>
        <w:instrText xml:space="preserve"> REF _Ref200803997 \h </w:instrText>
      </w:r>
      <w:r w:rsidR="00E055E8">
        <w:rPr>
          <w:b/>
          <w:bCs/>
        </w:rPr>
        <w:instrText xml:space="preserve"> \* MERGEFORMAT </w:instrText>
      </w:r>
      <w:r w:rsidR="00AC7807" w:rsidRPr="00E055E8">
        <w:rPr>
          <w:b/>
          <w:bCs/>
        </w:rPr>
      </w:r>
      <w:r w:rsidR="00AC7807" w:rsidRPr="00E055E8">
        <w:rPr>
          <w:b/>
          <w:bCs/>
        </w:rPr>
        <w:fldChar w:fldCharType="separate"/>
      </w:r>
      <w:r w:rsidR="00AC7807" w:rsidRPr="00E055E8">
        <w:rPr>
          <w:b/>
          <w:bCs/>
        </w:rPr>
        <w:t>Figure 3.</w:t>
      </w:r>
      <w:r w:rsidR="00AC7807" w:rsidRPr="00E055E8">
        <w:rPr>
          <w:b/>
          <w:bCs/>
          <w:noProof/>
        </w:rPr>
        <w:t>1</w:t>
      </w:r>
      <w:r w:rsidR="00AC7807" w:rsidRPr="00E055E8">
        <w:rPr>
          <w:b/>
          <w:bCs/>
        </w:rPr>
        <w:fldChar w:fldCharType="end"/>
      </w:r>
      <w:r w:rsidRPr="00E055E8">
        <w:rPr>
          <w:b/>
          <w:bCs/>
        </w:rPr>
        <w:t>C</w:t>
      </w:r>
      <w:r w:rsidRPr="00605FA4">
        <w:t>)</w:t>
      </w:r>
      <w:r>
        <w:t xml:space="preserve">. No sex differences in the BAT weight or BAT weight/body weight percentages were found in the WT or </w:t>
      </w:r>
      <w:r w:rsidRPr="00114BBD">
        <w:rPr>
          <w:i/>
          <w:iCs/>
        </w:rPr>
        <w:t>db/db</w:t>
      </w:r>
      <w:r>
        <w:t xml:space="preserve"> mice. As reported previously </w:t>
      </w:r>
      <w:r>
        <w:fldChar w:fldCharType="begin"/>
      </w:r>
      <w:r w:rsidR="000A741B">
        <w:instrText xml:space="preserve"> ADDIN ZOTERO_ITEM CSL_CITATION {"citationID":"a24kbgkp1vf","properties":{"formattedCitation":"\\super 397,398\\nosupersub{}","plainCitation":"397,398","noteIndex":0},"citationItems":[{"id":4185,"uris":["http://zotero.org/users/9622455/items/SX2ARMY7"],"itemData":{"id":4185,"type":"article-journal","abstract":"To understand features of human obesity and type 2 diabetes mellitus (T2D) that can be recapitulated in the mouse, we compared C57BL/6J mice fed a Western-style diet (WD) to weight-matched genetically obese leptin receptor-deficient mice (db/db). All mice were monitored for changes in body composition, glycemia, and total body mass. To objectively compare diet-induced and genetic models of obesity, tissue analyses were conducted using mice with similar body mass. We found that adipose tissue inflammation was present in both models of obesity. In addition, distinct alterations in metabolic flexibility were evident between WD-fed mice and db/db mice. Circulating insulin levels are elevated in each model of obesity, while glucagon was increased only in the db/db mice. Although both WD-fed and db/db mice exhibited adaptive increases in islet size, the db/db mice also displayed augmented islet expression of the dedifferentiation marker Aldh1a3 and reduced nuclear presence of the transcription factor Nkx6.1. Based on the collective results put forth herein, we conclude that db/db mice capture key features of human T2D that do not occur in WD-fed C57BL/6J mice of comparable body mass.","container-title":"Journal of Diabetes Research","DOI":"10.1155/2017/8503754","ISSN":"2314-6745","journalAbbreviation":"J Diabetes Res","note":"PMID: 29038790\nPMCID: PMC5606106","page":"8503754","source":"PubMed Central","title":"db/db Mice Exhibit Features of Human Type 2 Diabetes That Are Not Present in Weight-Matched C57BL/6J Mice Fed a Western Diet","volume":"2017","author":[{"family":"Burke","given":"Susan J."},{"family":"Batdorf","given":"Heidi M."},{"family":"Burk","given":"David H."},{"family":"Noland","given":"Robert C."},{"family":"Eder","given":"Adrianna E."},{"family":"Boulos","given":"Matthew S."},{"family":"Karlstad","given":"Michael D."},{"family":"Collier","given":"J. Jason"}],"issued":{"date-parts":[["2017"]]}}},{"id":4184,"uris":["http://zotero.org/users/9622455/items/XYWNEHLW"],"itemData":{"id":4184,"type":"article-journal","abstract":"Diabetes (db), which occurred in an inbred strain of mouse, is inherited as a unit autosomal recessive and is characterized by a metabolic disturbance resembling diabetes mellitus in man. Abnormal deposition of fat at 3 to 4 weeks of age is followed shortly by hyperglycemia, polyuria, and glycosuria. Accompanying morphological changes in the islets of Langerhans suggest neogenesis to compensate for insulin depletion.","container-title":"Science","DOI":"10.1126/science.153.3740.1127","issue":"3740","note":"publisher: American Association for the Advancement of Science","page":"1127-1128","source":"science.org (Atypon)","title":"Diabetes, a New Mutation in the Mouse","volume":"153","author":[{"family":"Hummel","given":"Katharine P."},{"family":"Dickie","given":"Margaret M."},{"family":"Coleman","given":"Douglas L."}],"issued":{"date-parts":[["1966",9,2]]}}}],"schema":"https://github.com/citation-style-language/schema/raw/master/csl-citation.json"} </w:instrText>
      </w:r>
      <w:r>
        <w:fldChar w:fldCharType="separate"/>
      </w:r>
      <w:r w:rsidR="000A741B" w:rsidRPr="000A741B">
        <w:rPr>
          <w:vertAlign w:val="superscript"/>
        </w:rPr>
        <w:t>397,398</w:t>
      </w:r>
      <w:r>
        <w:fldChar w:fldCharType="end"/>
      </w:r>
      <w:r>
        <w:t xml:space="preserve">, </w:t>
      </w:r>
      <w:r w:rsidRPr="00114BBD">
        <w:rPr>
          <w:i/>
          <w:iCs/>
        </w:rPr>
        <w:t>db/db</w:t>
      </w:r>
      <w:r>
        <w:t xml:space="preserve"> mice show elevated random blood glucose and insulin levels, regardless of sex </w:t>
      </w:r>
      <w:r w:rsidRPr="00E055E8">
        <w:t>(</w:t>
      </w:r>
      <w:r w:rsidR="00BB7BDE" w:rsidRPr="00E055E8">
        <w:rPr>
          <w:b/>
          <w:bCs/>
        </w:rPr>
        <w:fldChar w:fldCharType="begin"/>
      </w:r>
      <w:r w:rsidR="00BB7BDE" w:rsidRPr="00E055E8">
        <w:rPr>
          <w:b/>
          <w:bCs/>
        </w:rPr>
        <w:instrText xml:space="preserve"> REF _Ref204597660 \h </w:instrText>
      </w:r>
      <w:r w:rsidR="00E055E8">
        <w:rPr>
          <w:b/>
          <w:bCs/>
        </w:rPr>
        <w:instrText xml:space="preserve"> \* MERGEFORMAT </w:instrText>
      </w:r>
      <w:r w:rsidR="00BB7BDE" w:rsidRPr="00E055E8">
        <w:rPr>
          <w:b/>
          <w:bCs/>
        </w:rPr>
      </w:r>
      <w:r w:rsidR="00BB7BDE" w:rsidRPr="00E055E8">
        <w:rPr>
          <w:b/>
          <w:bCs/>
        </w:rPr>
        <w:fldChar w:fldCharType="separate"/>
      </w:r>
      <w:r w:rsidR="00BB7BDE" w:rsidRPr="00E055E8">
        <w:rPr>
          <w:b/>
          <w:bCs/>
        </w:rPr>
        <w:t xml:space="preserve">Figure </w:t>
      </w:r>
      <w:r w:rsidR="00BB7BDE" w:rsidRPr="00E055E8">
        <w:rPr>
          <w:b/>
          <w:bCs/>
          <w:noProof/>
        </w:rPr>
        <w:t>3</w:t>
      </w:r>
      <w:r w:rsidR="00BB7BDE" w:rsidRPr="00E055E8">
        <w:rPr>
          <w:b/>
          <w:bCs/>
        </w:rPr>
        <w:t>.</w:t>
      </w:r>
      <w:r w:rsidR="00BB7BDE" w:rsidRPr="00E055E8">
        <w:rPr>
          <w:b/>
          <w:bCs/>
          <w:noProof/>
        </w:rPr>
        <w:t>2</w:t>
      </w:r>
      <w:r w:rsidR="00BB7BDE" w:rsidRPr="00E055E8">
        <w:rPr>
          <w:b/>
          <w:bCs/>
        </w:rPr>
        <w:fldChar w:fldCharType="end"/>
      </w:r>
      <w:r>
        <w:t xml:space="preserve">). </w:t>
      </w:r>
    </w:p>
    <w:p w14:paraId="46224911" w14:textId="75CBBC8A" w:rsidR="00D32065" w:rsidRPr="001E796A" w:rsidRDefault="00D32065" w:rsidP="00F5471F">
      <w:pPr>
        <w:ind w:firstLine="720"/>
        <w:jc w:val="left"/>
      </w:pPr>
      <w:r>
        <w:t>Consistently, s</w:t>
      </w:r>
      <w:r w:rsidRPr="00AF7BA7">
        <w:t>ubcutaneous white adipose tissue (sWAT) weight</w:t>
      </w:r>
      <w:r>
        <w:t>s</w:t>
      </w:r>
      <w:r w:rsidRPr="00AF7BA7">
        <w:t xml:space="preserve"> w</w:t>
      </w:r>
      <w:r>
        <w:t>ere</w:t>
      </w:r>
      <w:r w:rsidRPr="00AF7BA7">
        <w:t xml:space="preserve"> significantly increased in</w:t>
      </w:r>
      <w:r>
        <w:t xml:space="preserve"> the</w:t>
      </w:r>
      <w:r w:rsidRPr="00AF7BA7">
        <w:t xml:space="preserve"> </w:t>
      </w:r>
      <w:r w:rsidRPr="00533304">
        <w:rPr>
          <w:i/>
          <w:iCs/>
        </w:rPr>
        <w:t>db/db</w:t>
      </w:r>
      <w:r w:rsidRPr="00AF7BA7">
        <w:t xml:space="preserve"> mice</w:t>
      </w:r>
      <w:r>
        <w:t xml:space="preserve"> compared to the WT mice</w:t>
      </w:r>
      <w:r w:rsidRPr="00AF7BA7">
        <w:t xml:space="preserve"> </w:t>
      </w:r>
      <w:r>
        <w:t xml:space="preserve">(0.57 </w:t>
      </w:r>
      <w:r w:rsidRPr="00AF7BA7">
        <w:t>±</w:t>
      </w:r>
      <w:r>
        <w:t xml:space="preserve"> 0.06 </w:t>
      </w:r>
      <w:r w:rsidRPr="00AF7BA7">
        <w:t>g</w:t>
      </w:r>
      <w:r>
        <w:t xml:space="preserve"> (</w:t>
      </w:r>
      <w:r w:rsidRPr="00AF7BA7">
        <w:t>M-WT</w:t>
      </w:r>
      <w:r>
        <w:t>),</w:t>
      </w:r>
      <w:r w:rsidRPr="00AF7BA7">
        <w:t xml:space="preserve"> </w:t>
      </w:r>
      <w:r>
        <w:t xml:space="preserve">0.51 </w:t>
      </w:r>
      <w:r w:rsidRPr="00AF7BA7">
        <w:t>±</w:t>
      </w:r>
      <w:r>
        <w:t xml:space="preserve"> 0.11 </w:t>
      </w:r>
      <w:r w:rsidRPr="00AF7BA7">
        <w:t xml:space="preserve">g </w:t>
      </w:r>
      <w:r>
        <w:t>(</w:t>
      </w:r>
      <w:r w:rsidRPr="00AF7BA7">
        <w:t>F-WT</w:t>
      </w:r>
      <w:r>
        <w:t xml:space="preserve">), 3.66 </w:t>
      </w:r>
      <w:r w:rsidRPr="00AF7BA7">
        <w:t>±</w:t>
      </w:r>
      <w:r>
        <w:t xml:space="preserve"> 0.11 </w:t>
      </w:r>
      <w:r w:rsidRPr="00AF7BA7">
        <w:t xml:space="preserve">g </w:t>
      </w:r>
      <w:r>
        <w:t>(M-</w:t>
      </w:r>
      <w:r w:rsidRPr="00114BBD">
        <w:rPr>
          <w:i/>
          <w:iCs/>
        </w:rPr>
        <w:t>db/db</w:t>
      </w:r>
      <w:r>
        <w:t xml:space="preserve">), 3.66 </w:t>
      </w:r>
      <w:r w:rsidRPr="00AF7BA7">
        <w:t>±</w:t>
      </w:r>
      <w:r>
        <w:t xml:space="preserve"> 0.28 </w:t>
      </w:r>
      <w:r w:rsidRPr="00AF7BA7">
        <w:t>g</w:t>
      </w:r>
      <w:r>
        <w:t xml:space="preserve"> (F-</w:t>
      </w:r>
      <w:r w:rsidRPr="00114BBD">
        <w:rPr>
          <w:i/>
          <w:iCs/>
        </w:rPr>
        <w:t>db/db</w:t>
      </w:r>
      <w:r>
        <w:t xml:space="preserve">) </w:t>
      </w:r>
      <w:r w:rsidRPr="00AF7BA7">
        <w:t>(</w:t>
      </w:r>
      <w:r w:rsidRPr="00E055E8">
        <w:rPr>
          <w:b/>
          <w:bCs/>
        </w:rPr>
        <w:fldChar w:fldCharType="begin"/>
      </w:r>
      <w:r w:rsidRPr="00E055E8">
        <w:rPr>
          <w:b/>
          <w:bCs/>
        </w:rPr>
        <w:instrText xml:space="preserve"> REF _Ref200803997 \h </w:instrText>
      </w:r>
      <w:r w:rsidR="00E055E8">
        <w:rPr>
          <w:b/>
          <w:bCs/>
        </w:rPr>
        <w:instrText xml:space="preserve"> \* MERGEFORMAT </w:instrText>
      </w:r>
      <w:r w:rsidRPr="00E055E8">
        <w:rPr>
          <w:b/>
          <w:bCs/>
        </w:rPr>
      </w:r>
      <w:r w:rsidRPr="00E055E8">
        <w:rPr>
          <w:b/>
          <w:bCs/>
        </w:rPr>
        <w:fldChar w:fldCharType="separate"/>
      </w:r>
      <w:r w:rsidRPr="00E055E8">
        <w:rPr>
          <w:b/>
          <w:bCs/>
        </w:rPr>
        <w:t xml:space="preserve">Figure </w:t>
      </w:r>
      <w:r w:rsidRPr="00E055E8">
        <w:rPr>
          <w:b/>
          <w:bCs/>
          <w:noProof/>
        </w:rPr>
        <w:t>1</w:t>
      </w:r>
      <w:r w:rsidRPr="00E055E8">
        <w:rPr>
          <w:b/>
          <w:bCs/>
        </w:rPr>
        <w:fldChar w:fldCharType="end"/>
      </w:r>
      <w:r w:rsidRPr="00E055E8">
        <w:rPr>
          <w:b/>
          <w:bCs/>
        </w:rPr>
        <w:t>D</w:t>
      </w:r>
      <w:r w:rsidRPr="00AF7BA7">
        <w:t>)</w:t>
      </w:r>
      <w:r>
        <w:t>.</w:t>
      </w:r>
      <w:r w:rsidRPr="00AF7BA7">
        <w:t xml:space="preserve"> Similarly, sWAT</w:t>
      </w:r>
      <w:r>
        <w:t>/body weight percentages</w:t>
      </w:r>
      <w:r w:rsidRPr="00AF7BA7">
        <w:t xml:space="preserve"> w</w:t>
      </w:r>
      <w:r>
        <w:t>ere</w:t>
      </w:r>
      <w:r w:rsidRPr="00AF7BA7">
        <w:t xml:space="preserve"> higher in </w:t>
      </w:r>
      <w:r>
        <w:t xml:space="preserve">the </w:t>
      </w:r>
      <w:r w:rsidRPr="00533304">
        <w:rPr>
          <w:i/>
          <w:iCs/>
        </w:rPr>
        <w:t>db/db</w:t>
      </w:r>
      <w:r w:rsidRPr="00AF7BA7">
        <w:t xml:space="preserve"> mice</w:t>
      </w:r>
      <w:r>
        <w:t xml:space="preserve"> than the WT mice</w:t>
      </w:r>
      <w:r w:rsidRPr="00AF7BA7">
        <w:t xml:space="preserve"> </w:t>
      </w:r>
      <w:r>
        <w:t xml:space="preserve">(2.01 </w:t>
      </w:r>
      <w:r w:rsidRPr="00AF7BA7">
        <w:t>±</w:t>
      </w:r>
      <w:r>
        <w:t xml:space="preserve"> 0.23 </w:t>
      </w:r>
      <w:r w:rsidRPr="00AF7BA7">
        <w:t xml:space="preserve">% (M-WT), </w:t>
      </w:r>
      <w:r>
        <w:t xml:space="preserve">2.30 </w:t>
      </w:r>
      <w:r w:rsidRPr="00AF7BA7">
        <w:t>±</w:t>
      </w:r>
      <w:r>
        <w:t xml:space="preserve"> 0.28 </w:t>
      </w:r>
      <w:r w:rsidRPr="00AF7BA7">
        <w:t>% (F-WT)</w:t>
      </w:r>
      <w:r>
        <w:t xml:space="preserve">, 7.05 </w:t>
      </w:r>
      <w:r w:rsidRPr="00AF7BA7">
        <w:t>±</w:t>
      </w:r>
      <w:r>
        <w:t xml:space="preserve"> 0.18 </w:t>
      </w:r>
      <w:r w:rsidRPr="00AF7BA7">
        <w:t>% (M-</w:t>
      </w:r>
      <w:r w:rsidRPr="00533304">
        <w:rPr>
          <w:i/>
        </w:rPr>
        <w:t>db/db</w:t>
      </w:r>
      <w:r w:rsidRPr="00AF7BA7">
        <w:t xml:space="preserve">), </w:t>
      </w:r>
      <w:r>
        <w:t xml:space="preserve">and 6.80 </w:t>
      </w:r>
      <w:r w:rsidRPr="00AF7BA7">
        <w:t>±</w:t>
      </w:r>
      <w:r>
        <w:t xml:space="preserve"> 0.14 </w:t>
      </w:r>
      <w:r w:rsidRPr="00AF7BA7">
        <w:t>% (F-</w:t>
      </w:r>
      <w:r w:rsidRPr="00533304">
        <w:rPr>
          <w:i/>
        </w:rPr>
        <w:t>db/db</w:t>
      </w:r>
      <w:r w:rsidRPr="00AF7BA7">
        <w:t>)</w:t>
      </w:r>
      <w:r>
        <w:t xml:space="preserve">) </w:t>
      </w:r>
      <w:r w:rsidRPr="00AF7BA7">
        <w:t>(</w:t>
      </w:r>
      <w:r w:rsidR="00DE1DF9" w:rsidRPr="00E055E8">
        <w:rPr>
          <w:b/>
          <w:bCs/>
        </w:rPr>
        <w:fldChar w:fldCharType="begin"/>
      </w:r>
      <w:r w:rsidR="00DE1DF9" w:rsidRPr="00E055E8">
        <w:rPr>
          <w:b/>
          <w:bCs/>
        </w:rPr>
        <w:instrText xml:space="preserve"> REF _Ref204597761 \h </w:instrText>
      </w:r>
      <w:r w:rsidR="00E055E8">
        <w:rPr>
          <w:b/>
          <w:bCs/>
        </w:rPr>
        <w:instrText xml:space="preserve"> \* MERGEFORMAT </w:instrText>
      </w:r>
      <w:r w:rsidR="00DE1DF9" w:rsidRPr="00E055E8">
        <w:rPr>
          <w:b/>
          <w:bCs/>
        </w:rPr>
      </w:r>
      <w:r w:rsidR="00DE1DF9" w:rsidRPr="00E055E8">
        <w:rPr>
          <w:b/>
          <w:bCs/>
        </w:rPr>
        <w:fldChar w:fldCharType="separate"/>
      </w:r>
      <w:r w:rsidR="00DE1DF9" w:rsidRPr="00E055E8">
        <w:rPr>
          <w:b/>
          <w:bCs/>
        </w:rPr>
        <w:t xml:space="preserve">Figure </w:t>
      </w:r>
      <w:r w:rsidR="00DE1DF9" w:rsidRPr="00E055E8">
        <w:rPr>
          <w:b/>
          <w:bCs/>
          <w:noProof/>
        </w:rPr>
        <w:t>3</w:t>
      </w:r>
      <w:r w:rsidR="00DE1DF9" w:rsidRPr="00E055E8">
        <w:rPr>
          <w:b/>
          <w:bCs/>
        </w:rPr>
        <w:t>.</w:t>
      </w:r>
      <w:r w:rsidR="00DE1DF9" w:rsidRPr="00E055E8">
        <w:rPr>
          <w:b/>
          <w:bCs/>
          <w:noProof/>
        </w:rPr>
        <w:t>1</w:t>
      </w:r>
      <w:r w:rsidR="00DE1DF9" w:rsidRPr="00E055E8">
        <w:rPr>
          <w:b/>
          <w:bCs/>
        </w:rPr>
        <w:fldChar w:fldCharType="end"/>
      </w:r>
      <w:r w:rsidRPr="00E055E8">
        <w:rPr>
          <w:b/>
          <w:bCs/>
        </w:rPr>
        <w:t>E</w:t>
      </w:r>
      <w:r w:rsidRPr="00AF7BA7">
        <w:t>).</w:t>
      </w:r>
      <w:r w:rsidRPr="00AF7BA7">
        <w:rPr>
          <w:rFonts w:hint="eastAsia"/>
        </w:rPr>
        <w:t xml:space="preserve"> </w:t>
      </w:r>
      <w:r>
        <w:t xml:space="preserve">Moreover, the </w:t>
      </w:r>
      <w:r w:rsidRPr="00533304">
        <w:rPr>
          <w:i/>
        </w:rPr>
        <w:t>db/db</w:t>
      </w:r>
      <w:r w:rsidRPr="00F840D4">
        <w:t xml:space="preserve"> mice exhibited significantly greater gonadal WAT (gWAT)</w:t>
      </w:r>
      <w:r>
        <w:t xml:space="preserve"> </w:t>
      </w:r>
      <w:r w:rsidRPr="00F840D4">
        <w:t xml:space="preserve">fat mass </w:t>
      </w:r>
      <w:r>
        <w:t xml:space="preserve"> (0.68 </w:t>
      </w:r>
      <w:r w:rsidRPr="00994EA9">
        <w:t>±</w:t>
      </w:r>
      <w:r>
        <w:t xml:space="preserve"> 0.05 </w:t>
      </w:r>
      <w:r w:rsidRPr="00994EA9">
        <w:t xml:space="preserve">g </w:t>
      </w:r>
      <w:r>
        <w:t>(</w:t>
      </w:r>
      <w:r w:rsidRPr="00994EA9">
        <w:t>M-WT</w:t>
      </w:r>
      <w:r>
        <w:t xml:space="preserve">), 0.46 </w:t>
      </w:r>
      <w:r w:rsidRPr="00994EA9">
        <w:t>±</w:t>
      </w:r>
      <w:r>
        <w:t xml:space="preserve"> 0.06 </w:t>
      </w:r>
      <w:r w:rsidRPr="00994EA9">
        <w:t xml:space="preserve">g </w:t>
      </w:r>
      <w:r>
        <w:t>(</w:t>
      </w:r>
      <w:r w:rsidRPr="00994EA9">
        <w:t>F-WT</w:t>
      </w:r>
      <w:r>
        <w:t xml:space="preserve">), 2.93 </w:t>
      </w:r>
      <w:r w:rsidRPr="00994EA9">
        <w:t>±</w:t>
      </w:r>
      <w:r>
        <w:t xml:space="preserve"> 0.11 </w:t>
      </w:r>
      <w:r w:rsidRPr="00994EA9">
        <w:t>g</w:t>
      </w:r>
      <w:r>
        <w:t xml:space="preserve"> (</w:t>
      </w:r>
      <w:r w:rsidRPr="00994EA9">
        <w:t>M</w:t>
      </w:r>
      <w:r>
        <w:t>-</w:t>
      </w:r>
      <w:r w:rsidRPr="00114BBD">
        <w:rPr>
          <w:i/>
          <w:iCs/>
        </w:rPr>
        <w:t>db/db</w:t>
      </w:r>
      <w:r>
        <w:t xml:space="preserve">), and 4.08 </w:t>
      </w:r>
      <w:r w:rsidRPr="00994EA9">
        <w:t>±</w:t>
      </w:r>
      <w:r>
        <w:t xml:space="preserve"> 0.19 </w:t>
      </w:r>
      <w:r w:rsidRPr="00994EA9">
        <w:t>g</w:t>
      </w:r>
      <w:r>
        <w:t xml:space="preserve"> (F-</w:t>
      </w:r>
      <w:r w:rsidRPr="00114BBD">
        <w:rPr>
          <w:i/>
          <w:iCs/>
        </w:rPr>
        <w:t>db/db</w:t>
      </w:r>
      <w:r>
        <w:t xml:space="preserve">)) </w:t>
      </w:r>
      <w:r w:rsidR="00DE1DF9">
        <w:t>(</w:t>
      </w:r>
      <w:r w:rsidR="00DE1DF9" w:rsidRPr="00E055E8">
        <w:rPr>
          <w:b/>
          <w:bCs/>
        </w:rPr>
        <w:fldChar w:fldCharType="begin"/>
      </w:r>
      <w:r w:rsidR="00DE1DF9" w:rsidRPr="00E055E8">
        <w:rPr>
          <w:b/>
          <w:bCs/>
        </w:rPr>
        <w:instrText xml:space="preserve"> REF _Ref204597761 \h </w:instrText>
      </w:r>
      <w:r w:rsidR="00E055E8">
        <w:rPr>
          <w:b/>
          <w:bCs/>
        </w:rPr>
        <w:instrText xml:space="preserve"> \* MERGEFORMAT </w:instrText>
      </w:r>
      <w:r w:rsidR="00DE1DF9" w:rsidRPr="00E055E8">
        <w:rPr>
          <w:b/>
          <w:bCs/>
        </w:rPr>
      </w:r>
      <w:r w:rsidR="00DE1DF9" w:rsidRPr="00E055E8">
        <w:rPr>
          <w:b/>
          <w:bCs/>
        </w:rPr>
        <w:fldChar w:fldCharType="separate"/>
      </w:r>
      <w:r w:rsidR="00DE1DF9" w:rsidRPr="00E055E8">
        <w:rPr>
          <w:b/>
          <w:bCs/>
        </w:rPr>
        <w:t xml:space="preserve">Figure </w:t>
      </w:r>
      <w:r w:rsidR="00DE1DF9" w:rsidRPr="00E055E8">
        <w:rPr>
          <w:b/>
          <w:bCs/>
          <w:noProof/>
        </w:rPr>
        <w:t>3</w:t>
      </w:r>
      <w:r w:rsidR="00DE1DF9" w:rsidRPr="00E055E8">
        <w:rPr>
          <w:b/>
          <w:bCs/>
        </w:rPr>
        <w:t>.</w:t>
      </w:r>
      <w:r w:rsidR="00DE1DF9" w:rsidRPr="00E055E8">
        <w:rPr>
          <w:b/>
          <w:bCs/>
          <w:noProof/>
        </w:rPr>
        <w:t>1</w:t>
      </w:r>
      <w:r w:rsidR="00DE1DF9" w:rsidRPr="00E055E8">
        <w:rPr>
          <w:b/>
          <w:bCs/>
        </w:rPr>
        <w:fldChar w:fldCharType="end"/>
      </w:r>
      <w:r w:rsidRPr="00E055E8">
        <w:rPr>
          <w:b/>
          <w:bCs/>
        </w:rPr>
        <w:t>F</w:t>
      </w:r>
      <w:r w:rsidRPr="00F840D4">
        <w:t>)</w:t>
      </w:r>
      <w:r>
        <w:t xml:space="preserve"> and greater gWAT/body weight percentages (2.41 ± 0.19 % (M-WT), 2.06 ± 0.23 % (F-WT), 5.66 ± 0.26 % (M-</w:t>
      </w:r>
      <w:r w:rsidRPr="00533304">
        <w:rPr>
          <w:i/>
        </w:rPr>
        <w:t>db/db</w:t>
      </w:r>
      <w:r>
        <w:rPr>
          <w:i/>
        </w:rPr>
        <w:t xml:space="preserve">), </w:t>
      </w:r>
      <w:r w:rsidRPr="00114BBD">
        <w:rPr>
          <w:iCs/>
        </w:rPr>
        <w:t>and</w:t>
      </w:r>
      <w:r>
        <w:t xml:space="preserve"> 7.60 ± 0.33 % (F-</w:t>
      </w:r>
      <w:r w:rsidRPr="00114BBD">
        <w:rPr>
          <w:i/>
          <w:iCs/>
        </w:rPr>
        <w:t>db/db</w:t>
      </w:r>
      <w:r>
        <w:t>)) (</w:t>
      </w:r>
      <w:r w:rsidR="00DE1DF9" w:rsidRPr="00E055E8">
        <w:rPr>
          <w:b/>
          <w:bCs/>
        </w:rPr>
        <w:fldChar w:fldCharType="begin"/>
      </w:r>
      <w:r w:rsidR="00DE1DF9" w:rsidRPr="00E055E8">
        <w:rPr>
          <w:b/>
          <w:bCs/>
        </w:rPr>
        <w:instrText xml:space="preserve"> REF _Ref204597761 \h </w:instrText>
      </w:r>
      <w:r w:rsidR="00E055E8">
        <w:rPr>
          <w:b/>
          <w:bCs/>
        </w:rPr>
        <w:instrText xml:space="preserve"> \* MERGEFORMAT </w:instrText>
      </w:r>
      <w:r w:rsidR="00DE1DF9" w:rsidRPr="00E055E8">
        <w:rPr>
          <w:b/>
          <w:bCs/>
        </w:rPr>
      </w:r>
      <w:r w:rsidR="00DE1DF9" w:rsidRPr="00E055E8">
        <w:rPr>
          <w:b/>
          <w:bCs/>
        </w:rPr>
        <w:fldChar w:fldCharType="separate"/>
      </w:r>
      <w:r w:rsidR="00DE1DF9" w:rsidRPr="00E055E8">
        <w:rPr>
          <w:b/>
          <w:bCs/>
        </w:rPr>
        <w:t xml:space="preserve">Figure </w:t>
      </w:r>
      <w:r w:rsidR="00DE1DF9" w:rsidRPr="00E055E8">
        <w:rPr>
          <w:b/>
          <w:bCs/>
          <w:noProof/>
        </w:rPr>
        <w:t>3</w:t>
      </w:r>
      <w:r w:rsidR="00DE1DF9" w:rsidRPr="00E055E8">
        <w:rPr>
          <w:b/>
          <w:bCs/>
        </w:rPr>
        <w:t>.</w:t>
      </w:r>
      <w:r w:rsidR="00DE1DF9" w:rsidRPr="00E055E8">
        <w:rPr>
          <w:b/>
          <w:bCs/>
          <w:noProof/>
        </w:rPr>
        <w:t>1</w:t>
      </w:r>
      <w:r w:rsidR="00DE1DF9" w:rsidRPr="00E055E8">
        <w:rPr>
          <w:b/>
          <w:bCs/>
        </w:rPr>
        <w:fldChar w:fldCharType="end"/>
      </w:r>
      <w:r w:rsidRPr="00E055E8">
        <w:rPr>
          <w:b/>
          <w:bCs/>
        </w:rPr>
        <w:t>G</w:t>
      </w:r>
      <w:r>
        <w:t xml:space="preserve">) </w:t>
      </w:r>
      <w:r w:rsidRPr="00F840D4">
        <w:t>than WT controls</w:t>
      </w:r>
      <w:r>
        <w:t>.</w:t>
      </w:r>
      <w:r w:rsidRPr="00F840D4">
        <w:t xml:space="preserve"> </w:t>
      </w:r>
      <w:r>
        <w:t xml:space="preserve">It is noted that </w:t>
      </w:r>
      <w:r w:rsidRPr="002B1813">
        <w:t>female</w:t>
      </w:r>
      <w:r>
        <w:t xml:space="preserve"> </w:t>
      </w:r>
      <w:r w:rsidRPr="00114BBD">
        <w:rPr>
          <w:i/>
          <w:iCs/>
        </w:rPr>
        <w:t>db/db</w:t>
      </w:r>
      <w:r w:rsidRPr="002B1813">
        <w:t xml:space="preserve"> </w:t>
      </w:r>
      <w:r>
        <w:t xml:space="preserve">mice </w:t>
      </w:r>
      <w:r w:rsidRPr="002B1813">
        <w:t xml:space="preserve">had significantly </w:t>
      </w:r>
      <w:r>
        <w:t>higher</w:t>
      </w:r>
      <w:r w:rsidRPr="002B1813">
        <w:t xml:space="preserve"> gWAT</w:t>
      </w:r>
      <w:r>
        <w:t xml:space="preserve"> mass and gWAT/body weight percentage</w:t>
      </w:r>
      <w:r w:rsidRPr="002B1813">
        <w:t xml:space="preserve"> than male</w:t>
      </w:r>
      <w:r>
        <w:t xml:space="preserve"> </w:t>
      </w:r>
      <w:r w:rsidRPr="00114BBD">
        <w:rPr>
          <w:i/>
          <w:iCs/>
        </w:rPr>
        <w:t>db/db</w:t>
      </w:r>
      <w:r>
        <w:t xml:space="preserve"> mice</w:t>
      </w:r>
      <w:r w:rsidRPr="002B1813">
        <w:t xml:space="preserve">, whereas no sex difference was observed in </w:t>
      </w:r>
      <w:r>
        <w:t xml:space="preserve">the </w:t>
      </w:r>
      <w:r w:rsidRPr="002B1813">
        <w:t>WT mice.</w:t>
      </w:r>
      <w:r>
        <w:t xml:space="preserve"> </w:t>
      </w:r>
    </w:p>
    <w:p w14:paraId="71752E5D" w14:textId="77777777" w:rsidR="000114E2" w:rsidRPr="001E796A" w:rsidRDefault="000114E2" w:rsidP="00847BA5">
      <w:pPr>
        <w:pStyle w:val="Heading3"/>
        <w:jc w:val="left"/>
      </w:pPr>
      <w:bookmarkStart w:id="124" w:name="_Toc204848654"/>
      <w:bookmarkStart w:id="125" w:name="_Toc190984277"/>
      <w:bookmarkStart w:id="126" w:name="_Toc200810413"/>
      <w:bookmarkStart w:id="127" w:name="_Toc201001690"/>
      <w:r>
        <w:t>C</w:t>
      </w:r>
      <w:r w:rsidRPr="001E796A">
        <w:t xml:space="preserve">ore </w:t>
      </w:r>
      <w:r>
        <w:t>B</w:t>
      </w:r>
      <w:r w:rsidRPr="001E796A">
        <w:t xml:space="preserve">ody </w:t>
      </w:r>
      <w:r>
        <w:t>T</w:t>
      </w:r>
      <w:r w:rsidRPr="001E796A">
        <w:t>emperature</w:t>
      </w:r>
      <w:r>
        <w:t xml:space="preserve"> and </w:t>
      </w:r>
      <w:r w:rsidRPr="001E796A">
        <w:t xml:space="preserve">Cold </w:t>
      </w:r>
      <w:r>
        <w:t>T</w:t>
      </w:r>
      <w:r w:rsidRPr="001E796A">
        <w:t>olerance</w:t>
      </w:r>
      <w:bookmarkEnd w:id="124"/>
      <w:r w:rsidRPr="001E796A">
        <w:t xml:space="preserve"> </w:t>
      </w:r>
      <w:bookmarkEnd w:id="125"/>
      <w:bookmarkEnd w:id="126"/>
      <w:bookmarkEnd w:id="127"/>
    </w:p>
    <w:p w14:paraId="372790BB" w14:textId="18E46B63" w:rsidR="000543EA" w:rsidRPr="001E796A" w:rsidRDefault="000543EA" w:rsidP="00822A50">
      <w:pPr>
        <w:ind w:firstLine="720"/>
        <w:jc w:val="left"/>
      </w:pPr>
      <w:r>
        <w:t>A</w:t>
      </w:r>
      <w:r w:rsidRPr="001E796A">
        <w:t xml:space="preserve">t room temperature, </w:t>
      </w:r>
      <w:r>
        <w:t xml:space="preserve">male </w:t>
      </w:r>
      <w:r w:rsidRPr="00114BBD">
        <w:rPr>
          <w:i/>
          <w:iCs/>
        </w:rPr>
        <w:t>db/db</w:t>
      </w:r>
      <w:r>
        <w:t xml:space="preserve"> mice had similar core body temperature compared to their WT controls (36.72 ± 0.28 </w:t>
      </w:r>
      <w:r w:rsidRPr="00BC3ACE">
        <w:t xml:space="preserve">°C </w:t>
      </w:r>
      <w:r>
        <w:t>(M-</w:t>
      </w:r>
      <w:r w:rsidRPr="00114BBD">
        <w:rPr>
          <w:i/>
          <w:iCs/>
        </w:rPr>
        <w:t>db/db</w:t>
      </w:r>
      <w:r>
        <w:t xml:space="preserve">) vs. 37.58 ± 0.29 </w:t>
      </w:r>
      <w:r w:rsidRPr="00BC3ACE">
        <w:t xml:space="preserve">°C </w:t>
      </w:r>
      <w:r>
        <w:t>(M-WT)) (</w:t>
      </w:r>
      <w:r w:rsidR="00C22012" w:rsidRPr="00E055E8">
        <w:rPr>
          <w:b/>
          <w:bCs/>
        </w:rPr>
        <w:fldChar w:fldCharType="begin"/>
      </w:r>
      <w:r w:rsidR="00C22012" w:rsidRPr="00E055E8">
        <w:rPr>
          <w:b/>
          <w:bCs/>
        </w:rPr>
        <w:instrText xml:space="preserve"> REF _Ref204598171 \h </w:instrText>
      </w:r>
      <w:r w:rsidR="00E055E8">
        <w:rPr>
          <w:b/>
          <w:bCs/>
        </w:rPr>
        <w:instrText xml:space="preserve"> \* MERGEFORMAT </w:instrText>
      </w:r>
      <w:r w:rsidR="00C22012" w:rsidRPr="00E055E8">
        <w:rPr>
          <w:b/>
          <w:bCs/>
        </w:rPr>
      </w:r>
      <w:r w:rsidR="00C22012" w:rsidRPr="00E055E8">
        <w:rPr>
          <w:b/>
          <w:bCs/>
        </w:rPr>
        <w:fldChar w:fldCharType="separate"/>
      </w:r>
      <w:r w:rsidR="00C22012" w:rsidRPr="00E055E8">
        <w:rPr>
          <w:b/>
          <w:bCs/>
        </w:rPr>
        <w:t xml:space="preserve">Figure </w:t>
      </w:r>
      <w:r w:rsidR="00C22012" w:rsidRPr="00E055E8">
        <w:rPr>
          <w:b/>
          <w:bCs/>
          <w:noProof/>
        </w:rPr>
        <w:t>3</w:t>
      </w:r>
      <w:r w:rsidR="00C22012" w:rsidRPr="00E055E8">
        <w:rPr>
          <w:b/>
          <w:bCs/>
        </w:rPr>
        <w:t>.</w:t>
      </w:r>
      <w:r w:rsidR="00C22012" w:rsidRPr="00E055E8">
        <w:rPr>
          <w:b/>
          <w:bCs/>
          <w:noProof/>
        </w:rPr>
        <w:t>3</w:t>
      </w:r>
      <w:r w:rsidR="00C22012" w:rsidRPr="00E055E8">
        <w:rPr>
          <w:b/>
          <w:bCs/>
        </w:rPr>
        <w:fldChar w:fldCharType="end"/>
      </w:r>
      <w:r w:rsidRPr="00E055E8">
        <w:rPr>
          <w:b/>
          <w:bCs/>
        </w:rPr>
        <w:t>A</w:t>
      </w:r>
      <w:r>
        <w:t xml:space="preserve">). However, </w:t>
      </w:r>
      <w:r w:rsidRPr="001E796A">
        <w:t xml:space="preserve">female </w:t>
      </w:r>
      <w:r w:rsidRPr="00533304">
        <w:rPr>
          <w:i/>
          <w:iCs/>
        </w:rPr>
        <w:t>db/db</w:t>
      </w:r>
      <w:r w:rsidRPr="001E796A">
        <w:t xml:space="preserve"> mice had </w:t>
      </w:r>
      <w:r>
        <w:t xml:space="preserve">significantly </w:t>
      </w:r>
      <w:r w:rsidRPr="001E796A">
        <w:t>lower core body temperature than</w:t>
      </w:r>
      <w:r>
        <w:t xml:space="preserve"> their</w:t>
      </w:r>
      <w:r w:rsidRPr="001E796A">
        <w:t xml:space="preserve"> WT </w:t>
      </w:r>
      <w:r>
        <w:t>controls (</w:t>
      </w:r>
      <w:r>
        <w:rPr>
          <w:rFonts w:hint="eastAsia"/>
          <w:lang w:eastAsia="zh-CN"/>
        </w:rPr>
        <w:t>35.</w:t>
      </w:r>
      <w:r>
        <w:rPr>
          <w:lang w:eastAsia="zh-CN"/>
        </w:rPr>
        <w:t>7</w:t>
      </w:r>
      <w:r>
        <w:rPr>
          <w:rFonts w:hint="eastAsia"/>
          <w:lang w:eastAsia="zh-CN"/>
        </w:rPr>
        <w:t xml:space="preserve">3 </w:t>
      </w:r>
      <w:r w:rsidRPr="00BC3ACE">
        <w:t>±</w:t>
      </w:r>
      <w:r>
        <w:rPr>
          <w:rFonts w:hint="eastAsia"/>
          <w:lang w:eastAsia="zh-CN"/>
        </w:rPr>
        <w:t xml:space="preserve"> 0.40 </w:t>
      </w:r>
      <w:r w:rsidRPr="00BC3ACE">
        <w:t xml:space="preserve">°C </w:t>
      </w:r>
      <w:r>
        <w:t>(F-</w:t>
      </w:r>
      <w:r w:rsidRPr="00114BBD">
        <w:rPr>
          <w:i/>
          <w:iCs/>
        </w:rPr>
        <w:t>db/db</w:t>
      </w:r>
      <w:r>
        <w:t xml:space="preserve">) </w:t>
      </w:r>
      <w:r w:rsidRPr="00BC3ACE">
        <w:t xml:space="preserve">vs. </w:t>
      </w:r>
      <w:r>
        <w:rPr>
          <w:rFonts w:hint="eastAsia"/>
          <w:lang w:eastAsia="zh-CN"/>
        </w:rPr>
        <w:t xml:space="preserve">37.03 </w:t>
      </w:r>
      <w:r w:rsidRPr="00BC3ACE">
        <w:t>±</w:t>
      </w:r>
      <w:r>
        <w:rPr>
          <w:rFonts w:hint="eastAsia"/>
          <w:lang w:eastAsia="zh-CN"/>
        </w:rPr>
        <w:t xml:space="preserve"> 0.23 </w:t>
      </w:r>
      <w:r w:rsidRPr="00BC3ACE">
        <w:t>°C</w:t>
      </w:r>
      <w:r>
        <w:t xml:space="preserve"> (F-WT))</w:t>
      </w:r>
      <w:r w:rsidRPr="001E796A">
        <w:t xml:space="preserve"> (</w:t>
      </w:r>
      <w:r w:rsidR="00C22012" w:rsidRPr="00E055E8">
        <w:rPr>
          <w:b/>
          <w:bCs/>
        </w:rPr>
        <w:fldChar w:fldCharType="begin"/>
      </w:r>
      <w:r w:rsidR="00C22012" w:rsidRPr="00E055E8">
        <w:rPr>
          <w:b/>
          <w:bCs/>
        </w:rPr>
        <w:instrText xml:space="preserve"> REF _Ref204598171 \h </w:instrText>
      </w:r>
      <w:r w:rsidR="00E055E8">
        <w:rPr>
          <w:b/>
          <w:bCs/>
        </w:rPr>
        <w:instrText xml:space="preserve"> \* MERGEFORMAT </w:instrText>
      </w:r>
      <w:r w:rsidR="00C22012" w:rsidRPr="00E055E8">
        <w:rPr>
          <w:b/>
          <w:bCs/>
        </w:rPr>
      </w:r>
      <w:r w:rsidR="00C22012" w:rsidRPr="00E055E8">
        <w:rPr>
          <w:b/>
          <w:bCs/>
        </w:rPr>
        <w:fldChar w:fldCharType="separate"/>
      </w:r>
      <w:r w:rsidR="00C22012" w:rsidRPr="00E055E8">
        <w:rPr>
          <w:b/>
          <w:bCs/>
        </w:rPr>
        <w:t xml:space="preserve">Figure </w:t>
      </w:r>
      <w:r w:rsidR="00C22012" w:rsidRPr="00E055E8">
        <w:rPr>
          <w:b/>
          <w:bCs/>
          <w:noProof/>
        </w:rPr>
        <w:t>3</w:t>
      </w:r>
      <w:r w:rsidR="00C22012" w:rsidRPr="00E055E8">
        <w:rPr>
          <w:b/>
          <w:bCs/>
        </w:rPr>
        <w:t>.</w:t>
      </w:r>
      <w:r w:rsidR="00C22012" w:rsidRPr="00E055E8">
        <w:rPr>
          <w:b/>
          <w:bCs/>
          <w:noProof/>
        </w:rPr>
        <w:t>3</w:t>
      </w:r>
      <w:r w:rsidR="00C22012" w:rsidRPr="00E055E8">
        <w:rPr>
          <w:b/>
          <w:bCs/>
        </w:rPr>
        <w:fldChar w:fldCharType="end"/>
      </w:r>
      <w:r w:rsidRPr="00E055E8">
        <w:rPr>
          <w:b/>
          <w:bCs/>
        </w:rPr>
        <w:t>A</w:t>
      </w:r>
      <w:r w:rsidRPr="001E796A">
        <w:t>)</w:t>
      </w:r>
      <w:r>
        <w:t xml:space="preserve">. </w:t>
      </w:r>
      <w:r w:rsidRPr="001E796A">
        <w:t xml:space="preserve">Cold tolerance was evaluated by placing mice at 4°C and </w:t>
      </w:r>
      <w:r>
        <w:t>assessing</w:t>
      </w:r>
      <w:r w:rsidRPr="001E796A">
        <w:t xml:space="preserve"> their </w:t>
      </w:r>
      <w:r>
        <w:t>ability to maintain</w:t>
      </w:r>
      <w:r w:rsidRPr="001E796A">
        <w:t xml:space="preserve"> </w:t>
      </w:r>
      <w:r>
        <w:t xml:space="preserve">their </w:t>
      </w:r>
      <w:r w:rsidRPr="001E796A">
        <w:t xml:space="preserve">core body </w:t>
      </w:r>
      <w:r w:rsidRPr="001E796A">
        <w:lastRenderedPageBreak/>
        <w:t xml:space="preserve">temperature. The </w:t>
      </w:r>
      <w:r w:rsidRPr="00533304">
        <w:rPr>
          <w:i/>
        </w:rPr>
        <w:t>db/db</w:t>
      </w:r>
      <w:r w:rsidRPr="001E796A">
        <w:t xml:space="preserve"> mice were less </w:t>
      </w:r>
      <w:r>
        <w:t>cold-tolerant</w:t>
      </w:r>
      <w:r w:rsidRPr="001E796A">
        <w:t xml:space="preserve"> than WT mice</w:t>
      </w:r>
      <w:r>
        <w:t>,</w:t>
      </w:r>
      <w:r w:rsidRPr="001E796A">
        <w:t xml:space="preserve"> as they demonstrated a much greater decline in core body temperature in the cold relative to </w:t>
      </w:r>
      <w:r>
        <w:t xml:space="preserve">the </w:t>
      </w:r>
      <w:r w:rsidRPr="001E796A">
        <w:t>WT (</w:t>
      </w:r>
      <w:r w:rsidR="00C22012" w:rsidRPr="00E055E8">
        <w:rPr>
          <w:b/>
          <w:bCs/>
        </w:rPr>
        <w:fldChar w:fldCharType="begin"/>
      </w:r>
      <w:r w:rsidR="00C22012" w:rsidRPr="00E055E8">
        <w:rPr>
          <w:b/>
          <w:bCs/>
        </w:rPr>
        <w:instrText xml:space="preserve"> REF _Ref204598171 \h </w:instrText>
      </w:r>
      <w:r w:rsidR="00E055E8">
        <w:rPr>
          <w:b/>
          <w:bCs/>
        </w:rPr>
        <w:instrText xml:space="preserve"> \* MERGEFORMAT </w:instrText>
      </w:r>
      <w:r w:rsidR="00C22012" w:rsidRPr="00E055E8">
        <w:rPr>
          <w:b/>
          <w:bCs/>
        </w:rPr>
      </w:r>
      <w:r w:rsidR="00C22012" w:rsidRPr="00E055E8">
        <w:rPr>
          <w:b/>
          <w:bCs/>
        </w:rPr>
        <w:fldChar w:fldCharType="separate"/>
      </w:r>
      <w:r w:rsidR="00C22012" w:rsidRPr="00E055E8">
        <w:rPr>
          <w:b/>
          <w:bCs/>
        </w:rPr>
        <w:t xml:space="preserve">Figure </w:t>
      </w:r>
      <w:r w:rsidR="00C22012" w:rsidRPr="00E055E8">
        <w:rPr>
          <w:b/>
          <w:bCs/>
          <w:noProof/>
        </w:rPr>
        <w:t>3</w:t>
      </w:r>
      <w:r w:rsidR="00C22012" w:rsidRPr="00E055E8">
        <w:rPr>
          <w:b/>
          <w:bCs/>
        </w:rPr>
        <w:t>.</w:t>
      </w:r>
      <w:r w:rsidR="00C22012" w:rsidRPr="00E055E8">
        <w:rPr>
          <w:b/>
          <w:bCs/>
          <w:noProof/>
        </w:rPr>
        <w:t>3</w:t>
      </w:r>
      <w:r w:rsidR="00C22012" w:rsidRPr="00E055E8">
        <w:rPr>
          <w:b/>
          <w:bCs/>
        </w:rPr>
        <w:fldChar w:fldCharType="end"/>
      </w:r>
      <w:r w:rsidRPr="00E055E8">
        <w:rPr>
          <w:b/>
          <w:bCs/>
        </w:rPr>
        <w:t>B</w:t>
      </w:r>
      <w:r w:rsidRPr="001E796A">
        <w:t>)</w:t>
      </w:r>
      <w:r>
        <w:t xml:space="preserve">. The changes of core temperature over time for the </w:t>
      </w:r>
      <w:r w:rsidRPr="00114BBD">
        <w:rPr>
          <w:i/>
          <w:iCs/>
        </w:rPr>
        <w:t>db/db</w:t>
      </w:r>
      <w:r>
        <w:t xml:space="preserve"> mice show</w:t>
      </w:r>
      <w:r w:rsidRPr="0038337D">
        <w:t xml:space="preserve"> </w:t>
      </w:r>
      <w:r>
        <w:t>smaller</w:t>
      </w:r>
      <w:r w:rsidRPr="0038337D">
        <w:t xml:space="preserve"> area</w:t>
      </w:r>
      <w:r>
        <w:t>s</w:t>
      </w:r>
      <w:r w:rsidRPr="0038337D">
        <w:t xml:space="preserve"> under the curve (AUC) </w:t>
      </w:r>
      <w:r>
        <w:t xml:space="preserve">compared to those of the WT mice </w:t>
      </w:r>
      <w:r w:rsidRPr="001E796A">
        <w:t>(</w:t>
      </w:r>
      <w:r w:rsidR="00C22012" w:rsidRPr="00E055E8">
        <w:rPr>
          <w:b/>
          <w:bCs/>
        </w:rPr>
        <w:fldChar w:fldCharType="begin"/>
      </w:r>
      <w:r w:rsidR="00C22012" w:rsidRPr="00E055E8">
        <w:rPr>
          <w:b/>
          <w:bCs/>
        </w:rPr>
        <w:instrText xml:space="preserve"> REF _Ref204598171 \h </w:instrText>
      </w:r>
      <w:r w:rsidR="00E055E8">
        <w:rPr>
          <w:b/>
          <w:bCs/>
        </w:rPr>
        <w:instrText xml:space="preserve"> \* MERGEFORMAT </w:instrText>
      </w:r>
      <w:r w:rsidR="00C22012" w:rsidRPr="00E055E8">
        <w:rPr>
          <w:b/>
          <w:bCs/>
        </w:rPr>
      </w:r>
      <w:r w:rsidR="00C22012" w:rsidRPr="00E055E8">
        <w:rPr>
          <w:b/>
          <w:bCs/>
        </w:rPr>
        <w:fldChar w:fldCharType="separate"/>
      </w:r>
      <w:r w:rsidR="00C22012" w:rsidRPr="00E055E8">
        <w:rPr>
          <w:b/>
          <w:bCs/>
        </w:rPr>
        <w:t xml:space="preserve">Figure </w:t>
      </w:r>
      <w:r w:rsidR="00C22012" w:rsidRPr="00E055E8">
        <w:rPr>
          <w:b/>
          <w:bCs/>
          <w:noProof/>
        </w:rPr>
        <w:t>3</w:t>
      </w:r>
      <w:r w:rsidR="00C22012" w:rsidRPr="00E055E8">
        <w:rPr>
          <w:b/>
          <w:bCs/>
        </w:rPr>
        <w:t>.</w:t>
      </w:r>
      <w:r w:rsidR="00C22012" w:rsidRPr="00E055E8">
        <w:rPr>
          <w:b/>
          <w:bCs/>
          <w:noProof/>
        </w:rPr>
        <w:t>3</w:t>
      </w:r>
      <w:r w:rsidR="00C22012" w:rsidRPr="00E055E8">
        <w:rPr>
          <w:b/>
          <w:bCs/>
        </w:rPr>
        <w:fldChar w:fldCharType="end"/>
      </w:r>
      <w:r w:rsidRPr="00E055E8">
        <w:rPr>
          <w:b/>
          <w:bCs/>
        </w:rPr>
        <w:t>C</w:t>
      </w:r>
      <w:r w:rsidRPr="001E796A">
        <w:t>).</w:t>
      </w:r>
      <w:r>
        <w:t xml:space="preserve"> </w:t>
      </w:r>
      <w:r w:rsidRPr="005B56C0">
        <w:t>M</w:t>
      </w:r>
      <w:r>
        <w:t xml:space="preserve">ale </w:t>
      </w:r>
      <w:r w:rsidRPr="00533304">
        <w:rPr>
          <w:i/>
        </w:rPr>
        <w:t>db/db</w:t>
      </w:r>
      <w:r w:rsidRPr="005B56C0">
        <w:t xml:space="preserve"> mice had </w:t>
      </w:r>
      <w:r>
        <w:t xml:space="preserve">an </w:t>
      </w:r>
      <w:r w:rsidRPr="005B56C0">
        <w:t>a</w:t>
      </w:r>
      <w:r>
        <w:t xml:space="preserve">verage </w:t>
      </w:r>
      <w:r w:rsidRPr="005B56C0">
        <w:t xml:space="preserve">AUC of </w:t>
      </w:r>
      <w:r>
        <w:t xml:space="preserve">169.40 </w:t>
      </w:r>
      <w:r w:rsidRPr="005B56C0">
        <w:t>±</w:t>
      </w:r>
      <w:r>
        <w:t xml:space="preserve"> 1.05</w:t>
      </w:r>
      <w:r w:rsidRPr="005B56C0">
        <w:t xml:space="preserve"> compared to</w:t>
      </w:r>
      <w:r>
        <w:t xml:space="preserve"> 183.40 </w:t>
      </w:r>
      <w:r w:rsidRPr="005B56C0">
        <w:t>±</w:t>
      </w:r>
      <w:r>
        <w:t xml:space="preserve"> 0.38</w:t>
      </w:r>
      <w:r w:rsidRPr="005B56C0">
        <w:t xml:space="preserve"> in </w:t>
      </w:r>
      <w:r>
        <w:t xml:space="preserve">male </w:t>
      </w:r>
      <w:r w:rsidRPr="005B56C0">
        <w:t>WT</w:t>
      </w:r>
      <w:r>
        <w:t xml:space="preserve"> mice</w:t>
      </w:r>
      <w:r w:rsidRPr="005B56C0">
        <w:t xml:space="preserve">, and </w:t>
      </w:r>
      <w:r>
        <w:t xml:space="preserve">female </w:t>
      </w:r>
      <w:r w:rsidRPr="00533304">
        <w:rPr>
          <w:i/>
        </w:rPr>
        <w:t>db/db</w:t>
      </w:r>
      <w:r w:rsidRPr="005B56C0">
        <w:t xml:space="preserve"> mice had </w:t>
      </w:r>
      <w:r>
        <w:t xml:space="preserve">163.30 </w:t>
      </w:r>
      <w:r w:rsidRPr="005B56C0">
        <w:t>±</w:t>
      </w:r>
      <w:r>
        <w:t xml:space="preserve"> 1.50 </w:t>
      </w:r>
      <w:r w:rsidRPr="005B56C0">
        <w:t xml:space="preserve">versus </w:t>
      </w:r>
      <w:r>
        <w:t xml:space="preserve">183.3 </w:t>
      </w:r>
      <w:r w:rsidRPr="005B56C0">
        <w:t>±</w:t>
      </w:r>
      <w:r>
        <w:t xml:space="preserve"> 0.59</w:t>
      </w:r>
      <w:r w:rsidRPr="005B56C0">
        <w:t xml:space="preserve"> in</w:t>
      </w:r>
      <w:r>
        <w:t xml:space="preserve"> female </w:t>
      </w:r>
      <w:r w:rsidRPr="005B56C0">
        <w:t>WT</w:t>
      </w:r>
      <w:r>
        <w:t xml:space="preserve"> mice</w:t>
      </w:r>
      <w:r w:rsidRPr="005B56C0">
        <w:t>.</w:t>
      </w:r>
    </w:p>
    <w:p w14:paraId="5DB48959" w14:textId="77777777" w:rsidR="000114E2" w:rsidRDefault="000114E2" w:rsidP="00847BA5">
      <w:pPr>
        <w:pStyle w:val="Heading3"/>
        <w:jc w:val="left"/>
      </w:pPr>
      <w:bookmarkStart w:id="128" w:name="_Toc190984276"/>
      <w:bookmarkStart w:id="129" w:name="_Toc200810414"/>
      <w:bookmarkStart w:id="130" w:name="_Toc201001691"/>
      <w:bookmarkStart w:id="131" w:name="_Toc204848655"/>
      <w:r w:rsidRPr="001E796A">
        <w:t xml:space="preserve">Heat </w:t>
      </w:r>
      <w:r>
        <w:t>P</w:t>
      </w:r>
      <w:r w:rsidRPr="001E796A">
        <w:t>roduction</w:t>
      </w:r>
      <w:bookmarkEnd w:id="128"/>
      <w:bookmarkEnd w:id="129"/>
      <w:bookmarkEnd w:id="130"/>
      <w:bookmarkEnd w:id="131"/>
    </w:p>
    <w:p w14:paraId="764A7925" w14:textId="03A99344" w:rsidR="00E13F6D" w:rsidRDefault="00E13F6D" w:rsidP="00822A50">
      <w:pPr>
        <w:ind w:firstLine="720"/>
        <w:jc w:val="left"/>
        <w:rPr>
          <w:color w:val="001D35"/>
          <w:shd w:val="clear" w:color="auto" w:fill="FFFFFF"/>
        </w:rPr>
      </w:pPr>
      <w:r w:rsidRPr="001C2EFC">
        <w:t>Heat production</w:t>
      </w:r>
      <w:r>
        <w:t>, measured using indirect calorimetry over two consecutive days,</w:t>
      </w:r>
      <w:r w:rsidRPr="001C2EFC">
        <w:t xml:space="preserve"> was significantly </w:t>
      </w:r>
      <w:r w:rsidRPr="00114BBD">
        <w:t>higher</w:t>
      </w:r>
      <w:r w:rsidRPr="001C2EFC">
        <w:t xml:space="preserve"> in </w:t>
      </w:r>
      <w:r>
        <w:t xml:space="preserve">the </w:t>
      </w:r>
      <w:r w:rsidRPr="00114BBD">
        <w:rPr>
          <w:i/>
        </w:rPr>
        <w:t>db/db</w:t>
      </w:r>
      <w:r w:rsidRPr="001C2EFC">
        <w:t xml:space="preserve"> mice than in WT mice</w:t>
      </w:r>
      <w:r>
        <w:t>, regardless of sex</w:t>
      </w:r>
      <w:r w:rsidRPr="001C2EFC">
        <w:t xml:space="preserve"> (</w:t>
      </w:r>
      <w:r w:rsidR="0043148B" w:rsidRPr="00E055E8">
        <w:rPr>
          <w:b/>
          <w:bCs/>
        </w:rPr>
        <w:fldChar w:fldCharType="begin"/>
      </w:r>
      <w:r w:rsidR="0043148B" w:rsidRPr="00E055E8">
        <w:rPr>
          <w:b/>
          <w:bCs/>
        </w:rPr>
        <w:instrText xml:space="preserve"> REF _Ref204598171 \h </w:instrText>
      </w:r>
      <w:r w:rsidR="00E055E8">
        <w:rPr>
          <w:b/>
          <w:bCs/>
        </w:rPr>
        <w:instrText xml:space="preserve"> \* MERGEFORMAT </w:instrText>
      </w:r>
      <w:r w:rsidR="0043148B" w:rsidRPr="00E055E8">
        <w:rPr>
          <w:b/>
          <w:bCs/>
        </w:rPr>
      </w:r>
      <w:r w:rsidR="0043148B" w:rsidRPr="00E055E8">
        <w:rPr>
          <w:b/>
          <w:bCs/>
        </w:rPr>
        <w:fldChar w:fldCharType="separate"/>
      </w:r>
      <w:r w:rsidR="0043148B" w:rsidRPr="00E055E8">
        <w:rPr>
          <w:b/>
          <w:bCs/>
        </w:rPr>
        <w:t xml:space="preserve">Figure </w:t>
      </w:r>
      <w:r w:rsidR="0043148B" w:rsidRPr="00E055E8">
        <w:rPr>
          <w:b/>
          <w:bCs/>
          <w:noProof/>
        </w:rPr>
        <w:t>3</w:t>
      </w:r>
      <w:r w:rsidR="0043148B" w:rsidRPr="00E055E8">
        <w:rPr>
          <w:b/>
          <w:bCs/>
        </w:rPr>
        <w:t>.</w:t>
      </w:r>
      <w:r w:rsidR="0043148B" w:rsidRPr="00E055E8">
        <w:rPr>
          <w:b/>
          <w:bCs/>
          <w:noProof/>
        </w:rPr>
        <w:t>3</w:t>
      </w:r>
      <w:r w:rsidR="0043148B" w:rsidRPr="00E055E8">
        <w:rPr>
          <w:b/>
          <w:bCs/>
        </w:rPr>
        <w:fldChar w:fldCharType="end"/>
      </w:r>
      <w:r w:rsidRPr="00E055E8">
        <w:rPr>
          <w:b/>
          <w:bCs/>
        </w:rPr>
        <w:t>D</w:t>
      </w:r>
      <w:r w:rsidRPr="001C2EFC">
        <w:t xml:space="preserve">). </w:t>
      </w:r>
      <w:r>
        <w:t xml:space="preserve">The heat produced over the two-day period shows an average AUC of 12.25 </w:t>
      </w:r>
      <w:r w:rsidRPr="001C2EFC">
        <w:t>±</w:t>
      </w:r>
      <w:r>
        <w:t xml:space="preserve"> 0.12 kcal for male </w:t>
      </w:r>
      <w:r w:rsidRPr="00114BBD">
        <w:rPr>
          <w:i/>
        </w:rPr>
        <w:t xml:space="preserve">db/db </w:t>
      </w:r>
      <w:r>
        <w:t xml:space="preserve">mice compared to 10.38 </w:t>
      </w:r>
      <w:r w:rsidRPr="001C2EFC">
        <w:t>±</w:t>
      </w:r>
      <w:r>
        <w:t xml:space="preserve"> 0.10 kcal for male </w:t>
      </w:r>
      <w:r w:rsidRPr="001C2EFC">
        <w:t>WT</w:t>
      </w:r>
      <w:r>
        <w:t xml:space="preserve"> mice (</w:t>
      </w:r>
      <w:r w:rsidR="0043148B" w:rsidRPr="00E055E8">
        <w:rPr>
          <w:b/>
          <w:bCs/>
        </w:rPr>
        <w:fldChar w:fldCharType="begin"/>
      </w:r>
      <w:r w:rsidR="0043148B" w:rsidRPr="00E055E8">
        <w:rPr>
          <w:b/>
          <w:bCs/>
        </w:rPr>
        <w:instrText xml:space="preserve"> REF _Ref204598171 \h </w:instrText>
      </w:r>
      <w:r w:rsidR="00E055E8">
        <w:rPr>
          <w:b/>
          <w:bCs/>
        </w:rPr>
        <w:instrText xml:space="preserve"> \* MERGEFORMAT </w:instrText>
      </w:r>
      <w:r w:rsidR="0043148B" w:rsidRPr="00E055E8">
        <w:rPr>
          <w:b/>
          <w:bCs/>
        </w:rPr>
      </w:r>
      <w:r w:rsidR="0043148B" w:rsidRPr="00E055E8">
        <w:rPr>
          <w:b/>
          <w:bCs/>
        </w:rPr>
        <w:fldChar w:fldCharType="separate"/>
      </w:r>
      <w:r w:rsidR="0043148B" w:rsidRPr="00E055E8">
        <w:rPr>
          <w:b/>
          <w:bCs/>
        </w:rPr>
        <w:t xml:space="preserve">Figure </w:t>
      </w:r>
      <w:r w:rsidR="0043148B" w:rsidRPr="00E055E8">
        <w:rPr>
          <w:b/>
          <w:bCs/>
          <w:noProof/>
        </w:rPr>
        <w:t>3</w:t>
      </w:r>
      <w:r w:rsidR="0043148B" w:rsidRPr="00E055E8">
        <w:rPr>
          <w:b/>
          <w:bCs/>
        </w:rPr>
        <w:t>.</w:t>
      </w:r>
      <w:r w:rsidR="0043148B" w:rsidRPr="00E055E8">
        <w:rPr>
          <w:b/>
          <w:bCs/>
          <w:noProof/>
        </w:rPr>
        <w:t>3</w:t>
      </w:r>
      <w:r w:rsidR="0043148B" w:rsidRPr="00E055E8">
        <w:rPr>
          <w:b/>
          <w:bCs/>
        </w:rPr>
        <w:fldChar w:fldCharType="end"/>
      </w:r>
      <w:r w:rsidRPr="00E055E8">
        <w:rPr>
          <w:b/>
          <w:bCs/>
        </w:rPr>
        <w:t>E</w:t>
      </w:r>
      <w:r w:rsidRPr="00E055E8">
        <w:t>).</w:t>
      </w:r>
      <w:r>
        <w:t xml:space="preserve"> The average AUCs for female </w:t>
      </w:r>
      <w:r w:rsidRPr="00114BBD">
        <w:rPr>
          <w:i/>
        </w:rPr>
        <w:t>db/db</w:t>
      </w:r>
      <w:r>
        <w:t xml:space="preserve"> mice are 11.93 </w:t>
      </w:r>
      <w:r w:rsidRPr="001C2EFC">
        <w:t>±</w:t>
      </w:r>
      <w:r>
        <w:t xml:space="preserve"> 0.14 kcal compared to 9.34 </w:t>
      </w:r>
      <w:r w:rsidRPr="001C2EFC">
        <w:t>±</w:t>
      </w:r>
      <w:r>
        <w:t xml:space="preserve"> 0.13 kcal for female WT mice (</w:t>
      </w:r>
      <w:r w:rsidR="00DD34AF" w:rsidRPr="00DD34AF">
        <w:rPr>
          <w:b/>
          <w:bCs/>
        </w:rPr>
        <w:fldChar w:fldCharType="begin"/>
      </w:r>
      <w:r w:rsidR="00DD34AF" w:rsidRPr="00DD34AF">
        <w:rPr>
          <w:b/>
          <w:bCs/>
        </w:rPr>
        <w:instrText xml:space="preserve"> REF _Ref204598171 \h </w:instrText>
      </w:r>
      <w:r w:rsidR="00DD34AF">
        <w:rPr>
          <w:b/>
          <w:bCs/>
        </w:rPr>
        <w:instrText xml:space="preserve"> \* MERGEFORMAT </w:instrText>
      </w:r>
      <w:r w:rsidR="00DD34AF" w:rsidRPr="00DD34AF">
        <w:rPr>
          <w:b/>
          <w:bCs/>
        </w:rPr>
      </w:r>
      <w:r w:rsidR="00DD34AF" w:rsidRPr="00DD34AF">
        <w:rPr>
          <w:b/>
          <w:bCs/>
        </w:rPr>
        <w:fldChar w:fldCharType="separate"/>
      </w:r>
      <w:r w:rsidR="00DD34AF" w:rsidRPr="00DD34AF">
        <w:rPr>
          <w:b/>
          <w:bCs/>
        </w:rPr>
        <w:t xml:space="preserve">Figure </w:t>
      </w:r>
      <w:r w:rsidR="00DD34AF" w:rsidRPr="00DD34AF">
        <w:rPr>
          <w:b/>
          <w:bCs/>
          <w:noProof/>
        </w:rPr>
        <w:t>3</w:t>
      </w:r>
      <w:r w:rsidR="00DD34AF" w:rsidRPr="00DD34AF">
        <w:rPr>
          <w:b/>
          <w:bCs/>
        </w:rPr>
        <w:t>.</w:t>
      </w:r>
      <w:r w:rsidR="00DD34AF" w:rsidRPr="00DD34AF">
        <w:rPr>
          <w:b/>
          <w:bCs/>
          <w:noProof/>
        </w:rPr>
        <w:t>3</w:t>
      </w:r>
      <w:r w:rsidR="00DD34AF" w:rsidRPr="00DD34AF">
        <w:rPr>
          <w:b/>
          <w:bCs/>
        </w:rPr>
        <w:fldChar w:fldCharType="end"/>
      </w:r>
      <w:r w:rsidRPr="00DD34AF">
        <w:rPr>
          <w:b/>
          <w:bCs/>
        </w:rPr>
        <w:t>E</w:t>
      </w:r>
      <w:r>
        <w:t>).</w:t>
      </w:r>
      <w:r w:rsidRPr="001C2EFC">
        <w:t xml:space="preserve"> </w:t>
      </w:r>
      <w:r>
        <w:t>These heat production patterns were maintained through light and dark cycles. Similar patterns were observed for VO</w:t>
      </w:r>
      <w:r w:rsidRPr="00114BBD">
        <w:rPr>
          <w:vertAlign w:val="subscript"/>
        </w:rPr>
        <w:t>2</w:t>
      </w:r>
      <w:r>
        <w:t xml:space="preserve"> and VCO</w:t>
      </w:r>
      <w:r w:rsidRPr="00114BBD">
        <w:rPr>
          <w:vertAlign w:val="subscript"/>
        </w:rPr>
        <w:t>2</w:t>
      </w:r>
      <w:r>
        <w:t xml:space="preserve">. However, no differences in </w:t>
      </w:r>
      <w:r w:rsidRPr="00114BBD">
        <w:rPr>
          <w:color w:val="001D35"/>
          <w:shd w:val="clear" w:color="auto" w:fill="FFFFFF"/>
        </w:rPr>
        <w:t xml:space="preserve">respiratory </w:t>
      </w:r>
      <w:r w:rsidRPr="00D63EA6">
        <w:rPr>
          <w:shd w:val="clear" w:color="auto" w:fill="FFFFFF"/>
        </w:rPr>
        <w:t>exchange ratio (RER) were noted (</w:t>
      </w:r>
      <w:r w:rsidR="0043148B" w:rsidRPr="00D63EA6">
        <w:rPr>
          <w:b/>
          <w:bCs/>
          <w:shd w:val="clear" w:color="auto" w:fill="FFFFFF"/>
        </w:rPr>
        <w:fldChar w:fldCharType="begin"/>
      </w:r>
      <w:r w:rsidR="0043148B" w:rsidRPr="00D63EA6">
        <w:rPr>
          <w:b/>
          <w:bCs/>
          <w:shd w:val="clear" w:color="auto" w:fill="FFFFFF"/>
        </w:rPr>
        <w:instrText xml:space="preserve"> REF _Ref204598341 \h </w:instrText>
      </w:r>
      <w:r w:rsidR="00DD34AF" w:rsidRPr="00D63EA6">
        <w:rPr>
          <w:b/>
          <w:bCs/>
          <w:shd w:val="clear" w:color="auto" w:fill="FFFFFF"/>
        </w:rPr>
        <w:instrText xml:space="preserve"> \* MERGEFORMAT </w:instrText>
      </w:r>
      <w:r w:rsidR="0043148B" w:rsidRPr="00D63EA6">
        <w:rPr>
          <w:b/>
          <w:bCs/>
          <w:shd w:val="clear" w:color="auto" w:fill="FFFFFF"/>
        </w:rPr>
      </w:r>
      <w:r w:rsidR="0043148B" w:rsidRPr="00D63EA6">
        <w:rPr>
          <w:b/>
          <w:bCs/>
          <w:shd w:val="clear" w:color="auto" w:fill="FFFFFF"/>
        </w:rPr>
        <w:fldChar w:fldCharType="separate"/>
      </w:r>
      <w:r w:rsidR="0043148B" w:rsidRPr="009971CC">
        <w:rPr>
          <w:b/>
          <w:bCs/>
        </w:rPr>
        <w:t xml:space="preserve">Figure </w:t>
      </w:r>
      <w:r w:rsidR="0043148B" w:rsidRPr="009971CC">
        <w:rPr>
          <w:b/>
          <w:bCs/>
          <w:noProof/>
        </w:rPr>
        <w:t>3</w:t>
      </w:r>
      <w:r w:rsidR="0043148B" w:rsidRPr="009971CC">
        <w:rPr>
          <w:b/>
          <w:bCs/>
        </w:rPr>
        <w:t>.</w:t>
      </w:r>
      <w:r w:rsidR="0043148B" w:rsidRPr="009971CC">
        <w:rPr>
          <w:b/>
          <w:bCs/>
          <w:noProof/>
        </w:rPr>
        <w:t>4</w:t>
      </w:r>
      <w:r w:rsidR="0043148B" w:rsidRPr="00D63EA6">
        <w:rPr>
          <w:b/>
          <w:bCs/>
          <w:shd w:val="clear" w:color="auto" w:fill="FFFFFF"/>
        </w:rPr>
        <w:fldChar w:fldCharType="end"/>
      </w:r>
      <w:r>
        <w:rPr>
          <w:color w:val="001D35"/>
          <w:shd w:val="clear" w:color="auto" w:fill="FFFFFF"/>
        </w:rPr>
        <w:t xml:space="preserve">). </w:t>
      </w:r>
    </w:p>
    <w:p w14:paraId="22166B71" w14:textId="183E05FF" w:rsidR="00E13F6D" w:rsidRPr="001C2EFC" w:rsidRDefault="00E13F6D" w:rsidP="00822A50">
      <w:pPr>
        <w:ind w:firstLine="720"/>
        <w:jc w:val="left"/>
      </w:pPr>
      <w:r>
        <w:t>In contrast, a</w:t>
      </w:r>
      <w:r w:rsidRPr="00925DE8">
        <w:t xml:space="preserve">fter </w:t>
      </w:r>
      <w:r>
        <w:t>normalization by</w:t>
      </w:r>
      <w:r w:rsidRPr="00925DE8">
        <w:t xml:space="preserve"> body weight, tota</w:t>
      </w:r>
      <w:r>
        <w:t xml:space="preserve">l </w:t>
      </w:r>
      <w:r w:rsidRPr="00925DE8">
        <w:t>heat production</w:t>
      </w:r>
      <w:r>
        <w:t>/body weight</w:t>
      </w:r>
      <w:r w:rsidRPr="00925DE8">
        <w:t xml:space="preserve"> </w:t>
      </w:r>
      <w:r>
        <w:t xml:space="preserve">was </w:t>
      </w:r>
      <w:r w:rsidRPr="00925DE8">
        <w:t xml:space="preserve">significantly lower in </w:t>
      </w:r>
      <w:r>
        <w:t xml:space="preserve">the </w:t>
      </w:r>
      <w:r w:rsidRPr="00114BBD">
        <w:rPr>
          <w:i/>
        </w:rPr>
        <w:t xml:space="preserve">db/db </w:t>
      </w:r>
      <w:r w:rsidRPr="00925DE8">
        <w:t>mice compared to WT controls</w:t>
      </w:r>
      <w:r>
        <w:t>, regardless of sex (</w:t>
      </w:r>
      <w:r w:rsidR="0043148B" w:rsidRPr="00DD34AF">
        <w:rPr>
          <w:b/>
          <w:bCs/>
        </w:rPr>
        <w:fldChar w:fldCharType="begin"/>
      </w:r>
      <w:r w:rsidR="0043148B" w:rsidRPr="00DD34AF">
        <w:rPr>
          <w:b/>
          <w:bCs/>
        </w:rPr>
        <w:instrText xml:space="preserve"> REF _Ref204598171 \h </w:instrText>
      </w:r>
      <w:r w:rsidR="00DD34AF">
        <w:rPr>
          <w:b/>
          <w:bCs/>
        </w:rPr>
        <w:instrText xml:space="preserve"> \* MERGEFORMAT </w:instrText>
      </w:r>
      <w:r w:rsidR="0043148B" w:rsidRPr="00DD34AF">
        <w:rPr>
          <w:b/>
          <w:bCs/>
        </w:rPr>
      </w:r>
      <w:r w:rsidR="0043148B" w:rsidRPr="00DD34AF">
        <w:rPr>
          <w:b/>
          <w:bCs/>
        </w:rPr>
        <w:fldChar w:fldCharType="separate"/>
      </w:r>
      <w:r w:rsidR="0043148B" w:rsidRPr="00DD34AF">
        <w:rPr>
          <w:b/>
          <w:bCs/>
        </w:rPr>
        <w:t xml:space="preserve">Figure </w:t>
      </w:r>
      <w:r w:rsidR="0043148B" w:rsidRPr="00DD34AF">
        <w:rPr>
          <w:b/>
          <w:bCs/>
          <w:noProof/>
        </w:rPr>
        <w:t>3</w:t>
      </w:r>
      <w:r w:rsidR="0043148B" w:rsidRPr="00DD34AF">
        <w:rPr>
          <w:b/>
          <w:bCs/>
        </w:rPr>
        <w:t>.</w:t>
      </w:r>
      <w:r w:rsidR="0043148B" w:rsidRPr="00DD34AF">
        <w:rPr>
          <w:b/>
          <w:bCs/>
          <w:noProof/>
        </w:rPr>
        <w:t>3</w:t>
      </w:r>
      <w:r w:rsidR="0043148B" w:rsidRPr="00DD34AF">
        <w:rPr>
          <w:b/>
          <w:bCs/>
        </w:rPr>
        <w:fldChar w:fldCharType="end"/>
      </w:r>
      <w:r w:rsidRPr="00DD34AF">
        <w:rPr>
          <w:b/>
          <w:bCs/>
        </w:rPr>
        <w:t>F</w:t>
      </w:r>
      <w:r>
        <w:t xml:space="preserve">). </w:t>
      </w:r>
      <w:r w:rsidRPr="00933528">
        <w:t>Male</w:t>
      </w:r>
      <w:r w:rsidRPr="00114BBD">
        <w:rPr>
          <w:i/>
        </w:rPr>
        <w:t xml:space="preserve"> db/db </w:t>
      </w:r>
      <w:r w:rsidRPr="00933528">
        <w:t xml:space="preserve">mice exhibited </w:t>
      </w:r>
      <w:r>
        <w:t xml:space="preserve">0.24 </w:t>
      </w:r>
      <w:r w:rsidRPr="00933528">
        <w:t>±</w:t>
      </w:r>
      <w:r>
        <w:t xml:space="preserve"> 0.01</w:t>
      </w:r>
      <w:r w:rsidRPr="00933528">
        <w:t xml:space="preserve"> kcal/g compared to </w:t>
      </w:r>
      <w:r>
        <w:t xml:space="preserve">0.40 </w:t>
      </w:r>
      <w:r w:rsidRPr="00933528">
        <w:t>±</w:t>
      </w:r>
      <w:r>
        <w:t xml:space="preserve"> 0.02</w:t>
      </w:r>
      <w:r w:rsidRPr="00933528">
        <w:t xml:space="preserve"> kcal/g in male WT mice, while female </w:t>
      </w:r>
      <w:r w:rsidRPr="00114BBD">
        <w:rPr>
          <w:i/>
        </w:rPr>
        <w:t>db/db</w:t>
      </w:r>
      <w:r w:rsidRPr="00933528">
        <w:t xml:space="preserve"> mice showed </w:t>
      </w:r>
      <w:r>
        <w:t xml:space="preserve">0.25 </w:t>
      </w:r>
      <w:r w:rsidRPr="00933528">
        <w:t>±</w:t>
      </w:r>
      <w:r>
        <w:t xml:space="preserve"> 0.01</w:t>
      </w:r>
      <w:r w:rsidRPr="00933528">
        <w:t xml:space="preserve"> kcal/g </w:t>
      </w:r>
      <w:r>
        <w:t>compared to</w:t>
      </w:r>
      <w:r w:rsidRPr="00933528">
        <w:t xml:space="preserve"> </w:t>
      </w:r>
      <w:r>
        <w:t xml:space="preserve">0.44 </w:t>
      </w:r>
      <w:r w:rsidRPr="00933528">
        <w:t>±</w:t>
      </w:r>
      <w:r>
        <w:t xml:space="preserve"> 0.1</w:t>
      </w:r>
      <w:r w:rsidRPr="00933528">
        <w:t xml:space="preserve"> kcal/g in female WT mice</w:t>
      </w:r>
      <w:r>
        <w:t xml:space="preserve"> (</w:t>
      </w:r>
      <w:r w:rsidR="0043148B" w:rsidRPr="00DD34AF">
        <w:rPr>
          <w:b/>
          <w:bCs/>
        </w:rPr>
        <w:fldChar w:fldCharType="begin"/>
      </w:r>
      <w:r w:rsidR="0043148B" w:rsidRPr="00DD34AF">
        <w:rPr>
          <w:b/>
          <w:bCs/>
        </w:rPr>
        <w:instrText xml:space="preserve"> REF _Ref204598171 \h </w:instrText>
      </w:r>
      <w:r w:rsidR="00DD34AF">
        <w:rPr>
          <w:b/>
          <w:bCs/>
        </w:rPr>
        <w:instrText xml:space="preserve"> \* MERGEFORMAT </w:instrText>
      </w:r>
      <w:r w:rsidR="0043148B" w:rsidRPr="00DD34AF">
        <w:rPr>
          <w:b/>
          <w:bCs/>
        </w:rPr>
      </w:r>
      <w:r w:rsidR="0043148B" w:rsidRPr="00DD34AF">
        <w:rPr>
          <w:b/>
          <w:bCs/>
        </w:rPr>
        <w:fldChar w:fldCharType="separate"/>
      </w:r>
      <w:r w:rsidR="0043148B" w:rsidRPr="00DD34AF">
        <w:rPr>
          <w:b/>
          <w:bCs/>
        </w:rPr>
        <w:t xml:space="preserve">Figure </w:t>
      </w:r>
      <w:r w:rsidR="0043148B" w:rsidRPr="00DD34AF">
        <w:rPr>
          <w:b/>
          <w:bCs/>
          <w:noProof/>
        </w:rPr>
        <w:t>3</w:t>
      </w:r>
      <w:r w:rsidR="0043148B" w:rsidRPr="00DD34AF">
        <w:rPr>
          <w:b/>
          <w:bCs/>
        </w:rPr>
        <w:t>.</w:t>
      </w:r>
      <w:r w:rsidR="0043148B" w:rsidRPr="00DD34AF">
        <w:rPr>
          <w:b/>
          <w:bCs/>
          <w:noProof/>
        </w:rPr>
        <w:t>3</w:t>
      </w:r>
      <w:r w:rsidR="0043148B" w:rsidRPr="00DD34AF">
        <w:rPr>
          <w:b/>
          <w:bCs/>
        </w:rPr>
        <w:fldChar w:fldCharType="end"/>
      </w:r>
      <w:r w:rsidRPr="00DD34AF">
        <w:rPr>
          <w:b/>
          <w:bCs/>
        </w:rPr>
        <w:t>F</w:t>
      </w:r>
      <w:r>
        <w:t>)</w:t>
      </w:r>
      <w:r w:rsidRPr="00933528">
        <w:t>.</w:t>
      </w:r>
      <w:r>
        <w:t xml:space="preserve"> It is also noted that</w:t>
      </w:r>
      <w:r w:rsidRPr="001C2EFC">
        <w:t xml:space="preserve"> female </w:t>
      </w:r>
      <w:r>
        <w:t xml:space="preserve">WT </w:t>
      </w:r>
      <w:r w:rsidRPr="001C2EFC">
        <w:t xml:space="preserve">mice had significantly </w:t>
      </w:r>
      <w:r>
        <w:t>lowe</w:t>
      </w:r>
      <w:r w:rsidRPr="001C2EFC">
        <w:t xml:space="preserve">r heat production than male </w:t>
      </w:r>
      <w:r>
        <w:t xml:space="preserve">WT </w:t>
      </w:r>
      <w:r w:rsidRPr="001C2EFC">
        <w:t>mice</w:t>
      </w:r>
      <w:r>
        <w:t>. No other sex differences were found in heat production or heat production/body weight.</w:t>
      </w:r>
    </w:p>
    <w:p w14:paraId="00B79B44" w14:textId="77777777" w:rsidR="003D0F9B" w:rsidRPr="003D0F9B" w:rsidRDefault="003D0F9B" w:rsidP="00847BA5">
      <w:pPr>
        <w:jc w:val="left"/>
      </w:pPr>
    </w:p>
    <w:p w14:paraId="6B58F69C" w14:textId="77777777" w:rsidR="000114E2" w:rsidRDefault="000114E2" w:rsidP="00847BA5">
      <w:pPr>
        <w:pStyle w:val="Heading3"/>
        <w:jc w:val="left"/>
      </w:pPr>
      <w:bookmarkStart w:id="132" w:name="_Toc190984278"/>
      <w:bookmarkStart w:id="133" w:name="_Toc200810415"/>
      <w:bookmarkStart w:id="134" w:name="_Toc201001692"/>
      <w:bookmarkStart w:id="135" w:name="_Toc204848656"/>
      <w:r w:rsidRPr="001E796A">
        <w:t xml:space="preserve">Thermogenic </w:t>
      </w:r>
      <w:r>
        <w:t>M</w:t>
      </w:r>
      <w:r w:rsidRPr="001E796A">
        <w:t xml:space="preserve">arker </w:t>
      </w:r>
      <w:r>
        <w:t>E</w:t>
      </w:r>
      <w:r w:rsidRPr="001E796A">
        <w:t>xpression in BAT and sWAT</w:t>
      </w:r>
      <w:bookmarkEnd w:id="132"/>
      <w:bookmarkEnd w:id="133"/>
      <w:bookmarkEnd w:id="134"/>
      <w:bookmarkEnd w:id="135"/>
    </w:p>
    <w:p w14:paraId="6CAA2C15" w14:textId="4B484E2A" w:rsidR="00B51A50" w:rsidRPr="00B51A50" w:rsidRDefault="0018429B" w:rsidP="00822A50">
      <w:pPr>
        <w:ind w:firstLine="720"/>
        <w:jc w:val="left"/>
      </w:pPr>
      <w:r>
        <w:t>We further</w:t>
      </w:r>
      <w:r w:rsidRPr="001E796A">
        <w:t xml:space="preserve"> analyz</w:t>
      </w:r>
      <w:r>
        <w:t>ed</w:t>
      </w:r>
      <w:r w:rsidRPr="001E796A">
        <w:t xml:space="preserve"> the protein expression of primary thermogenic markers PGC1α and UCP1 in </w:t>
      </w:r>
      <w:r>
        <w:t xml:space="preserve">the </w:t>
      </w:r>
      <w:r w:rsidRPr="001E796A">
        <w:t>BAT</w:t>
      </w:r>
      <w:r>
        <w:t xml:space="preserve"> (</w:t>
      </w:r>
      <w:r w:rsidR="002C5CCB" w:rsidRPr="00DD34AF">
        <w:rPr>
          <w:b/>
          <w:bCs/>
        </w:rPr>
        <w:fldChar w:fldCharType="begin"/>
      </w:r>
      <w:r w:rsidR="002C5CCB" w:rsidRPr="00DD34AF">
        <w:rPr>
          <w:b/>
          <w:bCs/>
        </w:rPr>
        <w:instrText xml:space="preserve"> REF _Ref204598466 \h </w:instrText>
      </w:r>
      <w:r w:rsidR="00DD34AF">
        <w:rPr>
          <w:b/>
          <w:bCs/>
        </w:rPr>
        <w:instrText xml:space="preserve"> \* MERGEFORMAT </w:instrText>
      </w:r>
      <w:r w:rsidR="002C5CCB" w:rsidRPr="00DD34AF">
        <w:rPr>
          <w:b/>
          <w:bCs/>
        </w:rPr>
      </w:r>
      <w:r w:rsidR="002C5CCB" w:rsidRPr="00DD34AF">
        <w:rPr>
          <w:b/>
          <w:bCs/>
        </w:rPr>
        <w:fldChar w:fldCharType="separate"/>
      </w:r>
      <w:r w:rsidR="002C5CCB" w:rsidRPr="00DD34AF">
        <w:rPr>
          <w:b/>
          <w:bCs/>
        </w:rPr>
        <w:t xml:space="preserve">Figure </w:t>
      </w:r>
      <w:r w:rsidR="002C5CCB" w:rsidRPr="00DD34AF">
        <w:rPr>
          <w:b/>
          <w:bCs/>
          <w:noProof/>
        </w:rPr>
        <w:t>3</w:t>
      </w:r>
      <w:r w:rsidR="002C5CCB" w:rsidRPr="00DD34AF">
        <w:rPr>
          <w:b/>
          <w:bCs/>
        </w:rPr>
        <w:t>.</w:t>
      </w:r>
      <w:r w:rsidR="002C5CCB" w:rsidRPr="00DD34AF">
        <w:rPr>
          <w:b/>
          <w:bCs/>
          <w:noProof/>
        </w:rPr>
        <w:t>5</w:t>
      </w:r>
      <w:r w:rsidR="002C5CCB" w:rsidRPr="00DD34AF">
        <w:rPr>
          <w:b/>
          <w:bCs/>
        </w:rPr>
        <w:fldChar w:fldCharType="end"/>
      </w:r>
      <w:r>
        <w:t>)</w:t>
      </w:r>
      <w:r w:rsidRPr="001E796A">
        <w:t xml:space="preserve"> and sWAT </w:t>
      </w:r>
      <w:r>
        <w:t>(</w:t>
      </w:r>
      <w:r w:rsidR="002C5CCB" w:rsidRPr="00DD34AF">
        <w:rPr>
          <w:b/>
          <w:bCs/>
        </w:rPr>
        <w:fldChar w:fldCharType="begin"/>
      </w:r>
      <w:r w:rsidR="002C5CCB" w:rsidRPr="00DD34AF">
        <w:rPr>
          <w:b/>
          <w:bCs/>
        </w:rPr>
        <w:instrText xml:space="preserve"> REF _Ref204598457 \h </w:instrText>
      </w:r>
      <w:r w:rsidR="00DD34AF">
        <w:rPr>
          <w:b/>
          <w:bCs/>
        </w:rPr>
        <w:instrText xml:space="preserve"> \* MERGEFORMAT </w:instrText>
      </w:r>
      <w:r w:rsidR="002C5CCB" w:rsidRPr="00DD34AF">
        <w:rPr>
          <w:b/>
          <w:bCs/>
        </w:rPr>
      </w:r>
      <w:r w:rsidR="002C5CCB" w:rsidRPr="00DD34AF">
        <w:rPr>
          <w:b/>
          <w:bCs/>
        </w:rPr>
        <w:fldChar w:fldCharType="separate"/>
      </w:r>
      <w:r w:rsidR="002C5CCB" w:rsidRPr="00DD34AF">
        <w:rPr>
          <w:b/>
          <w:bCs/>
        </w:rPr>
        <w:t xml:space="preserve">Figure </w:t>
      </w:r>
      <w:r w:rsidR="002C5CCB" w:rsidRPr="00DD34AF">
        <w:rPr>
          <w:b/>
          <w:bCs/>
          <w:noProof/>
        </w:rPr>
        <w:t>3</w:t>
      </w:r>
      <w:r w:rsidR="002C5CCB" w:rsidRPr="00DD34AF">
        <w:rPr>
          <w:b/>
          <w:bCs/>
        </w:rPr>
        <w:t>.</w:t>
      </w:r>
      <w:r w:rsidR="002C5CCB" w:rsidRPr="00DD34AF">
        <w:rPr>
          <w:b/>
          <w:bCs/>
          <w:noProof/>
        </w:rPr>
        <w:t>6</w:t>
      </w:r>
      <w:r w:rsidR="002C5CCB" w:rsidRPr="00DD34AF">
        <w:rPr>
          <w:b/>
          <w:bCs/>
        </w:rPr>
        <w:fldChar w:fldCharType="end"/>
      </w:r>
      <w:r>
        <w:t>)</w:t>
      </w:r>
      <w:r w:rsidRPr="001E796A">
        <w:t xml:space="preserve">. </w:t>
      </w:r>
      <w:r>
        <w:t>D</w:t>
      </w:r>
      <w:r w:rsidRPr="00533304">
        <w:rPr>
          <w:i/>
        </w:rPr>
        <w:t>b/db</w:t>
      </w:r>
      <w:r w:rsidRPr="001E796A">
        <w:t xml:space="preserve"> mice had </w:t>
      </w:r>
      <w:r>
        <w:t xml:space="preserve">diminished </w:t>
      </w:r>
      <w:r w:rsidRPr="001E796A">
        <w:t xml:space="preserve">expression of both PGC1α and UCP1 in </w:t>
      </w:r>
      <w:r>
        <w:t xml:space="preserve">the </w:t>
      </w:r>
      <w:r w:rsidRPr="001E796A">
        <w:t xml:space="preserve">BAT and sWAT </w:t>
      </w:r>
      <w:r>
        <w:t xml:space="preserve">compared </w:t>
      </w:r>
      <w:r w:rsidRPr="001E796A">
        <w:t xml:space="preserve">to </w:t>
      </w:r>
      <w:r>
        <w:t xml:space="preserve">the </w:t>
      </w:r>
      <w:r w:rsidRPr="001E796A">
        <w:t xml:space="preserve">WT mice, </w:t>
      </w:r>
      <w:r>
        <w:t>regardless of sex</w:t>
      </w:r>
      <w:r w:rsidRPr="001E796A">
        <w:t xml:space="preserve">. </w:t>
      </w:r>
      <w:r>
        <w:t>Moreover, there were no sex differences in the thermogenic protein expression in the tissue examined (</w:t>
      </w:r>
      <w:r w:rsidR="00E00E3E" w:rsidRPr="00DD34AF">
        <w:rPr>
          <w:b/>
          <w:bCs/>
        </w:rPr>
        <w:fldChar w:fldCharType="begin"/>
      </w:r>
      <w:r w:rsidR="00E00E3E" w:rsidRPr="00DD34AF">
        <w:rPr>
          <w:b/>
          <w:bCs/>
        </w:rPr>
        <w:instrText xml:space="preserve"> REF _Ref204598466 \h </w:instrText>
      </w:r>
      <w:r w:rsidR="00DD34AF">
        <w:rPr>
          <w:b/>
          <w:bCs/>
        </w:rPr>
        <w:instrText xml:space="preserve"> \* MERGEFORMAT </w:instrText>
      </w:r>
      <w:r w:rsidR="00E00E3E" w:rsidRPr="00DD34AF">
        <w:rPr>
          <w:b/>
          <w:bCs/>
        </w:rPr>
      </w:r>
      <w:r w:rsidR="00E00E3E" w:rsidRPr="00DD34AF">
        <w:rPr>
          <w:b/>
          <w:bCs/>
        </w:rPr>
        <w:fldChar w:fldCharType="separate"/>
      </w:r>
      <w:r w:rsidR="00E00E3E" w:rsidRPr="00DD34AF">
        <w:rPr>
          <w:b/>
          <w:bCs/>
        </w:rPr>
        <w:t xml:space="preserve">Figure </w:t>
      </w:r>
      <w:r w:rsidR="00E00E3E" w:rsidRPr="00DD34AF">
        <w:rPr>
          <w:b/>
          <w:bCs/>
          <w:noProof/>
        </w:rPr>
        <w:t>3</w:t>
      </w:r>
      <w:r w:rsidR="00E00E3E" w:rsidRPr="00DD34AF">
        <w:rPr>
          <w:b/>
          <w:bCs/>
        </w:rPr>
        <w:t>.</w:t>
      </w:r>
      <w:r w:rsidR="00E00E3E" w:rsidRPr="00DD34AF">
        <w:rPr>
          <w:b/>
          <w:bCs/>
          <w:noProof/>
        </w:rPr>
        <w:t>5</w:t>
      </w:r>
      <w:r w:rsidR="00E00E3E" w:rsidRPr="00DD34AF">
        <w:rPr>
          <w:b/>
          <w:bCs/>
        </w:rPr>
        <w:fldChar w:fldCharType="end"/>
      </w:r>
      <w:r w:rsidRPr="00DD34AF">
        <w:rPr>
          <w:b/>
          <w:bCs/>
        </w:rPr>
        <w:t>-</w:t>
      </w:r>
      <w:r w:rsidR="002C5CCB" w:rsidRPr="00DD34AF">
        <w:rPr>
          <w:b/>
          <w:bCs/>
        </w:rPr>
        <w:t>3.6</w:t>
      </w:r>
      <w:r>
        <w:t xml:space="preserve">). </w:t>
      </w:r>
    </w:p>
    <w:p w14:paraId="6A01DB93" w14:textId="77777777" w:rsidR="000114E2" w:rsidRDefault="000114E2" w:rsidP="00847BA5">
      <w:pPr>
        <w:pStyle w:val="Heading2"/>
        <w:jc w:val="left"/>
      </w:pPr>
      <w:bookmarkStart w:id="136" w:name="_Toc190984280"/>
      <w:bookmarkStart w:id="137" w:name="_Toc200810417"/>
      <w:bookmarkStart w:id="138" w:name="_Toc201001694"/>
      <w:bookmarkStart w:id="139" w:name="_Toc204848657"/>
      <w:r w:rsidRPr="001E796A">
        <w:t>Discussion</w:t>
      </w:r>
      <w:bookmarkEnd w:id="136"/>
      <w:bookmarkEnd w:id="137"/>
      <w:bookmarkEnd w:id="138"/>
      <w:bookmarkEnd w:id="139"/>
    </w:p>
    <w:p w14:paraId="3470F8A4" w14:textId="2FEB7075" w:rsidR="00DD2464" w:rsidRPr="001E796A" w:rsidRDefault="00DD2464" w:rsidP="00822A50">
      <w:pPr>
        <w:ind w:firstLine="720"/>
        <w:jc w:val="left"/>
      </w:pPr>
      <w:r w:rsidRPr="001E796A">
        <w:t xml:space="preserve">This study aimed to determine </w:t>
      </w:r>
      <w:r>
        <w:t>whether</w:t>
      </w:r>
      <w:r w:rsidRPr="001E796A">
        <w:t xml:space="preserve"> </w:t>
      </w:r>
      <w:r w:rsidRPr="00533304">
        <w:rPr>
          <w:i/>
        </w:rPr>
        <w:t>db/db</w:t>
      </w:r>
      <w:r w:rsidRPr="001E796A">
        <w:t xml:space="preserve"> mice have a defect in thermogenic function and elucidate </w:t>
      </w:r>
      <w:r>
        <w:t xml:space="preserve">the </w:t>
      </w:r>
      <w:r w:rsidRPr="001E796A">
        <w:t>mechanisms involved in the impairment</w:t>
      </w:r>
      <w:r>
        <w:t xml:space="preserve">, </w:t>
      </w:r>
      <w:r w:rsidRPr="001E796A">
        <w:t xml:space="preserve">with </w:t>
      </w:r>
      <w:r>
        <w:t xml:space="preserve">an </w:t>
      </w:r>
      <w:r w:rsidRPr="001E796A">
        <w:t xml:space="preserve">emphasis on </w:t>
      </w:r>
      <w:r w:rsidRPr="003C728F">
        <w:rPr>
          <w:iCs/>
        </w:rPr>
        <w:t>PGC1α</w:t>
      </w:r>
      <w:r w:rsidRPr="001E796A">
        <w:t>- and UCP1-</w:t>
      </w:r>
      <w:r>
        <w:t xml:space="preserve"> </w:t>
      </w:r>
      <w:r w:rsidRPr="001E796A">
        <w:t xml:space="preserve">mediated </w:t>
      </w:r>
      <w:r>
        <w:t>non-shivering</w:t>
      </w:r>
      <w:r w:rsidRPr="001E796A">
        <w:t xml:space="preserve"> thermogenesis. We also explored sex differences in metabolic </w:t>
      </w:r>
      <w:r>
        <w:t>phenotype and</w:t>
      </w:r>
      <w:r w:rsidRPr="001E796A">
        <w:t xml:space="preserve"> thermogenic capacity. </w:t>
      </w:r>
      <w:r>
        <w:t>We found that</w:t>
      </w:r>
      <w:r w:rsidRPr="001E796A">
        <w:t xml:space="preserve"> </w:t>
      </w:r>
      <w:r>
        <w:t xml:space="preserve">severe obesity in </w:t>
      </w:r>
      <w:r w:rsidRPr="00533304">
        <w:rPr>
          <w:i/>
        </w:rPr>
        <w:t>db/db</w:t>
      </w:r>
      <w:r w:rsidRPr="001E796A">
        <w:t xml:space="preserve"> mice </w:t>
      </w:r>
      <w:r>
        <w:t>was</w:t>
      </w:r>
      <w:r w:rsidRPr="001E796A">
        <w:t xml:space="preserve"> </w:t>
      </w:r>
      <w:r>
        <w:t>associated with</w:t>
      </w:r>
      <w:r w:rsidRPr="001E796A">
        <w:t xml:space="preserve"> reduced heat production,</w:t>
      </w:r>
      <w:r>
        <w:t xml:space="preserve"> </w:t>
      </w:r>
      <w:r w:rsidRPr="001E796A">
        <w:t xml:space="preserve">impaired cold tolerance, </w:t>
      </w:r>
      <w:r>
        <w:t>and reduced thermogenic protein expression in the BAT and sWAT (</w:t>
      </w:r>
      <w:r w:rsidR="00E00E3E" w:rsidRPr="00DD34AF">
        <w:rPr>
          <w:b/>
          <w:bCs/>
        </w:rPr>
        <w:fldChar w:fldCharType="begin"/>
      </w:r>
      <w:r w:rsidR="00E00E3E" w:rsidRPr="00DD34AF">
        <w:rPr>
          <w:b/>
          <w:bCs/>
        </w:rPr>
        <w:instrText xml:space="preserve"> REF _Ref204598171 \h </w:instrText>
      </w:r>
      <w:r w:rsidR="00DD34AF">
        <w:rPr>
          <w:b/>
          <w:bCs/>
        </w:rPr>
        <w:instrText xml:space="preserve"> \* MERGEFORMAT </w:instrText>
      </w:r>
      <w:r w:rsidR="00E00E3E" w:rsidRPr="00DD34AF">
        <w:rPr>
          <w:b/>
          <w:bCs/>
        </w:rPr>
      </w:r>
      <w:r w:rsidR="00E00E3E" w:rsidRPr="00DD34AF">
        <w:rPr>
          <w:b/>
          <w:bCs/>
        </w:rPr>
        <w:fldChar w:fldCharType="separate"/>
      </w:r>
      <w:r w:rsidR="00E00E3E" w:rsidRPr="00DD34AF">
        <w:rPr>
          <w:b/>
          <w:bCs/>
        </w:rPr>
        <w:t xml:space="preserve">Figure </w:t>
      </w:r>
      <w:r w:rsidR="00E00E3E" w:rsidRPr="00DD34AF">
        <w:rPr>
          <w:b/>
          <w:bCs/>
          <w:noProof/>
        </w:rPr>
        <w:t>3</w:t>
      </w:r>
      <w:r w:rsidR="00E00E3E" w:rsidRPr="00DD34AF">
        <w:rPr>
          <w:b/>
          <w:bCs/>
        </w:rPr>
        <w:t>.</w:t>
      </w:r>
      <w:r w:rsidR="00E00E3E" w:rsidRPr="00DD34AF">
        <w:rPr>
          <w:b/>
          <w:bCs/>
          <w:noProof/>
        </w:rPr>
        <w:t>3</w:t>
      </w:r>
      <w:r w:rsidR="00E00E3E" w:rsidRPr="00DD34AF">
        <w:rPr>
          <w:b/>
          <w:bCs/>
        </w:rPr>
        <w:fldChar w:fldCharType="end"/>
      </w:r>
      <w:r w:rsidR="00E00E3E" w:rsidRPr="00DD34AF">
        <w:rPr>
          <w:b/>
          <w:bCs/>
        </w:rPr>
        <w:t>-3.6</w:t>
      </w:r>
      <w:r>
        <w:t>).</w:t>
      </w:r>
      <w:r w:rsidRPr="001E796A">
        <w:t xml:space="preserve"> </w:t>
      </w:r>
    </w:p>
    <w:p w14:paraId="6CFF7BC0" w14:textId="2006E0B5" w:rsidR="00DD2464" w:rsidRPr="001E796A" w:rsidRDefault="00DD2464" w:rsidP="00822A50">
      <w:pPr>
        <w:ind w:firstLine="720"/>
        <w:jc w:val="left"/>
      </w:pPr>
      <w:r w:rsidRPr="001E796A">
        <w:t xml:space="preserve">In </w:t>
      </w:r>
      <w:r w:rsidRPr="00533304">
        <w:rPr>
          <w:i/>
        </w:rPr>
        <w:t>db/db</w:t>
      </w:r>
      <w:r w:rsidRPr="001E796A">
        <w:t xml:space="preserve"> mice, body weight is significantly higher than in WT mice, regardless of sex. While male WT mice weighed more than females, this sex difference disappeared in </w:t>
      </w:r>
      <w:r w:rsidRPr="00533304">
        <w:rPr>
          <w:i/>
        </w:rPr>
        <w:t>db/db</w:t>
      </w:r>
      <w:r w:rsidRPr="001E796A">
        <w:t xml:space="preserve"> mice</w:t>
      </w:r>
      <w:r>
        <w:t xml:space="preserve"> (</w:t>
      </w:r>
      <w:r w:rsidR="00B4336F" w:rsidRPr="00B4336F">
        <w:rPr>
          <w:b/>
          <w:bCs/>
        </w:rPr>
        <w:fldChar w:fldCharType="begin"/>
      </w:r>
      <w:r w:rsidR="00B4336F" w:rsidRPr="00B4336F">
        <w:rPr>
          <w:b/>
          <w:bCs/>
        </w:rPr>
        <w:instrText xml:space="preserve"> REF _Ref204597761 \h </w:instrText>
      </w:r>
      <w:r w:rsidR="00B4336F">
        <w:rPr>
          <w:b/>
          <w:bCs/>
        </w:rPr>
        <w:instrText xml:space="preserve"> \* MERGEFORMAT </w:instrText>
      </w:r>
      <w:r w:rsidR="00B4336F" w:rsidRPr="00B4336F">
        <w:rPr>
          <w:b/>
          <w:bCs/>
        </w:rPr>
      </w:r>
      <w:r w:rsidR="00B4336F" w:rsidRPr="00B4336F">
        <w:rPr>
          <w:b/>
          <w:bCs/>
        </w:rPr>
        <w:fldChar w:fldCharType="separate"/>
      </w:r>
      <w:r w:rsidR="00B4336F" w:rsidRPr="00B4336F">
        <w:rPr>
          <w:b/>
          <w:bCs/>
        </w:rPr>
        <w:t xml:space="preserve">Figure </w:t>
      </w:r>
      <w:r w:rsidR="00B4336F" w:rsidRPr="00B4336F">
        <w:rPr>
          <w:b/>
          <w:bCs/>
          <w:noProof/>
        </w:rPr>
        <w:t>3</w:t>
      </w:r>
      <w:r w:rsidR="00B4336F" w:rsidRPr="00B4336F">
        <w:rPr>
          <w:b/>
          <w:bCs/>
        </w:rPr>
        <w:t>.</w:t>
      </w:r>
      <w:r w:rsidR="00B4336F" w:rsidRPr="00B4336F">
        <w:rPr>
          <w:b/>
          <w:bCs/>
          <w:noProof/>
        </w:rPr>
        <w:t>1</w:t>
      </w:r>
      <w:r w:rsidR="00B4336F" w:rsidRPr="00B4336F">
        <w:rPr>
          <w:b/>
          <w:bCs/>
        </w:rPr>
        <w:fldChar w:fldCharType="end"/>
      </w:r>
      <w:r>
        <w:t>)</w:t>
      </w:r>
      <w:r w:rsidRPr="001E796A">
        <w:t xml:space="preserve">. This suggests that severe obesity could mask the sex-based weight differences in mice. This finding aligns with prior studies showing that severe obesity could mask the sex-based weight differences in mice. In the </w:t>
      </w:r>
      <w:r w:rsidRPr="00400C87">
        <w:t>uninephrectomized</w:t>
      </w:r>
      <w:r w:rsidRPr="001E796A">
        <w:t xml:space="preserve"> </w:t>
      </w:r>
      <w:r w:rsidRPr="00533304">
        <w:rPr>
          <w:i/>
        </w:rPr>
        <w:t>db/db</w:t>
      </w:r>
      <w:r w:rsidRPr="001E796A">
        <w:t xml:space="preserve"> mice, there are no differences in body weight at 16 weeks old</w:t>
      </w:r>
      <w:r>
        <w:t xml:space="preserve"> </w:t>
      </w:r>
      <w:r w:rsidRPr="001E796A">
        <w:fldChar w:fldCharType="begin"/>
      </w:r>
      <w:r w:rsidR="000A741B">
        <w:instrText xml:space="preserve"> ADDIN ZOTERO_ITEM CSL_CITATION {"citationID":"HLmLkFgf","properties":{"formattedCitation":"\\super 399\\nosupersub{}","plainCitation":"399","noteIndex":0},"citationItems":[{"id":2676,"uris":["http://zotero.org/users/9622455/items/A9WWGFVM"],"itemData":{"id":2676,"type":"article-journal","abstract":"Diabetic nephropathy (DN) is associated with albuminuria and loss of kidney function and is the leading cause of end-stage renal disease. Despite evidence of sexassociated differences in the progression of DN in human patients, male mice are predominantly being used in preclinical DN research and drug development. Here, we compared renal changes in male and female uninephrectomized (UNx) db/db C57BLKS mice using immunohistochemistry and RNA sequencing. Male and female UNx db/db mice showed similar progression of type 2 diabetes, as assessed by obesity, hyperglycemia, and HbA1c. Progression of DN was also similar between sexes as assessed by kidney and glomerular hypertrophy as well as urine albuminto-creatinine ratio being increased in UNx db/db compared with control mice. In contrast, kidney collagen III and glomerular collagen IV were increased only in female UNx db/db as compared with respective control mice but showed a similar tendency in male UNx db/db mice. Comparison of renal cortex transcriptomes by RNA sequencing revealed 66 genes differentially expressed (p &lt; .01) in male versus female UNx db/db mice, of which 9 genes were located on the sex chromosomes. In conclusion, male and female UNx db/db mice developed similar hallmarks of DN pathology, suggesting no or weak sex differences in the functional and structural changes during DN progression.","container-title":"Physiological Reports","DOI":"10.14814/phy2.14333","ISSN":"2051-817X, 2051-817X","issue":"24","journalAbbreviation":"Physiol Rep","language":"en","license":"http://creativecommons.org/licenses/by/4.0/","source":"DOI.org (Crossref)","title":"Impact of sex on diabetic nephropathy and the renal transcriptome in UNx db/db C57BLKS mice","URL":"https://onlinelibrary.wiley.com/doi/abs/10.14814/phy2.14333","volume":"7","author":[{"family":"Sembach","given":"Frederikke E."},{"family":"Fink","given":"Lisbeth N."},{"family":"Johansen","given":"Thea"},{"family":"Boland","given":"Brandon B."},{"family":"Secher","given":"Thomas"},{"family":"Thrane","given":"Sebastian T."},{"family":"Nielsen","given":"Jens C."},{"family":"Fosgerau","given":"Keld"},{"family":"Vrang","given":"Niels"},{"family":"Jelsing","given":"Jacob"},{"family":"Pedersen","given":"Tanja X."},{"family":"Østergaard","given":"Mette V."}],"accessed":{"date-parts":[["2025",3,5]]},"issued":{"date-parts":[["2019",12]]}}}],"schema":"https://github.com/citation-style-language/schema/raw/master/csl-citation.json"} </w:instrText>
      </w:r>
      <w:r w:rsidRPr="001E796A">
        <w:fldChar w:fldCharType="separate"/>
      </w:r>
      <w:r w:rsidR="000A741B" w:rsidRPr="000A741B">
        <w:rPr>
          <w:vertAlign w:val="superscript"/>
        </w:rPr>
        <w:t>399</w:t>
      </w:r>
      <w:r w:rsidRPr="001E796A">
        <w:fldChar w:fldCharType="end"/>
      </w:r>
      <w:r w:rsidRPr="001E796A">
        <w:t xml:space="preserve">. A similar result was found in DIO mice. Although female mice gained weight later than male mice, both males and females reached similar body </w:t>
      </w:r>
      <w:r>
        <w:t>weights</w:t>
      </w:r>
      <w:r w:rsidRPr="001E796A">
        <w:t xml:space="preserve"> after 22 weeks</w:t>
      </w:r>
      <w:r>
        <w:t xml:space="preserve"> of</w:t>
      </w:r>
      <w:r w:rsidRPr="001E796A">
        <w:t xml:space="preserve"> </w:t>
      </w:r>
      <w:r>
        <w:t>consuming a</w:t>
      </w:r>
      <w:r w:rsidRPr="001E796A">
        <w:t xml:space="preserve"> high-fat diet</w:t>
      </w:r>
      <w:r>
        <w:t xml:space="preserve"> </w:t>
      </w:r>
      <w:r w:rsidRPr="001E796A">
        <w:fldChar w:fldCharType="begin"/>
      </w:r>
      <w:r w:rsidR="000A741B">
        <w:instrText xml:space="preserve"> ADDIN ZOTERO_ITEM CSL_CITATION {"citationID":"vniW2uAq","properties":{"formattedCitation":"\\super 400\\nosupersub{}","plainCitation":"400","noteIndex":0},"citationItems":[{"id":2677,"uris":["http://zotero.org/users/9622455/items/GNW5J2VZ"],"itemData":{"id":2677,"type":"article-journal","abstract":"Background:\nObesity and the metabolic syndrome are increasingly prevalent in society and their complications and response to treatment exhibit sexual dimorphism. Mouse models of high fat diet-induced obesity are commonly used for both mechanistic and therapeutic studies of metabolic disease and diabetes. However, the inclusion of female mammals in obesity research has not been a common practice, and has resulted in a paucity of data regarding the effect of sex on metabolic parameters and its applicability to humans.\n\nMethods:\nHere we analyzed male and female C57BL/6J mice beginning at 4 weeks of age that were placed on a low-fat diet (LFD, 10% calories from fat), a Western Diet (WD, 45% calories from fat), or a high fat diet (HFD, 60% calories from fat). Assessments of body composition, glucose homeostasis, insulin production, and energy metabolism, as well as histological analyses of pancreata were performed.\n\nResults:\nBoth male and female C57BL/6J mice had similar increases in total percent body weight gain with both WD and HFD compared to LFD, however, male mice gained weight earlier upon HFD or WD feeding compared to female mice. Male mice maintained their caloric food intake while reducing their locomotor activity with either WD or HFD compared to LFD, whereas female mice increased their caloric food intake with WD feeding. Locomotor activity of female mice did not significantly change upon WD or HFD feeding, yet female mice exhibited increased energy expenditure compared to WD or HFD fed male mice. Glucose tolerance tests performed at 4, 12 and 20 weeks of dietary intervention revealed impaired glucose tolerance that was worse in male mice compared to females. Furthermore, male mice exhibited an increase in pancreatic β cell area as well as reduced insulin sensitivity after HFD feeding compared to WD or LFD, whereas female mice did not.\n\nConclusions:\nMale and female C57BL/6J mice exhibited strikingly different responses in weight, food consumption, locomotor activity, energy expenditure and β cell adaptation upon dietary manipulation, with the latter exhibiting less striking phenotypic changes. We conclude that the nature of these responses emphasizes the need to contextualize studies of obesity pathophysiology and treatment with respect to sex.","container-title":"Journal of diabetes and its complications","DOI":"10.1016/j.jdiacomp.2020.107795","ISSN":"1056-8727","issue":"2","journalAbbreviation":"J Diabetes Complications","note":"PMID: 33308894\nPMCID: PMC7856196","page":"107795","source":"PubMed Central","title":"Phenotypic Sexual Dimorphism in Response to Dietary Fat Manipulation in C57BL/6J Mice","volume":"35","author":[{"family":"Casimiro","given":"Isabel"},{"family":"Stull","given":"Natalie D."},{"family":"Tersey","given":"Sarah A."},{"family":"Mirmira","given":"Raghavendra G."}],"issued":{"date-parts":[["2021",2]]}}}],"schema":"https://github.com/citation-style-language/schema/raw/master/csl-citation.json"} </w:instrText>
      </w:r>
      <w:r w:rsidRPr="001E796A">
        <w:fldChar w:fldCharType="separate"/>
      </w:r>
      <w:r w:rsidR="000A741B" w:rsidRPr="000A741B">
        <w:rPr>
          <w:vertAlign w:val="superscript"/>
        </w:rPr>
        <w:t>400</w:t>
      </w:r>
      <w:r w:rsidRPr="001E796A">
        <w:fldChar w:fldCharType="end"/>
      </w:r>
      <w:r w:rsidRPr="001E796A">
        <w:t xml:space="preserve">. Despite similar body weights in </w:t>
      </w:r>
      <w:r w:rsidRPr="00533304">
        <w:rPr>
          <w:i/>
        </w:rPr>
        <w:t>db/db</w:t>
      </w:r>
      <w:r w:rsidRPr="001E796A">
        <w:t xml:space="preserve"> mice, </w:t>
      </w:r>
      <w:r w:rsidRPr="00F61A55">
        <w:lastRenderedPageBreak/>
        <w:t xml:space="preserve">female </w:t>
      </w:r>
      <w:r w:rsidRPr="00533304">
        <w:rPr>
          <w:i/>
        </w:rPr>
        <w:t>db/db</w:t>
      </w:r>
      <w:r w:rsidRPr="00F61A55">
        <w:t xml:space="preserve"> mice exhibited significantly greater gWAT </w:t>
      </w:r>
      <w:r>
        <w:t>weight</w:t>
      </w:r>
      <w:r w:rsidRPr="00F61A55">
        <w:t xml:space="preserve"> and gWAT</w:t>
      </w:r>
      <w:r>
        <w:t>/</w:t>
      </w:r>
      <w:r w:rsidRPr="00F61A55">
        <w:t xml:space="preserve">body weight </w:t>
      </w:r>
      <w:r>
        <w:t>percentage</w:t>
      </w:r>
      <w:r w:rsidRPr="00F61A55">
        <w:t xml:space="preserve"> than their male counterparts, a sex difference not observed in WT animals. This finding contrasts with the traditional view that males preferentially accumulate visceral fat, while females exhibit subcutaneous fat</w:t>
      </w:r>
      <w:r>
        <w:t xml:space="preserve"> </w:t>
      </w:r>
      <w:r w:rsidRPr="001E796A">
        <w:fldChar w:fldCharType="begin"/>
      </w:r>
      <w:r w:rsidR="000A741B">
        <w:instrText xml:space="preserve"> ADDIN ZOTERO_ITEM CSL_CITATION {"citationID":"R4U048nF","properties":{"formattedCitation":"\\super 401\\nosupersub{}","plainCitation":"401","noteIndex":0},"citationItems":[{"id":2680,"uris":["http://zotero.org/users/9622455/items/AQRXNECW"],"itemData":{"id":2680,"type":"article-journal","abstract":"This review focuses on the human genetics, epidemiology, and molecular pathophysiology of sex differences in central obesity, adipose distribution, and related cardiometabolic disorders. Distribution of fat is important for cardiometabolic health, with peripheral fat depots having a protective effect and central visceral fat depots conferring a detrimental effect on health. There are important sex differences in fat distribution that are masked when studying body mass index as a measure of obesity. From epidemiological, murine, and in vitro studies, several mechanisms have been proposed to explain the sex differences in adipose distribution, including sex hormonal effects, cell-intrinsic properties, and the microenvironment in fat depots. More recently, human genetics have revealed hundreds of loci for central obesity providing disruptive opportunities for mechanistic discoveries and clinical translation. A striking feature is that over one-third of these loci have reproducible but poorly understood sexual dimorphic associations with central obesity, most having stronger effects in women. Understanding the genetic and molecular mechanisms of adipose distribution and its sexual dimorphism in humans provides a unique opportunity to promote the use of precision medicine for early identification of at-risk individuals, and the development of novel therapeutic strategies for central obesity and related cardiometabolic disorders.","container-title":"Arteriosclerosis, Thrombosis, and Vascular Biology","DOI":"10.1161/ATVBAHA.119.313154","issue":"1","note":"publisher: American Heart Association","page":"45-60","source":"ahajournals.org (Atypon)","title":"Sex Differences in Genomic Drivers of Adipose Distribution and Related Cardiometabolic Disorders","volume":"40","author":[{"family":"Lumish","given":"Heidi S."},{"family":"O’Reilly","given":"Marcella"},{"family":"Reilly","given":"Muredach P."}],"issued":{"date-parts":[["2020",1]]}}}],"schema":"https://github.com/citation-style-language/schema/raw/master/csl-citation.json"} </w:instrText>
      </w:r>
      <w:r w:rsidRPr="001E796A">
        <w:fldChar w:fldCharType="separate"/>
      </w:r>
      <w:r w:rsidR="000A741B" w:rsidRPr="000A741B">
        <w:rPr>
          <w:vertAlign w:val="superscript"/>
        </w:rPr>
        <w:t>401</w:t>
      </w:r>
      <w:r w:rsidRPr="001E796A">
        <w:fldChar w:fldCharType="end"/>
      </w:r>
      <w:r w:rsidRPr="001E796A">
        <w:t xml:space="preserve">. </w:t>
      </w:r>
      <w:r w:rsidRPr="003F3E7F">
        <w:t>Sex hormones play a critical role in regulating adipose tissue distribution</w:t>
      </w:r>
      <w:r>
        <w:t xml:space="preserve"> </w:t>
      </w:r>
      <w:r w:rsidRPr="001E796A">
        <w:fldChar w:fldCharType="begin"/>
      </w:r>
      <w:r w:rsidR="000A741B">
        <w:instrText xml:space="preserve"> ADDIN ZOTERO_ITEM CSL_CITATION {"citationID":"YzIbkVpA","properties":{"formattedCitation":"\\super 402\\nosupersub{}","plainCitation":"402","noteIndex":0},"citationItems":[{"id":2682,"uris":["http://zotero.org/users/9622455/items/7WGGKW9H"],"itemData":{"id":2682,"type":"article-journal","container-title":"Endocrinology and metabolism clinics of North America","DOI":"10.1016/j.ecl.2020.02.008","ISSN":"0889-8529","issue":"2","journalAbbreviation":"Endocrinol Metab Clin North Am","note":"PMID: 32418585\nPMCID: PMC7921847","page":"215-228","source":"PubMed Central","title":"Sex Differences in Adipose Tissue Function","volume":"49","author":[{"family":"Gavin","given":"Kathleen M."},{"family":"Bessesen","given":"Daniel H."}],"issued":{"date-parts":[["2020",6]]}}}],"schema":"https://github.com/citation-style-language/schema/raw/master/csl-citation.json"} </w:instrText>
      </w:r>
      <w:r w:rsidRPr="001E796A">
        <w:fldChar w:fldCharType="separate"/>
      </w:r>
      <w:r w:rsidR="000A741B" w:rsidRPr="000A741B">
        <w:rPr>
          <w:vertAlign w:val="superscript"/>
        </w:rPr>
        <w:t>402</w:t>
      </w:r>
      <w:r w:rsidRPr="001E796A">
        <w:fldChar w:fldCharType="end"/>
      </w:r>
      <w:r w:rsidRPr="001E796A">
        <w:rPr>
          <w:vertAlign w:val="superscript"/>
        </w:rPr>
        <w:t>,</w:t>
      </w:r>
      <w:r w:rsidRPr="001E796A">
        <w:fldChar w:fldCharType="begin"/>
      </w:r>
      <w:r w:rsidR="000A741B">
        <w:instrText xml:space="preserve"> ADDIN ZOTERO_ITEM CSL_CITATION {"citationID":"hMQBFY93","properties":{"formattedCitation":"\\super 403\\nosupersub{}","plainCitation":"403","noteIndex":0},"citationItems":[{"id":2685,"uris":["http://zotero.org/users/9622455/items/JECQLZGZ"],"itemData":{"id":2685,"type":"article-journal","abstract":"Purpose of Review\nAs the ongoing epidemic of adult and childhood obesity grows, it puts a greater burden on individuals and the healthcare system due to increased prevalence of obesity-associated diseases. An important area that has gained much attention recently is the sex and gender difference related to obesity and associated complications. Basic science and clinical studies have now improved our understanding of obesity and have discovered adipose tissue biology to be key in metabolism.\n\nRecent Findings\nThere is evidence related to the sex dichotomy in obesity in a variety of areas including adipocyte function, sex hormone effects, genetics, and metabolic inflammation leading to critical differences in adipose tissue biology.\n\nSummary\nThe sex and gender difference in adipose tissue is a factor that should be considered when studying an individuals’ risk for obesity and metabolic dysfunction. This understanding is important for strategizing treatment and prevention measures.","container-title":"Current diabetes reports","DOI":"10.1007/s11892-018-1031-3","ISSN":"1534-4827","issue":"9","journalAbbreviation":"Curr Diab Rep","note":"PMID: 30058013\nPMCID: PMC6525964","page":"69","source":"PubMed Central","title":"Gender and Sex Differences in Adipose Tissue","volume":"18","author":[{"family":"Chang","given":"Eric"},{"family":"Varghese","given":"Mita"},{"family":"Singer","given":"Kanakadurga"}],"issued":{"date-parts":[["2018",7,30]]}}}],"schema":"https://github.com/citation-style-language/schema/raw/master/csl-citation.json"} </w:instrText>
      </w:r>
      <w:r w:rsidRPr="001E796A">
        <w:fldChar w:fldCharType="separate"/>
      </w:r>
      <w:r w:rsidR="000A741B" w:rsidRPr="000A741B">
        <w:rPr>
          <w:vertAlign w:val="superscript"/>
        </w:rPr>
        <w:t>403</w:t>
      </w:r>
      <w:r w:rsidRPr="001E796A">
        <w:fldChar w:fldCharType="end"/>
      </w:r>
      <w:r w:rsidRPr="003F3E7F">
        <w:t xml:space="preserve">. Estrogen promotes subcutaneous fat storage and suppresses visceral fat accumulation, contributing to the typically lower visceral adiposity observed in </w:t>
      </w:r>
      <w:r>
        <w:t xml:space="preserve">premenopausal </w:t>
      </w:r>
      <w:r w:rsidRPr="003F3E7F">
        <w:t>females</w:t>
      </w:r>
      <w:r>
        <w:t xml:space="preserve"> </w:t>
      </w:r>
      <w:r>
        <w:fldChar w:fldCharType="begin"/>
      </w:r>
      <w:r>
        <w:instrText xml:space="preserve"> ADDIN ZOTERO_ITEM CSL_CITATION {"citationID":"a57hbtme9o","properties":{"formattedCitation":"\\super 32,33\\nosupersub{}","plainCitation":"32,33","dontUpdate":true,"noteIndex":0},"citationItems":[{"id":3802,"uris":["http://zotero.org/users/9622455/items/EFTG7PTH"],"itemData":{"id":3802,"type":"article-journal","abstract":"Menopause-related decline in estrogen levels is accompanied by a change in adipose tissue distribution from a gynoid to an android and an increased prevalence of obesity in women. These unfavorable phenomena can be partially restored by hormone replacement therapy, suggesting a significant role for estrogen in the regulation of adipocytes’ function. Indeed, preclinical studies proved the involvement of these hormones in adipose tissue development, metabolism, and inflammatory activity. However, the relationship between estrogen and obesity is bidirectional. On the one hand-their deficiency leads to excessive fat accumulation and impairs adipocyte function, on the other-adipose tissue of obese individuals is characterized by altered expression of estrogen receptors and key enzymes involved in their synthesis. This narrative review aims to summarize the role of estrogen in adipose tissue development, physiology, and in obesity-related dysfunction. Firstly, the estrogen classification, synthesis, and modes of action are presented. Next, their role in regulating adipogenesis and adipose tissue activity in health and the course of obesity is described. Finally, the potential therapeutic applications of estrogen and its derivates in obesity treatment are discussed.","container-title":"Biomedicines","DOI":"10.3390/biomedicines11030690","ISSN":"2227-9059","issue":"3","journalAbbreviation":"Biomedicines","note":"PMID: 36979669\nPMCID: PMC10045924","page":"690","source":"PubMed Central","title":"Estrogens in Adipose Tissue Physiology and Obesity-Related Dysfunction","volume":"11","author":[{"family":"Kuryłowicz","given":"Alina"}],"issued":{"date-parts":[["2023",2,24]]}}},{"id":4159,"uris":["http://zotero.org/users/9622455/items/PJRDYXFV"],"itemData":{"id":4159,"type":"article-journal","abstract":"One of the leading causes for the development of adverse metabolic effects, including type 2 diabetes, dyslipidemia, and cardiovascular diseases, is the accumulation of excess body weight, often measured by body mass index (BMI). Although BMI, calculated using weight and height, is the standard measure used to determine body adiposity in clinical and public health guidelines, an inherent limitation is that BMI does not distinguish where in the body adiposity is deposited. Central obesity, characterized by greater accumulation of adiposity in the abdominal region, has been associated with a higher risk of mortality, independent of BMI. Importantly, one of the determinants of body fat distribution is sex hormones. Both estrogens and androgens appear to directly and indirectly influence body fat distribution. Our review will focus specifically on the role of estrogens and their influence in determining body fat distribution and overall health of adipose tissues, and the role of epigenetic mechanisms in regulating the production and function of estrogens.","container-title":"Annals of the New York Academy of Sciences","DOI":"10.1111/nyas.14281","ISSN":"1749-6632","issue":"1","language":"en","license":"© 2019 New York Academy of Sciences.","note":"_eprint: https://nyaspubs.onlinelibrary.wiley.com/doi/pdf/10.1111/nyas.14281","page":"127-143","source":"Wiley Online Library","title":"The role of estrogens in the adipose tissue milieu","volume":"1461","author":[{"family":"Bracht","given":"John R."},{"family":"Vieira-Potter","given":"Victoria J."},{"family":"De Souza Santos","given":"Roberta"},{"family":"Öz","given":"Orhan K."},{"family":"Palmer","given":"Biff F."},{"family":"Clegg","given":"Deborah J."}],"issued":{"date-parts":[["2020"]]}}}],"schema":"https://github.com/citation-style-language/schema/raw/master/csl-citation.json"} </w:instrText>
      </w:r>
      <w:r>
        <w:fldChar w:fldCharType="separate"/>
      </w:r>
      <w:r w:rsidRPr="0041653B">
        <w:rPr>
          <w:vertAlign w:val="superscript"/>
        </w:rPr>
        <w:t xml:space="preserve"> </w:t>
      </w:r>
      <w:r>
        <w:rPr>
          <w:vertAlign w:val="superscript"/>
        </w:rPr>
        <w:t>36,37</w:t>
      </w:r>
      <w:r>
        <w:fldChar w:fldCharType="end"/>
      </w:r>
      <w:r w:rsidRPr="003F3E7F">
        <w:t xml:space="preserve">. </w:t>
      </w:r>
      <w:r>
        <w:t>F</w:t>
      </w:r>
      <w:r w:rsidRPr="00382B02">
        <w:t xml:space="preserve">emale </w:t>
      </w:r>
      <w:r w:rsidRPr="00533304">
        <w:rPr>
          <w:i/>
        </w:rPr>
        <w:t>db/db</w:t>
      </w:r>
      <w:r w:rsidRPr="00382B02">
        <w:t xml:space="preserve"> mice exhibit</w:t>
      </w:r>
      <w:r>
        <w:t>ed</w:t>
      </w:r>
      <w:r w:rsidRPr="00382B02">
        <w:t xml:space="preserve"> reduced estrogen receptor alpha (ERα) protein levels in the liver compared to WT controls, suggesting attenuated estrogen signaling in </w:t>
      </w:r>
      <w:r>
        <w:t xml:space="preserve">obese and diabetic </w:t>
      </w:r>
      <w:r w:rsidRPr="00382B02">
        <w:t>animals</w:t>
      </w:r>
      <w:r>
        <w:t xml:space="preserve"> </w:t>
      </w:r>
      <w:r>
        <w:fldChar w:fldCharType="begin"/>
      </w:r>
      <w:r w:rsidR="000A741B">
        <w:instrText xml:space="preserve"> ADDIN ZOTERO_ITEM CSL_CITATION {"citationID":"a1e3v6lq6sc","properties":{"formattedCitation":"\\super 405\\nosupersub{}","plainCitation":"405","noteIndex":0},"citationItems":[{"id":4153,"uris":["http://zotero.org/users/9622455/items/USAKXIPB"],"itemData":{"id":4153,"type":"article-journal","abstract":"Estrogen receptor α (ERα) plays a crucial role in regulating glucose and energy homeostasis during type 2 diabetes mellitus (T2DM). However, the underlying mechanisms remain incompletely understood. Here we find a ligand-independent effect of ERα on the regulation of glucose homeostasis. Deficiency of ERα in the liver impairs glucose homeostasis in male, female, and ovariectomized (OVX) female mice. Mechanistic studies reveal that ERα promotes hepatic insulin sensitivity by suppressing ubiquitination-induced IRS1 degradation. The ERα 1-280 domain mediates the ligand-independent effect of ERα on insulin sensitivity. Furthermore, we identify a peptide based on ERα 1-280 domain and find that ERα-derived peptide increases IRS1 stability and enhances insulin sensitivity. Importantly, administration of ERα-derived peptide into obese mice significantly improves glucose homeostasis and serum lipid profiles. These findings pave the way for the therapeutic intervention of T2DM by targeting the ligand-independent effect of ERα and indicate that ERα-derived peptide is a potential insulin sensitizer for the treatment of T2DM., Type 2 diabetes mellitus is an increasing global health issue, which is caused by systemic insulin resistance. Here, the authors show a ligand-independent effect of hepatic ERα in regulating insulin sensitivity and identify an ERα-derived peptide that functions as an insulin sensitizer.","container-title":"Nature Communications","DOI":"10.1038/s41467-024-47687-6","ISSN":"2041-1723","journalAbbreviation":"Nat Commun","note":"PMID: 38649684\nPMCID: PMC11035554","page":"3410","source":"PubMed Central","title":"An estrogen receptor α-derived peptide improves glucose homeostasis during obesity","volume":"15","author":[{"family":"Yang","given":"Wanbao"},{"family":"Jiang","given":"Wen"},{"family":"Liao","given":"Wang"},{"family":"Yan","given":"Hui"},{"family":"Ai","given":"Weiqi"},{"family":"Pan","given":"Quan"},{"family":"Brashear","given":"Wesley A."},{"family":"Xu","given":"Yong"},{"family":"He","given":"Ling"},{"family":"Guo","given":"Shaodong"}],"issued":{"date-parts":[["2024",4,22]]}}}],"schema":"https://github.com/citation-style-language/schema/raw/master/csl-citation.json"} </w:instrText>
      </w:r>
      <w:r>
        <w:fldChar w:fldCharType="separate"/>
      </w:r>
      <w:r w:rsidR="000A741B" w:rsidRPr="000A741B">
        <w:rPr>
          <w:vertAlign w:val="superscript"/>
        </w:rPr>
        <w:t>405</w:t>
      </w:r>
      <w:r>
        <w:fldChar w:fldCharType="end"/>
      </w:r>
      <w:r>
        <w:t>.</w:t>
      </w:r>
      <w:r w:rsidRPr="00382B02">
        <w:t xml:space="preserve"> </w:t>
      </w:r>
      <w:r w:rsidRPr="003F3E7F">
        <w:t>The increased</w:t>
      </w:r>
      <w:r>
        <w:t xml:space="preserve"> </w:t>
      </w:r>
      <w:r w:rsidRPr="003F3E7F">
        <w:t xml:space="preserve">gWAT observed in female </w:t>
      </w:r>
      <w:r w:rsidRPr="00533304">
        <w:rPr>
          <w:i/>
        </w:rPr>
        <w:t>db/db</w:t>
      </w:r>
      <w:r w:rsidRPr="003F3E7F">
        <w:t xml:space="preserve"> mice </w:t>
      </w:r>
      <w:r>
        <w:t xml:space="preserve">compared to their male counterparts </w:t>
      </w:r>
      <w:r w:rsidRPr="003F3E7F">
        <w:t>may be partially attributed to reduced estrogen levels</w:t>
      </w:r>
      <w:r>
        <w:t>.</w:t>
      </w:r>
    </w:p>
    <w:p w14:paraId="203B5C3A" w14:textId="4619A333" w:rsidR="00DD2464" w:rsidRPr="001E796A" w:rsidRDefault="00DD2464" w:rsidP="00822A50">
      <w:pPr>
        <w:ind w:firstLine="720"/>
        <w:jc w:val="left"/>
      </w:pPr>
      <w:r w:rsidRPr="001E796A">
        <w:t xml:space="preserve">Beyond differences in </w:t>
      </w:r>
      <w:r>
        <w:t>body weight and fat mass</w:t>
      </w:r>
      <w:r w:rsidRPr="001E796A">
        <w:t xml:space="preserve">, </w:t>
      </w:r>
      <w:r w:rsidRPr="00533304">
        <w:rPr>
          <w:i/>
        </w:rPr>
        <w:t>db/db</w:t>
      </w:r>
      <w:r w:rsidRPr="001E796A">
        <w:t xml:space="preserve"> mice demonstrated significant compromises in thermoregulation</w:t>
      </w:r>
      <w:r>
        <w:t xml:space="preserve"> (</w:t>
      </w:r>
      <w:r w:rsidR="00E00E3E" w:rsidRPr="00B4336F">
        <w:rPr>
          <w:b/>
          <w:bCs/>
        </w:rPr>
        <w:fldChar w:fldCharType="begin"/>
      </w:r>
      <w:r w:rsidR="00E00E3E" w:rsidRPr="00B4336F">
        <w:rPr>
          <w:b/>
          <w:bCs/>
        </w:rPr>
        <w:instrText xml:space="preserve"> REF _Ref204598171 \h </w:instrText>
      </w:r>
      <w:r w:rsidR="00B4336F">
        <w:rPr>
          <w:b/>
          <w:bCs/>
        </w:rPr>
        <w:instrText xml:space="preserve"> \* MERGEFORMAT </w:instrText>
      </w:r>
      <w:r w:rsidR="00E00E3E" w:rsidRPr="00B4336F">
        <w:rPr>
          <w:b/>
          <w:bCs/>
        </w:rPr>
      </w:r>
      <w:r w:rsidR="00E00E3E" w:rsidRPr="00B4336F">
        <w:rPr>
          <w:b/>
          <w:bCs/>
        </w:rPr>
        <w:fldChar w:fldCharType="separate"/>
      </w:r>
      <w:r w:rsidR="00E00E3E" w:rsidRPr="00B4336F">
        <w:rPr>
          <w:b/>
          <w:bCs/>
        </w:rPr>
        <w:t xml:space="preserve">Figure </w:t>
      </w:r>
      <w:r w:rsidR="00E00E3E" w:rsidRPr="00B4336F">
        <w:rPr>
          <w:b/>
          <w:bCs/>
          <w:noProof/>
        </w:rPr>
        <w:t>3</w:t>
      </w:r>
      <w:r w:rsidR="00E00E3E" w:rsidRPr="00B4336F">
        <w:rPr>
          <w:b/>
          <w:bCs/>
        </w:rPr>
        <w:t>.</w:t>
      </w:r>
      <w:r w:rsidR="00E00E3E" w:rsidRPr="00B4336F">
        <w:rPr>
          <w:b/>
          <w:bCs/>
          <w:noProof/>
        </w:rPr>
        <w:t>3</w:t>
      </w:r>
      <w:r w:rsidR="00E00E3E" w:rsidRPr="00B4336F">
        <w:rPr>
          <w:b/>
          <w:bCs/>
        </w:rPr>
        <w:fldChar w:fldCharType="end"/>
      </w:r>
      <w:r w:rsidR="00E00E3E" w:rsidRPr="00B4336F">
        <w:rPr>
          <w:b/>
          <w:bCs/>
        </w:rPr>
        <w:t>-3.6</w:t>
      </w:r>
      <w:r>
        <w:t>)</w:t>
      </w:r>
      <w:r w:rsidRPr="001E796A">
        <w:t xml:space="preserve">. The </w:t>
      </w:r>
      <w:r w:rsidRPr="00533304">
        <w:rPr>
          <w:i/>
        </w:rPr>
        <w:t>db/db</w:t>
      </w:r>
      <w:r w:rsidRPr="001E796A">
        <w:t xml:space="preserve"> mice had higher absolute heat production compared to </w:t>
      </w:r>
      <w:r>
        <w:t>the</w:t>
      </w:r>
      <w:r w:rsidRPr="001E796A">
        <w:t xml:space="preserve"> WT mice. Higher </w:t>
      </w:r>
      <w:r>
        <w:t>resting</w:t>
      </w:r>
      <w:r w:rsidRPr="001E796A">
        <w:t xml:space="preserve"> heat production is also</w:t>
      </w:r>
      <w:r>
        <w:t xml:space="preserve"> observed </w:t>
      </w:r>
      <w:r w:rsidRPr="001E796A">
        <w:t>in the human population with obesity compared to the lean population</w:t>
      </w:r>
      <w:r>
        <w:t xml:space="preserve"> </w:t>
      </w:r>
      <w:r w:rsidRPr="001E796A">
        <w:fldChar w:fldCharType="begin"/>
      </w:r>
      <w:r w:rsidR="000A741B">
        <w:instrText xml:space="preserve"> ADDIN ZOTERO_ITEM CSL_CITATION {"citationID":"P4669vdG","properties":{"formattedCitation":"\\super 406\\nosupersub{}","plainCitation":"406","noteIndex":0},"citationItems":[{"id":2699,"uris":["http://zotero.org/users/9622455/items/KCYDHBXL"],"itemData":{"id":2699,"type":"article-journal","abstract":"Total free living energy expenditure was compared in lean and obese women by the new doubly labelled water method and partitioned into basal metabolism and thermogenesis plus activity by whole body calorimetry. Average energy expenditure was significantly higher in the obese group (10.22 versus 7.99 MJ/day (2445 versus 1911 kcal/day); p less than 0.001) resulting from an increase in the energy cost of both basal metabolism and physical activity. Self recorded energy intakes were accurate in the lean subjects but underestimated expenditure by 3.5 MJ/day (837 kcal/day) in the obese group. Basal metabolic rate and energy expenditure on thermogenesis plus activity were identical in the two groups when corrected for differences in fat free mass and total body mass. In the obese women in this series there was no evidence that their obesity was caused by a metabolic or behavioural defect resulting in reduced energy expenditure.","container-title":"British medical journal (Clinical research ed.)","DOI":"10.1136/bmj.292.6526.983","ISSN":"0267-0623","issue":"6526","journalAbbreviation":"Br Med J (Clin Res Ed)","language":"eng","note":"PMID: 3083978\nPMCID: PMC1339917","page":"983-987","source":"Europe PMC","title":"High levels of energy expenditure in obese women","volume":"292","author":[{"family":"Prentice","given":"A M"},{"family":"Black","given":"A E"},{"family":"Coward","given":"W A"},{"family":"Davies","given":"H L"},{"family":"Goldberg","given":"G R"},{"family":"Murgatroyd","given":"P R"},{"family":"Ashford","given":"J"},{"family":"Sawyer","given":"M"},{"family":"Whitehead","given":"R G"}],"issued":{"date-parts":[["1986",4,1]]}}}],"schema":"https://github.com/citation-style-language/schema/raw/master/csl-citation.json"} </w:instrText>
      </w:r>
      <w:r w:rsidRPr="001E796A">
        <w:fldChar w:fldCharType="separate"/>
      </w:r>
      <w:r w:rsidR="000A741B" w:rsidRPr="000A741B">
        <w:rPr>
          <w:vertAlign w:val="superscript"/>
        </w:rPr>
        <w:t>406</w:t>
      </w:r>
      <w:r w:rsidRPr="001E796A">
        <w:fldChar w:fldCharType="end"/>
      </w:r>
      <w:r w:rsidRPr="001E796A">
        <w:t xml:space="preserve">. Despite the higher heat production, </w:t>
      </w:r>
      <w:r w:rsidRPr="00533304">
        <w:rPr>
          <w:i/>
        </w:rPr>
        <w:t>db/db</w:t>
      </w:r>
      <w:r w:rsidRPr="001E796A">
        <w:t xml:space="preserve"> mice showed significantly reduced heat production when normalized to body weight</w:t>
      </w:r>
      <w:r>
        <w:t xml:space="preserve"> (</w:t>
      </w:r>
      <w:r w:rsidRPr="00B4336F">
        <w:rPr>
          <w:b/>
          <w:bCs/>
        </w:rPr>
        <w:fldChar w:fldCharType="begin"/>
      </w:r>
      <w:r w:rsidRPr="00B4336F">
        <w:rPr>
          <w:b/>
          <w:bCs/>
        </w:rPr>
        <w:instrText xml:space="preserve"> REF _Ref203052097 \h </w:instrText>
      </w:r>
      <w:r w:rsid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2</w:t>
      </w:r>
      <w:r w:rsidRPr="00B4336F">
        <w:rPr>
          <w:b/>
          <w:bCs/>
        </w:rPr>
        <w:fldChar w:fldCharType="end"/>
      </w:r>
      <w:r w:rsidRPr="00B4336F">
        <w:rPr>
          <w:b/>
          <w:bCs/>
        </w:rPr>
        <w:t>E</w:t>
      </w:r>
      <w:r>
        <w:t>)</w:t>
      </w:r>
      <w:r w:rsidRPr="001E796A">
        <w:t>. In WT mice, females exhibited lower heat production</w:t>
      </w:r>
      <w:r>
        <w:t>,</w:t>
      </w:r>
      <w:r w:rsidRPr="001E796A">
        <w:t xml:space="preserve"> as heat production is</w:t>
      </w:r>
      <w:r w:rsidRPr="001E796A">
        <w:rPr>
          <w:rFonts w:hint="eastAsia"/>
        </w:rPr>
        <w:t xml:space="preserve"> positively</w:t>
      </w:r>
      <w:r w:rsidRPr="001E796A">
        <w:t xml:space="preserve"> correlated with body weight</w:t>
      </w:r>
      <w:r>
        <w:t xml:space="preserve"> (</w:t>
      </w:r>
      <w:r w:rsidR="00E00E3E" w:rsidRPr="00B4336F">
        <w:rPr>
          <w:b/>
          <w:bCs/>
        </w:rPr>
        <w:fldChar w:fldCharType="begin"/>
      </w:r>
      <w:r w:rsidR="00E00E3E" w:rsidRPr="00B4336F">
        <w:rPr>
          <w:b/>
          <w:bCs/>
        </w:rPr>
        <w:instrText xml:space="preserve"> REF _Ref204597761 \h </w:instrText>
      </w:r>
      <w:r w:rsidR="00B4336F">
        <w:rPr>
          <w:b/>
          <w:bCs/>
        </w:rPr>
        <w:instrText xml:space="preserve"> \* MERGEFORMAT </w:instrText>
      </w:r>
      <w:r w:rsidR="00E00E3E" w:rsidRPr="00B4336F">
        <w:rPr>
          <w:b/>
          <w:bCs/>
        </w:rPr>
      </w:r>
      <w:r w:rsidR="00E00E3E" w:rsidRPr="00B4336F">
        <w:rPr>
          <w:b/>
          <w:bCs/>
        </w:rPr>
        <w:fldChar w:fldCharType="separate"/>
      </w:r>
      <w:r w:rsidR="00E00E3E" w:rsidRPr="00B4336F">
        <w:rPr>
          <w:b/>
          <w:bCs/>
        </w:rPr>
        <w:t xml:space="preserve">Figure </w:t>
      </w:r>
      <w:r w:rsidR="00E00E3E" w:rsidRPr="00B4336F">
        <w:rPr>
          <w:b/>
          <w:bCs/>
          <w:noProof/>
        </w:rPr>
        <w:t>3</w:t>
      </w:r>
      <w:r w:rsidR="00E00E3E" w:rsidRPr="00B4336F">
        <w:rPr>
          <w:b/>
          <w:bCs/>
        </w:rPr>
        <w:t>.</w:t>
      </w:r>
      <w:r w:rsidR="00E00E3E" w:rsidRPr="00B4336F">
        <w:rPr>
          <w:b/>
          <w:bCs/>
          <w:noProof/>
        </w:rPr>
        <w:t>1</w:t>
      </w:r>
      <w:r w:rsidR="00E00E3E" w:rsidRPr="00B4336F">
        <w:rPr>
          <w:b/>
          <w:bCs/>
        </w:rPr>
        <w:fldChar w:fldCharType="end"/>
      </w:r>
      <w:r w:rsidRPr="00B4336F">
        <w:rPr>
          <w:b/>
          <w:bCs/>
        </w:rPr>
        <w:t xml:space="preserve">A; </w:t>
      </w:r>
      <w:r w:rsidR="00E00E3E" w:rsidRPr="00B4336F">
        <w:rPr>
          <w:b/>
          <w:bCs/>
        </w:rPr>
        <w:fldChar w:fldCharType="begin"/>
      </w:r>
      <w:r w:rsidR="00E00E3E" w:rsidRPr="00B4336F">
        <w:rPr>
          <w:b/>
          <w:bCs/>
        </w:rPr>
        <w:instrText xml:space="preserve"> REF _Ref204598171 \h </w:instrText>
      </w:r>
      <w:r w:rsidR="00B4336F">
        <w:rPr>
          <w:b/>
          <w:bCs/>
        </w:rPr>
        <w:instrText xml:space="preserve"> \* MERGEFORMAT </w:instrText>
      </w:r>
      <w:r w:rsidR="00E00E3E" w:rsidRPr="00B4336F">
        <w:rPr>
          <w:b/>
          <w:bCs/>
        </w:rPr>
      </w:r>
      <w:r w:rsidR="00E00E3E" w:rsidRPr="00B4336F">
        <w:rPr>
          <w:b/>
          <w:bCs/>
        </w:rPr>
        <w:fldChar w:fldCharType="separate"/>
      </w:r>
      <w:r w:rsidR="00E00E3E" w:rsidRPr="00B4336F">
        <w:rPr>
          <w:b/>
          <w:bCs/>
        </w:rPr>
        <w:t xml:space="preserve">Figure </w:t>
      </w:r>
      <w:r w:rsidR="00E00E3E" w:rsidRPr="00B4336F">
        <w:rPr>
          <w:b/>
          <w:bCs/>
          <w:noProof/>
        </w:rPr>
        <w:t>3</w:t>
      </w:r>
      <w:r w:rsidR="00E00E3E" w:rsidRPr="00B4336F">
        <w:rPr>
          <w:b/>
          <w:bCs/>
        </w:rPr>
        <w:t>.</w:t>
      </w:r>
      <w:r w:rsidR="00E00E3E" w:rsidRPr="00B4336F">
        <w:rPr>
          <w:b/>
          <w:bCs/>
          <w:noProof/>
        </w:rPr>
        <w:t>3</w:t>
      </w:r>
      <w:r w:rsidR="00E00E3E" w:rsidRPr="00B4336F">
        <w:rPr>
          <w:b/>
          <w:bCs/>
        </w:rPr>
        <w:fldChar w:fldCharType="end"/>
      </w:r>
      <w:r w:rsidRPr="00B4336F">
        <w:rPr>
          <w:b/>
          <w:bCs/>
        </w:rPr>
        <w:t>E</w:t>
      </w:r>
      <w:r>
        <w:t xml:space="preserve">) </w:t>
      </w:r>
      <w:r w:rsidRPr="001E796A">
        <w:fldChar w:fldCharType="begin"/>
      </w:r>
      <w:r w:rsidR="000A741B">
        <w:instrText xml:space="preserve"> ADDIN ZOTERO_ITEM CSL_CITATION {"citationID":"cHyYIti2","properties":{"formattedCitation":"\\super 407\\nosupersub{}","plainCitation":"407","noteIndex":0},"citationItems":[{"id":2704,"uris":["http://zotero.org/users/9622455/items/NL4ZQ72W"],"itemData":{"id":2704,"type":"article-journal","abstract":"The purposes of this study were to determine the relationships between: (a) measures of body size/composition and heat production/storage, and (b) heat production/storage and heart rate (HR) drift during running at 95% of the velocity that elicited lactate threshold, which was determined for 20 healthy recreational male runners. Subsequently, changes in skin and tympanic temperatures associated with a vigorous 20-min run, HR, and VO2 data were recorded. It was found that heat production was significantly correlated with body mass (r = .687), lean mass (r = .749), and body surface area (BSA, r = .699). Heat storage was significantly correlated with body mass (r = .519), fat mass (r = .464), and BSA (r = .498). The percentage of produced heat stored was significantly correlated with body mass (r = .427), fat mass (r = .455), and BSA (r = .414). Regression analysis showed that the sum of body mass, percentage of body fat, BSA, lean mass, and fat mass accounted for 30% of the variability in heat storage. It was also found that HR drift was significantly correlated with heat storage (r = .383), percentage of produced heat stored (r = .433), and core temperature change (r = .450). It was concluded that heavier runners experienced greater heat production, heat storage, and core temperature increases than lighter runners during vigorous running.","container-title":"Research Quarterly for Exercise and Sport","DOI":"10.1080/02701367.2005.10599298","ISSN":"0270-1367","issue":"3","note":"publisher: Routledge\n_eprint: https://www.tandfonline.com/doi/pdf/10.1080/02701367.2005.10599298\nPMID: 16270704","page":"267-274","source":"Taylor and Francis+NEJM","title":"Heat Production and Storage Are Positively Correlated With Measures of Body Size/Composition and Heart Rate Drift During Vigorous Running","volume":"76","author":[{"family":"Buresh","given":"Robert"},{"family":"Berg","given":"Kris"},{"family":"Noble","given":"John"}],"issued":{"date-parts":[["2005",9,1]]}}}],"schema":"https://github.com/citation-style-language/schema/raw/master/csl-citation.json"} </w:instrText>
      </w:r>
      <w:r w:rsidRPr="001E796A">
        <w:fldChar w:fldCharType="separate"/>
      </w:r>
      <w:r w:rsidR="000A741B" w:rsidRPr="000A741B">
        <w:rPr>
          <w:vertAlign w:val="superscript"/>
        </w:rPr>
        <w:t>407</w:t>
      </w:r>
      <w:r w:rsidRPr="001E796A">
        <w:fldChar w:fldCharType="end"/>
      </w:r>
      <w:r w:rsidRPr="001E796A">
        <w:t xml:space="preserve">. However, the sex difference in heat production in WT mice disappeared after </w:t>
      </w:r>
      <w:r>
        <w:t>normalization</w:t>
      </w:r>
      <w:r w:rsidRPr="001E796A">
        <w:t xml:space="preserve"> by body weight, indicating that body weight </w:t>
      </w:r>
      <w:r>
        <w:t>was the cause of</w:t>
      </w:r>
      <w:r w:rsidRPr="001E796A">
        <w:t xml:space="preserve"> the variation in energy expenditure. </w:t>
      </w:r>
      <w:r>
        <w:t xml:space="preserve">No sex differences in heat production were found in the </w:t>
      </w:r>
      <w:r w:rsidRPr="00571524">
        <w:rPr>
          <w:i/>
          <w:iCs/>
        </w:rPr>
        <w:t>db/db</w:t>
      </w:r>
      <w:r>
        <w:t xml:space="preserve"> mice.</w:t>
      </w:r>
    </w:p>
    <w:p w14:paraId="204DF111" w14:textId="30A59D27" w:rsidR="00DD2464" w:rsidRDefault="00DD2464" w:rsidP="00822A50">
      <w:pPr>
        <w:ind w:firstLine="720"/>
        <w:jc w:val="left"/>
      </w:pPr>
      <w:r w:rsidRPr="001E796A">
        <w:t xml:space="preserve">The cold tolerance </w:t>
      </w:r>
      <w:r>
        <w:t>test</w:t>
      </w:r>
      <w:r w:rsidRPr="001E796A">
        <w:t xml:space="preserve"> further confirmed the impairment of the thermogenic capacity of </w:t>
      </w:r>
      <w:r w:rsidRPr="00533304">
        <w:rPr>
          <w:i/>
        </w:rPr>
        <w:t>db/db</w:t>
      </w:r>
      <w:r w:rsidRPr="001E796A">
        <w:t xml:space="preserve"> mice</w:t>
      </w:r>
      <w:r>
        <w:t xml:space="preserve"> (</w:t>
      </w:r>
      <w:r w:rsidR="00E00E3E" w:rsidRPr="00B4336F">
        <w:rPr>
          <w:b/>
          <w:bCs/>
        </w:rPr>
        <w:fldChar w:fldCharType="begin"/>
      </w:r>
      <w:r w:rsidR="00E00E3E" w:rsidRPr="00B4336F">
        <w:rPr>
          <w:b/>
          <w:bCs/>
        </w:rPr>
        <w:instrText xml:space="preserve"> REF _Ref204598171 \h </w:instrText>
      </w:r>
      <w:r w:rsidR="00B4336F">
        <w:rPr>
          <w:b/>
          <w:bCs/>
        </w:rPr>
        <w:instrText xml:space="preserve"> \* MERGEFORMAT </w:instrText>
      </w:r>
      <w:r w:rsidR="00E00E3E" w:rsidRPr="00B4336F">
        <w:rPr>
          <w:b/>
          <w:bCs/>
        </w:rPr>
      </w:r>
      <w:r w:rsidR="00E00E3E" w:rsidRPr="00B4336F">
        <w:rPr>
          <w:b/>
          <w:bCs/>
        </w:rPr>
        <w:fldChar w:fldCharType="separate"/>
      </w:r>
      <w:r w:rsidR="00E00E3E" w:rsidRPr="00B4336F">
        <w:rPr>
          <w:b/>
          <w:bCs/>
        </w:rPr>
        <w:t xml:space="preserve">Figure </w:t>
      </w:r>
      <w:r w:rsidR="00E00E3E" w:rsidRPr="00B4336F">
        <w:rPr>
          <w:b/>
          <w:bCs/>
          <w:noProof/>
        </w:rPr>
        <w:t>3</w:t>
      </w:r>
      <w:r w:rsidR="00E00E3E" w:rsidRPr="00B4336F">
        <w:rPr>
          <w:b/>
          <w:bCs/>
        </w:rPr>
        <w:t>.</w:t>
      </w:r>
      <w:r w:rsidR="00E00E3E" w:rsidRPr="00B4336F">
        <w:rPr>
          <w:b/>
          <w:bCs/>
          <w:noProof/>
        </w:rPr>
        <w:t>3</w:t>
      </w:r>
      <w:r w:rsidR="00E00E3E" w:rsidRPr="00B4336F">
        <w:rPr>
          <w:b/>
          <w:bCs/>
        </w:rPr>
        <w:fldChar w:fldCharType="end"/>
      </w:r>
      <w:r>
        <w:t>)</w:t>
      </w:r>
      <w:r w:rsidRPr="001E796A">
        <w:t xml:space="preserve">. The </w:t>
      </w:r>
      <w:r>
        <w:t xml:space="preserve">core </w:t>
      </w:r>
      <w:r w:rsidRPr="001E796A">
        <w:t xml:space="preserve">temperature </w:t>
      </w:r>
      <w:r>
        <w:t>of</w:t>
      </w:r>
      <w:r w:rsidRPr="001E796A">
        <w:t xml:space="preserve"> both male and female </w:t>
      </w:r>
      <w:r w:rsidRPr="00533304">
        <w:rPr>
          <w:i/>
        </w:rPr>
        <w:t>db/db</w:t>
      </w:r>
      <w:r w:rsidRPr="001E796A">
        <w:t xml:space="preserve"> mice </w:t>
      </w:r>
      <w:r>
        <w:t xml:space="preserve">dropped </w:t>
      </w:r>
      <w:r>
        <w:lastRenderedPageBreak/>
        <w:t xml:space="preserve">rapidly </w:t>
      </w:r>
      <w:r w:rsidRPr="001E796A">
        <w:t xml:space="preserve">when exposed to cold. This supports our hypothesis that </w:t>
      </w:r>
      <w:r w:rsidRPr="00533304">
        <w:rPr>
          <w:i/>
        </w:rPr>
        <w:t>db/db</w:t>
      </w:r>
      <w:r w:rsidRPr="001E796A">
        <w:t xml:space="preserve"> mice have a severe deficit in thermogenesis, likely due to the </w:t>
      </w:r>
      <w:r w:rsidRPr="00307787">
        <w:t>downregulation</w:t>
      </w:r>
      <w:r w:rsidRPr="001E796A">
        <w:t xml:space="preserve"> of key thermogenic regulators PGC1α and UCP1 compared to WT mice</w:t>
      </w:r>
      <w:r>
        <w:t xml:space="preserve"> (</w:t>
      </w:r>
      <w:r w:rsidR="00E00E3E" w:rsidRPr="00B4336F">
        <w:rPr>
          <w:b/>
          <w:bCs/>
        </w:rPr>
        <w:fldChar w:fldCharType="begin"/>
      </w:r>
      <w:r w:rsidR="00E00E3E" w:rsidRPr="00B4336F">
        <w:rPr>
          <w:b/>
          <w:bCs/>
        </w:rPr>
        <w:instrText xml:space="preserve"> REF _Ref204598466 \h </w:instrText>
      </w:r>
      <w:r w:rsidR="00B4336F">
        <w:rPr>
          <w:b/>
          <w:bCs/>
        </w:rPr>
        <w:instrText xml:space="preserve"> \* MERGEFORMAT </w:instrText>
      </w:r>
      <w:r w:rsidR="00E00E3E" w:rsidRPr="00B4336F">
        <w:rPr>
          <w:b/>
          <w:bCs/>
        </w:rPr>
      </w:r>
      <w:r w:rsidR="00E00E3E" w:rsidRPr="00B4336F">
        <w:rPr>
          <w:b/>
          <w:bCs/>
        </w:rPr>
        <w:fldChar w:fldCharType="separate"/>
      </w:r>
      <w:r w:rsidR="00E00E3E" w:rsidRPr="00B4336F">
        <w:rPr>
          <w:b/>
          <w:bCs/>
        </w:rPr>
        <w:t xml:space="preserve">Figure </w:t>
      </w:r>
      <w:r w:rsidR="00E00E3E" w:rsidRPr="00B4336F">
        <w:rPr>
          <w:b/>
          <w:bCs/>
          <w:noProof/>
        </w:rPr>
        <w:t>3</w:t>
      </w:r>
      <w:r w:rsidR="00E00E3E" w:rsidRPr="00B4336F">
        <w:rPr>
          <w:b/>
          <w:bCs/>
        </w:rPr>
        <w:t>.</w:t>
      </w:r>
      <w:r w:rsidR="00E00E3E" w:rsidRPr="00B4336F">
        <w:rPr>
          <w:b/>
          <w:bCs/>
          <w:noProof/>
        </w:rPr>
        <w:t>5</w:t>
      </w:r>
      <w:r w:rsidR="00E00E3E" w:rsidRPr="00B4336F">
        <w:rPr>
          <w:b/>
          <w:bCs/>
        </w:rPr>
        <w:fldChar w:fldCharType="end"/>
      </w:r>
      <w:r w:rsidR="00E00E3E" w:rsidRPr="00B4336F">
        <w:rPr>
          <w:b/>
          <w:bCs/>
        </w:rPr>
        <w:t>-3.6</w:t>
      </w:r>
      <w:r>
        <w:t>)</w:t>
      </w:r>
      <w:r w:rsidRPr="001E796A">
        <w:t>. Masaki et</w:t>
      </w:r>
      <w:r>
        <w:t xml:space="preserve"> </w:t>
      </w:r>
      <w:r w:rsidRPr="001E796A">
        <w:t xml:space="preserve">al. also reported similar results between male </w:t>
      </w:r>
      <w:r w:rsidRPr="00533304">
        <w:rPr>
          <w:i/>
        </w:rPr>
        <w:t>db/db</w:t>
      </w:r>
      <w:r w:rsidRPr="001E796A">
        <w:t xml:space="preserve"> mice and C57Ksj lean mice</w:t>
      </w:r>
      <w:r>
        <w:t>, in</w:t>
      </w:r>
      <w:r w:rsidRPr="001E796A">
        <w:t xml:space="preserve"> which </w:t>
      </w:r>
      <w:r w:rsidRPr="00533304">
        <w:rPr>
          <w:i/>
        </w:rPr>
        <w:t>db/db</w:t>
      </w:r>
      <w:r w:rsidRPr="001E796A">
        <w:t xml:space="preserve"> mice have </w:t>
      </w:r>
      <w:r>
        <w:t>difficulty</w:t>
      </w:r>
      <w:r w:rsidRPr="001E796A">
        <w:t xml:space="preserve"> maintaining body temperature</w:t>
      </w:r>
      <w:r>
        <w:t xml:space="preserve"> in response to cold exposure</w:t>
      </w:r>
      <w:r w:rsidRPr="001E796A">
        <w:t xml:space="preserve"> </w:t>
      </w:r>
      <w:r>
        <w:t>due to an</w:t>
      </w:r>
      <w:r w:rsidRPr="001E796A">
        <w:t xml:space="preserve"> impaired response of UCP1</w:t>
      </w:r>
      <w:r>
        <w:t xml:space="preserve"> mRNA expression</w:t>
      </w:r>
      <w:r w:rsidRPr="001E796A">
        <w:t xml:space="preserve"> in BAT</w:t>
      </w:r>
      <w:r>
        <w:t xml:space="preserve"> </w:t>
      </w:r>
      <w:r w:rsidRPr="001E796A">
        <w:fldChar w:fldCharType="begin"/>
      </w:r>
      <w:r w:rsidR="000A741B">
        <w:instrText xml:space="preserve"> ADDIN ZOTERO_ITEM CSL_CITATION {"citationID":"47gw0zta","properties":{"formattedCitation":"\\super 408\\nosupersub{}","plainCitation":"408","noteIndex":0},"citationItems":[{"id":2709,"uris":["http://zotero.org/users/9622455/items/F3SA7UNQ"],"itemData":{"id":2709,"type":"article-journal","abstract":"Impaired activity of the uncoupling protein (UCP) family has been proposed to promote obesity development. The present study examined differences in UCP responses to cold exposure between leptin-resistance obese ( db/db) mice and their lean (C57Ksj) littermates. Basal UCP1 and UCP3 mRNA expression in brown adipose tissue was lower in obese mice compared with lean mice, but UCP2 expression in white adipose tissue (WAT) was higher. Basal skeletal muscle UCP3 did not change remarkably. The UCP family mRNAs, which were upregulated 12 and 24 h after cold exposure (4°C), were returned to prior levels 12 h after rewarming exposure (21°C) in lean mice. The accelerating effects of cold exposure on the UCP family were impaired in db/db obese mice. Together with these changes, WAT lipoprotein lipase mRNA was downregulated, and the concentration of serum free fatty acid was increased in response to cold exposure in the lean mice but not in db/db obese littermates. The impaired function of the UCP family and diminished lipolysis in response to cold exposure indicate that the reduced lipolytic activity may contribute to the inactivation of the UCP family in db/db obese mice.","container-title":"American Journal of Physiology-Regulatory, Integrative and Comparative Physiology","DOI":"10.1152/ajpregu.2000.279.4.R1305","ISSN":"0363-6119, 1522-1490","issue":"4","journalAbbreviation":"American Journal of Physiology-Regulatory, Integrative and Comparative Physiology","language":"en","page":"R1305-R1309","source":"DOI.org (Crossref)","title":"Impaired response of UCP family to cold exposure in diabetic ( &lt;i&gt;db/db&lt;/i&gt; ) mice","volume":"279","author":[{"family":"Masaki","given":"Takayuki"},{"family":"Yoshimatsu","given":"Hironobu"},{"family":"Chiba","given":"Seiichi"},{"family":"Sakata","given":"Toshiie"}],"issued":{"date-parts":[["2000",10,1]]}}}],"schema":"https://github.com/citation-style-language/schema/raw/master/csl-citation.json"} </w:instrText>
      </w:r>
      <w:r w:rsidRPr="001E796A">
        <w:fldChar w:fldCharType="separate"/>
      </w:r>
      <w:r w:rsidR="000A741B" w:rsidRPr="000A741B">
        <w:rPr>
          <w:vertAlign w:val="superscript"/>
        </w:rPr>
        <w:t>408</w:t>
      </w:r>
      <w:r w:rsidRPr="001E796A">
        <w:fldChar w:fldCharType="end"/>
      </w:r>
      <w:r w:rsidRPr="001E796A">
        <w:t xml:space="preserve">. Besides UCP1, we also found that </w:t>
      </w:r>
      <w:r w:rsidRPr="00533304">
        <w:rPr>
          <w:i/>
        </w:rPr>
        <w:t>db/db</w:t>
      </w:r>
      <w:r w:rsidRPr="001E796A">
        <w:t xml:space="preserve"> mice have impaired response of PGC1α in both BAT and </w:t>
      </w:r>
      <w:r>
        <w:t>s</w:t>
      </w:r>
      <w:r w:rsidRPr="001E796A">
        <w:t xml:space="preserve">WAT. </w:t>
      </w:r>
      <w:r w:rsidRPr="003C728F">
        <w:t xml:space="preserve">The observed thermogenic inefficiency was accompanied by significantly reduced expression of UCP1 and PGC1α proteins in both BAT and sWAT in </w:t>
      </w:r>
      <w:r w:rsidRPr="00533304">
        <w:rPr>
          <w:i/>
          <w:iCs/>
        </w:rPr>
        <w:t>db/db</w:t>
      </w:r>
      <w:r w:rsidRPr="003C728F">
        <w:t xml:space="preserve"> mice, supporting a molecular basis for the impaired energy dissipation</w:t>
      </w:r>
      <w:r>
        <w:t xml:space="preserve"> (</w:t>
      </w:r>
      <w:r w:rsidR="00D8196C" w:rsidRPr="00B4336F">
        <w:rPr>
          <w:b/>
          <w:bCs/>
        </w:rPr>
        <w:fldChar w:fldCharType="begin"/>
      </w:r>
      <w:r w:rsidR="00D8196C" w:rsidRPr="00B4336F">
        <w:rPr>
          <w:b/>
          <w:bCs/>
        </w:rPr>
        <w:instrText xml:space="preserve"> REF _Ref204598466 \h </w:instrText>
      </w:r>
      <w:r w:rsidR="00B4336F">
        <w:rPr>
          <w:b/>
          <w:bCs/>
        </w:rPr>
        <w:instrText xml:space="preserve"> \* MERGEFORMAT </w:instrText>
      </w:r>
      <w:r w:rsidR="00D8196C" w:rsidRPr="00B4336F">
        <w:rPr>
          <w:b/>
          <w:bCs/>
        </w:rPr>
      </w:r>
      <w:r w:rsidR="00D8196C" w:rsidRPr="00B4336F">
        <w:rPr>
          <w:b/>
          <w:bCs/>
        </w:rPr>
        <w:fldChar w:fldCharType="separate"/>
      </w:r>
      <w:r w:rsidR="00D8196C" w:rsidRPr="00B4336F">
        <w:rPr>
          <w:b/>
          <w:bCs/>
        </w:rPr>
        <w:t xml:space="preserve">Figure </w:t>
      </w:r>
      <w:r w:rsidR="00D8196C" w:rsidRPr="00B4336F">
        <w:rPr>
          <w:b/>
          <w:bCs/>
          <w:noProof/>
        </w:rPr>
        <w:t>3</w:t>
      </w:r>
      <w:r w:rsidR="00D8196C" w:rsidRPr="00B4336F">
        <w:rPr>
          <w:b/>
          <w:bCs/>
        </w:rPr>
        <w:t>.</w:t>
      </w:r>
      <w:r w:rsidR="00D8196C" w:rsidRPr="00B4336F">
        <w:rPr>
          <w:b/>
          <w:bCs/>
          <w:noProof/>
        </w:rPr>
        <w:t>5</w:t>
      </w:r>
      <w:r w:rsidR="00D8196C" w:rsidRPr="00B4336F">
        <w:rPr>
          <w:b/>
          <w:bCs/>
        </w:rPr>
        <w:fldChar w:fldCharType="end"/>
      </w:r>
      <w:r w:rsidR="00D8196C" w:rsidRPr="00B4336F">
        <w:rPr>
          <w:b/>
          <w:bCs/>
        </w:rPr>
        <w:t>-3.6</w:t>
      </w:r>
      <w:r>
        <w:t>)</w:t>
      </w:r>
      <w:r w:rsidRPr="003C728F">
        <w:t xml:space="preserve">. These two thermogenic regulators are critical for </w:t>
      </w:r>
      <w:r>
        <w:t>non-shivering</w:t>
      </w:r>
      <w:r w:rsidRPr="003C728F">
        <w:t xml:space="preserve"> thermogenesis</w:t>
      </w:r>
      <w:r>
        <w:t xml:space="preserve">. </w:t>
      </w:r>
      <w:r w:rsidRPr="003C728F">
        <w:t>UCP1 functions by uncoupling oxidative phosphorylation from ATP production to release energy as heat, while PGC1α drives mitochondrial biogenesis and activates thermogenic gene programs</w:t>
      </w:r>
      <w:r>
        <w:t xml:space="preserve"> </w:t>
      </w:r>
      <w:r>
        <w:fldChar w:fldCharType="begin"/>
      </w:r>
      <w:r w:rsidR="000A741B">
        <w:instrText xml:space="preserve"> ADDIN ZOTERO_ITEM CSL_CITATION {"citationID":"48Dtv9Vc","properties":{"formattedCitation":"\\super 409,410\\nosupersub{}","plainCitation":"409,410","noteIndex":0},"citationItems":[{"id":4088,"uris":["http://zotero.org/users/9622455/items/JPD8XWWI"],"itemData":{"id":4088,"type":"article-journal","abstract":"Uncoupling proteins (UCPs) are mitochondrial transporters present in the inner membrane of mitochondria. They are found in all mammals and in plants. They belong to the family of anion mitochondrial carriers including adenine nucleotide transporters. The term \"uncoupling protein\" was originally used for UCP1, which is uniquely present in mitochondria of brown adipocytes, the thermogenic cells that maintain body temperature in small rodents. In these cells, UCP1 acts as a proton carrier activated by free fatty acids and creates a shunt between complexes of the respiratory chain and ATP synthase. Activation of UCP1 enhances respiration, and the uncoupling process results in a futile cycle and dissipation of oxidation energy as heat. UCP2 is ubiquitous and highly expressed in the lymphoid system, macrophages, and pancreatic islets. UCP3 is mainly expressed in skeletal muscles. In comparison to the established uncoupling and thermogenic activities of UCP1, UCP2 and UCP3 appear to be involved in the limitation of free radical levels in cells rather than in physiological uncoupling and thermogenesis. Moreover, UCP2 is a regulator of insulin secretion and UCP3 is involved in fatty acid metabolism.","container-title":"Diabetes","DOI":"10.2337/diabetes.53.2007.s130","ISSN":"0012-1797","journalAbbreviation":"Diabetes","language":"eng","note":"PMID: 14749278","page":"S130-135","source":"PubMed","title":"The biology of mitochondrial uncoupling proteins","volume":"53 Suppl 1","author":[{"family":"Rousset","given":"Sophie"},{"family":"Alves-Guerra","given":"Marie-Clotilde"},{"family":"Mozo","given":"Julien"},{"family":"Miroux","given":"Bruno"},{"family":"Cassard-Doulcier","given":"Anne-Marie"},{"family":"Bouillaud","given":"Frédéric"},{"family":"Ricquier","given":"Daniel"}],"issued":{"date-parts":[["2004",2]]}}},{"id":3034,"uris":["http://zotero.org/users/9622455/items/78X5ZU7I"],"itemData":{"id":3034,"type":"article-journal","abstract":"Mitochondria play a major role in ROS production and defense during their life cycle. The transcriptional activator PGC-1α is a key player in the homeostasis of energy metabolism and is therefore closely linked to mitochondrial function. PGC-1α responds to environmental and intracellular conditions and is regulated by SIRT1/3, TFAM, and AMPK, which are also important regulators of mitochondrial biogenesis and function. In this review, we highlight the functions and regulatory mechanisms of PGC-1α within this framework, with a focus on its involvement in the mitochondrial lifecycle and ROS metabolism. As an example, we show the role of PGC-1α in ROS scavenging under inflammatory conditions. Interestingly, PGC-1α and the stress response factor NF-κB, which regulates the immune response, are reciprocally regulated. During inflammation, NF-κB reduces PGC-1α expression and activity. Low PGC-1α activity leads to the downregulation of antioxidant target genes resulting in oxidative stress. Additionally, low PGC-1α levels and concomitant oxidative stress promote NF-κB activity, which exacerbates the inflammatory response.","container-title":"Antioxidants","DOI":"10.3390/antiox12051075","ISSN":"2076-3921","issue":"5","journalAbbreviation":"Antioxidants (Basel)","note":"PMID: 37237941\nPMCID: PMC10215733","page":"1075","source":"PubMed Central","title":"PGC-1α Is a Master Regulator of Mitochondrial Lifecycle and ROS Stress Response","volume":"12","author":[{"family":"Abu Shelbayeh","given":"Othman"},{"family":"Arroum","given":"Tasnim"},{"family":"Morris","given":"Silke"},{"family":"Busch","given":"Karin B."}],"issued":{"date-parts":[["2023",5,10]]}}}],"schema":"https://github.com/citation-style-language/schema/raw/master/csl-citation.json"} </w:instrText>
      </w:r>
      <w:r>
        <w:fldChar w:fldCharType="separate"/>
      </w:r>
      <w:r w:rsidR="000A741B" w:rsidRPr="000A741B">
        <w:rPr>
          <w:vertAlign w:val="superscript"/>
        </w:rPr>
        <w:t>409,410</w:t>
      </w:r>
      <w:r>
        <w:fldChar w:fldCharType="end"/>
      </w:r>
      <w:r w:rsidRPr="003C728F">
        <w:t>. In line with our findings, prior report</w:t>
      </w:r>
      <w:r>
        <w:t xml:space="preserve"> has </w:t>
      </w:r>
      <w:r w:rsidRPr="003C728F">
        <w:t>shown that downregulation of UCP1 and PGC1α in obesity is associated with diminished thermogenic function and impaired BAT activity</w:t>
      </w:r>
      <w:r>
        <w:t xml:space="preserve"> </w:t>
      </w:r>
      <w:r>
        <w:fldChar w:fldCharType="begin"/>
      </w:r>
      <w:r w:rsidR="000A741B">
        <w:instrText xml:space="preserve"> ADDIN ZOTERO_ITEM CSL_CITATION {"citationID":"a59f5i5jhv","properties":{"formattedCitation":"\\super 411\\nosupersub{}","plainCitation":"411","noteIndex":0},"citationItems":[{"id":4164,"uris":["http://zotero.org/users/9622455/items/KSZ2FPLJ"],"itemData":{"id":4164,"type":"article-journal","abstract":"Brown adipose tissue (BAT) is specialized for energy expenditure, a process called adaptive thermogenesis. PET-CT scans recently demonstrated the existence of metabolically active BAT in adult humans, which revitalized our interest in BAT. Increasing the amount and/or activity of BAT holds tremendous promise for the treatment of obesity and its associated diseases. PGC1α is the master regulator of UCP1-mediated thermogenesis in BAT. A number of proteins have been identified to influence thermogenesis either positively or negatively through regulating the expression or transcriptional activity of PGC1α. Therefore, BAT activation can be achieved by either inducing the expression of positive regulators of PGC1α or by inhibiting the repressors of the PGC1α/UCP1 pathway. Here, we review the most important negative regulators of PGC1α/UCP1 signaling and their mechanism of action in BAT-mediated thermogenesis.","container-title":"Journal of cellular physiology","DOI":"10.1002/jcp.24664","ISSN":"0021-9541","issue":"12","journalAbbreviation":"J Cell Physiol","note":"PMID: 24809334\nPMCID: PMC4149692","page":"1901-1907","source":"PubMed Central","title":"Negative Regulators of Brown Adipose Tissue (BAT)-Mediated Thermogenesis","volume":"229","author":[{"family":"Sharma","given":"Bal Krishan"},{"family":"Patil","given":"Mallikarjun"},{"family":"Satyanarayana","given":"Ande"}],"issued":{"date-parts":[["2014",12]]}}}],"schema":"https://github.com/citation-style-language/schema/raw/master/csl-citation.json"} </w:instrText>
      </w:r>
      <w:r>
        <w:fldChar w:fldCharType="separate"/>
      </w:r>
      <w:r w:rsidR="000A741B" w:rsidRPr="000A741B">
        <w:rPr>
          <w:vertAlign w:val="superscript"/>
        </w:rPr>
        <w:t>411</w:t>
      </w:r>
      <w:r>
        <w:fldChar w:fldCharType="end"/>
      </w:r>
      <w:r>
        <w:t>.</w:t>
      </w:r>
    </w:p>
    <w:p w14:paraId="6925E467" w14:textId="3A34A108" w:rsidR="00DD2464" w:rsidRDefault="00DD2464" w:rsidP="00822A50">
      <w:pPr>
        <w:ind w:firstLine="720"/>
        <w:jc w:val="left"/>
      </w:pPr>
      <w:r>
        <w:t>W</w:t>
      </w:r>
      <w:r w:rsidRPr="001E796A">
        <w:t xml:space="preserve">e also first reported the sex differences between males and females in </w:t>
      </w:r>
      <w:r w:rsidRPr="00533304">
        <w:rPr>
          <w:i/>
        </w:rPr>
        <w:t>db/db</w:t>
      </w:r>
      <w:r w:rsidRPr="001E796A">
        <w:t xml:space="preserve"> and WT mice. </w:t>
      </w:r>
      <w:r>
        <w:t>We found that</w:t>
      </w:r>
      <w:r w:rsidRPr="001E796A">
        <w:t xml:space="preserve"> female </w:t>
      </w:r>
      <w:r w:rsidRPr="00571524">
        <w:rPr>
          <w:iCs/>
        </w:rPr>
        <w:t>WT</w:t>
      </w:r>
      <w:r w:rsidRPr="002E2C3A">
        <w:rPr>
          <w:iCs/>
        </w:rPr>
        <w:t xml:space="preserve"> </w:t>
      </w:r>
      <w:r w:rsidRPr="001E796A">
        <w:t xml:space="preserve">mice </w:t>
      </w:r>
      <w:r>
        <w:t>had lower body weight and produced less heat at room temperature</w:t>
      </w:r>
      <w:r w:rsidRPr="001E796A">
        <w:t xml:space="preserve"> than males</w:t>
      </w:r>
      <w:r>
        <w:t xml:space="preserve"> (</w:t>
      </w:r>
      <w:r w:rsidR="00D8196C" w:rsidRPr="00B4336F">
        <w:rPr>
          <w:b/>
          <w:bCs/>
        </w:rPr>
        <w:fldChar w:fldCharType="begin"/>
      </w:r>
      <w:r w:rsidR="00D8196C" w:rsidRPr="00B4336F">
        <w:rPr>
          <w:b/>
          <w:bCs/>
        </w:rPr>
        <w:instrText xml:space="preserve"> REF _Ref204598171 \h </w:instrText>
      </w:r>
      <w:r w:rsidR="00B4336F">
        <w:rPr>
          <w:b/>
          <w:bCs/>
        </w:rPr>
        <w:instrText xml:space="preserve"> \* MERGEFORMAT </w:instrText>
      </w:r>
      <w:r w:rsidR="00D8196C" w:rsidRPr="00B4336F">
        <w:rPr>
          <w:b/>
          <w:bCs/>
        </w:rPr>
      </w:r>
      <w:r w:rsidR="00D8196C" w:rsidRPr="00B4336F">
        <w:rPr>
          <w:b/>
          <w:bCs/>
        </w:rPr>
        <w:fldChar w:fldCharType="separate"/>
      </w:r>
      <w:r w:rsidR="00D8196C" w:rsidRPr="00B4336F">
        <w:rPr>
          <w:b/>
          <w:bCs/>
        </w:rPr>
        <w:t xml:space="preserve">Figure </w:t>
      </w:r>
      <w:r w:rsidR="00D8196C" w:rsidRPr="00B4336F">
        <w:rPr>
          <w:b/>
          <w:bCs/>
          <w:noProof/>
        </w:rPr>
        <w:t>3</w:t>
      </w:r>
      <w:r w:rsidR="00D8196C" w:rsidRPr="00B4336F">
        <w:rPr>
          <w:b/>
          <w:bCs/>
        </w:rPr>
        <w:t>.</w:t>
      </w:r>
      <w:r w:rsidR="00D8196C" w:rsidRPr="00B4336F">
        <w:rPr>
          <w:b/>
          <w:bCs/>
          <w:noProof/>
        </w:rPr>
        <w:t>3</w:t>
      </w:r>
      <w:r w:rsidR="00D8196C" w:rsidRPr="00B4336F">
        <w:rPr>
          <w:b/>
          <w:bCs/>
        </w:rPr>
        <w:fldChar w:fldCharType="end"/>
      </w:r>
      <w:r w:rsidRPr="00B4336F">
        <w:rPr>
          <w:b/>
          <w:bCs/>
        </w:rPr>
        <w:t>E</w:t>
      </w:r>
      <w:r>
        <w:t>)</w:t>
      </w:r>
      <w:r w:rsidRPr="001E796A">
        <w:t xml:space="preserve">. Meanwhile, female </w:t>
      </w:r>
      <w:r w:rsidRPr="00533304">
        <w:rPr>
          <w:i/>
        </w:rPr>
        <w:t>db/db</w:t>
      </w:r>
      <w:r w:rsidRPr="001E796A">
        <w:t xml:space="preserve"> mice had higher </w:t>
      </w:r>
      <w:r>
        <w:t>g</w:t>
      </w:r>
      <w:r w:rsidRPr="001E796A">
        <w:t>WAT</w:t>
      </w:r>
      <w:r>
        <w:t>/body weight percentages</w:t>
      </w:r>
      <w:r w:rsidRPr="001E796A">
        <w:t xml:space="preserve"> than males</w:t>
      </w:r>
      <w:r>
        <w:t xml:space="preserve"> (</w:t>
      </w:r>
      <w:r w:rsidR="00D8196C" w:rsidRPr="00B4336F">
        <w:rPr>
          <w:b/>
          <w:bCs/>
        </w:rPr>
        <w:fldChar w:fldCharType="begin"/>
      </w:r>
      <w:r w:rsidR="00D8196C" w:rsidRPr="00B4336F">
        <w:rPr>
          <w:b/>
          <w:bCs/>
        </w:rPr>
        <w:instrText xml:space="preserve"> REF _Ref204597761 \h </w:instrText>
      </w:r>
      <w:r w:rsidR="00B4336F">
        <w:rPr>
          <w:b/>
          <w:bCs/>
        </w:rPr>
        <w:instrText xml:space="preserve"> \* MERGEFORMAT </w:instrText>
      </w:r>
      <w:r w:rsidR="00D8196C" w:rsidRPr="00B4336F">
        <w:rPr>
          <w:b/>
          <w:bCs/>
        </w:rPr>
      </w:r>
      <w:r w:rsidR="00D8196C" w:rsidRPr="00B4336F">
        <w:rPr>
          <w:b/>
          <w:bCs/>
        </w:rPr>
        <w:fldChar w:fldCharType="separate"/>
      </w:r>
      <w:r w:rsidR="00D8196C" w:rsidRPr="00B4336F">
        <w:rPr>
          <w:b/>
          <w:bCs/>
        </w:rPr>
        <w:t xml:space="preserve">Figure </w:t>
      </w:r>
      <w:r w:rsidR="00D8196C" w:rsidRPr="00B4336F">
        <w:rPr>
          <w:b/>
          <w:bCs/>
          <w:noProof/>
        </w:rPr>
        <w:t>3</w:t>
      </w:r>
      <w:r w:rsidR="00D8196C" w:rsidRPr="00B4336F">
        <w:rPr>
          <w:b/>
          <w:bCs/>
        </w:rPr>
        <w:t>.</w:t>
      </w:r>
      <w:r w:rsidR="00D8196C" w:rsidRPr="00B4336F">
        <w:rPr>
          <w:b/>
          <w:bCs/>
          <w:noProof/>
        </w:rPr>
        <w:t>1</w:t>
      </w:r>
      <w:r w:rsidR="00D8196C" w:rsidRPr="00B4336F">
        <w:rPr>
          <w:b/>
          <w:bCs/>
        </w:rPr>
        <w:fldChar w:fldCharType="end"/>
      </w:r>
      <w:r w:rsidRPr="00B4336F">
        <w:rPr>
          <w:b/>
          <w:bCs/>
        </w:rPr>
        <w:t>F</w:t>
      </w:r>
      <w:r>
        <w:t>)</w:t>
      </w:r>
      <w:r w:rsidRPr="001E796A">
        <w:t xml:space="preserve">. </w:t>
      </w:r>
      <w:r>
        <w:t>T</w:t>
      </w:r>
      <w:r w:rsidRPr="001E796A">
        <w:t>radition</w:t>
      </w:r>
      <w:r>
        <w:t>ally</w:t>
      </w:r>
      <w:r w:rsidRPr="001E796A">
        <w:t>,</w:t>
      </w:r>
      <w:r>
        <w:t xml:space="preserve"> </w:t>
      </w:r>
      <w:r>
        <w:rPr>
          <w:lang w:eastAsia="zh-CN"/>
        </w:rPr>
        <w:t xml:space="preserve">males preferentially accumulate visceral fat, whereas females preferentially accumulate subcutaneous fat </w:t>
      </w:r>
      <w:r>
        <w:rPr>
          <w:lang w:eastAsia="zh-CN"/>
        </w:rPr>
        <w:fldChar w:fldCharType="begin"/>
      </w:r>
      <w:r w:rsidR="000A741B">
        <w:rPr>
          <w:lang w:eastAsia="zh-CN"/>
        </w:rPr>
        <w:instrText xml:space="preserve"> ADDIN ZOTERO_ITEM CSL_CITATION {"citationID":"atq5ehekdm","properties":{"formattedCitation":"\\super 401\\nosupersub{}","plainCitation":"401","noteIndex":0},"citationItems":[{"id":2680,"uris":["http://zotero.org/users/9622455/items/AQRXNECW"],"itemData":{"id":2680,"type":"article-journal","abstract":"This review focuses on the human genetics, epidemiology, and molecular pathophysiology of sex differences in central obesity, adipose distribution, and related cardiometabolic disorders. Distribution of fat is important for cardiometabolic health, with peripheral fat depots having a protective effect and central visceral fat depots conferring a detrimental effect on health. There are important sex differences in fat distribution that are masked when studying body mass index as a measure of obesity. From epidemiological, murine, and in vitro studies, several mechanisms have been proposed to explain the sex differences in adipose distribution, including sex hormonal effects, cell-intrinsic properties, and the microenvironment in fat depots. More recently, human genetics have revealed hundreds of loci for central obesity providing disruptive opportunities for mechanistic discoveries and clinical translation. A striking feature is that over one-third of these loci have reproducible but poorly understood sexual dimorphic associations with central obesity, most having stronger effects in women. Understanding the genetic and molecular mechanisms of adipose distribution and its sexual dimorphism in humans provides a unique opportunity to promote the use of precision medicine for early identification of at-risk individuals, and the development of novel therapeutic strategies for central obesity and related cardiometabolic disorders.","container-title":"Arteriosclerosis, Thrombosis, and Vascular Biology","DOI":"10.1161/ATVBAHA.119.313154","issue":"1","note":"publisher: American Heart Association","page":"45-60","source":"ahajournals.org (Atypon)","title":"Sex Differences in Genomic Drivers of Adipose Distribution and Related Cardiometabolic Disorders","volume":"40","author":[{"family":"Lumish","given":"Heidi S."},{"family":"O’Reilly","given":"Marcella"},{"family":"Reilly","given":"Muredach P."}],"issued":{"date-parts":[["2020",1]]}}}],"schema":"https://github.com/citation-style-language/schema/raw/master/csl-citation.json"} </w:instrText>
      </w:r>
      <w:r>
        <w:rPr>
          <w:lang w:eastAsia="zh-CN"/>
        </w:rPr>
        <w:fldChar w:fldCharType="separate"/>
      </w:r>
      <w:r w:rsidR="000A741B" w:rsidRPr="000A741B">
        <w:rPr>
          <w:vertAlign w:val="superscript"/>
        </w:rPr>
        <w:t>401</w:t>
      </w:r>
      <w:r>
        <w:rPr>
          <w:lang w:eastAsia="zh-CN"/>
        </w:rPr>
        <w:fldChar w:fldCharType="end"/>
      </w:r>
      <w:r w:rsidRPr="001E796A">
        <w:t xml:space="preserve">. However, this was not supported in </w:t>
      </w:r>
      <w:r>
        <w:t xml:space="preserve">the </w:t>
      </w:r>
      <w:r w:rsidRPr="00571524">
        <w:rPr>
          <w:i/>
          <w:iCs/>
        </w:rPr>
        <w:t>db/db</w:t>
      </w:r>
      <w:r>
        <w:t xml:space="preserve"> mice</w:t>
      </w:r>
      <w:r w:rsidRPr="001E796A">
        <w:t>, indicating that additional mechanisms may be responsible for these sex differences in</w:t>
      </w:r>
      <w:r>
        <w:t xml:space="preserve"> gonadal fat distribution</w:t>
      </w:r>
      <w:r w:rsidRPr="001E796A">
        <w:t xml:space="preserve">. </w:t>
      </w:r>
      <w:r w:rsidRPr="00143E0A">
        <w:t>Estrogen, primarily via ERα, promotes subcutaneous adipose tissue expansion in females by inducing hyperplasia and increasing α2A-</w:t>
      </w:r>
      <w:r w:rsidRPr="00143E0A">
        <w:lastRenderedPageBreak/>
        <w:t>adrenergic receptor expression, which inhibits catecholamine-stimulated lipolysis</w:t>
      </w:r>
      <w:r>
        <w:t xml:space="preserve"> </w:t>
      </w:r>
      <w:r>
        <w:fldChar w:fldCharType="begin"/>
      </w:r>
      <w:r w:rsidR="000A741B">
        <w:instrText xml:space="preserve"> ADDIN ZOTERO_ITEM CSL_CITATION {"citationID":"a6a97l88ui","properties":{"formattedCitation":"\\super 120,124\\nosupersub{}","plainCitation":"120,124","noteIndex":0},"citationItems":[{"id":3802,"uris":["http://zotero.org/users/9622455/items/EFTG7PTH"],"itemData":{"id":3802,"type":"article-journal","abstract":"Menopause-related decline in estrogen levels is accompanied by a change in adipose tissue distribution from a gynoid to an android and an increased prevalence of obesity in women. These unfavorable phenomena can be partially restored by hormone replacement therapy, suggesting a significant role for estrogen in the regulation of adipocytes’ function. Indeed, preclinical studies proved the involvement of these hormones in adipose tissue development, metabolism, and inflammatory activity. However, the relationship between estrogen and obesity is bidirectional. On the one hand-their deficiency leads to excessive fat accumulation and impairs adipocyte function, on the other-adipose tissue of obese individuals is characterized by altered expression of estrogen receptors and key enzymes involved in their synthesis. This narrative review aims to summarize the role of estrogen in adipose tissue development, physiology, and in obesity-related dysfunction. Firstly, the estrogen classification, synthesis, and modes of action are presented. Next, their role in regulating adipogenesis and adipose tissue activity in health and the course of obesity is described. Finally, the potential therapeutic applications of estrogen and its derivates in obesity treatment are discussed.","container-title":"Biomedicines","DOI":"10.3390/biomedicines11030690","ISSN":"2227-9059","issue":"3","journalAbbreviation":"Biomedicines","note":"PMID: 36979669\nPMCID: PMC10045924","page":"690","source":"PubMed Central","title":"Estrogens in Adipose Tissue Physiology and Obesity-Related Dysfunction","volume":"11","author":[{"family":"Kuryłowicz","given":"Alina"}],"issued":{"date-parts":[["2023",2,24]]}}},{"id":3786,"uris":["http://zotero.org/users/9622455/items/GI4ZYDEU"],"itemData":{"id":3786,"type":"article-journal","abstract":"Estrogen seems to promote and maintain the typical female type of fat distribution that is characterized by accumulation of adipose tissue, especially in the sc fat depot, with only modest accumulation of adipose tissue intraabdominally. However, it is completely unknown how estrogen controls the fat accumulation.We studied the effects of estradiol in vivo and in vitro on human adipose tissue metabolism and found that estradiol directly increases the number of antilipolytic α2A-adrenergic receptors in sc adipocytes. The increased number of α2A-adrenergic receptors caused an attenuated lipolytic response of epinephrine in sc adipocytes; in contrast, no effect of estrogen on α2A-adrenergic receptor mRNA expression was observed in adipocytes from the intraabdominal fat depot.These findings show that estrogen lowers the lipolytic response in sc fat depot by increasing the number of antilipolytic α2A-adrenergic receptors, whereas estrogen seems not to affect lipolysis in adipocytes from the intraabdominal fat depot. Using estrogen receptor subtype-specific ligands, we found that this effect of estrogen was caused through the estrogen receptor subtype α.These findings demonstrate that estrogen attenuates the lipolytic response through up-regulation of the number of antilipolytic α2A-adrenergic receptors only in sc and not in visceral fat depots. Thus, our findings offer an explanation how estrogen maintains the typical female sc fat distribution because estrogen seems to inhibit lipolysis only in sc depots and thereby shifts the assimilation of fat from intraabdominal depots to sc depots.","container-title":"The Journal of Clinical Endocrinology &amp; Metabolism","DOI":"10.1210/jc.2003-031327","ISSN":"0021-972X","issue":"4","journalAbbreviation":"The Journal of Clinical Endocrinology &amp; Metabolism","page":"1869-1878","source":"Silverchair","title":"Estrogen Controls Lipolysis by Up-Regulating α2A-Adrenergic Receptors Directly in Human Adipose Tissue through the Estrogen Receptor α. Implications for the Female Fat Distribution","volume":"89","author":[{"family":"Pedersen","given":"Steen B."},{"family":"Kristensen","given":"Kurt"},{"family":"Hermann","given":"Pernille A."},{"family":"Katzenellenbogen","given":"John A."},{"family":"Richelsen","given":"Bjørn"}],"issued":{"date-parts":[["2004",4,1]]}}}],"schema":"https://github.com/citation-style-language/schema/raw/master/csl-citation.json"} </w:instrText>
      </w:r>
      <w:r>
        <w:fldChar w:fldCharType="separate"/>
      </w:r>
      <w:r w:rsidR="000A741B" w:rsidRPr="000A741B">
        <w:rPr>
          <w:vertAlign w:val="superscript"/>
        </w:rPr>
        <w:t>120,124</w:t>
      </w:r>
      <w:r>
        <w:fldChar w:fldCharType="end"/>
      </w:r>
      <w:r>
        <w:t>.</w:t>
      </w:r>
      <w:r w:rsidRPr="00143E0A">
        <w:t xml:space="preserve"> In contrast, lower ERα expression in visceral depots has been associated with greater lipolytic activity and visceral fat accumulation in males</w:t>
      </w:r>
      <w:r>
        <w:t xml:space="preserve"> </w:t>
      </w:r>
      <w:r>
        <w:fldChar w:fldCharType="begin"/>
      </w:r>
      <w:r w:rsidR="000A741B">
        <w:instrText xml:space="preserve"> ADDIN ZOTERO_ITEM CSL_CITATION {"citationID":"a2huua4k3lm","properties":{"formattedCitation":"\\super 125\\nosupersub{}","plainCitation":"125","noteIndex":0},"citationItems":[{"id":3805,"uris":["http://zotero.org/users/9622455/items/2Y8BRR94"],"itemData":{"id":3805,"type":"article-journal","abstract":"Excessive adiposity (particularly visceral fat mass) increases the risks of developing metabolic syndrome. Women have lower deposit of visceral fat than men, and this pattern becomes diminished postmenopausally, but the underlying mechanism remains largely unknown. Here, we show that the gender difference in visceral fat distribution is controlled by an estradiol–autophagy axis. In C57BL/6J and wild-type control mice, a higher visceral fat mass was detected in the males than in the females, which was associated with lower expression of estrogen receptor α (ERα) and more active autophagy in males vs. females. However, deletion of ERα normalized autophagy activity and abolished the gender difference in visceral adiposity. In line with the adiposity-reducing effect of the ERα–autophagy axis, we found that downregulation of ERα and increased autophagy activity were required for adipogenesis, while induction of estradiol signaling dampened autophagy and drastically prevented adipogenesis. Mechanistically, the estradiol-ERα signaling activated mTOR, which phosphorylated and inhibited ULK1, thereby suppressing autophagy and adipogenesis. Together, our study suggests that the lower visceral adiposity in the females (vs. the males) arises from a more active estradiol-ERα signaling, which tunes down autophagy and adipogenesis.","container-title":"Cell Death &amp; Disease","DOI":"10.1038/s41419-018-0372-9","ISSN":"2041-4889","issue":"3","journalAbbreviation":"Cell Death Dis","language":"en","license":"2018 The Author(s)","note":"publisher: Nature Publishing Group","page":"1-13","source":"www.nature.com","title":"Estradiol signaling mediates gender difference in visceral adiposity via autophagy","volume":"9","author":[{"family":"Tao","given":"Zhipeng"},{"family":"Zheng","given":"Louise D."},{"family":"Smith","given":"Cayleen"},{"family":"Luo","given":"Jing"},{"family":"Robinson","given":"Alex"},{"family":"Almeida","given":"Fabio A."},{"family":"Wang","given":"Zongwei"},{"family":"Olumi","given":"Aria F."},{"family":"Liu","given":"Dongmin"},{"family":"Cheng","given":"Zhiyong"}],"issued":{"date-parts":[["2018",2,22]]}}}],"schema":"https://github.com/citation-style-language/schema/raw/master/csl-citation.json"} </w:instrText>
      </w:r>
      <w:r>
        <w:fldChar w:fldCharType="separate"/>
      </w:r>
      <w:r w:rsidR="000A741B" w:rsidRPr="000A741B">
        <w:rPr>
          <w:vertAlign w:val="superscript"/>
        </w:rPr>
        <w:t>125</w:t>
      </w:r>
      <w:r>
        <w:fldChar w:fldCharType="end"/>
      </w:r>
      <w:r>
        <w:t xml:space="preserve">. </w:t>
      </w:r>
      <w:r w:rsidRPr="003601F9">
        <w:t xml:space="preserve">Obesity has been associated with reduced </w:t>
      </w:r>
      <w:r>
        <w:t>ER</w:t>
      </w:r>
      <w:r w:rsidRPr="003601F9">
        <w:t xml:space="preserve"> expression in adipose tissue</w:t>
      </w:r>
      <w:r>
        <w:t>; therefore, a</w:t>
      </w:r>
      <w:r w:rsidRPr="00A93F19">
        <w:t xml:space="preserve">ttenuated estrogen signaling in female </w:t>
      </w:r>
      <w:r w:rsidRPr="00571524">
        <w:rPr>
          <w:i/>
          <w:iCs/>
        </w:rPr>
        <w:t>db/db</w:t>
      </w:r>
      <w:r w:rsidRPr="00A93F19">
        <w:t xml:space="preserve"> mice</w:t>
      </w:r>
      <w:r>
        <w:t xml:space="preserve"> </w:t>
      </w:r>
      <w:r w:rsidRPr="00A93F19">
        <w:t xml:space="preserve">may contribute to their higher gWAT accumulation relative to male </w:t>
      </w:r>
      <w:r w:rsidRPr="00571524">
        <w:rPr>
          <w:i/>
          <w:iCs/>
        </w:rPr>
        <w:t>db/db</w:t>
      </w:r>
      <w:r w:rsidRPr="00A93F19">
        <w:t xml:space="preserve"> mice</w:t>
      </w:r>
      <w:r>
        <w:t xml:space="preserve"> </w:t>
      </w:r>
      <w:r>
        <w:fldChar w:fldCharType="begin"/>
      </w:r>
      <w:r w:rsidR="000A741B">
        <w:instrText xml:space="preserve"> ADDIN ZOTERO_ITEM CSL_CITATION {"citationID":"akoetro34k","properties":{"formattedCitation":"\\super 124,404,405\\nosupersub{}","plainCitation":"124,404,405","noteIndex":0},"citationItems":[{"id":3802,"uris":["http://zotero.org/users/9622455/items/EFTG7PTH"],"itemData":{"id":3802,"type":"article-journal","abstract":"Menopause-related decline in estrogen levels is accompanied by a change in adipose tissue distribution from a gynoid to an android and an increased prevalence of obesity in women. These unfavorable phenomena can be partially restored by hormone replacement therapy, suggesting a significant role for estrogen in the regulation of adipocytes’ function. Indeed, preclinical studies proved the involvement of these hormones in adipose tissue development, metabolism, and inflammatory activity. However, the relationship between estrogen and obesity is bidirectional. On the one hand-their deficiency leads to excessive fat accumulation and impairs adipocyte function, on the other-adipose tissue of obese individuals is characterized by altered expression of estrogen receptors and key enzymes involved in their synthesis. This narrative review aims to summarize the role of estrogen in adipose tissue development, physiology, and in obesity-related dysfunction. Firstly, the estrogen classification, synthesis, and modes of action are presented. Next, their role in regulating adipogenesis and adipose tissue activity in health and the course of obesity is described. Finally, the potential therapeutic applications of estrogen and its derivates in obesity treatment are discussed.","container-title":"Biomedicines","DOI":"10.3390/biomedicines11030690","ISSN":"2227-9059","issue":"3","journalAbbreviation":"Biomedicines","note":"PMID: 36979669\nPMCID: PMC10045924","page":"690","source":"PubMed Central","title":"Estrogens in Adipose Tissue Physiology and Obesity-Related Dysfunction","volume":"11","author":[{"family":"Kuryłowicz","given":"Alina"}],"issued":{"date-parts":[["2023",2,24]]}}},{"id":4159,"uris":["http://zotero.org/users/9622455/items/PJRDYXFV"],"itemData":{"id":4159,"type":"article-journal","abstract":"One of the leading causes for the development of adverse metabolic effects, including type 2 diabetes, dyslipidemia, and cardiovascular diseases, is the accumulation of excess body weight, often measured by body mass index (BMI). Although BMI, calculated using weight and height, is the standard measure used to determine body adiposity in clinical and public health guidelines, an inherent limitation is that BMI does not distinguish where in the body adiposity is deposited. Central obesity, characterized by greater accumulation of adiposity in the abdominal region, has been associated with a higher risk of mortality, independent of BMI. Importantly, one of the determinants of body fat distribution is sex hormones. Both estrogens and androgens appear to directly and indirectly influence body fat distribution. Our review will focus specifically on the role of estrogens and their influence in determining body fat distribution and overall health of adipose tissues, and the role of epigenetic mechanisms in regulating the production and function of estrogens.","container-title":"Annals of the New York Academy of Sciences","DOI":"10.1111/nyas.14281","ISSN":"1749-6632","issue":"1","language":"en","license":"© 2019 New York Academy of Sciences.","note":"_eprint: https://nyaspubs.onlinelibrary.wiley.com/doi/pdf/10.1111/nyas.14281","page":"127-143","source":"Wiley Online Library","title":"The role of estrogens in the adipose tissue milieu","volume":"1461","author":[{"family":"Bracht","given":"John R."},{"family":"Vieira-Potter","given":"Victoria J."},{"family":"De Souza Santos","given":"Roberta"},{"family":"Öz","given":"Orhan K."},{"family":"Palmer","given":"Biff F."},{"family":"Clegg","given":"Deborah J."}],"issued":{"date-parts":[["2020"]]}}},{"id":4153,"uris":["http://zotero.org/users/9622455/items/USAKXIPB"],"itemData":{"id":4153,"type":"article-journal","abstract":"Estrogen receptor α (ERα) plays a crucial role in regulating glucose and energy homeostasis during type 2 diabetes mellitus (T2DM). However, the underlying mechanisms remain incompletely understood. Here we find a ligand-independent effect of ERα on the regulation of glucose homeostasis. Deficiency of ERα in the liver impairs glucose homeostasis in male, female, and ovariectomized (OVX) female mice. Mechanistic studies reveal that ERα promotes hepatic insulin sensitivity by suppressing ubiquitination-induced IRS1 degradation. The ERα 1-280 domain mediates the ligand-independent effect of ERα on insulin sensitivity. Furthermore, we identify a peptide based on ERα 1-280 domain and find that ERα-derived peptide increases IRS1 stability and enhances insulin sensitivity. Importantly, administration of ERα-derived peptide into obese mice significantly improves glucose homeostasis and serum lipid profiles. These findings pave the way for the therapeutic intervention of T2DM by targeting the ligand-independent effect of ERα and indicate that ERα-derived peptide is a potential insulin sensitizer for the treatment of T2DM., Type 2 diabetes mellitus is an increasing global health issue, which is caused by systemic insulin resistance. Here, the authors show a ligand-independent effect of hepatic ERα in regulating insulin sensitivity and identify an ERα-derived peptide that functions as an insulin sensitizer.","container-title":"Nature Communications","DOI":"10.1038/s41467-024-47687-6","ISSN":"2041-1723","journalAbbreviation":"Nat Commun","note":"PMID: 38649684\nPMCID: PMC11035554","page":"3410","source":"PubMed Central","title":"An estrogen receptor α-derived peptide improves glucose homeostasis during obesity","volume":"15","author":[{"family":"Yang","given":"Wanbao"},{"family":"Jiang","given":"Wen"},{"family":"Liao","given":"Wang"},{"family":"Yan","given":"Hui"},{"family":"Ai","given":"Weiqi"},{"family":"Pan","given":"Quan"},{"family":"Brashear","given":"Wesley A."},{"family":"Xu","given":"Yong"},{"family":"He","given":"Ling"},{"family":"Guo","given":"Shaodong"}],"issued":{"date-parts":[["2024",4,22]]}}}],"schema":"https://github.com/citation-style-language/schema/raw/master/csl-citation.json"} </w:instrText>
      </w:r>
      <w:r>
        <w:fldChar w:fldCharType="separate"/>
      </w:r>
      <w:r w:rsidR="000A741B" w:rsidRPr="000A741B">
        <w:rPr>
          <w:vertAlign w:val="superscript"/>
        </w:rPr>
        <w:t>124,404,405</w:t>
      </w:r>
      <w:r>
        <w:fldChar w:fldCharType="end"/>
      </w:r>
      <w:r w:rsidRPr="00A93F19">
        <w:t>.</w:t>
      </w:r>
      <w:r>
        <w:t xml:space="preserve"> </w:t>
      </w:r>
      <w:r w:rsidRPr="009902A8">
        <w:t>Furthermore, female HFD-fed mice exhibit</w:t>
      </w:r>
      <w:r>
        <w:t>ed</w:t>
      </w:r>
      <w:r w:rsidRPr="009902A8">
        <w:t xml:space="preserve"> larger </w:t>
      </w:r>
      <w:r w:rsidR="00C61853">
        <w:t xml:space="preserve">adipocyte </w:t>
      </w:r>
      <w:r>
        <w:t>size</w:t>
      </w:r>
      <w:r w:rsidRPr="009902A8">
        <w:t xml:space="preserve"> and higher adiponectin mRNA expression in gWAT compared to males</w:t>
      </w:r>
      <w:r>
        <w:t xml:space="preserve"> </w:t>
      </w:r>
      <w:r>
        <w:fldChar w:fldCharType="begin"/>
      </w:r>
      <w:r w:rsidR="000A741B">
        <w:instrText xml:space="preserve"> ADDIN ZOTERO_ITEM CSL_CITATION {"citationID":"aaqi37upf1","properties":{"formattedCitation":"\\super 412\\nosupersub{}","plainCitation":"412","noteIndex":0},"citationItems":[{"id":4179,"uris":["http://zotero.org/users/9622455/items/2HI5BAHK"],"itemData":{"id":4179,"type":"article-journal","abstract":"Expansion of intra-abdominal adipose tissue and the accompanying inflammatory response has been put forward as a unifying link between obesity and the development of chronic diseases. However, an apparent sexual dimorphism exists between obesity and chronic disease risk due to differences in the distribution and abundance of adipose tissue. A range of experimental protocols have been employed to demonstrate the role of estrogen in regulating health benefits; however, most studies are confounded by significant differences in body weight and adiposity. Therefore, the purpose of this study was to compare weight-matched obese male and female mice to determine if the sex-dependent health benefits remain when body weight is similar. The development of obesity in female mice receiving a high-fat diet was delayed; however, subsequent comparisons of weight-matched obese mice revealed greater adiposity in obese female mice. Despite excess adiposity and enlarged adipocyte size, obese females remained more glucose tolerant than weight-matched male mice, and this benefit was associated with increased expression of adiponectin and reductions in immune cell infiltration and oxidative stress in adipose tissue. Therefore, the protective benefits of estrogen persist in the obese state and appear to improve the metabolic phenotype of adipose tissue and the individual.","container-title":"Journal of Diabetes Research","DOI":"10.1155/2012/859395","ISSN":"2314-6753","issue":"1","language":"en","note":"_eprint: https://onlinelibrary.wiley.com/doi/pdf/10.1155/2012/859395","page":"859395","source":"Wiley Online Library","title":"A Comparison of Inflammatory and Oxidative Stress Markers in Adipose Tissue from Weight-Matched Obese Male and Female Mice","volume":"2012","author":[{"family":"Nickelson","given":"Karen J."},{"family":"Stromsdorfer","given":"Kelly L."},{"family":"Pickering","given":"R. Taylor"},{"family":"Liu","given":"Tzu-Wen"},{"family":"Ortinau","given":"Laura C."},{"family":"Keating","given":"Aileen F."},{"family":"Perfield II","given":"James W."}],"issued":{"date-parts":[["2012"]]}}}],"schema":"https://github.com/citation-style-language/schema/raw/master/csl-citation.json"} </w:instrText>
      </w:r>
      <w:r>
        <w:fldChar w:fldCharType="separate"/>
      </w:r>
      <w:r w:rsidR="000A741B" w:rsidRPr="000A741B">
        <w:rPr>
          <w:vertAlign w:val="superscript"/>
        </w:rPr>
        <w:t>412</w:t>
      </w:r>
      <w:r>
        <w:fldChar w:fldCharType="end"/>
      </w:r>
      <w:r>
        <w:t>.</w:t>
      </w:r>
      <w:r w:rsidRPr="009902A8" w:rsidDel="00D22EE8">
        <w:t xml:space="preserve"> </w:t>
      </w:r>
      <w:r w:rsidRPr="009C400D">
        <w:t xml:space="preserve">These sex-specific features of adipose tissue are consistent with the greater gWAT accumulation </w:t>
      </w:r>
      <w:r>
        <w:t xml:space="preserve">in female </w:t>
      </w:r>
      <w:r w:rsidRPr="00571524">
        <w:rPr>
          <w:i/>
          <w:iCs/>
        </w:rPr>
        <w:t>db/db</w:t>
      </w:r>
      <w:r>
        <w:t xml:space="preserve"> mice </w:t>
      </w:r>
      <w:r w:rsidRPr="009C400D">
        <w:t xml:space="preserve">observed in </w:t>
      </w:r>
      <w:r>
        <w:t>our</w:t>
      </w:r>
      <w:r w:rsidRPr="009C400D">
        <w:t xml:space="preserve"> study.</w:t>
      </w:r>
      <w:r>
        <w:t xml:space="preserve"> The fact that</w:t>
      </w:r>
      <w:r w:rsidRPr="001E796A">
        <w:t xml:space="preserve"> there were no significant </w:t>
      </w:r>
      <w:r>
        <w:t xml:space="preserve">sex </w:t>
      </w:r>
      <w:r w:rsidRPr="001E796A">
        <w:t>differences in protein expression of PGC1α and UCP1</w:t>
      </w:r>
      <w:r>
        <w:t xml:space="preserve"> </w:t>
      </w:r>
      <w:r w:rsidRPr="001E796A">
        <w:t>suggest</w:t>
      </w:r>
      <w:r>
        <w:t>s</w:t>
      </w:r>
      <w:r w:rsidRPr="001E796A">
        <w:t xml:space="preserve"> </w:t>
      </w:r>
      <w:r>
        <w:t>that</w:t>
      </w:r>
      <w:r w:rsidRPr="001E796A">
        <w:t xml:space="preserve"> UCP1-mediated </w:t>
      </w:r>
      <w:r>
        <w:t>non-shivering</w:t>
      </w:r>
      <w:r w:rsidRPr="001E796A">
        <w:t xml:space="preserve"> thermogenesis </w:t>
      </w:r>
      <w:r>
        <w:t>may</w:t>
      </w:r>
      <w:r w:rsidRPr="001E796A">
        <w:t xml:space="preserve"> not </w:t>
      </w:r>
      <w:r>
        <w:t xml:space="preserve">be </w:t>
      </w:r>
      <w:r w:rsidRPr="001E796A">
        <w:t xml:space="preserve">the </w:t>
      </w:r>
      <w:r>
        <w:t xml:space="preserve">primary </w:t>
      </w:r>
      <w:r w:rsidRPr="001E796A">
        <w:t xml:space="preserve">cause of the sex differences in cold intolerance </w:t>
      </w:r>
      <w:r>
        <w:t xml:space="preserve">found </w:t>
      </w:r>
      <w:r w:rsidRPr="001E796A">
        <w:t>in</w:t>
      </w:r>
      <w:r>
        <w:t xml:space="preserve"> the</w:t>
      </w:r>
      <w:r w:rsidRPr="001E796A">
        <w:t xml:space="preserve"> </w:t>
      </w:r>
      <w:r w:rsidRPr="00533304">
        <w:rPr>
          <w:i/>
        </w:rPr>
        <w:t>db/db</w:t>
      </w:r>
      <w:r w:rsidRPr="001E796A">
        <w:t xml:space="preserve"> mice. </w:t>
      </w:r>
      <w:r>
        <w:t xml:space="preserve">While a study showed young healthy male mice have higher mitochondrial respiration in BAT, and female mice had higher mitochondrial respiration in WAT </w:t>
      </w:r>
      <w:r>
        <w:fldChar w:fldCharType="begin"/>
      </w:r>
      <w:r w:rsidR="000A741B">
        <w:instrText xml:space="preserve"> ADDIN ZOTERO_ITEM CSL_CITATION {"citationID":"saFfaO5h","properties":{"formattedCitation":"\\super 413\\nosupersub{}","plainCitation":"413","noteIndex":0},"citationItems":[{"id":4091,"uris":["http://zotero.org/users/9622455/items/8IA96NPJ"],"itemData":{"id":4091,"type":"article-journal","abstract":"Organ function declines with age, and large-scale transcriptomic analyses have highlighted differential aging trajectories across tissues. The mechanism underlying shared and organ-selective functional changes across the lifespan, however, still remains poorly understood. Given the central role of mitochondria in powering cellular processes needed to maintain tissue health, we therefore undertook a systematic assessment of respiratory activity across 33 different tissues in young (2.5 months) and old (20 months) mice of both sexes. Our high-resolution mitochondrial respiration atlas reveals: 1) within any group of mice, mitochondrial activity varies widely across tissues, with the highest values consistently seen in heart, brown fat, and kidney; 2) biological sex is a significant but minor contributor to mitochondrial respiration, and its contributions are tissue-specific, with major differences seen in the pancreas, stomach, and white adipose tissue; 3) age is a dominant factor affecting mitochondrial activity, especially across most brain regions, different fat depots, skeletal muscle groups, eyes, and different regions of the gastrointestinal tract; 4) age-effects can be sex- and tissue-specific, with some of the largest effects seen in pancreas, heart, adipose tissue, and skeletal muscle; and 5) while aging alters the functional trajectories of mitochondria in a majority of tissues, some are remarkably resilient to age-induced changes. Altogether, our data provide the most comprehensive compendium of mitochondrial respiration and illuminate functional signatures of aging across diverse tissues and organ systems.","container-title":"eLife","DOI":"10.7554/eLife.96926.3","language":"en","note":"publisher: eLife Sciences Publications Limited","source":"elifesciences.org","title":"Mitochondrial respiration atlas reveals differential changes in mitochondrial function across sex and age","URL":"https://elifesciences.org/reviewed-preprints/96926","volume":"13","author":[{"family":"Sarver","given":"Dylan C."},{"family":"Saqib","given":"Muzna"},{"family":"Chen","given":"Fangluo"},{"family":"Wong","given":"G. William"}],"accessed":{"date-parts":[["2025",6,12]]},"issued":{"date-parts":[["2024",11,13]]}}}],"schema":"https://github.com/citation-style-language/schema/raw/master/csl-citation.json"} </w:instrText>
      </w:r>
      <w:r>
        <w:fldChar w:fldCharType="separate"/>
      </w:r>
      <w:r w:rsidR="000A741B" w:rsidRPr="000A741B">
        <w:rPr>
          <w:vertAlign w:val="superscript"/>
        </w:rPr>
        <w:t>413</w:t>
      </w:r>
      <w:r>
        <w:fldChar w:fldCharType="end"/>
      </w:r>
      <w:r>
        <w:t xml:space="preserve">, we did not observe sex-specific differences in the protein expression of key thermogenic regulators in either BAT or sWAT. </w:t>
      </w:r>
    </w:p>
    <w:p w14:paraId="6DB82B57" w14:textId="77777777" w:rsidR="00DD2464" w:rsidRPr="001E796A" w:rsidRDefault="00DD2464" w:rsidP="00822A50">
      <w:pPr>
        <w:ind w:firstLine="720"/>
        <w:jc w:val="left"/>
      </w:pPr>
      <w:r>
        <w:t>There are</w:t>
      </w:r>
      <w:r w:rsidRPr="001E796A">
        <w:t xml:space="preserve"> limitations to</w:t>
      </w:r>
      <w:r>
        <w:t xml:space="preserve"> </w:t>
      </w:r>
      <w:r w:rsidRPr="001E796A">
        <w:t xml:space="preserve">this study. </w:t>
      </w:r>
      <w:r>
        <w:t>We did not</w:t>
      </w:r>
      <w:r w:rsidRPr="001E796A">
        <w:t xml:space="preserve"> measure hormonal influences</w:t>
      </w:r>
      <w:r>
        <w:t xml:space="preserve"> or </w:t>
      </w:r>
      <w:r w:rsidRPr="001E796A">
        <w:t xml:space="preserve">sympathetic nervous system activity, both of which are important regulators of thermogenesis </w:t>
      </w:r>
      <w:r>
        <w:t>and</w:t>
      </w:r>
      <w:r w:rsidRPr="001E796A">
        <w:t xml:space="preserve"> may be involved in the sex differences we found. </w:t>
      </w:r>
      <w:r>
        <w:t>Therefore</w:t>
      </w:r>
      <w:r w:rsidRPr="001E796A">
        <w:t xml:space="preserve">, the contribution of these factors </w:t>
      </w:r>
      <w:r>
        <w:t>to the metabolic impairments of</w:t>
      </w:r>
      <w:r w:rsidRPr="001E796A">
        <w:t xml:space="preserve"> </w:t>
      </w:r>
      <w:r w:rsidRPr="00533304">
        <w:rPr>
          <w:i/>
        </w:rPr>
        <w:t>db/db</w:t>
      </w:r>
      <w:r w:rsidRPr="001E796A">
        <w:t xml:space="preserve"> </w:t>
      </w:r>
      <w:r>
        <w:t xml:space="preserve">mice </w:t>
      </w:r>
      <w:r w:rsidRPr="001E796A">
        <w:t xml:space="preserve">should be evaluated </w:t>
      </w:r>
      <w:r>
        <w:t>in future</w:t>
      </w:r>
      <w:r w:rsidRPr="001E796A">
        <w:t xml:space="preserve"> studies. Furthermore, investigating ways to reestablish PGC1α</w:t>
      </w:r>
      <w:r>
        <w:t xml:space="preserve"> </w:t>
      </w:r>
      <w:r w:rsidRPr="001E796A">
        <w:t xml:space="preserve">and UCP1 expression </w:t>
      </w:r>
      <w:r>
        <w:t>may</w:t>
      </w:r>
      <w:r w:rsidRPr="001E796A">
        <w:t xml:space="preserve"> reveal opportunities for therapeutic intervention </w:t>
      </w:r>
      <w:r>
        <w:t>in</w:t>
      </w:r>
      <w:r w:rsidRPr="001E796A">
        <w:t xml:space="preserve"> obesity-related metabolic derangements. More studies are warranted to identify whether there is a need for </w:t>
      </w:r>
      <w:r>
        <w:t>sex-specific</w:t>
      </w:r>
      <w:r w:rsidRPr="001E796A">
        <w:t xml:space="preserve"> therapies addressing adipose tissue distribution, thermogenic potential, and </w:t>
      </w:r>
      <w:r>
        <w:t>energy expenditure</w:t>
      </w:r>
      <w:r w:rsidRPr="001E796A">
        <w:t xml:space="preserve"> in the obese population.</w:t>
      </w:r>
    </w:p>
    <w:p w14:paraId="054EA086" w14:textId="77777777" w:rsidR="00DD2464" w:rsidRPr="00DD2464" w:rsidRDefault="00DD2464" w:rsidP="00847BA5">
      <w:pPr>
        <w:jc w:val="left"/>
        <w:rPr>
          <w:lang w:eastAsia="zh-CN"/>
        </w:rPr>
      </w:pPr>
    </w:p>
    <w:p w14:paraId="032E752A" w14:textId="4F977535" w:rsidR="000114E2" w:rsidRPr="001E796A" w:rsidRDefault="000114E2" w:rsidP="00847BA5">
      <w:pPr>
        <w:pStyle w:val="Heading2"/>
        <w:jc w:val="left"/>
      </w:pPr>
      <w:bookmarkStart w:id="140" w:name="_Toc190984281"/>
      <w:bookmarkStart w:id="141" w:name="_Toc200810418"/>
      <w:bookmarkStart w:id="142" w:name="_Toc201001695"/>
      <w:bookmarkStart w:id="143" w:name="_Toc204848658"/>
      <w:r w:rsidRPr="001E796A">
        <w:t>Conclusion</w:t>
      </w:r>
      <w:bookmarkEnd w:id="140"/>
      <w:bookmarkEnd w:id="141"/>
      <w:bookmarkEnd w:id="142"/>
      <w:bookmarkEnd w:id="143"/>
    </w:p>
    <w:p w14:paraId="69B3CD98" w14:textId="2FB75307" w:rsidR="007D596B" w:rsidRDefault="007D596B" w:rsidP="007A5CD6">
      <w:pPr>
        <w:ind w:firstLine="720"/>
        <w:jc w:val="left"/>
      </w:pPr>
      <w:r w:rsidRPr="001E796A">
        <w:t xml:space="preserve">In summary, </w:t>
      </w:r>
      <w:r>
        <w:t xml:space="preserve">we report  defects in thermogenesis </w:t>
      </w:r>
      <w:r w:rsidR="008164E1">
        <w:t xml:space="preserve">at </w:t>
      </w:r>
      <w:r>
        <w:t xml:space="preserve">room temperature and in response to cold and attenuated thermogenic protein expression in the BAT and sWAT of the </w:t>
      </w:r>
      <w:r w:rsidRPr="008E5CF0">
        <w:rPr>
          <w:i/>
          <w:iCs/>
        </w:rPr>
        <w:t>db/db</w:t>
      </w:r>
      <w:r>
        <w:t xml:space="preserve"> mice and </w:t>
      </w:r>
      <w:r w:rsidRPr="001E796A">
        <w:t xml:space="preserve">highlight </w:t>
      </w:r>
      <w:r>
        <w:t xml:space="preserve">some </w:t>
      </w:r>
      <w:r w:rsidRPr="001E796A">
        <w:t xml:space="preserve">sex differences </w:t>
      </w:r>
      <w:r>
        <w:t xml:space="preserve">in body weight, fat pad weight, core body temperature, and cold tolerance. </w:t>
      </w:r>
      <w:r w:rsidRPr="001E796A">
        <w:t xml:space="preserve">Sex differences in the </w:t>
      </w:r>
      <w:r>
        <w:t xml:space="preserve">thermoregulation and cold tolerance in the </w:t>
      </w:r>
      <w:r w:rsidRPr="00AC3A79">
        <w:rPr>
          <w:i/>
          <w:iCs/>
        </w:rPr>
        <w:t>db/db</w:t>
      </w:r>
      <w:r>
        <w:t xml:space="preserve"> mice warrant </w:t>
      </w:r>
      <w:r w:rsidRPr="001E796A">
        <w:t>further investigation.</w:t>
      </w:r>
      <w:r>
        <w:t xml:space="preserve"> </w:t>
      </w:r>
      <w:r w:rsidRPr="001E796A">
        <w:t>Understanding these differences is crucial for developing targeted interventions to mitigate obesity-related metabolic impairments.</w:t>
      </w:r>
    </w:p>
    <w:p w14:paraId="76FE8697" w14:textId="77777777" w:rsidR="000114E2" w:rsidRPr="003F12F0" w:rsidRDefault="000114E2" w:rsidP="00847BA5">
      <w:pPr>
        <w:spacing w:line="240" w:lineRule="auto"/>
        <w:jc w:val="left"/>
      </w:pPr>
      <w:r>
        <w:br w:type="page"/>
      </w:r>
    </w:p>
    <w:p w14:paraId="1D7E4253" w14:textId="77777777" w:rsidR="000114E2" w:rsidRPr="001E796A" w:rsidRDefault="000114E2" w:rsidP="00903EC4">
      <w:pPr>
        <w:pStyle w:val="Heading2"/>
        <w:numPr>
          <w:ilvl w:val="0"/>
          <w:numId w:val="0"/>
        </w:numPr>
      </w:pPr>
      <w:bookmarkStart w:id="144" w:name="_Toc190984283"/>
      <w:bookmarkStart w:id="145" w:name="_Toc200810420"/>
      <w:bookmarkStart w:id="146" w:name="_Toc201001697"/>
      <w:bookmarkStart w:id="147" w:name="_Toc204848659"/>
      <w:r w:rsidRPr="001E796A">
        <w:lastRenderedPageBreak/>
        <w:t>Appendix</w:t>
      </w:r>
      <w:bookmarkEnd w:id="144"/>
      <w:bookmarkEnd w:id="145"/>
      <w:bookmarkEnd w:id="146"/>
      <w:bookmarkEnd w:id="147"/>
    </w:p>
    <w:p w14:paraId="39EF38CF" w14:textId="77777777" w:rsidR="00DE1DF9" w:rsidRDefault="00797699" w:rsidP="00DE1DF9">
      <w:pPr>
        <w:pStyle w:val="Caption"/>
      </w:pPr>
      <w:r>
        <w:rPr>
          <w:noProof/>
        </w:rPr>
        <w:drawing>
          <wp:inline distT="0" distB="0" distL="0" distR="0" wp14:anchorId="4642DE45" wp14:editId="6E00AA1B">
            <wp:extent cx="5943600" cy="2331720"/>
            <wp:effectExtent l="0" t="0" r="0" b="5080"/>
            <wp:docPr id="552829412" name="Picture 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29412" name="Picture 6" descr="A screenshot of a computer scree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331720"/>
                    </a:xfrm>
                    <a:prstGeom prst="rect">
                      <a:avLst/>
                    </a:prstGeom>
                  </pic:spPr>
                </pic:pic>
              </a:graphicData>
            </a:graphic>
          </wp:inline>
        </w:drawing>
      </w:r>
    </w:p>
    <w:p w14:paraId="0FC31A2F" w14:textId="0780D679" w:rsidR="000114E2" w:rsidRDefault="00DE1DF9" w:rsidP="00DE1DF9">
      <w:pPr>
        <w:pStyle w:val="Caption"/>
      </w:pPr>
      <w:bookmarkStart w:id="148" w:name="_Ref204597761"/>
      <w:bookmarkStart w:id="149" w:name="_Toc204847353"/>
      <w:r>
        <w:t xml:space="preserve">Figure </w:t>
      </w:r>
      <w:fldSimple w:instr=" STYLEREF 1 \s ">
        <w:r w:rsidR="00F71430">
          <w:rPr>
            <w:noProof/>
          </w:rPr>
          <w:t>3</w:t>
        </w:r>
      </w:fldSimple>
      <w:r w:rsidR="00F71430">
        <w:t>.</w:t>
      </w:r>
      <w:fldSimple w:instr=" SEQ Figure \* ARABIC \s 1 ">
        <w:r w:rsidR="00F71430">
          <w:rPr>
            <w:noProof/>
          </w:rPr>
          <w:t>1</w:t>
        </w:r>
      </w:fldSimple>
      <w:bookmarkEnd w:id="148"/>
      <w:r>
        <w:t xml:space="preserve"> </w:t>
      </w:r>
      <w:r w:rsidRPr="009B270C">
        <w:t xml:space="preserve">Body weight and fat pad weights in </w:t>
      </w:r>
      <w:r w:rsidRPr="00DE1DF9">
        <w:rPr>
          <w:i/>
          <w:iCs/>
        </w:rPr>
        <w:t>db/db</w:t>
      </w:r>
      <w:r w:rsidRPr="009B270C">
        <w:t xml:space="preserve"> vs. WT mice.</w:t>
      </w:r>
      <w:bookmarkEnd w:id="149"/>
    </w:p>
    <w:p w14:paraId="26FB25A4" w14:textId="0DD30F6B" w:rsidR="006E3475" w:rsidRDefault="0011183B" w:rsidP="000114E2">
      <w:pPr>
        <w:spacing w:line="240" w:lineRule="auto"/>
      </w:pPr>
      <w:r w:rsidRPr="0011183B">
        <w:t xml:space="preserve">Male and female WT and db/db mice were maintained on a standard chow and water until termination at 13-15 weeks old. Body weight and various fat pad weights were measured at termination. (A) Body weight, (B) Interscapular brown adipose tissue (BAT) weight, (C) BAT as a percentage of body weight, (D) Subcutaneous WAT (sWAT) weight, (E) sWAT as a percentage, (F) Gonadal white adipose tissue (gWAT) weight, and (G) gWAT as a percentage of body weight from male wild-type (M-WT), female wild-type (F-WT), male db/db (M-db/db), and female db/db (F-db/db) mice. Data = mean ± SEM (n = 6 per group). Statistical significance was determined by one-way ANOVA. # represents differences between sexes. </w:t>
      </w:r>
      <w:r>
        <w:sym w:font="Symbol" w:char="F02A"/>
      </w:r>
      <w:r w:rsidRPr="0011183B">
        <w:t xml:space="preserve"> represents differences between genotypes (WT vs. db/db). ##,** p &lt; 0.01; ###,*** p &lt; 0.001.</w:t>
      </w:r>
    </w:p>
    <w:p w14:paraId="5A55CA38" w14:textId="77777777" w:rsidR="006E3475" w:rsidRDefault="006E3475">
      <w:pPr>
        <w:ind w:left="720" w:hanging="720"/>
        <w:jc w:val="left"/>
      </w:pPr>
      <w:r>
        <w:br w:type="page"/>
      </w:r>
    </w:p>
    <w:p w14:paraId="75F47C9B" w14:textId="77777777" w:rsidR="000543EA" w:rsidRDefault="006E3475" w:rsidP="000543EA">
      <w:pPr>
        <w:keepNext/>
        <w:spacing w:line="240" w:lineRule="auto"/>
      </w:pPr>
      <w:r>
        <w:rPr>
          <w:noProof/>
        </w:rPr>
        <w:lastRenderedPageBreak/>
        <w:drawing>
          <wp:inline distT="0" distB="0" distL="0" distR="0" wp14:anchorId="78F0D3D1" wp14:editId="63019F7F">
            <wp:extent cx="5943600" cy="1916430"/>
            <wp:effectExtent l="0" t="0" r="0" b="1270"/>
            <wp:docPr id="1217240411" name="Picture 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40411" name="Picture 7" descr="A screenshot of a video gam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916430"/>
                    </a:xfrm>
                    <a:prstGeom prst="rect">
                      <a:avLst/>
                    </a:prstGeom>
                  </pic:spPr>
                </pic:pic>
              </a:graphicData>
            </a:graphic>
          </wp:inline>
        </w:drawing>
      </w:r>
    </w:p>
    <w:p w14:paraId="2C95C957" w14:textId="6962B8F6" w:rsidR="001F3F4B" w:rsidRDefault="000543EA" w:rsidP="000543EA">
      <w:pPr>
        <w:pStyle w:val="Caption"/>
        <w:jc w:val="both"/>
      </w:pPr>
      <w:bookmarkStart w:id="150" w:name="_Toc204847354"/>
      <w:r>
        <w:t xml:space="preserve">Figure </w:t>
      </w:r>
      <w:fldSimple w:instr=" STYLEREF 1 \s ">
        <w:r w:rsidR="00F71430">
          <w:rPr>
            <w:noProof/>
          </w:rPr>
          <w:t>3</w:t>
        </w:r>
      </w:fldSimple>
      <w:r w:rsidR="00F71430">
        <w:t>.</w:t>
      </w:r>
      <w:fldSimple w:instr=" SEQ Figure \* ARABIC \s 1 ">
        <w:r w:rsidR="00F71430">
          <w:rPr>
            <w:noProof/>
          </w:rPr>
          <w:t>2</w:t>
        </w:r>
      </w:fldSimple>
      <w:r>
        <w:t xml:space="preserve"> </w:t>
      </w:r>
      <w:r w:rsidRPr="006F38D2">
        <w:t xml:space="preserve">The </w:t>
      </w:r>
      <w:r w:rsidRPr="000543EA">
        <w:rPr>
          <w:i/>
          <w:iCs/>
        </w:rPr>
        <w:t>db/db</w:t>
      </w:r>
      <w:r w:rsidRPr="006F38D2">
        <w:t xml:space="preserve"> mice exhibited elevated random serum glucose and insulin levels compared to the WT mice.</w:t>
      </w:r>
      <w:bookmarkEnd w:id="150"/>
    </w:p>
    <w:p w14:paraId="0C1EF4DA" w14:textId="481CA42C" w:rsidR="000E1A75" w:rsidRDefault="000E1A75" w:rsidP="000E1A75">
      <w:pPr>
        <w:spacing w:line="240" w:lineRule="auto"/>
      </w:pPr>
      <w:r w:rsidRPr="003F12F0">
        <w:t>Male and female</w:t>
      </w:r>
      <w:r w:rsidRPr="003F12F0">
        <w:rPr>
          <w:i/>
          <w:iCs/>
        </w:rPr>
        <w:t xml:space="preserve"> </w:t>
      </w:r>
      <w:r w:rsidRPr="003F12F0">
        <w:t>WT</w:t>
      </w:r>
      <w:r>
        <w:t xml:space="preserve"> and</w:t>
      </w:r>
      <w:r w:rsidRPr="003F12F0">
        <w:t xml:space="preserve"> </w:t>
      </w:r>
      <w:r w:rsidRPr="00533304">
        <w:rPr>
          <w:i/>
          <w:iCs/>
        </w:rPr>
        <w:t>db/db</w:t>
      </w:r>
      <w:r w:rsidRPr="003F12F0">
        <w:t xml:space="preserve"> mice </w:t>
      </w:r>
      <w:r w:rsidRPr="001E796A">
        <w:t xml:space="preserve">were maintained on </w:t>
      </w:r>
      <w:r>
        <w:t xml:space="preserve">a </w:t>
      </w:r>
      <w:r w:rsidRPr="001E796A">
        <w:t xml:space="preserve">standard chow </w:t>
      </w:r>
      <w:r>
        <w:t xml:space="preserve">and </w:t>
      </w:r>
      <w:r w:rsidRPr="001E796A">
        <w:t>water until 1</w:t>
      </w:r>
      <w:r>
        <w:t>3-</w:t>
      </w:r>
      <w:r w:rsidRPr="001E796A">
        <w:t>1</w:t>
      </w:r>
      <w:r>
        <w:t>5</w:t>
      </w:r>
      <w:r w:rsidRPr="001E796A">
        <w:t xml:space="preserve"> weeks old.</w:t>
      </w:r>
      <w:r>
        <w:t xml:space="preserve"> </w:t>
      </w:r>
      <w:r w:rsidRPr="00086836">
        <w:t xml:space="preserve">Random (non-fasting) </w:t>
      </w:r>
      <w:r>
        <w:t>blood</w:t>
      </w:r>
      <w:r w:rsidRPr="00086836">
        <w:t xml:space="preserve"> samples were collected at termination. (A) </w:t>
      </w:r>
      <w:r>
        <w:t>S</w:t>
      </w:r>
      <w:r w:rsidRPr="00086836">
        <w:t xml:space="preserve">erum glucose levels and (B) </w:t>
      </w:r>
      <w:r>
        <w:t>S</w:t>
      </w:r>
      <w:r w:rsidRPr="00086836">
        <w:t xml:space="preserve">erum insulin levels from male WT, female WT, male </w:t>
      </w:r>
      <w:r w:rsidRPr="00297639">
        <w:rPr>
          <w:i/>
          <w:iCs/>
        </w:rPr>
        <w:t>db/db</w:t>
      </w:r>
      <w:r w:rsidRPr="00086836">
        <w:t xml:space="preserve">, and female </w:t>
      </w:r>
      <w:r w:rsidRPr="00297639">
        <w:rPr>
          <w:i/>
          <w:iCs/>
        </w:rPr>
        <w:t>db/db</w:t>
      </w:r>
      <w:r w:rsidRPr="00086836">
        <w:t xml:space="preserve"> mice. Data</w:t>
      </w:r>
      <w:r>
        <w:t xml:space="preserve"> =</w:t>
      </w:r>
      <w:r w:rsidRPr="00086836">
        <w:t xml:space="preserve"> mean ± SEM (n = </w:t>
      </w:r>
      <w:r>
        <w:t>3-</w:t>
      </w:r>
      <w:r w:rsidRPr="00086836">
        <w:t xml:space="preserve">6 per group). Statistical significance was determined by </w:t>
      </w:r>
      <w:r>
        <w:t>two</w:t>
      </w:r>
      <w:r w:rsidRPr="00086836">
        <w:t xml:space="preserve">-way ANOVA. * represents differences between genotypes (WT vs. </w:t>
      </w:r>
      <w:r w:rsidRPr="00297639">
        <w:rPr>
          <w:i/>
          <w:iCs/>
        </w:rPr>
        <w:t>db/db</w:t>
      </w:r>
      <w:r w:rsidRPr="00086836">
        <w:t>). **</w:t>
      </w:r>
      <w:r>
        <w:t xml:space="preserve"> </w:t>
      </w:r>
      <w:r w:rsidRPr="00086836">
        <w:t>p &lt; 0.01; ***</w:t>
      </w:r>
      <w:r>
        <w:t xml:space="preserve"> </w:t>
      </w:r>
      <w:r w:rsidRPr="00086836">
        <w:t>p &lt; 0.001.</w:t>
      </w:r>
    </w:p>
    <w:p w14:paraId="50728810" w14:textId="3A6BFE8F" w:rsidR="001F3F4B" w:rsidRPr="001F3F4B" w:rsidRDefault="000E1A75" w:rsidP="000E1A75">
      <w:pPr>
        <w:ind w:left="720" w:hanging="720"/>
        <w:jc w:val="left"/>
      </w:pPr>
      <w:r>
        <w:br w:type="page"/>
      </w:r>
    </w:p>
    <w:p w14:paraId="02AF1A2C" w14:textId="77777777" w:rsidR="00F71430" w:rsidRDefault="000114E2" w:rsidP="00F71430">
      <w:pPr>
        <w:keepNext/>
      </w:pPr>
      <w:r>
        <w:rPr>
          <w:noProof/>
        </w:rPr>
        <w:lastRenderedPageBreak/>
        <w:drawing>
          <wp:inline distT="0" distB="0" distL="0" distR="0" wp14:anchorId="73BE2BBB" wp14:editId="61A0A150">
            <wp:extent cx="5486400" cy="3134360"/>
            <wp:effectExtent l="0" t="0" r="0" b="2540"/>
            <wp:docPr id="2100428633" name="Picture 5"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28633" name="Picture 5" descr="A screenshot of a computer gam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3134360"/>
                    </a:xfrm>
                    <a:prstGeom prst="rect">
                      <a:avLst/>
                    </a:prstGeom>
                  </pic:spPr>
                </pic:pic>
              </a:graphicData>
            </a:graphic>
          </wp:inline>
        </w:drawing>
      </w:r>
    </w:p>
    <w:p w14:paraId="7B79384F" w14:textId="5DA489DF" w:rsidR="000E1A75" w:rsidRDefault="00F71430" w:rsidP="00F71430">
      <w:pPr>
        <w:pStyle w:val="Caption"/>
        <w:jc w:val="both"/>
      </w:pPr>
      <w:bookmarkStart w:id="151" w:name="_Ref204598171"/>
      <w:bookmarkStart w:id="152" w:name="_Ref204598145"/>
      <w:bookmarkStart w:id="153" w:name="_Toc204847355"/>
      <w:r>
        <w:t xml:space="preserve">Figure </w:t>
      </w:r>
      <w:fldSimple w:instr=" STYLEREF 1 \s ">
        <w:r>
          <w:rPr>
            <w:noProof/>
          </w:rPr>
          <w:t>3</w:t>
        </w:r>
      </w:fldSimple>
      <w:r>
        <w:t>.</w:t>
      </w:r>
      <w:fldSimple w:instr=" SEQ Figure \* ARABIC \s 1 ">
        <w:r>
          <w:rPr>
            <w:noProof/>
          </w:rPr>
          <w:t>3</w:t>
        </w:r>
      </w:fldSimple>
      <w:bookmarkEnd w:id="151"/>
      <w:r>
        <w:t xml:space="preserve"> </w:t>
      </w:r>
      <w:r w:rsidRPr="00B647D8">
        <w:t xml:space="preserve">Impaired cold tolerance and reduced heat production in </w:t>
      </w:r>
      <w:r w:rsidRPr="00F71430">
        <w:rPr>
          <w:i/>
          <w:iCs/>
        </w:rPr>
        <w:t>db/db</w:t>
      </w:r>
      <w:r w:rsidRPr="00B647D8">
        <w:t xml:space="preserve"> mice.</w:t>
      </w:r>
      <w:bookmarkEnd w:id="152"/>
      <w:bookmarkEnd w:id="153"/>
    </w:p>
    <w:p w14:paraId="40CE996F" w14:textId="162558F2" w:rsidR="006B6386" w:rsidRDefault="000114E2" w:rsidP="000114E2">
      <w:pPr>
        <w:pStyle w:val="Bibliography"/>
        <w:spacing w:line="240" w:lineRule="auto"/>
        <w:ind w:left="0" w:firstLine="0"/>
      </w:pPr>
      <w:r w:rsidRPr="003F12F0">
        <w:t>Male and female</w:t>
      </w:r>
      <w:r w:rsidRPr="003F12F0">
        <w:rPr>
          <w:i/>
          <w:iCs/>
        </w:rPr>
        <w:t xml:space="preserve"> </w:t>
      </w:r>
      <w:r w:rsidRPr="00533304">
        <w:rPr>
          <w:i/>
          <w:iCs/>
        </w:rPr>
        <w:t>db/db</w:t>
      </w:r>
      <w:r w:rsidRPr="003F12F0">
        <w:t xml:space="preserve"> and WT mice were housed with free access to a standard chow diet and water. Mice</w:t>
      </w:r>
      <w:r>
        <w:t xml:space="preserve"> were </w:t>
      </w:r>
      <w:r w:rsidR="00F812BF">
        <w:t>undergoing</w:t>
      </w:r>
      <w:r w:rsidRPr="003F12F0">
        <w:t xml:space="preserve"> cold tolerance and indirect calorimetry tests</w:t>
      </w:r>
      <w:r>
        <w:t xml:space="preserve"> around</w:t>
      </w:r>
      <w:r w:rsidRPr="003F12F0">
        <w:t xml:space="preserve"> 10</w:t>
      </w:r>
      <w:r w:rsidR="00903EC4">
        <w:t>-</w:t>
      </w:r>
      <w:r>
        <w:t xml:space="preserve">15 </w:t>
      </w:r>
      <w:r w:rsidRPr="003F12F0">
        <w:t>weeks</w:t>
      </w:r>
      <w:r>
        <w:t xml:space="preserve"> old</w:t>
      </w:r>
      <w:r w:rsidRPr="003F12F0">
        <w:t xml:space="preserve">. (A) Core body temperature </w:t>
      </w:r>
      <w:r>
        <w:t>was</w:t>
      </w:r>
      <w:r w:rsidRPr="003F12F0">
        <w:t xml:space="preserve"> measured at room temperature. (B) Cold tolerance test in a 4°C environment over </w:t>
      </w:r>
      <w:r>
        <w:t>4</w:t>
      </w:r>
      <w:r w:rsidRPr="003F12F0">
        <w:t xml:space="preserve"> hours. (C) Area under the curve (AUC) for core body temperature during the cold tolerance test. (D) Heat production was recorded over two consecutive days. (E) AUC of total heat production over the same period</w:t>
      </w:r>
      <w:r>
        <w:t>.</w:t>
      </w:r>
      <w:r w:rsidRPr="003F12F0">
        <w:t xml:space="preserve"> (F) </w:t>
      </w:r>
      <w:r>
        <w:t>T</w:t>
      </w:r>
      <w:r w:rsidRPr="003F12F0">
        <w:t xml:space="preserve">otal heat production </w:t>
      </w:r>
      <w:r>
        <w:t>normalized to</w:t>
      </w:r>
      <w:r w:rsidRPr="003F12F0">
        <w:t xml:space="preserve"> body weight. Data = mean ± SEM (n = 6 per group). One-way ANOVA was used for all statistical comparisons among groups. </w:t>
      </w:r>
      <w:r w:rsidRPr="00EF23A5">
        <w:t>#</w:t>
      </w:r>
      <w:r w:rsidRPr="00D701EC">
        <w:t xml:space="preserve"> </w:t>
      </w:r>
      <w:r w:rsidRPr="003F12F0">
        <w:t>represent</w:t>
      </w:r>
      <w:r>
        <w:t>s</w:t>
      </w:r>
      <w:r w:rsidRPr="003F12F0">
        <w:t xml:space="preserve"> differences between sexes. </w:t>
      </w:r>
      <w:r w:rsidRPr="00EF23A5">
        <w:rPr>
          <w:rFonts w:ascii="Symbol" w:eastAsia="Symbol" w:hAnsi="Symbol" w:cs="Symbol"/>
        </w:rPr>
        <w:sym w:font="Symbol" w:char="F02A"/>
      </w:r>
      <w:r>
        <w:t xml:space="preserve"> </w:t>
      </w:r>
      <w:r w:rsidRPr="003F12F0">
        <w:t>represent</w:t>
      </w:r>
      <w:r>
        <w:t>s</w:t>
      </w:r>
      <w:r w:rsidRPr="003F12F0">
        <w:t xml:space="preserve"> differences between genotypes (WT vs. </w:t>
      </w:r>
      <w:r w:rsidRPr="00533304">
        <w:rPr>
          <w:i/>
          <w:iCs/>
        </w:rPr>
        <w:t>db/db</w:t>
      </w:r>
      <w:r w:rsidRPr="003F12F0">
        <w:t xml:space="preserve">). </w:t>
      </w:r>
      <w:r w:rsidRPr="00EF23A5">
        <w:t>#, *</w:t>
      </w:r>
      <w:r w:rsidRPr="003F12F0">
        <w:t>p &lt; 0.05</w:t>
      </w:r>
      <w:r>
        <w:t>;</w:t>
      </w:r>
      <w:r w:rsidRPr="003F12F0">
        <w:t xml:space="preserve"> </w:t>
      </w:r>
      <w:r w:rsidRPr="00EF23A5">
        <w:rPr>
          <w:i/>
          <w:iCs/>
        </w:rPr>
        <w:t>###,</w:t>
      </w:r>
      <w:r w:rsidR="00903EC4">
        <w:rPr>
          <w:i/>
          <w:iCs/>
        </w:rPr>
        <w:t xml:space="preserve"> </w:t>
      </w:r>
      <w:r w:rsidRPr="00EF23A5">
        <w:t>***</w:t>
      </w:r>
      <w:r w:rsidRPr="003F12F0">
        <w:t>p &lt; 0.001.</w:t>
      </w:r>
    </w:p>
    <w:p w14:paraId="31D1F8AF" w14:textId="77777777" w:rsidR="006B6386" w:rsidRDefault="006B6386">
      <w:pPr>
        <w:ind w:left="720" w:hanging="720"/>
        <w:jc w:val="left"/>
      </w:pPr>
      <w:r>
        <w:br w:type="page"/>
      </w:r>
    </w:p>
    <w:p w14:paraId="286D0ED7" w14:textId="77777777" w:rsidR="00F71430" w:rsidRDefault="006B6386" w:rsidP="00F71430">
      <w:pPr>
        <w:pStyle w:val="Bibliography"/>
        <w:keepNext/>
        <w:spacing w:line="240" w:lineRule="auto"/>
        <w:ind w:left="0" w:firstLine="0"/>
      </w:pPr>
      <w:r>
        <w:rPr>
          <w:noProof/>
        </w:rPr>
        <w:lastRenderedPageBreak/>
        <w:drawing>
          <wp:inline distT="0" distB="0" distL="0" distR="0" wp14:anchorId="6AAFE1B2" wp14:editId="488A20C7">
            <wp:extent cx="5543565" cy="5776323"/>
            <wp:effectExtent l="0" t="0" r="0" b="2540"/>
            <wp:docPr id="1632804548" name="Picture 8" descr="A screenshot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04548" name="Picture 8" descr="A screenshot of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56121" cy="5789406"/>
                    </a:xfrm>
                    <a:prstGeom prst="rect">
                      <a:avLst/>
                    </a:prstGeom>
                  </pic:spPr>
                </pic:pic>
              </a:graphicData>
            </a:graphic>
          </wp:inline>
        </w:drawing>
      </w:r>
    </w:p>
    <w:p w14:paraId="45B66057" w14:textId="69D0B27D" w:rsidR="00915818" w:rsidRDefault="00F71430" w:rsidP="00F71430">
      <w:pPr>
        <w:pStyle w:val="Caption"/>
        <w:jc w:val="both"/>
      </w:pPr>
      <w:bookmarkStart w:id="154" w:name="_Ref204598341"/>
      <w:bookmarkStart w:id="155" w:name="_Toc204847356"/>
      <w:r>
        <w:t xml:space="preserve">Figure </w:t>
      </w:r>
      <w:fldSimple w:instr=" STYLEREF 1 \s ">
        <w:r>
          <w:rPr>
            <w:noProof/>
          </w:rPr>
          <w:t>3</w:t>
        </w:r>
      </w:fldSimple>
      <w:r>
        <w:t>.</w:t>
      </w:r>
      <w:fldSimple w:instr=" SEQ Figure \* ARABIC \s 1 ">
        <w:r>
          <w:rPr>
            <w:noProof/>
          </w:rPr>
          <w:t>4</w:t>
        </w:r>
      </w:fldSimple>
      <w:bookmarkEnd w:id="154"/>
      <w:r>
        <w:t xml:space="preserve"> </w:t>
      </w:r>
      <w:r w:rsidRPr="00D37D50">
        <w:t xml:space="preserve">Energy expenditure and respiratory exchange ratios in the </w:t>
      </w:r>
      <w:r w:rsidRPr="00F71430">
        <w:rPr>
          <w:i/>
          <w:iCs/>
        </w:rPr>
        <w:t>db/db</w:t>
      </w:r>
      <w:r w:rsidRPr="00D37D50">
        <w:t xml:space="preserve"> compared to the WT mice.</w:t>
      </w:r>
      <w:bookmarkEnd w:id="155"/>
    </w:p>
    <w:p w14:paraId="0C455D0A" w14:textId="29AF11B5" w:rsidR="00535D43" w:rsidRDefault="00535D43" w:rsidP="00535D43">
      <w:pPr>
        <w:spacing w:line="240" w:lineRule="auto"/>
      </w:pPr>
      <w:r w:rsidRPr="003F12F0">
        <w:t>Male and female</w:t>
      </w:r>
      <w:r w:rsidRPr="003F12F0">
        <w:rPr>
          <w:i/>
          <w:iCs/>
        </w:rPr>
        <w:t xml:space="preserve"> </w:t>
      </w:r>
      <w:r w:rsidRPr="00533304">
        <w:rPr>
          <w:i/>
          <w:iCs/>
        </w:rPr>
        <w:t>db/db</w:t>
      </w:r>
      <w:r w:rsidRPr="003F12F0">
        <w:t xml:space="preserve"> and WT mice</w:t>
      </w:r>
      <w:r>
        <w:t xml:space="preserve"> underwent</w:t>
      </w:r>
      <w:r w:rsidRPr="003F12F0">
        <w:t xml:space="preserve"> indirect calorimetry tests</w:t>
      </w:r>
      <w:r>
        <w:t xml:space="preserve">. </w:t>
      </w:r>
      <w:r w:rsidRPr="001B452A">
        <w:t xml:space="preserve">(A–C) </w:t>
      </w:r>
      <w:r>
        <w:t>H</w:t>
      </w:r>
      <w:r w:rsidRPr="001B452A">
        <w:t xml:space="preserve">eat production, (D–F) </w:t>
      </w:r>
      <w:r>
        <w:t>R</w:t>
      </w:r>
      <w:r w:rsidRPr="001B452A">
        <w:t xml:space="preserve">espiratory exchange ratio (RER), (G–I) </w:t>
      </w:r>
      <w:r>
        <w:t>C</w:t>
      </w:r>
      <w:r w:rsidRPr="001B452A">
        <w:t xml:space="preserve">arbon dioxide production (VCO₂), and (J–L) </w:t>
      </w:r>
      <w:r>
        <w:t>O</w:t>
      </w:r>
      <w:r w:rsidRPr="001B452A">
        <w:t xml:space="preserve">xygen consumption (VO₂) during the total (A, D, G, J), light (B, E, H, K), and dark (C, F, I, L) cycles in male WT, female WT, male </w:t>
      </w:r>
      <w:r w:rsidRPr="00C77798">
        <w:rPr>
          <w:i/>
          <w:iCs/>
        </w:rPr>
        <w:t>db/db</w:t>
      </w:r>
      <w:r w:rsidRPr="00C77798">
        <w:t>,</w:t>
      </w:r>
      <w:r w:rsidRPr="001B452A">
        <w:t xml:space="preserve"> and female </w:t>
      </w:r>
      <w:r w:rsidRPr="00C77798">
        <w:rPr>
          <w:i/>
          <w:iCs/>
        </w:rPr>
        <w:t xml:space="preserve">db/db </w:t>
      </w:r>
      <w:r w:rsidRPr="001B452A">
        <w:t xml:space="preserve">mice. Data </w:t>
      </w:r>
      <w:r>
        <w:rPr>
          <w:rFonts w:hint="eastAsia"/>
          <w:lang w:eastAsia="zh-CN"/>
        </w:rPr>
        <w:t xml:space="preserve">= </w:t>
      </w:r>
      <w:r w:rsidRPr="001B452A">
        <w:t>mean ± SEM (n = 6 per group). Statistical significance was determined by one-way ANOVA. *</w:t>
      </w:r>
      <w:r>
        <w:t xml:space="preserve"> </w:t>
      </w:r>
      <w:r w:rsidRPr="001B452A">
        <w:t>p &lt; 0.05; **</w:t>
      </w:r>
      <w:r>
        <w:t xml:space="preserve"> </w:t>
      </w:r>
      <w:r w:rsidRPr="001B452A">
        <w:t>p &lt; 0.01; ***</w:t>
      </w:r>
      <w:r>
        <w:t xml:space="preserve"> </w:t>
      </w:r>
      <w:r w:rsidRPr="001B452A">
        <w:t>p &lt; 0.001</w:t>
      </w:r>
      <w:r w:rsidR="002D1950">
        <w:t xml:space="preserve">; </w:t>
      </w:r>
      <w:r w:rsidR="002D1950" w:rsidRPr="001B452A">
        <w:t>***</w:t>
      </w:r>
      <w:r w:rsidR="002D1950">
        <w:t xml:space="preserve">* </w:t>
      </w:r>
      <w:r w:rsidR="002D1950" w:rsidRPr="001B452A">
        <w:t>p &lt; 0.00</w:t>
      </w:r>
      <w:r w:rsidR="002D1950">
        <w:t>0</w:t>
      </w:r>
      <w:r w:rsidR="002D1950" w:rsidRPr="001B452A">
        <w:t>1</w:t>
      </w:r>
      <w:r w:rsidR="002D1950">
        <w:t>.</w:t>
      </w:r>
    </w:p>
    <w:p w14:paraId="5F7AB6F9" w14:textId="5659A7E0" w:rsidR="00915818" w:rsidRPr="00915818" w:rsidRDefault="00535D43" w:rsidP="00535D43">
      <w:pPr>
        <w:ind w:left="720" w:hanging="720"/>
        <w:jc w:val="left"/>
      </w:pPr>
      <w:r>
        <w:br w:type="page"/>
      </w:r>
    </w:p>
    <w:p w14:paraId="52171AC1" w14:textId="77777777" w:rsidR="00F71430" w:rsidRDefault="000114E2" w:rsidP="00F71430">
      <w:pPr>
        <w:keepNext/>
        <w:jc w:val="center"/>
      </w:pPr>
      <w:r>
        <w:rPr>
          <w:noProof/>
        </w:rPr>
        <w:lastRenderedPageBreak/>
        <w:drawing>
          <wp:inline distT="0" distB="0" distL="0" distR="0" wp14:anchorId="6A5967FB" wp14:editId="02F6F3EF">
            <wp:extent cx="5486400" cy="5016500"/>
            <wp:effectExtent l="0" t="0" r="0" b="0"/>
            <wp:docPr id="1845839450" name="Picture 2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39450" name="Picture 21" descr="A screenshot of a computer scree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5016500"/>
                    </a:xfrm>
                    <a:prstGeom prst="rect">
                      <a:avLst/>
                    </a:prstGeom>
                  </pic:spPr>
                </pic:pic>
              </a:graphicData>
            </a:graphic>
          </wp:inline>
        </w:drawing>
      </w:r>
    </w:p>
    <w:p w14:paraId="0F804344" w14:textId="038BF5F9" w:rsidR="00546B55" w:rsidRDefault="00F71430" w:rsidP="00F71430">
      <w:pPr>
        <w:pStyle w:val="Caption"/>
      </w:pPr>
      <w:bookmarkStart w:id="156" w:name="_Ref204598466"/>
      <w:bookmarkStart w:id="157" w:name="_Toc204847357"/>
      <w:r>
        <w:t xml:space="preserve">Figure </w:t>
      </w:r>
      <w:fldSimple w:instr=" STYLEREF 1 \s ">
        <w:r>
          <w:rPr>
            <w:noProof/>
          </w:rPr>
          <w:t>3</w:t>
        </w:r>
      </w:fldSimple>
      <w:r>
        <w:t>.</w:t>
      </w:r>
      <w:fldSimple w:instr=" SEQ Figure \* ARABIC \s 1 ">
        <w:r>
          <w:rPr>
            <w:noProof/>
          </w:rPr>
          <w:t>5</w:t>
        </w:r>
      </w:fldSimple>
      <w:bookmarkEnd w:id="156"/>
      <w:r>
        <w:t xml:space="preserve"> </w:t>
      </w:r>
      <w:r w:rsidRPr="0052627A">
        <w:t>Diminished thermogenic protein expression of PGC1</w:t>
      </w:r>
      <w:r w:rsidRPr="0052627A">
        <w:rPr>
          <w:rFonts w:ascii="Cambria Math" w:hAnsi="Cambria Math" w:cs="Cambria Math"/>
        </w:rPr>
        <w:t>⍺</w:t>
      </w:r>
      <w:r w:rsidRPr="0052627A">
        <w:t xml:space="preserve"> and UCP1 in BAT from db/db and WT mice of both sexes.</w:t>
      </w:r>
      <w:bookmarkEnd w:id="157"/>
    </w:p>
    <w:p w14:paraId="4F3E6997" w14:textId="5EE330C9" w:rsidR="00BB7BDE" w:rsidRDefault="00BB7BDE" w:rsidP="00BB7BDE">
      <w:pPr>
        <w:spacing w:before="100" w:beforeAutospacing="1" w:line="240" w:lineRule="auto"/>
        <w:rPr>
          <w:b/>
          <w:bCs/>
        </w:rPr>
      </w:pPr>
      <w:r>
        <w:t xml:space="preserve">The BAT </w:t>
      </w:r>
      <w:r w:rsidRPr="0088119A">
        <w:t>was collected from both male and female WT</w:t>
      </w:r>
      <w:r>
        <w:t xml:space="preserve"> and </w:t>
      </w:r>
      <w:r w:rsidRPr="00533304">
        <w:rPr>
          <w:i/>
          <w:iCs/>
        </w:rPr>
        <w:t>db/db</w:t>
      </w:r>
      <w:r w:rsidRPr="0088119A">
        <w:t xml:space="preserve"> mice</w:t>
      </w:r>
      <w:r>
        <w:t xml:space="preserve"> </w:t>
      </w:r>
      <w:r w:rsidRPr="0088119A">
        <w:t>and subjected to protein analysis</w:t>
      </w:r>
      <w:r>
        <w:t>,</w:t>
      </w:r>
      <w:r w:rsidRPr="0088119A">
        <w:t xml:space="preserve"> normalized by </w:t>
      </w:r>
      <w:r>
        <w:t xml:space="preserve">the </w:t>
      </w:r>
      <w:r w:rsidRPr="0088119A">
        <w:t>housekeeping protein ERK1/2.</w:t>
      </w:r>
      <w:r w:rsidRPr="007A67EF">
        <w:t xml:space="preserve"> </w:t>
      </w:r>
      <w:r w:rsidRPr="0088119A">
        <w:t xml:space="preserve">(A) </w:t>
      </w:r>
      <w:r>
        <w:t>Protein expression of PGC1</w:t>
      </w:r>
      <w:r>
        <w:sym w:font="Symbol" w:char="F061"/>
      </w:r>
      <w:r>
        <w:t xml:space="preserve"> and UCP1 in the BAT of WT and </w:t>
      </w:r>
      <w:r w:rsidRPr="0023040A">
        <w:rPr>
          <w:i/>
          <w:iCs/>
        </w:rPr>
        <w:t>db/db</w:t>
      </w:r>
      <w:r>
        <w:t xml:space="preserve"> male (top) and female mice (bottom)</w:t>
      </w:r>
      <w:r w:rsidRPr="0088119A">
        <w:t>. (B, C) Fold change</w:t>
      </w:r>
      <w:r>
        <w:t>s</w:t>
      </w:r>
      <w:r w:rsidRPr="0088119A">
        <w:t xml:space="preserve"> of densitometric quantifications of PGC1α and UCP1 </w:t>
      </w:r>
      <w:r>
        <w:t xml:space="preserve">protein expression. </w:t>
      </w:r>
      <w:r w:rsidRPr="0088119A">
        <w:t xml:space="preserve"> Densitometry was quantified </w:t>
      </w:r>
      <w:r>
        <w:t>using ImageJ</w:t>
      </w:r>
      <w:r w:rsidRPr="0088119A">
        <w:t xml:space="preserve"> software. Data = mean ± SEM (n = 6). Statistical significance was determined using two-way ANOVA to assess both genotype and sex differences.</w:t>
      </w:r>
      <w:r w:rsidRPr="00D701EC">
        <w:t xml:space="preserve"> </w:t>
      </w:r>
      <w:r w:rsidRPr="00F50BDD">
        <w:t>**</w:t>
      </w:r>
      <w:r>
        <w:t xml:space="preserve"> </w:t>
      </w:r>
      <w:r w:rsidRPr="001E796A">
        <w:t>p &lt; 0.01</w:t>
      </w:r>
      <w:r>
        <w:t>.</w:t>
      </w:r>
    </w:p>
    <w:p w14:paraId="559AAE12" w14:textId="2865B50D" w:rsidR="000114E2" w:rsidRPr="00804D09" w:rsidRDefault="000114E2" w:rsidP="000114E2">
      <w:pPr>
        <w:spacing w:before="100" w:beforeAutospacing="1" w:line="240" w:lineRule="auto"/>
      </w:pPr>
      <w:r>
        <w:rPr>
          <w:b/>
          <w:bCs/>
        </w:rPr>
        <w:br w:type="page"/>
      </w:r>
    </w:p>
    <w:p w14:paraId="7119171E" w14:textId="77777777" w:rsidR="00F71430" w:rsidRDefault="000114E2" w:rsidP="00F71430">
      <w:pPr>
        <w:keepNext/>
        <w:spacing w:before="120" w:after="120"/>
      </w:pPr>
      <w:r>
        <w:rPr>
          <w:noProof/>
        </w:rPr>
        <w:lastRenderedPageBreak/>
        <w:drawing>
          <wp:inline distT="0" distB="0" distL="0" distR="0" wp14:anchorId="56F8D2F1" wp14:editId="22C14D75">
            <wp:extent cx="5486400" cy="5095875"/>
            <wp:effectExtent l="0" t="0" r="0" b="0"/>
            <wp:docPr id="1367430493" name="Picture 2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30493" name="Picture 22" descr="A screenshot of a computer scree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5095875"/>
                    </a:xfrm>
                    <a:prstGeom prst="rect">
                      <a:avLst/>
                    </a:prstGeom>
                  </pic:spPr>
                </pic:pic>
              </a:graphicData>
            </a:graphic>
          </wp:inline>
        </w:drawing>
      </w:r>
    </w:p>
    <w:p w14:paraId="2A14CDFE" w14:textId="6E481D70" w:rsidR="000114E2" w:rsidRDefault="00F71430" w:rsidP="00F71430">
      <w:pPr>
        <w:pStyle w:val="Caption"/>
        <w:jc w:val="both"/>
      </w:pPr>
      <w:bookmarkStart w:id="158" w:name="_Ref204598457"/>
      <w:bookmarkStart w:id="159" w:name="_Toc204847358"/>
      <w:r>
        <w:t xml:space="preserve">Figure </w:t>
      </w:r>
      <w:fldSimple w:instr=" STYLEREF 1 \s ">
        <w:r>
          <w:rPr>
            <w:noProof/>
          </w:rPr>
          <w:t>3</w:t>
        </w:r>
      </w:fldSimple>
      <w:r>
        <w:t>.</w:t>
      </w:r>
      <w:fldSimple w:instr=" SEQ Figure \* ARABIC \s 1 ">
        <w:r>
          <w:rPr>
            <w:noProof/>
          </w:rPr>
          <w:t>6</w:t>
        </w:r>
      </w:fldSimple>
      <w:bookmarkEnd w:id="158"/>
      <w:r>
        <w:t xml:space="preserve"> </w:t>
      </w:r>
      <w:r w:rsidRPr="00837194">
        <w:t>Diminished thermogenic protein expression of PGC1</w:t>
      </w:r>
      <w:r w:rsidRPr="00837194">
        <w:rPr>
          <w:rFonts w:ascii="Cambria Math" w:hAnsi="Cambria Math" w:cs="Cambria Math"/>
        </w:rPr>
        <w:t>⍺</w:t>
      </w:r>
      <w:r w:rsidRPr="00837194">
        <w:t xml:space="preserve"> and UCP1 in WAT from </w:t>
      </w:r>
      <w:r w:rsidRPr="00F71430">
        <w:rPr>
          <w:i/>
          <w:iCs/>
        </w:rPr>
        <w:t>db/db</w:t>
      </w:r>
      <w:r w:rsidRPr="00837194">
        <w:t xml:space="preserve"> and WT mice of both sexes.</w:t>
      </w:r>
      <w:bookmarkEnd w:id="159"/>
    </w:p>
    <w:p w14:paraId="0D8E5933" w14:textId="01274963" w:rsidR="00A2183C" w:rsidRDefault="00A2183C" w:rsidP="00A2183C">
      <w:pPr>
        <w:spacing w:before="100" w:beforeAutospacing="1" w:line="240" w:lineRule="auto"/>
      </w:pPr>
      <w:r w:rsidRPr="007C6054">
        <w:t xml:space="preserve">The </w:t>
      </w:r>
      <w:r>
        <w:t xml:space="preserve">sWAT </w:t>
      </w:r>
      <w:r w:rsidRPr="007C6054">
        <w:t>was collected from both male and female WT</w:t>
      </w:r>
      <w:r>
        <w:t xml:space="preserve"> and </w:t>
      </w:r>
      <w:r w:rsidRPr="00533304">
        <w:rPr>
          <w:i/>
          <w:iCs/>
        </w:rPr>
        <w:t>db/db</w:t>
      </w:r>
      <w:r w:rsidRPr="007C6054">
        <w:t xml:space="preserve"> mice</w:t>
      </w:r>
      <w:r>
        <w:t xml:space="preserve"> </w:t>
      </w:r>
      <w:r w:rsidRPr="007C6054">
        <w:t>and subjected to protein analysis</w:t>
      </w:r>
      <w:r>
        <w:t>,</w:t>
      </w:r>
      <w:r w:rsidRPr="007C6054">
        <w:t xml:space="preserve"> normalized by </w:t>
      </w:r>
      <w:r>
        <w:t xml:space="preserve">the </w:t>
      </w:r>
      <w:r w:rsidRPr="007C6054">
        <w:t xml:space="preserve">housekeeping protein ERK1/2. </w:t>
      </w:r>
      <w:r w:rsidRPr="0088119A">
        <w:t xml:space="preserve">(A) </w:t>
      </w:r>
      <w:r>
        <w:t>Protein expression of PGC1</w:t>
      </w:r>
      <w:r>
        <w:sym w:font="Symbol" w:char="F061"/>
      </w:r>
      <w:r>
        <w:t xml:space="preserve"> and UCP1 in the sWAT of WT and </w:t>
      </w:r>
      <w:r w:rsidRPr="0023040A">
        <w:rPr>
          <w:i/>
          <w:iCs/>
        </w:rPr>
        <w:t>db/db</w:t>
      </w:r>
      <w:r>
        <w:t xml:space="preserve"> male (top) and female mice (bottom)</w:t>
      </w:r>
      <w:r w:rsidRPr="0088119A">
        <w:t>. (B, C) Fold change</w:t>
      </w:r>
      <w:r>
        <w:t>s</w:t>
      </w:r>
      <w:r w:rsidRPr="0088119A">
        <w:t xml:space="preserve"> of densitometric quantifications of PGC1α and UCP1 </w:t>
      </w:r>
      <w:r>
        <w:t xml:space="preserve">protein expression. </w:t>
      </w:r>
      <w:r w:rsidRPr="0088119A">
        <w:t xml:space="preserve"> Densitometry was quantified </w:t>
      </w:r>
      <w:r>
        <w:t>using ImageJ</w:t>
      </w:r>
      <w:r w:rsidRPr="0088119A">
        <w:t xml:space="preserve"> software. Data = mean ± SEM (n = 6). Statistical significance was determined using two-way ANOVA to assess both genotype and sex differences.</w:t>
      </w:r>
      <w:r w:rsidRPr="00D701EC">
        <w:t xml:space="preserve"> </w:t>
      </w:r>
      <w:r>
        <w:t xml:space="preserve">** </w:t>
      </w:r>
      <w:r w:rsidRPr="001E796A">
        <w:t>p &lt; 0.0</w:t>
      </w:r>
      <w:r w:rsidR="002D1950">
        <w:t>1</w:t>
      </w:r>
      <w:r>
        <w:t>.</w:t>
      </w:r>
    </w:p>
    <w:p w14:paraId="0A9D4A1C" w14:textId="21985EED" w:rsidR="00360404" w:rsidRPr="00DB2C42" w:rsidRDefault="00360404" w:rsidP="00312C85">
      <w:pPr>
        <w:ind w:left="720" w:hanging="720"/>
        <w:jc w:val="left"/>
      </w:pPr>
    </w:p>
    <w:p w14:paraId="4B4FAB5B" w14:textId="0357B24F" w:rsidR="00881CD0" w:rsidRPr="00DB2C42" w:rsidRDefault="00881CD0" w:rsidP="00BD216D">
      <w:pPr>
        <w:pStyle w:val="Heading1"/>
      </w:pPr>
      <w:bookmarkStart w:id="160" w:name="_Toc196309404"/>
      <w:bookmarkStart w:id="161" w:name="_Toc200810421"/>
      <w:bookmarkStart w:id="162" w:name="_Toc204848660"/>
      <w:r w:rsidRPr="00DB2C42">
        <w:lastRenderedPageBreak/>
        <w:t xml:space="preserve">CHAPTER IV </w:t>
      </w:r>
      <w:bookmarkStart w:id="163" w:name="_Toc196309405"/>
      <w:bookmarkEnd w:id="160"/>
      <w:bookmarkEnd w:id="161"/>
      <w:r w:rsidR="00BD216D" w:rsidRPr="00BD216D">
        <w:t>INVESTIGATE RESVERATROL’S EFFECTS ON BROWNING AND INSULIN SENSITIVITY IN THE ADSCS FROM DIABETIC MICE</w:t>
      </w:r>
      <w:bookmarkEnd w:id="162"/>
    </w:p>
    <w:p w14:paraId="4A6DA33E" w14:textId="77777777" w:rsidR="00881CD0" w:rsidRPr="00DB2C42" w:rsidRDefault="00881CD0" w:rsidP="00881CD0">
      <w:pPr>
        <w:rPr>
          <w:b/>
          <w:bCs/>
          <w:caps/>
        </w:rPr>
      </w:pPr>
      <w:r w:rsidRPr="00DB2C42">
        <w:br w:type="page"/>
      </w:r>
    </w:p>
    <w:p w14:paraId="6B1C4B8D" w14:textId="77777777" w:rsidR="00881CD0" w:rsidRPr="00DB2C42" w:rsidRDefault="00881CD0" w:rsidP="00847BA5">
      <w:pPr>
        <w:pStyle w:val="Heading2"/>
        <w:jc w:val="left"/>
      </w:pPr>
      <w:bookmarkStart w:id="164" w:name="_Toc200810422"/>
      <w:bookmarkStart w:id="165" w:name="_Toc204848661"/>
      <w:r w:rsidRPr="00DB2C42">
        <w:lastRenderedPageBreak/>
        <w:t>Abstract</w:t>
      </w:r>
      <w:bookmarkEnd w:id="163"/>
      <w:bookmarkEnd w:id="164"/>
      <w:bookmarkEnd w:id="165"/>
    </w:p>
    <w:p w14:paraId="378B4BBF" w14:textId="37562AFD" w:rsidR="00881CD0" w:rsidRPr="00DB2C42" w:rsidRDefault="00881CD0" w:rsidP="007A5CD6">
      <w:pPr>
        <w:ind w:firstLine="720"/>
        <w:jc w:val="left"/>
      </w:pPr>
      <w:r w:rsidRPr="00DB2C42">
        <w:t xml:space="preserve">Excess accumulation of white adipose tissue (WAT) is linked with the development of obesity and type 2 diabetes, both of which are associated with systemic metabolic dysfunction. One promising approach is </w:t>
      </w:r>
      <w:r w:rsidR="00D32E0D">
        <w:t>to brown</w:t>
      </w:r>
      <w:r w:rsidRPr="00DB2C42">
        <w:t xml:space="preserve"> white adipocytes into beige </w:t>
      </w:r>
      <w:r w:rsidR="00D32E0D">
        <w:t xml:space="preserve">adipocytes with </w:t>
      </w:r>
      <w:r w:rsidRPr="00DB2C42">
        <w:t xml:space="preserve">greater thermogenic </w:t>
      </w:r>
      <w:r w:rsidR="00D32E0D">
        <w:t xml:space="preserve">potential </w:t>
      </w:r>
      <w:r w:rsidRPr="00DB2C42">
        <w:t xml:space="preserve">and </w:t>
      </w:r>
      <w:r w:rsidR="00D32E0D">
        <w:t xml:space="preserve">improved </w:t>
      </w:r>
      <w:r w:rsidRPr="00DB2C42">
        <w:t>insulin-sensiti</w:t>
      </w:r>
      <w:r w:rsidR="00D32E0D">
        <w:t>vity</w:t>
      </w:r>
      <w:r w:rsidRPr="00DB2C42">
        <w:t xml:space="preserve">. Resveratrol (RES), a polyphenolic compound known to have multiple metabolic benefits, has been reported to improve insulin signaling and promote browning of adipose tissue; however, </w:t>
      </w:r>
      <w:r w:rsidR="00B8401B">
        <w:t xml:space="preserve">whether </w:t>
      </w:r>
      <w:r w:rsidRPr="00DB2C42">
        <w:t xml:space="preserve">sex and </w:t>
      </w:r>
      <w:r w:rsidR="00D32E0D">
        <w:t>diabetic</w:t>
      </w:r>
      <w:r w:rsidR="00D32E0D" w:rsidRPr="00DB2C42">
        <w:t xml:space="preserve"> </w:t>
      </w:r>
      <w:r w:rsidRPr="00DB2C42">
        <w:t xml:space="preserve">state </w:t>
      </w:r>
      <w:r w:rsidR="008055B9">
        <w:t xml:space="preserve">modify </w:t>
      </w:r>
      <w:r w:rsidR="00B8401B">
        <w:t xml:space="preserve">RES’s effects </w:t>
      </w:r>
      <w:r w:rsidRPr="00DB2C42">
        <w:t xml:space="preserve">have not been </w:t>
      </w:r>
      <w:r w:rsidR="00D32E0D">
        <w:t>reported</w:t>
      </w:r>
      <w:r w:rsidRPr="00DB2C42">
        <w:t xml:space="preserve">. The goal of this study was to evaluate the ability of RES to induce browning and increase insulin sensitivity in </w:t>
      </w:r>
      <w:r w:rsidR="00D32E0D">
        <w:t xml:space="preserve">the </w:t>
      </w:r>
      <w:r w:rsidRPr="00DB2C42">
        <w:t xml:space="preserve">adipose-derived stromal cells (ADSCs) </w:t>
      </w:r>
      <w:r w:rsidR="00D32E0D">
        <w:t xml:space="preserve">derived from diabetic </w:t>
      </w:r>
      <w:r w:rsidR="00D32E0D" w:rsidRPr="006A0A94">
        <w:rPr>
          <w:i/>
          <w:iCs/>
        </w:rPr>
        <w:t>db/db</w:t>
      </w:r>
      <w:r w:rsidR="00D32E0D">
        <w:t xml:space="preserve"> mice </w:t>
      </w:r>
      <w:r w:rsidRPr="00DB2C42">
        <w:t xml:space="preserve">and explore the extent to which these responses are impacted by sex and </w:t>
      </w:r>
      <w:r w:rsidR="00D32E0D">
        <w:t>diabetic status</w:t>
      </w:r>
      <w:r w:rsidRPr="00DB2C42">
        <w:t>. Subcutaneous ADSCs were isolated from wild-type (WT) and diabetic (</w:t>
      </w:r>
      <w:r w:rsidRPr="00DB2C42">
        <w:rPr>
          <w:i/>
          <w:iCs/>
        </w:rPr>
        <w:t>db/db</w:t>
      </w:r>
      <w:r w:rsidRPr="00DB2C42">
        <w:t xml:space="preserve">) male and female mice, and then treated with RES during the beige adipocyte differentiation. RES enhanced the expression of </w:t>
      </w:r>
      <w:r w:rsidRPr="00DB2C42">
        <w:rPr>
          <w:i/>
        </w:rPr>
        <w:t xml:space="preserve">Pgc1α </w:t>
      </w:r>
      <w:r w:rsidRPr="00DB2C42">
        <w:t xml:space="preserve">and </w:t>
      </w:r>
      <w:r w:rsidRPr="00DB2C42">
        <w:rPr>
          <w:i/>
        </w:rPr>
        <w:t>Ucp1</w:t>
      </w:r>
      <w:r w:rsidRPr="00DB2C42">
        <w:t xml:space="preserve"> mRNA and increased the mitochondrial proton leak in the ADSCs of both WT and </w:t>
      </w:r>
      <w:r w:rsidRPr="00DB2C42">
        <w:rPr>
          <w:i/>
        </w:rPr>
        <w:t>db/db</w:t>
      </w:r>
      <w:r w:rsidRPr="00DB2C42">
        <w:t xml:space="preserve"> mice. RES further enhanced the insulin-induced AKT phosphorylation in all groups of ADSCs. </w:t>
      </w:r>
      <w:r w:rsidR="002B5EA8">
        <w:t>It is noted that t</w:t>
      </w:r>
      <w:r w:rsidRPr="00DB2C42">
        <w:t>he effect</w:t>
      </w:r>
      <w:r w:rsidR="002B5EA8">
        <w:t>s</w:t>
      </w:r>
      <w:r w:rsidRPr="00DB2C42">
        <w:t xml:space="preserve"> of RES on browning the adipo</w:t>
      </w:r>
      <w:r w:rsidR="002B5EA8">
        <w:t xml:space="preserve">cytes </w:t>
      </w:r>
      <w:r w:rsidRPr="00DB2C42">
        <w:t>and insulin signaling w</w:t>
      </w:r>
      <w:r w:rsidR="002B5EA8">
        <w:t>ere</w:t>
      </w:r>
      <w:r w:rsidR="00AC6637">
        <w:t xml:space="preserve"> </w:t>
      </w:r>
      <w:r w:rsidRPr="00DB2C42">
        <w:t xml:space="preserve">influenced by the sex and diabetic </w:t>
      </w:r>
      <w:r w:rsidR="00F83AC5">
        <w:t>status</w:t>
      </w:r>
      <w:r w:rsidR="00F83AC5" w:rsidRPr="00DB2C42">
        <w:t xml:space="preserve"> </w:t>
      </w:r>
      <w:r w:rsidRPr="00DB2C42">
        <w:t xml:space="preserve">of the cells, as female diabetic ADSCs </w:t>
      </w:r>
      <w:r w:rsidR="002B5EA8">
        <w:t>showed</w:t>
      </w:r>
      <w:r w:rsidRPr="00DB2C42">
        <w:t xml:space="preserve"> different </w:t>
      </w:r>
      <w:r w:rsidR="002B5EA8" w:rsidRPr="00DB2C42">
        <w:t>response</w:t>
      </w:r>
      <w:r w:rsidR="002B5EA8">
        <w:t>s compared with</w:t>
      </w:r>
      <w:r w:rsidR="002B5EA8" w:rsidRPr="00DB2C42">
        <w:t xml:space="preserve"> </w:t>
      </w:r>
      <w:r w:rsidRPr="00DB2C42">
        <w:t>th</w:t>
      </w:r>
      <w:r w:rsidR="002B5EA8">
        <w:t xml:space="preserve">eir </w:t>
      </w:r>
      <w:r w:rsidRPr="00DB2C42">
        <w:t xml:space="preserve">WT or male </w:t>
      </w:r>
      <w:r w:rsidR="002B5EA8">
        <w:t>counterpar</w:t>
      </w:r>
      <w:r w:rsidR="002B5EA8" w:rsidRPr="00DB2C42">
        <w:t>ts</w:t>
      </w:r>
      <w:r w:rsidRPr="00DB2C42">
        <w:t>. These findings highlight the</w:t>
      </w:r>
      <w:r w:rsidR="002B5EA8">
        <w:t xml:space="preserve"> importance in considering</w:t>
      </w:r>
      <w:r w:rsidRPr="00DB2C42">
        <w:t xml:space="preserve"> sex and </w:t>
      </w:r>
      <w:r w:rsidR="002B5EA8">
        <w:t>diabetic</w:t>
      </w:r>
      <w:r w:rsidR="002B5EA8" w:rsidRPr="00DB2C42">
        <w:t xml:space="preserve"> </w:t>
      </w:r>
      <w:r w:rsidRPr="00DB2C42">
        <w:t xml:space="preserve">status </w:t>
      </w:r>
      <w:r w:rsidR="00852AFE">
        <w:t xml:space="preserve">in developing browning </w:t>
      </w:r>
      <w:r w:rsidRPr="00DB2C42">
        <w:t xml:space="preserve">strategies </w:t>
      </w:r>
      <w:r w:rsidR="00852AFE">
        <w:t xml:space="preserve">to </w:t>
      </w:r>
      <w:r w:rsidRPr="00DB2C42">
        <w:t>target obesity and diabetes.</w:t>
      </w:r>
    </w:p>
    <w:p w14:paraId="75E5AB09" w14:textId="0D78494F" w:rsidR="00881CD0" w:rsidRPr="00DB2C42" w:rsidRDefault="00881CD0" w:rsidP="00847BA5">
      <w:pPr>
        <w:pStyle w:val="Heading2"/>
        <w:jc w:val="left"/>
      </w:pPr>
      <w:r w:rsidRPr="00DB2C42">
        <w:br w:type="page"/>
      </w:r>
      <w:bookmarkStart w:id="166" w:name="_Toc196309406"/>
      <w:bookmarkStart w:id="167" w:name="_Toc200810423"/>
      <w:bookmarkStart w:id="168" w:name="_Toc204848662"/>
      <w:r w:rsidRPr="00DB2C42">
        <w:lastRenderedPageBreak/>
        <w:t>Introduction</w:t>
      </w:r>
      <w:bookmarkEnd w:id="166"/>
      <w:bookmarkEnd w:id="167"/>
      <w:bookmarkEnd w:id="168"/>
    </w:p>
    <w:p w14:paraId="06DF7182" w14:textId="040CC4FB" w:rsidR="00881CD0" w:rsidRPr="00DB2C42" w:rsidRDefault="00881CD0" w:rsidP="00E876F2">
      <w:pPr>
        <w:ind w:firstLine="720"/>
        <w:jc w:val="left"/>
      </w:pPr>
      <w:r w:rsidRPr="00DB2C42">
        <w:t>Obesity and its associated metabolic diseases, primarily type 2 diabetes</w:t>
      </w:r>
      <w:r w:rsidR="00264F15">
        <w:t xml:space="preserve"> (T2DM)</w:t>
      </w:r>
      <w:r w:rsidRPr="00DB2C42">
        <w:t xml:space="preserve">, have become a major concern for public health globally </w:t>
      </w:r>
      <w:r w:rsidRPr="00DB2C42">
        <w:fldChar w:fldCharType="begin"/>
      </w:r>
      <w:r w:rsidR="000A741B">
        <w:instrText xml:space="preserve"> ADDIN ZOTERO_ITEM CSL_CITATION {"citationID":"PT2SBzSV","properties":{"formattedCitation":"\\super 414,415\\nosupersub{}","plainCitation":"414,415","noteIndex":0},"citationItems":[{"id":2787,"uris":["http://zotero.org/users/9622455/items/USLAZI2C"],"itemData":{"id":2787,"type":"article-journal","container-title":"Cell","DOI":"10.1016/j.cell.2021.02.012","ISSN":"0092-8674, 1097-4172","issue":"6","journalAbbreviation":"Cell","language":"English","note":"publisher: Elsevier\nPMID: 33675692","page":"1530-1544","source":"www.cell.com","title":"Metabolic consequences of obesity and type 2 diabetes: Balancing genes and environment for personalized care","title-short":"Metabolic consequences of obesity and type 2 diabetes","volume":"184","author":[{"family":"Pillon","given":"Nicolas J."},{"family":"Loos","given":"Ruth J. F."},{"family":"Marshall","given":"Sally M."},{"family":"Zierath","given":"Juleen R."}],"issued":{"date-parts":[["2021",3,18]]}}},{"id":2790,"uris":["http://zotero.org/users/9622455/items/C3WZX732"],"itemData":{"id":2790,"type":"webpage","abstract":"Obesity and overweight fact sheet from WHO providing key facts and information on causes, health consequences, double burden of disease, prevention, WHO response.","language":"en","title":"Obesity and overweight","URL":"https://www.who.int/news-room/fact-sheets/detail/obesity-and-overweight","accessed":{"date-parts":[["2025",4,28]]}}}],"schema":"https://github.com/citation-style-language/schema/raw/master/csl-citation.json"} </w:instrText>
      </w:r>
      <w:r w:rsidRPr="00DB2C42">
        <w:fldChar w:fldCharType="separate"/>
      </w:r>
      <w:r w:rsidR="000A741B" w:rsidRPr="000A741B">
        <w:rPr>
          <w:vertAlign w:val="superscript"/>
        </w:rPr>
        <w:t>414,415</w:t>
      </w:r>
      <w:r w:rsidRPr="00DB2C42">
        <w:fldChar w:fldCharType="end"/>
      </w:r>
      <w:r w:rsidRPr="00DB2C42">
        <w:t xml:space="preserve">. Excessive accumulation of body fat, particularly white adipose tissue (WAT) </w:t>
      </w:r>
      <w:r w:rsidRPr="00DB2C42">
        <w:fldChar w:fldCharType="begin"/>
      </w:r>
      <w:r w:rsidR="000A741B">
        <w:instrText xml:space="preserve"> ADDIN ZOTERO_ITEM CSL_CITATION {"citationID":"tcCRlJbP","properties":{"formattedCitation":"\\super 416\\nosupersub{}","plainCitation":"416","noteIndex":0},"citationItems":[{"id":2800,"uris":["http://zotero.org/users/9622455/items/UEZUBQ6X"],"itemData":{"id":2800,"type":"article-journal","abstract":"Both obesity and aging are associated with the development of metabolic diseases such as type 2 diabetes and cardiovascular disease. Chronic low-grade inflammation of adipose tissue is one of the mechanisms implicated in the progression of these diseases. Obesity and aging trigger adipose tissue alterations that ultimately lead to a pro-inflammatory phenotype of the adipose tissue-resident immune cells. Obesity and aging also share other features such as a higher visceral vs. subcutaneous adipose tissue ratio and a decreased lifespan. Here, we review the common characteristics of obesity and aging and the alterations in white adipose tissue and resident immune cells. We focus on the adipose tissue metabolic derangements in obesity and aging such as inflammation and adipose tissue remodeling.","container-title":"Biochemical Pharmacology","DOI":"10.1016/j.bcp.2021.114723","ISSN":"0006-2952","journalAbbreviation":"Biochemical Pharmacology","page":"114723","source":"ScienceDirect","title":"White adipose tissue dysfunction in obesity and aging","volume":"192","author":[{"family":"Reyes-Farias","given":"Marjorie"},{"family":"Fos-Domenech","given":"Julia"},{"family":"Serra","given":"Dolors"},{"family":"Herrero","given":"Laura"},{"family":"Sánchez-Infantes","given":"David"}],"issued":{"date-parts":[["2021",10,1]]}}}],"schema":"https://github.com/citation-style-language/schema/raw/master/csl-citation.json"} </w:instrText>
      </w:r>
      <w:r w:rsidRPr="00DB2C42">
        <w:fldChar w:fldCharType="separate"/>
      </w:r>
      <w:r w:rsidR="000A741B" w:rsidRPr="000A741B">
        <w:rPr>
          <w:vertAlign w:val="superscript"/>
        </w:rPr>
        <w:t>416</w:t>
      </w:r>
      <w:r w:rsidRPr="00DB2C42">
        <w:fldChar w:fldCharType="end"/>
      </w:r>
      <w:r w:rsidRPr="00DB2C42">
        <w:t xml:space="preserve">, leads to metabolic disorders due to its contribution to chronic inflammation </w:t>
      </w:r>
      <w:r w:rsidRPr="00DB2C42">
        <w:fldChar w:fldCharType="begin"/>
      </w:r>
      <w:r w:rsidR="000A741B">
        <w:instrText xml:space="preserve"> ADDIN ZOTERO_ITEM CSL_CITATION {"citationID":"jzjqU3QS","properties":{"formattedCitation":"\\super 23,95,417\\nosupersub{}","plainCitation":"23,95,417","noteIndex":0},"citationItems":[{"id":2852,"uris":["http://zotero.org/users/9622455/items/GKYHZJE5"],"itemData":{"id":2852,"type":"article-journal","abstract":"Adipose tissue plays essential roles in maintaining lipid and glucose homeostasis. To date several types of adipose tissue have been identified, namely white, brown, and beige, that reside in various specific anatomical locations throughout the body. The cellular composition, secretome, and location of these adipose depots define their function in health and metabolic disease. In obesity, adipose tissue becomes dysfunctional, promoting a pro-inflammatory, hyperlipidemic and insulin resistant environment that contributes to type 2 diabetes mellitus (T2DM). Concurrently, similar features that result from adipose tissue dysfunction also promote cardiovascular disease (CVD) by mechanisms that can be augmented by T2DM. The mechanisms by which dysfunctional adipose tissue simultaneously promote T2DM and CVD, focusing on adipose tissue depot-specific adipokines, inflammatory profiles, and metabolism, will be the focus of this review. The impact that various T2DM and CVD treatment strategies have on adipose tissue function and body weight also will be discussed.","container-title":"Frontiers in Cardiovascular Medicine","DOI":"10.3389/fcvm.2020.00022","ISSN":"2297-055X","journalAbbreviation":"Front. Cardiovasc. Med.","language":"English","note":"publisher: Frontiers","source":"Frontiers","title":"Adipose Tissue Distribution, Inflammation and Its Metabolic Consequences, Including Diabetes and Cardiovascular Disease","URL":"https://www.frontiersin.orghttps://www.frontiersin.org/journals/cardiovascular-medicine/articles/10.3389/fcvm.2020.00022/full","volume":"7","author":[{"family":"Chait","given":"Alan"},{"family":"Hartigh","given":"Laura J.","non-dropping-particle":"den"}],"accessed":{"date-parts":[["2025",4,29]]},"issued":{"date-parts":[["2020",2,25]]}}},{"id":2794,"uris":["http://zotero.org/users/9622455/items/YLLTH8SN"],"itemData":{"id":2794,"type":"article-journal","abstract":"Several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obesity.","container-title":"American Journal of Physiology-Cell Physiology","DOI":"10.1152/ajpcell.00379.2020","ISSN":"0363-6143","issue":"3","note":"publisher: American Physiological Society","page":"C375-C391","source":"journals.physiology.org (Atypon)","title":"Adipose tissue inflammation and metabolic dysfunction in obesity","volume":"320","author":[{"family":"Kawai","given":"Tatsuo"},{"family":"Autieri","given":"Michael V."},{"family":"Scalia","given":"Rosario"}],"issued":{"date-parts":[["2021",3]]}}},{"id":2796,"uris":["http://zotero.org/users/9622455/items/DU4N97NE"],"itemData":{"id":2796,"type":"article-journal","abstract":"Obesity is a state of low-grade chronic inflammation that causes multiple metabolic diseases. During obesity, signalling via cytokines of the TNF family mediate cell death and inflammation within the adipose tissue, eventually resulting in lipid spill-over, glucotoxicity and insulin resistance. These events ultimately lead to ectopic lipid deposition, glucose intolerance and other metabolic complications with life-threatening consequences. Here we review the literature on how inflammatory responses affect metabolic processes such as energy homeostasis and insulin signalling. This review mainly focuses on the role of cell death in the adipose tissue as a key player in metabolic inflammation.","container-title":"Cell Death &amp; Differentiation","DOI":"10.1038/s41418-022-01062-4","ISSN":"1476-5403","issue":"2","journalAbbreviation":"Cell Death Differ","language":"en","license":"2022 The Author(s)","note":"publisher: Nature Publishing Group","page":"279-292","source":"www.nature.com","title":"Cell death and inflammation during obesity: “Know my methods, WAT(son)”","title-short":"Cell death and inflammation during obesity","volume":"30","author":[{"family":"Hildebrandt","given":"Ximena"},{"family":"Ibrahim","given":"Mohamed"},{"family":"Peltzer","given":"Nieves"}],"issued":{"date-parts":[["2023",2]]}}}],"schema":"https://github.com/citation-style-language/schema/raw/master/csl-citation.json"} </w:instrText>
      </w:r>
      <w:r w:rsidRPr="00DB2C42">
        <w:fldChar w:fldCharType="separate"/>
      </w:r>
      <w:r w:rsidR="000A741B" w:rsidRPr="000A741B">
        <w:rPr>
          <w:vertAlign w:val="superscript"/>
        </w:rPr>
        <w:t>23,95,417</w:t>
      </w:r>
      <w:r w:rsidRPr="00DB2C42">
        <w:fldChar w:fldCharType="end"/>
      </w:r>
      <w:r w:rsidRPr="00DB2C42">
        <w:t xml:space="preserve">, insulin resistance </w:t>
      </w:r>
      <w:r w:rsidRPr="00DB2C42">
        <w:fldChar w:fldCharType="begin"/>
      </w:r>
      <w:r w:rsidR="000A741B">
        <w:instrText xml:space="preserve"> ADDIN ZOTERO_ITEM CSL_CITATION {"citationID":"bOQPtezc","properties":{"formattedCitation":"\\super 418,419\\nosupersub{}","plainCitation":"418,419","noteIndex":0},"citationItems":[{"id":2856,"uris":["http://zotero.org/users/9622455/items/M7IVAEJM"],"itemData":{"id":2856,"type":"article-journal","container-title":"Diabetes &amp; Metabolism Journal","DOI":"10.4093/dmj.2023.0011","ISSN":"2233-6079, 2233-6087","issue":"5","journalAbbreviation":"Diabetes Metab J","language":"English","note":"publisher: Korean Diabetes Association","page":"595-611","source":"www.e-dmj.org","title":"Adipose Tissue and Metabolic Health","volume":"47","author":[{"family":"An","given":"Sung-Min"},{"family":"Cho","given":"Seung-Hee"},{"family":"Yoon","given":"John C."}],"issued":{"date-parts":[["2023",7,24]]}}},{"id":2854,"uris":["http://zotero.org/users/9622455/items/FTNXWVRS"],"itemData":{"id":2854,"type":"article-journal","abstract":"Currently, obesity has become a global health issue and is referred to as an epidemic. Dysfunctional obese adipose tissue plays a pivotal role in the development of insulin resistance. However, the mechanism of how dysfunctional obese-adipose tissue develops insulin-resistant circumstances remains poorly understood. Therefore, this review attempts to highlight the potential mechanisms behind obesity-associated insulin resistance. Multiple risk factors are directly or indirectly associated with the increased risk of obesity; among them, environmental factors, genetics, aging, gut microbiota, and diets are prominent. Once an individual becomes obese, adipocytes increase in their size; therefore, adipose tissues become larger and dysfunctional, recruit macrophages, and then these polarize to pro-inflammatory states. Enlarged adipose tissues release excess free fatty acids (FFAs), reactive oxygen species (ROS), and pro-inflammatory cytokines. Excess systemic FFAs and dietary lipids enter inside the cells of non-adipose organs such as the liver, muscle, and pancreas, and are deposited as ectopic fat, generating lipotoxicity. Toxic lipids dysregulate cellular organelles, e.g., mitochondria, endoplasmic reticulum, and lysosomes. Dysregulated organelles release excess ROS and pro-inflammation, resulting in systemic inflammation. Long term low-grade systemic inflammation prevents insulin from its action in the insulin signaling pathway, disrupts glucose homeostasis, and results in systemic dysregulation. Overall, long-term obesity and overnutrition develop into insulin resistance and chronic low-grade systemic inflammation through lipotoxicity, creating the circumstances to develop clinical conditions. This review also shows that the liver is the most sensitive organ undergoing insulin impairment faster than other organs, and thus, hepatic insulin resistance is the primary event that leads to the subsequent development of peripheral tissue insulin resistance.","container-title":"Biomedicine &amp; Pharmacotherapy","DOI":"10.1016/j.biopha.2021.111315","ISSN":"0753-3322","journalAbbreviation":"Biomedicine &amp; Pharmacotherapy","page":"111315","source":"ScienceDirect","title":"Adipose tissue and insulin resistance in obese","volume":"137","author":[{"family":"Ahmed","given":"Bulbul"},{"family":"Sultana","given":"Rifat"},{"family":"Greene","given":"Michael W."}],"issued":{"date-parts":[["2021",5,1]]}}}],"schema":"https://github.com/citation-style-language/schema/raw/master/csl-citation.json"} </w:instrText>
      </w:r>
      <w:r w:rsidRPr="00DB2C42">
        <w:fldChar w:fldCharType="separate"/>
      </w:r>
      <w:r w:rsidR="000A741B" w:rsidRPr="000A741B">
        <w:rPr>
          <w:vertAlign w:val="superscript"/>
        </w:rPr>
        <w:t>418,419</w:t>
      </w:r>
      <w:r w:rsidRPr="00DB2C42">
        <w:fldChar w:fldCharType="end"/>
      </w:r>
      <w:r w:rsidRPr="00DB2C42">
        <w:t xml:space="preserve">, and ectopic lipid deposition </w:t>
      </w:r>
      <w:r w:rsidRPr="00DB2C42">
        <w:fldChar w:fldCharType="begin"/>
      </w:r>
      <w:r w:rsidR="000A741B">
        <w:instrText xml:space="preserve"> ADDIN ZOTERO_ITEM CSL_CITATION {"citationID":"r3YCs140","properties":{"formattedCitation":"\\super 420,421\\nosupersub{}","plainCitation":"420,421","noteIndex":0},"citationItems":[{"id":2862,"uris":["http://zotero.org/users/9622455/items/RSXJKWFX"],"itemData":{"id":2862,"type":"article-journal","abstract":"Several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obesity.","container-title":"American Journal of Physiology - Cell Physiology","DOI":"10.1152/ajpcell.00379.2020","ISSN":"0363-6143","issue":"3","journalAbbreviation":"Am J Physiol Cell Physiol","note":"PMID: 33356944\nPMCID: PMC8294624","page":"C375-C391","source":"PubMed Central","title":"Adipose tissue inflammation and metabolic dysfunction in obesity","volume":"320","author":[{"family":"Kawai","given":"Tatsuo"},{"family":"Autieri","given":"Michael V."},{"family":"Scalia","given":"Rosario"}],"issued":{"date-parts":[["2021",3,1]]}}},{"id":2803,"uris":["http://zotero.org/users/9622455/items/KATX5346"],"itemData":{"id":2803,"type":"article-journal","abstract":"Ectopic lipid accumulation is now known to be a mechanism that contributes to organ injury in the context of metabolic diseases. In muscle and liver, accumulation of lipids impairs insulin signaling. This hypothesis accounts for the mechanism of insulin resistance in obesity, type 2 diabetes, aging and lipodystrophy. Increasing data suggest that lipid accumulation in the kidneys could also contribute to the alteration of kidney function in the context of metabolic syndrome and obesity. Furthermore and more unexpectedly, animal models of kidney disease exhibit a decreased adiposity and ectopic lipid redistribution suggesting that kidney disease may be a state of lipodystrophy. However, whether this abnormal lipid partitioning during chronic kidney disease (CKD) may have any functional impact in these tissues needs to be investigated. Here, we provide a perspective by defining the problem and analyzing the possible causes and consequences. Further human studies are required to strengthen these observations, and provide novel therapeutic approaches.","container-title":"Biochimie","DOI":"10.1016/j.biochi.2013.07.017","ISSN":"0300-9084","issue":"11","journalAbbreviation":"Biochimie","page":"1971-1979","source":"ScienceDirect","title":"Ectopic lipid accumulation: A potential cause for metabolic disturbances and a contributor to the alteration of kidney function","title-short":"Ectopic lipid accumulation","volume":"95","author":[{"family":"Guebre-Egziabher","given":"Fitsum"},{"family":"Alix","given":"Pascaline M."},{"family":"Koppe","given":"Laetitia"},{"family":"Pelletier","given":"Caroline C."},{"family":"Kalbacher","given":"Emilie"},{"family":"Fouque","given":"Denis"},{"family":"Soulage","given":"Christophe O."}],"issued":{"date-parts":[["2013",11,1]]}}}],"schema":"https://github.com/citation-style-language/schema/raw/master/csl-citation.json"} </w:instrText>
      </w:r>
      <w:r w:rsidRPr="00DB2C42">
        <w:fldChar w:fldCharType="separate"/>
      </w:r>
      <w:r w:rsidR="000A741B" w:rsidRPr="000A741B">
        <w:rPr>
          <w:vertAlign w:val="superscript"/>
        </w:rPr>
        <w:t>420,421</w:t>
      </w:r>
      <w:r w:rsidRPr="00DB2C42">
        <w:fldChar w:fldCharType="end"/>
      </w:r>
      <w:r w:rsidRPr="00DB2C42">
        <w:t xml:space="preserve">. One of the most novel therapeutic strategies to combat these conditions is the “browning” of WAT, i.e., the induction of beige adipocytes within WAT depots </w:t>
      </w:r>
      <w:r w:rsidRPr="00DB2C42">
        <w:fldChar w:fldCharType="begin"/>
      </w:r>
      <w:r w:rsidR="000A741B">
        <w:instrText xml:space="preserve"> ADDIN ZOTERO_ITEM CSL_CITATION {"citationID":"tCedL2hM","properties":{"formattedCitation":"\\super 219,422\\nosupersub{}","plainCitation":"219,422","noteIndex":0},"citationItems":[{"id":2809,"uris":["http://zotero.org/users/9622455/items/83HQY46B"],"itemData":{"id":2809,"type":"article-journal","abstract":"Brown adipocytes constitute a specialized tissue in heat build-up (i.e., thermogenesis) due to their mitochondrial uncoupling capacity, as they express thermogenic genes, playing a role in the energy metabolism of the whole body in mammals through non-shivering thermogenesis. Beige adipocytes originate in white adipose tissue (WAT) through the tissue browning process and are phenotypically similar to brown adipocytes. Considering that the activity of these cells is essential to reduce the incidence of metabolic diseases, including obesity, type 2 diabetes, and dyslipidemia, the stimulation of the brown fat and the development of beige adipose tissue has become a promising therapeutic target to treat clinical conditions. Due to the low amount of brown adipose tissue (BAT) in human adults, both phenomena (i.e., activation of brown and development of beige adipocytes) are related to better control of body weight, adiposity, insulin resistance, and hyperlipidemia. This review focuses on the comprehensively discussion of the metabolic importance of BAT activation and/or browning of WAT, and approaches that lead to the biogenesis of these thermogenic fats, such as cold exposure, thyroid hormones, physical exercise, diet and pharmacological agents (i.e., β3-adrenergic receptor agonist, glucagon-like peptide 1, mineralocorticoid receptor antagonists, ephedrine). These stimulatory agents have shown promise in activating BAT in humans. Frow our review, concluded that there are still many obstacles to be overcome in the upcoming years to better assess the real impact of BAT activation on metabolic health (i.e., absence of insulin resistance and metabolic syndrome), and elucidate many questions surrounding BAT physiology, so that this organ can indeed be considered an attractive therapeutic target for the prevention and reversal of obesity and metabolic disorders.","container-title":"Health Sciences Review","DOI":"10.1016/j.hsr.2024.100148","ISSN":"2772-6320","journalAbbreviation":"Health Sciences Review","page":"100148","source":"ScienceDirect","title":"Brown and beige adipose tissue: New therapeutic targets for metabolic disorders","title-short":"Brown and beige adipose tissue","volume":"10","author":[{"family":"Magro","given":"Bruno Souza"},{"family":"Dias","given":"Daniel Penteado Martins"}],"issued":{"date-parts":[["2024",3,1]]}}},{"id":2864,"uris":["http://zotero.org/users/9622455/items/EP3TENJF"],"itemData":{"id":2864,"type":"article-journal","abstract":"Mammalian adipose tissue can be divided into two major types, namely, white adipose tissue (WAT) and brown adipose tissue (BAT). According to classical view, the main function of WAT is to store excess energy in the form of triglycerides, while BAT is a thermogenic tissue that acts a pivotal part in maintaining the core body temperature. White adipocytes display high plasticity and can transdifferentiate into beige adipocytes which have many similar morphological and functional properties with brown adipocytes under the stimulations of exercise, cold exposure and other factors. This phenomenon is also known as ‘browning of WAT’. In addition to transdifferentiation, beige adipocytes can also come from de novo differentiation from tissue-resident progenitors. Activating BAT and inducing browning of WAT can accelerate the intake of glycolipids and reduce the insulin secretion requirement, which may be a new strategy to improve glycolipids metabolism and insulin resistance of obese and type 2 diabetes mellitus (T2DM) patients. This review mainly discusses the significance of brown and beige adipose tissues in the treatment of obesity and T2DM, and focuses on the effect of the browning agent on obesity and T2DM, which provides a brand-new theoretical reference for the prevention and treatment of obesity and T2DM.","container-title":"Adipocyte","DOI":"10.1080/21623945.2020.1870060","ISSN":"2162-3945","issue":"1","journalAbbreviation":"Adipocyte","note":"PMID: 33403891\nPMCID: PMC7801117","page":"48-65","source":"PubMed Central","title":"Brown and beige adipose tissue: a novel therapeutic strategy for obesity and type 2 diabetes mellitus","title-short":"Brown and beige adipose tissue","volume":"10","author":[{"family":"Cheng","given":"Long"},{"family":"Wang","given":"Jingkang"},{"family":"Dai","given":"Hongyu"},{"family":"Duan","given":"Yuhui"},{"family":"An","given":"Yongcheng"},{"family":"Shi","given":"Lu"},{"family":"Lv","given":"Yinglan"},{"family":"Li","given":"Huimin"},{"family":"Wang","given":"Chen"},{"family":"Ma","given":"Quantao"},{"family":"Li","given":"Yaqi"},{"family":"Li","given":"Pengfei"},{"family":"Du","given":"Haifeng"},{"family":"Zhao","given":"Baosheng"}]}}],"schema":"https://github.com/citation-style-language/schema/raw/master/csl-citation.json"} </w:instrText>
      </w:r>
      <w:r w:rsidRPr="00DB2C42">
        <w:fldChar w:fldCharType="separate"/>
      </w:r>
      <w:r w:rsidR="000A741B" w:rsidRPr="000A741B">
        <w:rPr>
          <w:vertAlign w:val="superscript"/>
        </w:rPr>
        <w:t>219,422</w:t>
      </w:r>
      <w:r w:rsidRPr="00DB2C42">
        <w:fldChar w:fldCharType="end"/>
      </w:r>
      <w:r w:rsidR="00523D91">
        <w:t xml:space="preserve"> with increased </w:t>
      </w:r>
      <w:r w:rsidRPr="00DB2C42">
        <w:t xml:space="preserve">mitochondria </w:t>
      </w:r>
      <w:r w:rsidR="00523D91">
        <w:t xml:space="preserve">number </w:t>
      </w:r>
      <w:r w:rsidRPr="00DB2C42">
        <w:t xml:space="preserve">and </w:t>
      </w:r>
      <w:r w:rsidR="00523D91">
        <w:t xml:space="preserve">increased </w:t>
      </w:r>
      <w:r w:rsidRPr="00DB2C42">
        <w:rPr>
          <w:iCs/>
        </w:rPr>
        <w:t>UCP1</w:t>
      </w:r>
      <w:r w:rsidR="00523D91">
        <w:rPr>
          <w:iCs/>
        </w:rPr>
        <w:t xml:space="preserve"> expression</w:t>
      </w:r>
      <w:r w:rsidRPr="00DB2C42">
        <w:rPr>
          <w:iCs/>
        </w:rPr>
        <w:t>,</w:t>
      </w:r>
      <w:r w:rsidRPr="00DB2C42">
        <w:t xml:space="preserve"> similar to classical brown fat </w:t>
      </w:r>
      <w:r w:rsidRPr="00DB2C42">
        <w:fldChar w:fldCharType="begin"/>
      </w:r>
      <w:r w:rsidR="000A741B">
        <w:instrText xml:space="preserve"> ADDIN ZOTERO_ITEM CSL_CITATION {"citationID":"rRQNbfPW","properties":{"formattedCitation":"\\super 423,424\\nosupersub{}","plainCitation":"423,424","noteIndex":0},"citationItems":[{"id":2811,"uris":["http://zotero.org/users/9622455/items/BNM6Z488"],"itemData":{"id":2811,"type":"article-journal","container-title":"Cell Metabolism","DOI":"10.1016/j.cmet.2015.09.007","ISSN":"1550-4131","issue":"4","journalAbbreviation":"Cell Metabolism","language":"English","note":"publisher: Elsevier","page":"546-559","source":"www.cell.com","title":"Brown and Beige Fat: Physiological Roles beyond Heat Generation","title-short":"Brown and Beige Fat","volume":"22","author":[{"family":"Kajimura","given":"Shingo"},{"family":"Spiegelman","given":"Bruce M."},{"family":"Seale","given":"Patrick"}],"issued":{"date-parts":[["2015",10,6]]}}},{"id":2867,"uris":["http://zotero.org/users/9622455/items/PKJHEZU5"],"itemData":{"id":2867,"type":"article-journal","abstract":"Brown fat defends against hypothermia and obesity through thermogenesis mediated by mitochondrial UCP1. Recent data suggest that there are two distinct types of brown fat: classical brown fat derived from a myf-5 cellular lineage and UCP1-positive cells that emerge in white fat from a non-myf-5 lineage. Here we report the cloning of “beige” cells from murine white fat depots. Beige cells resemble white fat cells in having extremely low basal expression of UCP1, but like classical brown fat, they respond to cyclic AMP stimulation with high UCP1 expression and respiration rates. Beige cells have a gene expression pattern distinct from either white or brown fat and are preferentially sensitive to the polypeptide hormone irisin. Finally, we show that deposits of brown fat previously observed in adult humans are composed of beige adipose cells. These data illustrate a new cell type with therapeutic potential in mouse and human.","container-title":"Cell","DOI":"10.1016/j.cell.2012.05.016","ISSN":"0092-8674","issue":"2","journalAbbreviation":"Cell","note":"PMID: 22796012\nPMCID: PMC3402601","page":"366-376","source":"PubMed Central","title":"Beige Adipocytes are a Distinct Type of Thermogenic Fat Cell in Mouse and Human","volume":"150","author":[{"family":"Wu","given":"Jun"},{"family":"Boström","given":"Pontus"},{"family":"Sparks","given":"Lauren M."},{"family":"Ye","given":"Li"},{"family":"Choi","given":"Jang Hyun"},{"family":"Giang","given":"An-Hoa"},{"family":"Khandekar","given":"Melin"},{"family":"Nuutila","given":"Pirjo"},{"family":"Schaart","given":"Gert"},{"family":"Huang","given":"Kexin"},{"family":"Tu","given":"Hua"},{"family":"Marken Lichtenbelt","given":"Wouter D.","non-dropping-particle":"van"},{"family":"Hoeks","given":"Joris"},{"family":"Enerbäck","given":"Sven"},{"family":"Schrauwen","given":"Patrick"},{"family":"Spiegelman","given":"Bruce M."}],"issued":{"date-parts":[["2012",7,20]]}}}],"schema":"https://github.com/citation-style-language/schema/raw/master/csl-citation.json"} </w:instrText>
      </w:r>
      <w:r w:rsidRPr="00DB2C42">
        <w:fldChar w:fldCharType="separate"/>
      </w:r>
      <w:r w:rsidR="000A741B" w:rsidRPr="000A741B">
        <w:rPr>
          <w:vertAlign w:val="superscript"/>
        </w:rPr>
        <w:t>423,424</w:t>
      </w:r>
      <w:r w:rsidRPr="00DB2C42">
        <w:fldChar w:fldCharType="end"/>
      </w:r>
      <w:r w:rsidRPr="00DB2C42">
        <w:t xml:space="preserve">. This </w:t>
      </w:r>
      <w:r w:rsidR="004D5CAE">
        <w:t>browning increases fatty acid and glucose uptake</w:t>
      </w:r>
      <w:r w:rsidR="00BC59C8">
        <w:t xml:space="preserve"> and </w:t>
      </w:r>
      <w:r w:rsidR="004D5CAE">
        <w:t>utilization</w:t>
      </w:r>
      <w:r w:rsidR="005C4C75">
        <w:t xml:space="preserve">, </w:t>
      </w:r>
      <w:r w:rsidRPr="00DB2C42">
        <w:t>, which enhances energy expenditure</w:t>
      </w:r>
      <w:r w:rsidR="00BC59C8">
        <w:t xml:space="preserve"> (via heat production)</w:t>
      </w:r>
      <w:r w:rsidRPr="00DB2C42">
        <w:t xml:space="preserve"> and insulin sensitivity throughout the body </w:t>
      </w:r>
      <w:r w:rsidRPr="00DB2C42">
        <w:fldChar w:fldCharType="begin"/>
      </w:r>
      <w:r w:rsidR="000A741B">
        <w:instrText xml:space="preserve"> ADDIN ZOTERO_ITEM CSL_CITATION {"citationID":"GYoaljXl","properties":{"formattedCitation":"\\super 425\\nosupersub{}","plainCitation":"425","noteIndex":0},"citationItems":[{"id":2815,"uris":["http://zotero.org/users/9622455/items/IHXNJJIZ"],"itemData":{"id":2815,"type":"article-journal","abstract":"There is much interest in brown and beige adipocytes, as their thermogenic activities can suppress weight gain and metabolic disease in rodent models. The authors review recent data that have provided new insights into the development and biology of brown and beige adipocytes and critically assess the possibilities for manipulating these cells to combat obesity and its associated diseases.","container-title":"Nature Medicine","DOI":"10.1038/nm.3361","ISSN":"1546-170X","issue":"10","journalAbbreviation":"Nat Med","language":"en","license":"2013 Springer Nature America, Inc.","note":"publisher: Nature Publishing Group","page":"1252-1263","source":"www.nature.com","title":"Brown and beige fat: development, function and therapeutic potential","title-short":"Brown and beige fat","volume":"19","author":[{"family":"Harms","given":"Matthew"},{"family":"Seale","given":"Patrick"}],"issued":{"date-parts":[["2013",10]]}}}],"schema":"https://github.com/citation-style-language/schema/raw/master/csl-citation.json"} </w:instrText>
      </w:r>
      <w:r w:rsidRPr="00DB2C42">
        <w:fldChar w:fldCharType="separate"/>
      </w:r>
      <w:r w:rsidR="000A741B" w:rsidRPr="000A741B">
        <w:rPr>
          <w:vertAlign w:val="superscript"/>
        </w:rPr>
        <w:t>425</w:t>
      </w:r>
      <w:r w:rsidRPr="00DB2C42">
        <w:fldChar w:fldCharType="end"/>
      </w:r>
      <w:r w:rsidRPr="00DB2C42">
        <w:t>.</w:t>
      </w:r>
    </w:p>
    <w:p w14:paraId="451237CE" w14:textId="06C80E89" w:rsidR="00881CD0" w:rsidRPr="00DB2C42" w:rsidRDefault="00881CD0" w:rsidP="00E876F2">
      <w:pPr>
        <w:ind w:firstLine="720"/>
        <w:jc w:val="left"/>
      </w:pPr>
      <w:r w:rsidRPr="00DB2C42">
        <w:t xml:space="preserve">Resveratrol (RES), a polyphenolic compound found most abundantly in grapes and red wine,  has been shown to positively impact metabolic health </w:t>
      </w:r>
      <w:r w:rsidRPr="00DB2C42">
        <w:fldChar w:fldCharType="begin"/>
      </w:r>
      <w:r w:rsidR="000A741B">
        <w:instrText xml:space="preserve"> ADDIN ZOTERO_ITEM CSL_CITATION {"citationID":"ZEw2IiID","properties":{"formattedCitation":"\\super 426,427\\nosupersub{}","plainCitation":"426,427","noteIndex":0},"citationItems":[{"id":2817,"uris":["http://zotero.org/users/9622455/items/UAXCR4I9"],"itemData":{"id":2817,"type":"article-journal","abstract":"The phytochemical resveratrol, which is found in grapes and wine, has been reported to have a variety of anti-inflammatory, anti-platelet, and anti-carcinogenic effects. Based on its structural similar</w:instrText>
      </w:r>
      <w:r w:rsidR="000A741B">
        <w:rPr>
          <w:rFonts w:hint="eastAsia"/>
        </w:rPr>
        <w:instrText>ity to diethylstilbestrol, a synthetic estrogen, we examined whether resveratrol might be a phytoestrogen. At concentrations (</w:instrText>
      </w:r>
      <w:r w:rsidR="000A741B">
        <w:rPr>
          <w:rFonts w:hint="eastAsia"/>
        </w:rPr>
        <w:instrText>≈</w:instrText>
      </w:r>
      <w:r w:rsidR="000A741B">
        <w:rPr>
          <w:rFonts w:hint="eastAsia"/>
        </w:rPr>
        <w:instrText>3</w:instrText>
      </w:r>
      <w:r w:rsidR="000A741B">
        <w:rPr>
          <w:rFonts w:hint="eastAsia"/>
        </w:rPr>
        <w:instrText>–</w:instrText>
      </w:r>
      <w:r w:rsidR="000A741B">
        <w:rPr>
          <w:rFonts w:hint="eastAsia"/>
        </w:rPr>
        <w:instrText xml:space="preserve">10 </w:instrText>
      </w:r>
      <w:r w:rsidR="000A741B">
        <w:rPr>
          <w:rFonts w:hint="eastAsia"/>
        </w:rPr>
        <w:instrText>μ</w:instrText>
      </w:r>
      <w:r w:rsidR="000A741B">
        <w:rPr>
          <w:rFonts w:hint="eastAsia"/>
        </w:rPr>
        <w:instrText>M) comparable to those required for its other biological effects, resveratrol inhibited the binding of labeled estradiol t</w:instrText>
      </w:r>
      <w:r w:rsidR="000A741B">
        <w:instrText xml:space="preserve">o the estrogen receptor and it activated transcription of estrogen-responsive reporter genes transfected into human breast cancer cells. This transcriptional activation was estrogen receptor-dependent, required an estrogen response element in the reporter gene, and was inhibited by specific estrogen antagonists. In some cell types (e.g., MCF-7 cells), resveratrol functioned as a superagonist (i.e., produced a greater maximal transcriptional response than estradiol) whereas in others it produced activation equal to or less than that of estradiol. Resveratrol also increased the expression of native estrogen-regulated genes, and it stimulated the proliferation of estrogen-dependent T47D breast cancer cells. We conclude that resveratrol is a phytoestrogen and that it exhibits variable degrees of estrogen receptor agonism in different test systems. The estrogenic actions of resveratrol broaden the spectrum of its biological actions and may be relevant to the reported cardiovascular benefits of drinking wine.","container-title":"Proceedings of the National Academy of Sciences","DOI":"10.1073/pnas.94.25.14138","issue":"25","note":"publisher: Proceedings of the National Academy of Sciences","page":"14138-14143","source":"pnas.org (Atypon)","title":"Resveratrol, a polyphenolic compound found in grapes and wine, is an agonist for the estrogen receptor","volume":"94","author":[{"family":"Gehm","given":"Barry D."},{"family":"McAndrews","given":"Joanne M."},{"family":"Chien","given":"Pei-Yu"},{"family":"Jameson","given":"J. Larry"}],"issued":{"date-parts":[["1997",12,9]]}}},{"id":2819,"uris":["http://zotero.org/users/9622455/items/VTENNB3Y"],"itemData":{"id":2819,"type":"article-journal","abstract":"The grape antioxidant resveratrol has been a topic of intense research for the past three decades. Resveratrol and other grape ingredients, as well as whole-grape products, have shown considerable promise in health promotion and disease management. Phytochemically, whole grape represents a natural combination of resveratrol and other phytonutrients, as it contains several catechins, anthocyanins, polyphenols, and flavonols. Thus, the whole grape products or specific combinations of grape constituents provide us with the possibility of synergistic interactions leading to improved efficacy. Recent research has suggested that whole-grape products may help in maintaining heart health and protect against aging, aging-associated diseases, neurodegeneration, and some cancers. Based on the available recent literature, the grape or whole-grape products seem to be safer choices for better health and disease prevention. However, for advanced disease conditions, individual grape ingredients (such as resveratrol) or combinations of multiple ingredients together with existing therapies appear to be better approaches. Further clinical studies are needed to understand the benefits of grapes and their products in the prevention and management of specific diseases.","container-title":"Annals of the New York Academy of Sciences","DOI":"10.1111/nyas.12798","ISSN":"0077-8923","issue":"1","journalAbbreviation":"Ann N Y Acad Sci","note":"PMID: 26099945\nPMCID: PMC4553113","page":"150-160","source":"PubMed Central","title":"Resveratrol, in its natural combination in whole grape, for health promotion and disease management","volume":"1348","author":[{"family":"Singh","given":"Chandra K."},{"family":"Liu","given":"Xiaoqi"},{"family":"Ahmad","given":"Nihal"}],"issued":{"date-parts":[["2015",8]]}}}],"schema":"https://github.com/citation-style-language/schema/raw/master/csl-citation.json"} </w:instrText>
      </w:r>
      <w:r w:rsidRPr="00DB2C42">
        <w:fldChar w:fldCharType="separate"/>
      </w:r>
      <w:r w:rsidR="000A741B" w:rsidRPr="000A741B">
        <w:rPr>
          <w:vertAlign w:val="superscript"/>
        </w:rPr>
        <w:t>426,427</w:t>
      </w:r>
      <w:r w:rsidRPr="00DB2C42">
        <w:fldChar w:fldCharType="end"/>
      </w:r>
      <w:r w:rsidRPr="00DB2C42">
        <w:t xml:space="preserve">. Animal studies have demonstrated that RES supplementation decreases fat accumulation and insulin resistance, and improves the biogenesis and function of mitochondria in various tissues, including adipose tissue </w:t>
      </w:r>
      <w:r w:rsidRPr="00DB2C42">
        <w:fldChar w:fldCharType="begin"/>
      </w:r>
      <w:r w:rsidR="000A741B">
        <w:instrText xml:space="preserve"> ADDIN ZOTERO_ITEM CSL_CITATION {"citationID":"GTqZ3QN2","properties":{"formattedCitation":"\\super 428\\uc0\\u8211{}430\\nosupersub{}","plainCitation":"428–430","noteIndex":0},"citationItems":[{"id":2826,"uris":["http://zotero.org/users/9622455/items/DDL3WE6V"],"itemData":{"id":2826,"type":"article-journal","abstract":"Enhancing thermogenic energy expenditure via promoting the browning of white adipose tissue (WAT) is a potential therapeutic strategy to manage energy imbalance and the consequent comorbidities associated with excess body weight. Adverse effects and toxicities of currently available methods to induce browning of WAT have retarded exploration of this promising therapeutic approach. Targeted delivery of browning agents to adipose stromal cells (ASCs) in subcutaneous WAT to induce differentiation into beige adipocytes may overcome these barriers. Herein, we report for the first time, ASC-targeted delivery of trans-resveratrol (R), a representative agent, using ligand-coated R-encapsulated nanoparticles (L-Rnano) that selectively bind to glycanation site-deficient decorin receptors on ASCs. After biweekly intravenous administration of L-Rnano to obese C57BL/6 J mice for 5 weeks targeted R delivery significantly induced ASCs differentiation into beige adipocytes, which subsequently resulted in 40% decrease in fat mass, accompanied by improved glucose homeostasis and decreased inflammation. Our results suggest that the ASC-targeted nanoparticle delivery of browning agents could be a transformative technology in combating obesity and its comorbidities with high efficacy and low toxicity.","container-title":"Journal of Controlled Release","DOI":"10.1016/j.jconrel.2021.03.022","ISSN":"0168-3659","journalAbbreviation":"Journal of Controlled Release","page":"339-351","source":"ScienceDirect","title":"Browning white adipose tissue using adipose stromal cell-targeted resveratrol-loaded nanoparticles for combating obesity","volume":"333","author":[{"family":"Zu","given":"Yujiao"},{"family":"Zhao","given":"Ling"},{"family":"Hao","given":"Lei"},{"family":"Mechref","given":"Yehia"},{"family":"Zabet-Moghaddam","given":"Masoud"},{"family":"Keyel","given":"Peter A."},{"family":"Abbasi","given":"Mehrnaz"},{"family":"Wu","given":"Dayong"},{"family":"Dawson","given":"John A."},{"family":"Zhang","given":"Ruiwen"},{"family":"Nie","given":"Shufang"},{"family":"Moustaid-Moussa","given":"Naima"},{"family":"Kolonin","given":"Mikhail G."},{"family":"Daquinag","given":"Alexes C."},{"family":"Brandi","given":"Luis"},{"family":"Warraich","given":"Irfan"},{"family":"San Francisco","given":"Susan K."},{"family":"Sun","given":"Xiaocun"},{"family":"Fan","given":"Zhaoyang"},{"family":"Wang","given":"Shu"}],"issued":{"date-parts":[["2021",5,10]]}}},{"id":2824,"uris":["http://zo</w:instrText>
      </w:r>
      <w:r w:rsidR="000A741B">
        <w:rPr>
          <w:rFonts w:hint="eastAsia"/>
        </w:rPr>
        <w:instrText>tero.org/users/9622455/items/PJS8SJS6"],"itemData":{"id":2824,"type":"article-journal","abstract":"Resveratrol (3,5,4</w:instrText>
      </w:r>
      <w:r w:rsidR="000A741B">
        <w:rPr>
          <w:rFonts w:hint="eastAsia"/>
        </w:rPr>
        <w:instrText>′</w:instrText>
      </w:r>
      <w:r w:rsidR="000A741B">
        <w:rPr>
          <w:rFonts w:hint="eastAsia"/>
        </w:rPr>
        <w:instrText>-trihydroxystilbene) extends the lifespan of diverse species including Saccharomyces cerevisiae, Caenorhabditis elegans and Drosophila me</w:instrText>
      </w:r>
      <w:r w:rsidR="000A741B">
        <w:instrText xml:space="preserve">lanogaster. In these organisms, lifespan extension is dependent on Sir2, a conserved deacetylase proposed to underlie the beneficial effects of caloric restriction. Here we show that resveratrol shifts the physiology of middle-aged mice on a high-calorie diet towards that of mice on a standard diet and significantly increases their survival. Resveratrol produces changes associated with longer lifespan, including increased insulin sensitivity, reduced insulin-like growth factor-1 (IGF-I) levels, increased AMP-activated protein kinase (AMPK) and peroxisome proliferator-activated receptor-γ coactivator 1α (PGC-1α) activity, increased mitochondrial number, and improved motor function. Parametric analysis of gene set enrichment revealed that resveratrol opposed the effects of the high-calorie diet in 144 out of 153 significantly altered pathways. These data show that improving general health in mammals using small molecules is an attainable goal, and point to new approaches for treating obesity-related disorders and diseases of ageing.","container-title":"Nature","DOI":"10.1038/nature05354","ISSN":"1476-4687","issue":"7117","language":"en","license":"2006 Springer Nature Limited","note":"publisher: Nature Publishing Group","page":"337-342","source":"www.nature.com","title":"Resveratrol improves health and survival of mice on a high-calorie diet","volume":"444","author":[{"family":"Baur","given":"Joseph A."},{"family":"Pearson","given":"Kevin J."},{"family":"Price","given":"Nathan L."},{"family":"Jamieson","given":"Hamish A."},{"family":"Lerin","given":"Carles"},{"family":"Kalra","given":"Avash"},{"family":"Prabhu","given":"Vinayakumar V."},{"family":"Allard","given":"Joanne S."},{"family":"Lopez-Lluch","given":"Guillermo"},{"family":"Lewis","given":"Kaitlyn"},{"family":"Pistell","given":"Paul J."},{"family":"Poosala","given":"Suresh"},{"family":"Becker","given":"Kevin G."},{"family":"Boss","given":"Olivier"},{"family":"Gwinn","given":"Dana"},{"family":"Wang","given":"Mingyi"},{"family":"Ramaswamy","given":"Sharan"},{"family":"Fishbein","given":"Kenneth W."},{"family":"Spencer","given":"Richard G."},{"family":"Lakatta","given":"Edward G."},{"family":"Le Couteur","given":"David"},{"family":"Shaw","given":"Reuben J."},{"family":"Navas","given":"Placido"},{"family":"Puigserver","given":"Pere"},{"family":"Ingram","given":"Donald K."},{"family":"Cabo","given":"Rafael","non-dropping-particle":"de"},{"family":"Sinclair","given":"David A."}],"issued":{"date-parts":[["2006",11]]}}},{"id":2822,"uris":["http://zotero.org/users/9622455/items/CSWDTMGR"],"itemData":{"id":2822,"type":"article-journal","abstract":"Obesity, a prevalent global health issue, arises from an imbalance between caloric intake and energy expenditure, leading to the expansion of adipose tissue and metabolic dysfunction. White adipose tissue (WAT) stores energy as lipids, while brown adipose tissue (BAT) plays a pivotal role in energy dissipation through adaptive thermogenesis. Recent research initiatives have focused on finding strategies to decrease adipogenesis and fat mass accumulation and increase thermogenesis. Finding chemicals with anti-obesity properties would be beneficial. Resveratrol, a polyphenolic compound abundantly found in the skin of grapes and red wine, possesses anti-oxidant, anti-inflammatory, anti-cancer, and anti-obesity properties. This literature review examines the effects of resveratrol on adipocytes in culture and adipose tissue in animal models of obesity. The existing evidence indicates that resveratrol may exert its anti-obesity effects by inhibiting adipogenesis, promoting the apoptosis of mature adipocytes, reducing lipid accumulation, and increasing thermogenesis. Further research utilizing animal and clinical studies is required to understand in detail the anti-obesity potential of resveratrol.","container-title":"Molecules","DOI":"10.3390/molecules29225359","ISSN":"1420-3049","issue":"22","journalAbbreviation":"Molecules","note":"PMID: 39598748\nPMCID: PMC11596734","page":"5359","source":"PubMed Central","title":"Effects of Resveratrol on Adipocytes: Evidence from In Vitro and In Vivo Studies","title-short":"Effects of Resveratrol on Adipocytes","volume":"29","author":[{"family":"Terzo","given":"Matthew"},{"family":"Iantomasi","given":"Michael"},{"family":"Tsiani","given":"Evangelia"}],"issued":{"date-parts":[["2024",11,14]]}}}],"schema":"https://github.com/citation-style-language/schema/raw/master/csl-citation.json"} </w:instrText>
      </w:r>
      <w:r w:rsidRPr="00DB2C42">
        <w:fldChar w:fldCharType="separate"/>
      </w:r>
      <w:r w:rsidR="000A741B" w:rsidRPr="000A741B">
        <w:rPr>
          <w:vertAlign w:val="superscript"/>
        </w:rPr>
        <w:t>428–430</w:t>
      </w:r>
      <w:r w:rsidRPr="00DB2C42">
        <w:fldChar w:fldCharType="end"/>
      </w:r>
      <w:r w:rsidRPr="00DB2C42">
        <w:t xml:space="preserve">. This might be due to the fact that RES acts on important cellular energetic regulators like AMP-activated protein kinase (AMPK) and sirtuin 1 (SIRT1), which further activate peroxisome proliferator-activated receptor gamma coactivator 1 alpha (PGC1α) signaling pathways responsible for mitochondrial biosynthesis and elevation of oxidative metabolism </w:t>
      </w:r>
      <w:r w:rsidRPr="00DB2C42">
        <w:fldChar w:fldCharType="begin"/>
      </w:r>
      <w:r w:rsidR="005128B7">
        <w:instrText xml:space="preserve"> ADDIN ZOTERO_ITEM CSL_CITATION {"citationID":"aftq9ia3tg","properties":{"formattedCitation":"\\super 429\\uc0\\u8211{}431\\nosupersub{}","plainCitation":"429–431","noteIndex":0},"citationItems":[{"id":2875,"uris":["http://zotero.org/users/9622455/items/66BP7QWY"],"itemData":{"id":2875,"type":"article-journal","abstract":"Scope\nEnhancing the formation and function of brown adipose tissue (BAT) increases thermogenesis and hence reduces obesity. Thus, we investigate the effects of resveratrol (Resv) on brown adipocyte formation and function in mouse interscapular BAT (iBAT).\n\nMethods and results\nCD1 mice and stromal vascular cells (SVCs) isolated from iBAT were treated with Resv. Expression of brown adipogenic and thermogenic markers, and involvement of AMP-activated protein kinase (AMPK)α1 were assessed. In vivo, Resv enhanced expression of brown adipogenic markers, PR domain-containing 16 (PRDM16) and thermogenic genes, uncoupling protein 1 (UCP1) and cytochrome C in iBAT, along with smaller lipid droplets, elevated AMPKα activity and increased oxygen consumption. Meanwhile, Resv promoted expression of PRDM16, UCP1, PGC1α, cytochrome C and pyruvate dehydrogenase (PDH) in differentiated iBAT SVCs, suggesting that Resv enhanced brown adipocyte formation and function in vitro. In addition, Resv stimulated AMPKα and oxygen consumption in differentiated iBAT SVCs. However, the promotional effects of Resv were diminished by AMPK inhibition or AMPKα1 knockout, implying the involvement of AMPKα1 in this process.\n\nConclusion\nResv enhanced brown adipocyte formation and thermogenic function in mouse iBAT by promoting the expression of brown adipogenic markers via activating AMPKα1, which contributed to the anti-obesity effects of Resv.","container-title":"Molecular nutrition &amp; food research","DOI":"10.1002/mnfr.201600746","ISSN":"1613-4125","issue":"4","journalAbbreviation":"Mol Nutr Food Res","note":"PMID: 27873458\nPMCID: PMC5538732","page":"10.1002/mnfr.201600746","source":"PubMed Central","title":"Resveratrol enhances brown adipocyte formation and function by activating AMP-activated protein kinase (AMPK) α1 in mice fed high-fat diet","volume":"61","author":[{"family":"Wang","given":"Songbo"},{"family":"Liang","given":"Xingwei"},{"family":"Yang","given":"Qiyuan"},{"family":"Fu","given":"Xing"},{"family":"Zhu","given":"Meijun"},{"family":"Rodgers","given":"B. D."},{"family":"Jiang","given":"Qingyan"},{"family":"Dodson","given":"Michael V."},{"family":"Du","given":"Min"}],"issued":{"date-parts":[["2017",4]]</w:instrText>
      </w:r>
      <w:r w:rsidR="005128B7">
        <w:rPr>
          <w:rFonts w:hint="eastAsia"/>
        </w:rPr>
        <w:instrText>}}},{"id":2824,"uris":["http://zotero.org/users/9622455/items/PJS8SJS6"],"itemData":{"id":2824,"type":"article-journal","abstract":"Resveratrol (3,5,4</w:instrText>
      </w:r>
      <w:r w:rsidR="005128B7">
        <w:rPr>
          <w:rFonts w:hint="eastAsia"/>
        </w:rPr>
        <w:instrText>′</w:instrText>
      </w:r>
      <w:r w:rsidR="005128B7">
        <w:rPr>
          <w:rFonts w:hint="eastAsia"/>
        </w:rPr>
        <w:instrText>-trihydroxystilbene) extends the lifespan of diverse species including Saccharomyces cerevisiae, Caenorh</w:instrText>
      </w:r>
      <w:r w:rsidR="005128B7">
        <w:instrText xml:space="preserve">abditis elegans and Drosophila melanogaster. In these organisms, lifespan extension is dependent on Sir2, a conserved deacetylase proposed to underlie the beneficial effects of caloric restriction. Here we show that resveratrol shifts the physiology of middle-aged mice on a high-calorie diet towards that of mice on a standard diet and significantly increases their survival. Resveratrol produces changes associated with longer lifespan, including increased insulin sensitivity, reduced insulin-like growth factor-1 (IGF-I) levels, increased AMP-activated protein kinase (AMPK) and peroxisome proliferator-activated receptor-γ coactivator 1α (PGC-1α) activity, increased mitochondrial number, and improved motor function. Parametric analysis of gene set enrichment revealed that resveratrol opposed the effects of the high-calorie diet in 144 out of 153 significantly altered pathways. These data show that improving general health in mammals using small molecules is an attainable goal, and point to new approaches for treating obesity-related disorders and diseases of ageing.","container-title":"Nature","DOI":"10.1038/nature05354","ISSN":"1476-4687","issue":"7117","language":"en","license":"2006 Springer Nature Limited","note":"publisher: Nature Publishing Group","page":"337-342","source":"www.nature.com","title":"Resveratrol improves health and survival of mice on a high-calorie diet","volume":"444","author":[{"family":"Baur","given":"Joseph A."},{"family":"Pearson","given":"Kevin J."},{"family":"Price","given":"Nathan L."},{"family":"Jamieson","given":"Hamish A."},{"family":"Lerin","given":"Carles"},{"family":"Kalra","given":"Avash"},{"family":"Prabhu","given":"Vinayakumar V."},{"family":"Allard","given":"Joanne S."},{"family":"Lopez-Lluch","given":"Guillermo"},{"family":"Lewis","given":"Kaitlyn"},{"family":"Pistell","given":"Paul J."},{"family":"Poosala","given":"Suresh"},{"family":"Becker","given":"Kevin G."},{"family":"Boss","given":"Olivier"},{"family":"Gwinn","given":"Dana"},{"family":"Wang","given":"Mingyi"},{"family":"Ramaswamy","given":"Sharan"},{"family":"Fishbein","given":"Kenneth W."},{"family":"Spencer","given":"Richard G."},{"family":"Lakatta","given":"Edward G."},{"family":"Le Couteur","given":"David"},{"family":"Shaw","given":"Reuben J."},{"family":"Navas","given":"Placido"},{"family":"Puigserver","given":"Pere"},{"family":"Ingram","given":"Donald K."},{"family":"Cabo","given":"Rafael","non-dropping-particle":"de"},{"family":"Sinclair","given":"David A."}],"issued":{"date-parts":[["2006",11]]}}},{"id":2822,"uris":["http://zotero.org/users/9622455/items/CSWDTMGR"],"itemData":{"id":2822,"type":"article-journal","abstract":"Obesity, a prevalent global health issue, arises from an imbalance between caloric intake and energy expenditure, leading to the expansion of adipose tissue and metabolic dysfunction. White adipose tissue (WAT) stores energy as lipids, while brown adipose tissue (BAT) plays a pivotal role in energy dissipation through adaptive thermogenesis. Recent research initiatives have focused on finding strategies to decrease adipogenesis and fat mass accumulation and increase thermogenesis. Finding chemicals with anti-obesity properties would be beneficial. Resveratrol, a polyphenolic compound abundantly found in the skin of grapes and red wine, possesses anti-oxidant, anti-inflammatory, anti-cancer, and anti-obesity properties. This literature review examines the effects of resveratrol on adipocytes in culture and adipose tissue in animal models of obesity. The existing evidence indicates that resveratrol may exert its anti-obesity effects by inhibiting adipogenesis, promoting the apoptosis of mature adipocytes, reducing lipid accumulation, and increasing thermogenesis. Further research utilizing animal and clinical studies is required to understand in detail the anti-obesity potential of resveratrol.","container-title":"Molecules","DOI":"10.3390/molecules29225359","ISSN":"1420-3049","issue":"22","journalAbbreviation":"Molecules","note":"PMID: 39598748\nPMCID: PMC11596734","page":"5359","source":"PubMed Central","title":"Effects of Resveratrol on Adipocytes: Evidence from In Vitro and In Vivo Studies","title-short":"Effects of Resveratrol on Adipocytes","volume":"29","author":[{"family":"Terzo","given":"Matthew"},{"family":"Iantomasi","given":"Michael"},{"family":"Tsiani","given":"Evangelia"}],"issued":{"date-parts":[["2024",11,14]]}}}],"schema":"https://github.com/citation-style-language/schema/raw/master/csl-citation.json"} </w:instrText>
      </w:r>
      <w:r w:rsidRPr="00DB2C42">
        <w:fldChar w:fldCharType="separate"/>
      </w:r>
      <w:r w:rsidR="005128B7" w:rsidRPr="005128B7">
        <w:rPr>
          <w:vertAlign w:val="superscript"/>
        </w:rPr>
        <w:t>429–431</w:t>
      </w:r>
      <w:r w:rsidRPr="00DB2C42">
        <w:fldChar w:fldCharType="end"/>
      </w:r>
      <w:r w:rsidRPr="00DB2C42">
        <w:t xml:space="preserve">. Moreover, RES has also been reported to stimulate the browning of adipocytes via proliferator-activated receptor gamma (PPARγ), a nuclear receptor fundamental to adipogenesis and thermogenic gene expression </w:t>
      </w:r>
      <w:r w:rsidRPr="00DB2C42">
        <w:fldChar w:fldCharType="begin"/>
      </w:r>
      <w:r w:rsidR="005128B7">
        <w:instrText xml:space="preserve"> ADDIN ZOTERO_ITEM CSL_CITATION {"citationID":"4LoqnSQY","properties":{"formattedCitation":"\\super 432\\nosupersub{}","plainCitation":"432","noteIndex":0},"citationItems":[{"id":2832,"uris":["http://zotero.org/users/9622455/items/CI922E86"],"itemData":{"id":2832,"type":"article-journal","container-title":"Cell","DOI":"10.1016/j.cell.2012.06.027","ISSN":"0092-8674, 1097-4172","issue":"3","journalAbbreviation":"Cell","language":"English","note":"publisher: Elsevier\nPMID: 22863012","page":"620-632","source":"www.cell.com","title":"Brown Remodeling of White Adipose Tissue by SirT1-Dependent Deacetylation of Pparγ","volume":"150","author":[{"family":"Qiang","given":"Li"},{"family":"Wang","given":"Liheng"},{"family":"Kon","given":"Ning"},{"family":"Zhao","given":"Wenhui"},{"family":"Lee","given":"Sangkyu"},{"family":"Zhang","given":"Yiying"},{"family":"Rosenbaum","given":"Michael"},{"family":"Zhao","given":"Yingming"},{"family":"Gu","given":"Wei"},{"family":"Farmer","given":"Stephen R."},{"family":"Accili","given":"Domenico"}],"issued":{"date-parts":[["2012",8,3]]}}}],"schema":"https://github.com/citation-style-language/schema/raw/master/csl-citation.json"} </w:instrText>
      </w:r>
      <w:r w:rsidRPr="00DB2C42">
        <w:fldChar w:fldCharType="separate"/>
      </w:r>
      <w:r w:rsidR="005128B7" w:rsidRPr="005128B7">
        <w:rPr>
          <w:vertAlign w:val="superscript"/>
        </w:rPr>
        <w:t>432</w:t>
      </w:r>
      <w:r w:rsidRPr="00DB2C42">
        <w:fldChar w:fldCharType="end"/>
      </w:r>
      <w:r w:rsidRPr="00DB2C42">
        <w:t xml:space="preserve">. PPARγ activation leads to transcriptional control of </w:t>
      </w:r>
      <w:r w:rsidRPr="00DB2C42">
        <w:rPr>
          <w:iCs/>
        </w:rPr>
        <w:t>UCP1</w:t>
      </w:r>
      <w:r w:rsidRPr="00DB2C42">
        <w:t xml:space="preserve"> and </w:t>
      </w:r>
      <w:r w:rsidRPr="00DB2C42">
        <w:lastRenderedPageBreak/>
        <w:t xml:space="preserve">other genes characteristic of beige fat, thus aiding in the development of a thermogenic phenotype in white adipocytes </w:t>
      </w:r>
      <w:r w:rsidRPr="00DB2C42">
        <w:fldChar w:fldCharType="begin"/>
      </w:r>
      <w:r w:rsidR="005128B7">
        <w:instrText xml:space="preserve"> ADDIN ZOTERO_ITEM CSL_CITATION {"citationID":"Ix6f6xZq","properties":{"formattedCitation":"\\super 432,433\\nosupersub{}","plainCitation":"432,433","noteIndex":0},"citationItems":[{"id":2836,"uris":["http://zotero.org/users/9622455/items/DDC3IHAX"],"itemData":{"id":2836,"type":"article-journal","abstract":"Peroxisome proliferator-activated receptors (PPARs) have been suggested as the master regulators of adipose tissue formation. However, their role in regulating brown fat functionality has not been resolved. To address this question, we generated mice with inducible brown fat-speciﬁc deletions of PPARa, b/d, and g, respectively. We found that both PPARa and b/dd are dispensable for brown fat function. In contrast, we could show that ablation of PPARg in vitro and in vivo led to a reduced thermogenic capacity accompanied by a loss of inducibility by b-adrenergic signaling, as well as a shift from oxidative fatty acid metabolism to glucose utilization. We identiﬁed glycerol kinase (Gyk) as a partial mediator of PPARg function and could show that Gyk expression correlates with brown fat thermogenic capacity in human brown fat biopsies. Thus, Gyk might constitute the link between PPARg-mediated regulation of brown fat function and activation by b-adrenergic signaling.","container-title":"Cell Reports","DOI":"10.1016/j.celrep.2017.12.067","ISSN":"22111247","issue":"3","journalAbbreviation":"Cell Reports","language":"en","page":"760-773","source":"DOI.org (Crossref)","title":"Peroxisome Proliferator Activated Receptor Gamma Controls Mature Brown Adipocyte Inducibility through Glycerol Kinase","volume":"22","author":[{"family":"Lasar","given":"David"},{"family":"Rosenwald","given":"Matthias"},{"family":"Kiehlmann","given":"Elke"},{"family":"Balaz","given":"Miroslav"},{"family":"Tall","given":"Bettina"},{"family":"Opitz","given":"Lennart"},{"family":"Lidell","given":"Martin E."},{"family":"Zamboni","given":"Nicola"},{"family":"Krznar","given":"Petra"},{"family":"Sun","given":"Wenfei"},{"family":"Varga","given":"Lukas"},{"family":"Stefanicka","given":"Patrik"},{"family":"Ukropec","given":"Jozef"},{"family":"Nuutila","given":"Pirjo"},{"family":"Virtanen","given":"Kirsi"},{"family":"Amri","given":"Ez-Zoubir"},{"family":"Enerbäck","given":"Sven"},{"family":"Wahli","given":"Walter"},{"family":"Wolfrum","given":"Christian"}],"issued":{"date-parts":[["2018",1]]}}},{"id":2832,"uris":["http://zotero.org/users/9622455/items/CI922E86"],"itemData":{"id":2832,"type":"article-journal","container-title":"Cell","DOI":"10.1016/j.cell.2012.06.027","ISSN":"0092-8674, 1097-4172","issue":"3","journalAbbreviation":"Cell","language":"English","note":"publisher: Elsevier\nPMID: 22863012","page":"620-632","source":"www.cell.com","title":"Brown Remodeling of White Adipose Tissue by SirT1-Dependent Deacetylation of Pparγ","volume":"150","author":[{"family":"Qiang","given":"Li"},{"family":"Wang","given":"Liheng"},{"family":"Kon","given":"Ning"},{"family":"Zhao","given":"Wenhui"},{"family":"Lee","given":"Sangkyu"},{"family":"Zhang","given":"Yiying"},{"family":"Rosenbaum","given":"Michael"},{"family":"Zhao","given":"Yingming"},{"family":"Gu","given":"Wei"},{"family":"Farmer","given":"Stephen R."},{"family":"Accili","given":"Domenico"}],"issued":{"date-parts":[["2012",8,3]]}}}],"schema":"https://github.com/citation-style-language/schema/raw/master/csl-citation.json"} </w:instrText>
      </w:r>
      <w:r w:rsidRPr="00DB2C42">
        <w:fldChar w:fldCharType="separate"/>
      </w:r>
      <w:r w:rsidR="005128B7" w:rsidRPr="005128B7">
        <w:rPr>
          <w:vertAlign w:val="superscript"/>
        </w:rPr>
        <w:t>432,433</w:t>
      </w:r>
      <w:r w:rsidRPr="00DB2C42">
        <w:fldChar w:fldCharType="end"/>
      </w:r>
      <w:r w:rsidRPr="00DB2C42">
        <w:t xml:space="preserve">. </w:t>
      </w:r>
    </w:p>
    <w:p w14:paraId="66F3C0C9" w14:textId="5D5D6221" w:rsidR="00881CD0" w:rsidRPr="00DB2C42" w:rsidRDefault="00804ECC" w:rsidP="00E876F2">
      <w:pPr>
        <w:ind w:firstLine="720"/>
        <w:jc w:val="left"/>
      </w:pPr>
      <w:r>
        <w:t>H</w:t>
      </w:r>
      <w:r w:rsidRPr="00804ECC">
        <w:t xml:space="preserve">owever, whether sex or diabetic status modulates </w:t>
      </w:r>
      <w:r>
        <w:t>RES’s</w:t>
      </w:r>
      <w:r w:rsidRPr="00804ECC">
        <w:t xml:space="preserve"> </w:t>
      </w:r>
      <w:r>
        <w:t xml:space="preserve">browning </w:t>
      </w:r>
      <w:r w:rsidRPr="00804ECC">
        <w:t>effects is unknown</w:t>
      </w:r>
      <w:r>
        <w:t xml:space="preserve">. </w:t>
      </w:r>
      <w:r w:rsidR="00881CD0" w:rsidRPr="00DB2C42">
        <w:t xml:space="preserve">Both preclinical and clinical research </w:t>
      </w:r>
      <w:r w:rsidR="005444D6">
        <w:t>have s</w:t>
      </w:r>
      <w:r w:rsidR="00AA45E6">
        <w:t>hown sex</w:t>
      </w:r>
      <w:r w:rsidR="00AA45E6" w:rsidRPr="00DB2C42">
        <w:t xml:space="preserve"> </w:t>
      </w:r>
      <w:r w:rsidR="00881CD0" w:rsidRPr="00DB2C42">
        <w:t xml:space="preserve">differences in metabolic health, with </w:t>
      </w:r>
      <w:r w:rsidR="00B154B1">
        <w:t>fe</w:t>
      </w:r>
      <w:r w:rsidR="00881CD0" w:rsidRPr="00DB2C42">
        <w:t>males generally displaying more plasticity and flexibility of adipose tissue, as well as lower resistance to obesity-related metabolic dysfunction compared to males</w:t>
      </w:r>
      <w:r w:rsidR="003C23C6">
        <w:t xml:space="preserve"> </w:t>
      </w:r>
      <w:r w:rsidR="00881CD0" w:rsidRPr="00DB2C42">
        <w:fldChar w:fldCharType="begin"/>
      </w:r>
      <w:r w:rsidR="005128B7">
        <w:instrText xml:space="preserve"> ADDIN ZOTERO_ITEM CSL_CITATION {"citationID":"mPFLXbWa","properties":{"formattedCitation":"\\super 433\\uc0\\u8211{}436\\nosupersub{}","plainCitation":"433–436","noteIndex":0},"citationItems":[{"id":2842,"uris":["http://zotero.org/users/9622455/items/PKVQRNQW"],"itemData":{"id":2842,"type":"article-journal","abstract":"Adipose tissue is composed of adipocytes, stromal vascular fraction, nerves, surrounding immune cells, and the extracellular matrix. Under various physiological or pathological conditions, adipose tissue shifts cellular composition, lipid storage, and organelle dynamics to respond to the stress; this remodeling is called “adipose tissue plasticity”. Adipose tissue plasticity includes changes in the size, species, number, lipid storage capacity, and differentiation function of adipocytes, as well as alterations in the distribution and cellular composition of adipose tissue. This plasticity has a major role in growth, obesity, organismal protection, and internal environmental homeostasis. Moreover, certain thresholds exist for this plasticity with significant individualized differences. Here, we comprehensively elaborate on the specific connotation of adipose tissue plasticity and the relationship between this plasticity and the development of many diseases. Meanwhile, we summarize possible strategies for treating obesity in response to adipose tissue plasticity, intending to provide new insights into the dynamic changes in adipose tissue and contribute new ideas to relevant clinical problems.","container-title":"Biomolecules","DOI":"10.3390/biom14101223","ISSN":"2218-273X","issue":"10","language":"en","license":"http://creativecommons.org/licenses/by/3.0/","note":"number: 10\npublisher: Multidisciplinary Digital Publishing Institute","page":"1223","source":"www.mdpi.com","title":"Adipose Tissue Plasticity: A Comprehensive Definition and Multidimensional Insight","title-short":"Adipose Tissue Plasticity","volume":"14","author":[{"family":"Mo","given":"Yu-Yao"},{"family":"Han","given":"Yu-Xin"},{"family":"Xu","given":"Shi-Na"},{"family":"Jiang","given":"Hong-Li"},{"family":"Wu","given":"Hui-Xuan"},{"family":"Cai","given":"Jun-Min"},{"family":"Li","given":"Long"},{"family":"Bu","given":"Yan-Hong"},{"family":"Xiao","given":"Fen"},{"family":"Liang","given":"Han-Dan"},{"family":"Wen","given":"Ying"},{"family":"Liu","given":"Yu-Ze"},{"family":"Yin","given":"Yu-Long"},{"family":"Zhou","given":"Hou-De"}],"issued":{"date-parts":[["2024",10]]}}},{"id":2836,"uris":["http://zotero.org/users/9622455/items/DDC3IHAX"],"itemData":{"id":2836,"type":"article-journal","abstract":"Peroxisome proliferator-activated receptors (PPARs) have been suggested as the master regulators of adipose tissue formation. However, their role in regulating brown fat functionality has not been resolved. To address this question, we generated mice with inducible brown fat-speciﬁc deletions of PPARa, b/d, and g, respectively. We found that both PPARa and b/dd are dispensable for brown fat function. In contrast, we could show that ablation of PPARg in vitro and in vivo led to a reduced thermogenic capacity accompanied by a loss of inducibility by b-adrenergic signaling, as well as a shift from oxidative fatty acid metabolism to glucose utilization. We identiﬁed glycerol kinase (Gyk) as a partial mediator of PPARg function and could show that Gyk expression correlates with brown fat thermogenic capacity in human brown fat biopsies. Thus, Gyk might constitute the link between PPARg-mediated regulation of brown fat function and activation by b-adrenergic signaling.","container-title":"Cell Reports","DOI":"10.1016/j.celrep.2017.12.067","ISSN":"22111247","issue":"3","journalAbbreviation":"Cell Reports","language":"en","page":"760-773","source":"DOI.org (Crossref)","title":"Peroxisome Proliferator Activated Receptor Gamma Controls Mature Brown Adipocyte Inducibility through Glycerol Kinase","volume":"22","author":[{"family":"Lasar","given":"David"},{"family":"Rosenwald","given":"Matthias"},{"family":"Kiehlmann","given":"Elke"},{"family":"Balaz","given":"Miroslav"},{"family":"Tall","given":"Bettina"},{"family":"Opitz","given":"Lennart"},{"family":"Lidell","given":"Martin E."},{"family":"Zamboni","given":"Nicola"},{"family":"Krznar","given":"Petra"},{"family":"Sun","given":"Wenfei"},{"family":"Varga","given":"Lukas"},{"family":"Stefanicka","given":"Patrik"},{"family":"Ukropec","given":"Jozef"},{"family":"Nuutila","given":"Pirjo"},{"family":"Virtanen","given":"Kirsi"},{"family":"Amri","given":"Ez-Zoubir"},{"family":"Enerbäck","given":"Sven"},{"family":"Wahli","given":"Walter"},{"family":"Wolfrum","given":"Christian"}],"issued":{"date-parts":[["2018",1]]}}},{"id":2837,"uris":["http://zotero.org/users/9622455/items/E93S64A2"],"itemData":{"id":2837,"type":"article-journal","abstract":"Aging, like obesity, is associated with metabolic and inflammatory alterations within adipose tissue in older individuals. Younger females are protected from adipose inflammation, but older post-menopausal females exhibit exaggerated visceral adiposity correlated with increased disease risk. Obesity accelerates the onset and progression of age-associated diseases, but it is unclear if aging and obesity drive adipose tissue dysfunction in a sexually dimorphic fashion. We investigated adipose tissue metabolism and inflammation in a diet-induced obesity model in young and old mice. We identified age related sex differences in adipose tissue macrophages (ATMs), fibrosis and lipid metabolism in male and female visceral fat depot (GWAT). Although aging normalized body weights between the sexes, females remained protected from proinflammatory ATMs and stimulated lipolysis failed to adversely affect the inflammatory state even with obesity. Older obese males had augmented CD11c+ ATMs and higher insulin levels, while females showed increased visceral adiposity and exaggerated Pparγ, and Pgc1α expression. Obesity in aging demonstrated similar expression of GWAT p53, p16, p21, Timp1 and Tgfβ1 in both sexes. Our studies suggest that even with aging, female GWAT shows an attenuated inflammatory response compared to males due to an efficient oxidative metabolism combined with an active tissue remodeling state.","container-title":"Aging (Albany NY)","DOI":"10.18632/aging.102709","ISSN":"1945-4589","issue":"2","journalAbbreviation":"Aging (Albany NY)","note":"PMID: 31983693\nPMCID: PMC7053605","page":"1725-1746","source":"PubMed Central","title":"Female adipose tissue has improved adaptability and metabolic health compared to males in aged obesity","volume":"12","author":[{"family":"Mita","given":"Varghese"},{"family":"Cameron","given":"Griffin"},{"family":"Kaitlin","given":"McKernan"},{"family":"Leila","given":"Eter"},{"family":"Simin","given":"Abrishami"},{"family":"Singer","given":"Kanakadurga"}],"issued":{"date-parts":[["2020",1,26]]}}},{"id":2840,"uris":["http://zotero.org/users/9622455/items/2VNE9BB9"],"itemData":{"id":2840,"type":"article-journal","abstract":"Purpose of Review\nAs the ongoing epidemic of adult and childhood obesity grows, it puts a greater burden on individuals and the healthcare system due to increased prevalence of obesity-associated diseases. An important area that has gained much attention recently is the sex and gender difference related to obesity and associated complications. Basic science and clinical studies have now improved our understanding of obesity and have discovered adipose tissue biology to be key in metabolism.\n\nRecent Findings\nThere is evidence related to the sex dichotomy in obesity in a variety of areas including adipocyte function, sex hormone effects, genetics, and metabolic inflammation leading to critical differences in adipose tissue biology.\n\nSummary\nThe sex and gender difference in adipose tissue is a factor that should be considered when studying an individuals’ risk for obesity and metabolic dysfunction. This understanding is important for strategizing treatment and prevention measures.","container-title":"Current diabetes reports","DOI":"10.1007/s11892-018-1031-3","ISSN":"1534-4827","issue":"9","journalAbbreviation":"Curr Diab Rep","note":"PMID: 30058013\nPMCID: PMC6525964","page":"69","source":"PubMed Central","title":"Gender and Sex Differences in Adipose Tissue","volume":"18","author":[{"family":"Chang","given":"Eric"},{"family":"Varghese","given":"Mita"},{"family":"Singer","given":"Kanakadurga"}],"issued":{"date-parts":[["2018",7,30]]}}}],"schema":"https://github.com/citation-style-language/schema/raw/master/csl-citation.json"} </w:instrText>
      </w:r>
      <w:r w:rsidR="00881CD0" w:rsidRPr="00DB2C42">
        <w:fldChar w:fldCharType="separate"/>
      </w:r>
      <w:r w:rsidR="005128B7" w:rsidRPr="005128B7">
        <w:rPr>
          <w:vertAlign w:val="superscript"/>
        </w:rPr>
        <w:t>433–436</w:t>
      </w:r>
      <w:r w:rsidR="00881CD0" w:rsidRPr="00DB2C42">
        <w:fldChar w:fldCharType="end"/>
      </w:r>
      <w:r w:rsidR="00881CD0" w:rsidRPr="00DB2C42">
        <w:t xml:space="preserve">. Furthermore, the metabolic changes due to obesity and diabetes, including chronic inflammatory processes and insulin resistance, greatly influence the responsiveness </w:t>
      </w:r>
      <w:r w:rsidR="004B53E5">
        <w:t xml:space="preserve">to </w:t>
      </w:r>
      <w:r w:rsidR="00881CD0" w:rsidRPr="00DB2C42">
        <w:t xml:space="preserve">therapies </w:t>
      </w:r>
      <w:r w:rsidR="00881CD0" w:rsidRPr="00DB2C42">
        <w:fldChar w:fldCharType="begin"/>
      </w:r>
      <w:r w:rsidR="005128B7">
        <w:instrText xml:space="preserve"> ADDIN ZOTERO_ITEM CSL_CITATION {"citationID":"yAvJ1d0T","properties":{"formattedCitation":"\\super 437,438\\nosupersub{}","plainCitation":"437,438","noteIndex":0},"citationItems":[{"id":2849,"uris":["http://zotero.org/users/9622455/items/ENCYW3HL"],"itemData":{"id":2849,"type":"article-journal","abstract":"More than 60% of domestic cats in the United States are either overweight or obese (OW). High-protein low-carbohydrate (HPLC) diets have been recommended for weight management for humans and pets. Gut microbes can influence the host’s health and metabolism. Less is known about feline gut microbiomes compared to other species. Thirty-nine lean (LN) and OW domestic short-haired cats (median age, 7.2 years) with median body fat of 15.8 and 32.5%, respectively, were enrolled in a two-phase study. All cats were fed the control diet (CON) with 32.4% protein and 32.3% carbohydrate for 8 weeks followed by another 8 weeks of intervention where half of the cats continued the CON diet while the other half were switched to a HPLC diet with 51.4% protein and 11.6% carbohydrate. The goal was to understand how the HPLC diet influenced gut microbiota in obese vs. lean cats. The 16S rRNA gene profiling study revealed a significant impact on gut microbiome by dietary protein and carbohydrate ratio. The effect was more pronounced in OW cats than LN cats. While no microbial taxon was different between groups in LN cats, compositional changes occurred at different taxonomical ranks in OW cats. At the phylum level, Fusobacteria became more abundant in HPLC-fed cats than in CON-fed cats. At the genus level, five short-chain fatty acid (SCFA) producers had altered compositions in response to the diets: Faecalibacterium and Fusobacterium are more abundant in HPLC-fed cats while the abundances of Megasphaera, Bifidobacterium, and Veillonella increased in CON-fed cats. Predicted microbial gene networks showed changes in energy metabolism and one-carbon metabolism pathways. Our study demonstrated differential responses to HPLC diet between obese vs. lean cats and opportunities to explore these SCFA-producers for weight management in cats.","container-title":"Frontiers in Microbiology","DOI":"10.3389/fmicb.2020.591462","ISSN":"1664-302X","journalAbbreviation":"Front. Microbiol.","language":"English","note":"publisher: Frontiers","source":"Frontiers","title":"Differential Responses to Dietary Protein and Carbohydrate Ratio on Gut Microbiome in Obese vs. Lean Cats","URL":"https://www.frontiersin.orghttps://www.frontiersin.org/journals/microbiology/articles/10.3389/fmicb.2020.591462/full","volume":"11","author":[{"family":"Li","given":"Qinghong"},{"family":"Pan","given":"Yuanlong"}],"accessed":{"date-parts":[["2025",4,29]]},"issued":{"date-parts":[["2020",10,16]]}}},{"id":2847,"uris":["http://zotero.org/users/9622455/items/D5FI5RRZ"],"itemData":{"id":2847,"type":"article-journal","abstract":"Background\nHeart failure (HF) affects millions globally, causing severe symptoms and poor prognosis. Cardiac resynchronization therapy (CRT) has been shown to improve heart function and quality of life in HF patients with electrical dyssynchrony, but its effectiveness in diabetic patients remains unclear due to the complexities associated with diabetes.\nObjective\nThis study evaluates the impact of diabetes mellitus on CRT by comparing outcomes between diabetic and nondiabetic patients through a meta-analysis.\nMethods\nA comprehensive literature search identified studies on CRT in HF patients both with and without diabetes mellitus. Pooled risk ratios (RRs) and mean differences were calculated using a random-effects model with 95% confidence intervals and statistical significance set at P &lt; .05.\nResults\nAnalysis of 13 observational studies involving 20,073 participants revealed that diabetic patients had a significantly increased risk of all-cause mortality (RR 1.34, P &lt; .00001) and cardiovascular death (RR 1.49, P = .002) compared with nondiabetic patients. However, no statistically significant differences were observed between groups in the risk of stroke (RR 3.99, P = .05), myocardial infarction (RR 1.16, P = .30), changes in left ventricular (LV) ejection fraction (P = .22), LV end-systolic volume (P = .10), and LV end-diastolic volume (P = .63).\nConclusion\nThese findings suggest that diabetic patients undergoing CRT face a higher risk of all-cause and cardiovascular mortality compared with nondiabetic patients. The increased mortality risk highlights the need for tailored treatment strategies, emphasizing the judicious use of CRT in diabetic patients.","container-title":"Heart Rhythm O2","DOI":"10.1016/j.hroo.2025.02.020","ISSN":"2666-5018","journalAbbreviation":"Heart Rhythm O2","source":"ScienceDirect","title":"Outcomes in diabetic vs nondiabetic patients requiring cardiac resynchronization therapy for heart failure: A meta-analysis","title-short":"Outcomes in diabetic vs nondiabetic patients requiring cardiac resynchronization therapy for heart failure","URL":"https://www.sciencedirect.com/science/article/pii/S2666501825000856","author":[{"family":"Goyal","given":"Aman"},{"family":"Tariq","given":"Muhammad Daoud"},{"family":"Khan","given":"Abdul Moiz"},{"family":"Hurjkaliani","given":"Sonia"},{"family":"Ahsan","given":"Areeba"},{"family":"Saeed","given":"Humza"},{"family":"Trivedi","given":"Rhea"},{"family":"Mahalwar","given":"Gauranga"},{"family":"Daoud","given":"Mohamed"},{"family":"Belur","given":"Agastya D."}],"accessed":{"date-parts":[["2025",4,29]]},"issued":{"date-parts":[["2025",3,5]]}}}],"schema":"https://github.com/citation-style-language/schema/raw/master/csl-citation.json"} </w:instrText>
      </w:r>
      <w:r w:rsidR="00881CD0" w:rsidRPr="00DB2C42">
        <w:fldChar w:fldCharType="separate"/>
      </w:r>
      <w:r w:rsidR="005128B7" w:rsidRPr="005128B7">
        <w:rPr>
          <w:vertAlign w:val="superscript"/>
        </w:rPr>
        <w:t>437,438</w:t>
      </w:r>
      <w:r w:rsidR="00881CD0" w:rsidRPr="00DB2C42">
        <w:fldChar w:fldCharType="end"/>
      </w:r>
      <w:r w:rsidR="00881CD0" w:rsidRPr="00DB2C42">
        <w:t xml:space="preserve">. Hence, </w:t>
      </w:r>
      <w:r w:rsidR="00146660">
        <w:t>understanding</w:t>
      </w:r>
      <w:r w:rsidR="00146660" w:rsidRPr="00DB2C42">
        <w:t xml:space="preserve"> </w:t>
      </w:r>
      <w:r w:rsidR="00881CD0" w:rsidRPr="00DB2C42">
        <w:t xml:space="preserve">the interaction </w:t>
      </w:r>
      <w:r w:rsidR="000A4791">
        <w:t>between</w:t>
      </w:r>
      <w:r w:rsidR="000A4791" w:rsidRPr="00DB2C42">
        <w:t xml:space="preserve"> </w:t>
      </w:r>
      <w:r w:rsidR="00881CD0" w:rsidRPr="00DB2C42">
        <w:t xml:space="preserve">RES treatment </w:t>
      </w:r>
      <w:r w:rsidR="000A4791">
        <w:t>and sex</w:t>
      </w:r>
      <w:r w:rsidR="00881CD0" w:rsidRPr="00DB2C42">
        <w:t xml:space="preserve"> and </w:t>
      </w:r>
      <w:r w:rsidR="000A4791">
        <w:t>diabetic</w:t>
      </w:r>
      <w:r w:rsidR="00881CD0" w:rsidRPr="00DB2C42">
        <w:t xml:space="preserve"> status is essential for precision</w:t>
      </w:r>
      <w:r w:rsidR="00881CD0" w:rsidRPr="00DB2C42" w:rsidDel="00D9108B">
        <w:t xml:space="preserve"> </w:t>
      </w:r>
      <w:r w:rsidR="00A66504">
        <w:t>nutrition</w:t>
      </w:r>
      <w:r w:rsidR="00A66504" w:rsidRPr="00DB2C42">
        <w:t xml:space="preserve"> </w:t>
      </w:r>
      <w:r w:rsidR="00881CD0" w:rsidRPr="00DB2C42">
        <w:t xml:space="preserve">for obesity and </w:t>
      </w:r>
      <w:r w:rsidR="00B21DB1">
        <w:t>T2DM</w:t>
      </w:r>
      <w:r w:rsidR="00881CD0" w:rsidRPr="00DB2C42">
        <w:t>.</w:t>
      </w:r>
    </w:p>
    <w:p w14:paraId="66060C9F" w14:textId="5E01037B" w:rsidR="00234347" w:rsidRPr="00DB2C42" w:rsidRDefault="00881CD0" w:rsidP="00E876F2">
      <w:pPr>
        <w:ind w:firstLine="720"/>
        <w:jc w:val="left"/>
      </w:pPr>
      <w:r w:rsidRPr="00DB2C42">
        <w:t xml:space="preserve">In this study, we </w:t>
      </w:r>
      <w:r w:rsidR="00477976" w:rsidRPr="00F05243">
        <w:t>investigate</w:t>
      </w:r>
      <w:r w:rsidR="00F05243" w:rsidRPr="00F05243">
        <w:t xml:space="preserve"> the impacts of sex and diabetic status on the browning and enhancing insulin sensitivity by RES using adipose-derived stromal cells from </w:t>
      </w:r>
      <w:r w:rsidR="00F05243" w:rsidRPr="00F05243">
        <w:rPr>
          <w:i/>
          <w:iCs/>
        </w:rPr>
        <w:t xml:space="preserve">db/db </w:t>
      </w:r>
      <w:r w:rsidR="00F05243" w:rsidRPr="00F05243">
        <w:t>and wildtype (WT) mice of both sexes.</w:t>
      </w:r>
    </w:p>
    <w:p w14:paraId="6808BB92" w14:textId="14D87F5E" w:rsidR="00881CD0" w:rsidRPr="00DB2C42" w:rsidRDefault="00881CD0" w:rsidP="00847BA5">
      <w:pPr>
        <w:pStyle w:val="Heading2"/>
        <w:jc w:val="left"/>
      </w:pPr>
      <w:bookmarkStart w:id="169" w:name="_Toc196309407"/>
      <w:bookmarkStart w:id="170" w:name="_Toc200810424"/>
      <w:bookmarkStart w:id="171" w:name="_Toc204848663"/>
      <w:r w:rsidRPr="00DB2C42">
        <w:t xml:space="preserve">Materials and </w:t>
      </w:r>
      <w:bookmarkEnd w:id="169"/>
      <w:r w:rsidR="007A598A" w:rsidRPr="00DB2C42">
        <w:t>M</w:t>
      </w:r>
      <w:r w:rsidRPr="00DB2C42">
        <w:t>ethods</w:t>
      </w:r>
      <w:bookmarkEnd w:id="170"/>
      <w:bookmarkEnd w:id="171"/>
    </w:p>
    <w:p w14:paraId="3210B977" w14:textId="47B0D2E9" w:rsidR="00881CD0" w:rsidRPr="00DB2C42" w:rsidRDefault="00881CD0" w:rsidP="00847BA5">
      <w:pPr>
        <w:pStyle w:val="Heading3"/>
        <w:jc w:val="left"/>
      </w:pPr>
      <w:bookmarkStart w:id="172" w:name="_Toc200810425"/>
      <w:bookmarkStart w:id="173" w:name="_Toc204848664"/>
      <w:r w:rsidRPr="00DB2C42">
        <w:t xml:space="preserve">Animal </w:t>
      </w:r>
      <w:r w:rsidR="007A598A" w:rsidRPr="00DB2C42">
        <w:t>M</w:t>
      </w:r>
      <w:r w:rsidRPr="00DB2C42">
        <w:t xml:space="preserve">odels and </w:t>
      </w:r>
      <w:r w:rsidR="007A598A" w:rsidRPr="00DB2C42">
        <w:t>H</w:t>
      </w:r>
      <w:r w:rsidRPr="00DB2C42">
        <w:t>ousing</w:t>
      </w:r>
      <w:bookmarkEnd w:id="172"/>
      <w:bookmarkEnd w:id="173"/>
    </w:p>
    <w:p w14:paraId="46A7D383" w14:textId="0AA42594" w:rsidR="00881CD0" w:rsidRPr="00DB2C42" w:rsidRDefault="00881CD0" w:rsidP="00E876F2">
      <w:pPr>
        <w:ind w:firstLine="720"/>
        <w:jc w:val="left"/>
      </w:pPr>
      <w:r w:rsidRPr="00DB2C42">
        <w:t>A heterozygous breeding pair of leptin receptor-deficient mice (</w:t>
      </w:r>
      <w:r w:rsidR="00727DD7">
        <w:t>B6.</w:t>
      </w:r>
      <w:r w:rsidRPr="00DB2C42">
        <w:t>BKS</w:t>
      </w:r>
      <w:r w:rsidR="00727DD7">
        <w:t>(D)</w:t>
      </w:r>
      <w:r w:rsidRPr="00DB2C42">
        <w:t>-</w:t>
      </w:r>
      <w:r w:rsidRPr="006A0A94">
        <w:rPr>
          <w:i/>
          <w:iCs/>
        </w:rPr>
        <w:t>Lepr</w:t>
      </w:r>
      <w:r w:rsidRPr="006A0A94">
        <w:rPr>
          <w:i/>
          <w:iCs/>
          <w:vertAlign w:val="superscript"/>
        </w:rPr>
        <w:t>db</w:t>
      </w:r>
      <w:r w:rsidR="008B1C51" w:rsidRPr="00DB2C42">
        <w:t>/</w:t>
      </w:r>
      <w:r w:rsidRPr="00DB2C42">
        <w:t>J</w:t>
      </w:r>
      <w:r w:rsidR="001C1E37">
        <w:t xml:space="preserve">, </w:t>
      </w:r>
      <w:r w:rsidR="001C1E37" w:rsidRPr="001C1E37">
        <w:t>Strain #:000697</w:t>
      </w:r>
      <w:r w:rsidRPr="00DB2C42">
        <w:t xml:space="preserve">) was purchased from the Jackson Laboratory at six weeks of age to generate </w:t>
      </w:r>
      <w:r w:rsidRPr="00DB2C42">
        <w:rPr>
          <w:i/>
        </w:rPr>
        <w:t>db/db</w:t>
      </w:r>
      <w:r w:rsidRPr="00DB2C42">
        <w:t xml:space="preserve"> and WT littermates. Offspring were genotyped at weaning (3 weeks old) to select WT and </w:t>
      </w:r>
      <w:r w:rsidRPr="00DB2C42">
        <w:rPr>
          <w:i/>
        </w:rPr>
        <w:t>db/db</w:t>
      </w:r>
      <w:r w:rsidRPr="00DB2C42">
        <w:t xml:space="preserve"> mice for experiments</w:t>
      </w:r>
      <w:r w:rsidR="00C80FEE">
        <w:t xml:space="preserve"> </w:t>
      </w:r>
      <w:r w:rsidR="000E0766">
        <w:t xml:space="preserve">as previously reported </w:t>
      </w:r>
      <w:r w:rsidR="00804D4E">
        <w:fldChar w:fldCharType="begin"/>
      </w:r>
      <w:r w:rsidR="000A741B">
        <w:instrText xml:space="preserve"> ADDIN ZOTERO_ITEM CSL_CITATION {"citationID":"au7lnsd044","properties":{"formattedCitation":"\\super 395\\nosupersub{}","plainCitation":"395","noteIndex":0},"citationItems":[{"id":220,"uris":["http://zotero.org/users/9622455/items/7V2A6S2C"],"itemData":{"id":220,"type":"article-journal","container-title":"Acta Pharmacologica Sinica","DOI":"10.1038/aps.2017.52","ISSN":"1671-4083, 1745-7254","issue":"1","journalAbbreviation":"Acta Pharmacol Sin","language":"en","page":"117-123","source":"DOI.org (Crossref)","title":"A novel and quick PCR-based method to genotype mice with a leptin receptor mutation (db/db mice)","volume":"39","author":[{"family":"Peng","given":"Bao-yu"},{"family":"Wang","given":"Qiang"},{"family":"Luo","given":"Yan-hong"},{"family":"He","given":"Jian-feng"},{"family":"Tan","given":"Tao"},{"family":"Zhu","given":"Hua"}],"issued":{"date-parts":[["2018",1]]}}}],"schema":"https://github.com/citation-style-language/schema/raw/master/csl-citation.json"} </w:instrText>
      </w:r>
      <w:r w:rsidR="00804D4E">
        <w:fldChar w:fldCharType="separate"/>
      </w:r>
      <w:r w:rsidR="000A741B" w:rsidRPr="000A741B">
        <w:rPr>
          <w:vertAlign w:val="superscript"/>
        </w:rPr>
        <w:t>395</w:t>
      </w:r>
      <w:r w:rsidR="00804D4E">
        <w:fldChar w:fldCharType="end"/>
      </w:r>
      <w:r w:rsidRPr="00DB2C42">
        <w:t xml:space="preserve">. Mice were housed in a temperature-controlled (71.6 ± 3.6°F) facility </w:t>
      </w:r>
      <w:r w:rsidR="00E11E61">
        <w:t>with</w:t>
      </w:r>
      <w:r w:rsidR="00E11E61" w:rsidRPr="00DB2C42">
        <w:t xml:space="preserve"> </w:t>
      </w:r>
      <w:r w:rsidRPr="00DB2C42">
        <w:t xml:space="preserve">a 12-hour light/dark cycle. Mice were provided </w:t>
      </w:r>
      <w:r w:rsidRPr="007D1C2E">
        <w:rPr>
          <w:i/>
          <w:iCs/>
        </w:rPr>
        <w:t>a</w:t>
      </w:r>
      <w:r w:rsidR="007D1C2E" w:rsidRPr="007D1C2E">
        <w:rPr>
          <w:i/>
          <w:iCs/>
        </w:rPr>
        <w:t>d</w:t>
      </w:r>
      <w:r w:rsidRPr="007D1C2E">
        <w:rPr>
          <w:i/>
          <w:iCs/>
        </w:rPr>
        <w:t xml:space="preserve"> libitum</w:t>
      </w:r>
      <w:r w:rsidRPr="00DB2C42">
        <w:t xml:space="preserve"> access to a standard chow diet and water. All experimental procedures were approved by the </w:t>
      </w:r>
      <w:r w:rsidRPr="00DB2C42">
        <w:lastRenderedPageBreak/>
        <w:t xml:space="preserve">University of Tennessee’s Institutional Animal Care and Use Committee (IACUC) (Protocol# 2320). </w:t>
      </w:r>
    </w:p>
    <w:p w14:paraId="2F6A14CB" w14:textId="6AA31F96" w:rsidR="00881CD0" w:rsidRPr="00DB2C42" w:rsidRDefault="00881CD0" w:rsidP="00847BA5">
      <w:pPr>
        <w:pStyle w:val="Heading3"/>
        <w:jc w:val="left"/>
      </w:pPr>
      <w:bookmarkStart w:id="174" w:name="_Toc200810426"/>
      <w:bookmarkStart w:id="175" w:name="_Toc204848665"/>
      <w:r w:rsidRPr="00DB2C42">
        <w:t xml:space="preserve">Isolation and </w:t>
      </w:r>
      <w:r w:rsidR="007A598A" w:rsidRPr="00DB2C42">
        <w:t>D</w:t>
      </w:r>
      <w:r w:rsidRPr="00DB2C42">
        <w:t xml:space="preserve">ifferentiation of </w:t>
      </w:r>
      <w:r w:rsidR="007A598A" w:rsidRPr="00DB2C42">
        <w:t>A</w:t>
      </w:r>
      <w:r w:rsidRPr="00DB2C42">
        <w:t>dipose-</w:t>
      </w:r>
      <w:r w:rsidR="008F0690">
        <w:t>D</w:t>
      </w:r>
      <w:r w:rsidR="008F0690" w:rsidRPr="00DB2C42">
        <w:t xml:space="preserve">erived </w:t>
      </w:r>
      <w:r w:rsidR="007A598A" w:rsidRPr="00DB2C42">
        <w:t>S</w:t>
      </w:r>
      <w:r w:rsidRPr="00DB2C42">
        <w:t xml:space="preserve">tromal </w:t>
      </w:r>
      <w:r w:rsidR="007A598A" w:rsidRPr="00DB2C42">
        <w:t>C</w:t>
      </w:r>
      <w:r w:rsidRPr="00DB2C42">
        <w:t>ells (ADSCs)</w:t>
      </w:r>
      <w:bookmarkEnd w:id="174"/>
      <w:bookmarkEnd w:id="175"/>
    </w:p>
    <w:p w14:paraId="13AC7F2C" w14:textId="5974774F" w:rsidR="00881CD0" w:rsidRPr="00DB2C42" w:rsidRDefault="00881CD0" w:rsidP="00E876F2">
      <w:pPr>
        <w:ind w:firstLine="720"/>
        <w:jc w:val="left"/>
      </w:pPr>
      <w:r w:rsidRPr="00DB2C42">
        <w:t xml:space="preserve">ADSCs were isolated from the subcutaneous WAT (sWAT) of 10-12 week male and female WT and </w:t>
      </w:r>
      <w:r w:rsidRPr="00DB2C42">
        <w:rPr>
          <w:i/>
        </w:rPr>
        <w:t>db/db</w:t>
      </w:r>
      <w:r w:rsidRPr="00DB2C42">
        <w:t xml:space="preserve"> mice. Mice were anesthetized with isoflurane, followed by a terminal blood draw through cardiac puncture. After </w:t>
      </w:r>
      <w:r w:rsidR="00477976" w:rsidRPr="00DB2C42">
        <w:t>euthanasia</w:t>
      </w:r>
      <w:r w:rsidR="00477976">
        <w:t xml:space="preserve">, </w:t>
      </w:r>
      <w:r w:rsidR="00477976" w:rsidRPr="00DB2C42">
        <w:t>the</w:t>
      </w:r>
      <w:r w:rsidRPr="00DB2C42">
        <w:t xml:space="preserve"> sWAT depots were aseptically dissected, rinsed twice with ice-cold PBS, and minced, followed by digestion with 55 µL/mL of 100 mg/mL collagenase type I (Worthington Biochemical Corporation, Lakewood, NJ) at 2 mL/mg in isolation buffer at 37°C for 45 minutes with gentle shaking. The digested tissue was filtered through a </w:t>
      </w:r>
      <w:r w:rsidRPr="00A66504">
        <w:t>100 μm cell strainer</w:t>
      </w:r>
      <w:r w:rsidR="00395F5D">
        <w:t xml:space="preserve"> (Fisher</w:t>
      </w:r>
      <w:r w:rsidR="002B1789">
        <w:t xml:space="preserve"> S</w:t>
      </w:r>
      <w:r w:rsidR="00395F5D">
        <w:t>cientific,</w:t>
      </w:r>
      <w:r w:rsidR="002B1789">
        <w:t xml:space="preserve"> Hampton, NH)</w:t>
      </w:r>
      <w:r w:rsidR="00395F5D">
        <w:t xml:space="preserve"> </w:t>
      </w:r>
      <w:r w:rsidRPr="00A66504">
        <w:t>, followed by centrifugation at 500 g for 6 minutes at 4°C. The stromal vascular fraction was resuspended in the Dulbecco's Modified Eagle Medium (DMEM)/high glucose supplemented with 10% FBS and 1% P/S, and cultured until confluency in a 37°C incubator with 5% CO</w:t>
      </w:r>
      <w:r w:rsidRPr="00F928F8">
        <w:rPr>
          <w:vertAlign w:val="subscript"/>
        </w:rPr>
        <w:t>2</w:t>
      </w:r>
      <w:r w:rsidRPr="00A66504">
        <w:t>.</w:t>
      </w:r>
    </w:p>
    <w:p w14:paraId="5B978324" w14:textId="69128FD2" w:rsidR="00881CD0" w:rsidRPr="00DB2C42" w:rsidRDefault="00794135" w:rsidP="00E876F2">
      <w:pPr>
        <w:ind w:firstLine="720"/>
        <w:jc w:val="left"/>
      </w:pPr>
      <w:r>
        <w:t>Brown-like adipocyte</w:t>
      </w:r>
      <w:r w:rsidRPr="00DB2C42">
        <w:t xml:space="preserve"> </w:t>
      </w:r>
      <w:r w:rsidR="00881CD0" w:rsidRPr="00DB2C42">
        <w:t>differentiation was induced with an induction medium of DMEM/high glucose containing 5 µg/ml insulin, 1µM Dex, 0.5 mM IBMX, 125 µM Indo, and 1 nM T3 for three days, followed by four days in maintenance medium (DMEM/high glucose with 10% FBS, 1% P/S, 5 µg/ml insulin, and 1 nM T3)</w:t>
      </w:r>
      <w:r w:rsidR="0052141A">
        <w:t xml:space="preserve"> </w:t>
      </w:r>
      <w:r w:rsidR="002E1802">
        <w:fldChar w:fldCharType="begin"/>
      </w:r>
      <w:r w:rsidR="005128B7">
        <w:instrText xml:space="preserve"> ADDIN ZOTERO_ITEM CSL_CITATION {"citationID":"a2gqc3q84ua","properties":{"formattedCitation":"\\super 439\\nosupersub{}","plainCitation":"439","noteIndex":0},"citationItems":[{"id":4167,"uris":["http://zotero.org/users/9622455/items/JCUU8RM9"],"itemData":{"id":4167,"type":"article-journal","abstract":"Brown adipocytes have the ability to uncouple the respiratory chain in mitochondria and dissipate chemical energy as heat. Development of UCP1-positive brown adipocytes in white adipose tissues (so called beige or brite cells) is highly induced by a variety of environmental cues such as chronic cold exposure or by PPARγ agonists, therefore, this cell type has potential as a therapeutic target for obesity treatment. Although most immortalized adipocyte lines cannot recapitulate the process of \"browning\" of white fat in culture, primary adipocytes isolated from stromal vascular fraction in subcutaneous white adipose tissue (WAT) provide a reliable cellular system to study the molecular control of beige/brite cell development. Here we describe a protocol for effective isolation of primary preadipocytes and for inducing differentiation to beige/brite cells in culture. The browning effect can be assessed by the expression of brown fat-selective markers such as UCP1.","container-title":"Journal of Visualized Experiments : JoVE","DOI":"10.3791/50191","ISSN":"1940-087X","issue":"73","journalAbbreviation":"J Vis Exp","note":"PMID: 23568137\nPMCID: PMC3641667","page":"50191","source":"PubMed Central","title":"Isolation and Differentiation of Stromal Vascular Cells to Beige/Brite Cells","author":[{"family":"Liisberg Aune","given":"Ulrike"},{"family":"Ruiz","given":"Lauren"},{"family":"Kajimura","given":"Shingo"}],"issued":{"date-parts":[["2013",3,28]]}}}],"schema":"https://github.com/citation-style-language/schema/raw/master/csl-citation.json"} </w:instrText>
      </w:r>
      <w:r w:rsidR="002E1802">
        <w:fldChar w:fldCharType="separate"/>
      </w:r>
      <w:r w:rsidR="005128B7" w:rsidRPr="005128B7">
        <w:rPr>
          <w:vertAlign w:val="superscript"/>
        </w:rPr>
        <w:t>439</w:t>
      </w:r>
      <w:r w:rsidR="002E1802">
        <w:fldChar w:fldCharType="end"/>
      </w:r>
      <w:r w:rsidR="00881CD0" w:rsidRPr="00DB2C42">
        <w:t xml:space="preserve">. Throughout the differentiation period, the following treatments were applied: 1) no additives (the negative control), 2) DMSO </w:t>
      </w:r>
      <w:r w:rsidR="006B54BA">
        <w:t xml:space="preserve">(the </w:t>
      </w:r>
      <w:r w:rsidR="00881CD0" w:rsidRPr="00DB2C42">
        <w:t>vehicle</w:t>
      </w:r>
      <w:r w:rsidR="006B54BA">
        <w:t xml:space="preserve"> control)</w:t>
      </w:r>
      <w:r w:rsidR="00881CD0" w:rsidRPr="00DB2C42">
        <w:t>, 3)</w:t>
      </w:r>
      <w:r w:rsidR="003C2447">
        <w:t xml:space="preserve"> </w:t>
      </w:r>
      <w:r w:rsidR="00881CD0" w:rsidRPr="00DB2C42">
        <w:t>resveratrol (RES</w:t>
      </w:r>
      <w:r w:rsidR="003C2447">
        <w:t xml:space="preserve">, </w:t>
      </w:r>
      <w:r w:rsidR="003C2447" w:rsidRPr="00DB2C42">
        <w:t>10 μM</w:t>
      </w:r>
      <w:r w:rsidR="00881CD0" w:rsidRPr="00DB2C42">
        <w:t>), 4)</w:t>
      </w:r>
      <w:r w:rsidR="003C2447">
        <w:t xml:space="preserve"> </w:t>
      </w:r>
      <w:r w:rsidR="00881CD0" w:rsidRPr="00DB2C42">
        <w:t>rosiglitazone (ROSI</w:t>
      </w:r>
      <w:r w:rsidR="003C2447">
        <w:t xml:space="preserve">, </w:t>
      </w:r>
      <w:r w:rsidR="003C2447" w:rsidRPr="00DB2C42">
        <w:t>1 μM</w:t>
      </w:r>
      <w:r w:rsidR="00881CD0" w:rsidRPr="00DB2C42">
        <w:t xml:space="preserve">). Each treatment was done in biological triplicate for each genotype and sex. </w:t>
      </w:r>
      <w:r w:rsidR="007A716A" w:rsidRPr="007A716A">
        <w:t xml:space="preserve">On day 7, cells were treated for 6 hours with either isoproterenol (ISO, 1 μM) to </w:t>
      </w:r>
      <w:r w:rsidR="002727C4">
        <w:t>activate brown-like adipocytes (</w:t>
      </w:r>
      <w:r w:rsidR="007A716A" w:rsidRPr="007A716A">
        <w:t>ISO-stimulated condition</w:t>
      </w:r>
      <w:r w:rsidR="002727C4">
        <w:t>s)</w:t>
      </w:r>
      <w:r w:rsidR="007A716A" w:rsidRPr="007A716A">
        <w:t xml:space="preserve"> </w:t>
      </w:r>
      <w:r w:rsidR="007A716A" w:rsidRPr="007A716A">
        <w:lastRenderedPageBreak/>
        <w:t xml:space="preserve">or with </w:t>
      </w:r>
      <w:r w:rsidR="006F2C14">
        <w:t xml:space="preserve">the </w:t>
      </w:r>
      <w:r w:rsidR="007A716A" w:rsidRPr="007A716A">
        <w:t xml:space="preserve">vehicle control (H₂O) </w:t>
      </w:r>
      <w:r w:rsidR="00F7204D">
        <w:t>(</w:t>
      </w:r>
      <w:r w:rsidR="007A716A" w:rsidRPr="007A716A">
        <w:t>the basal condition</w:t>
      </w:r>
      <w:r w:rsidR="00F7204D">
        <w:t xml:space="preserve">s) </w:t>
      </w:r>
      <w:r w:rsidR="007A716A" w:rsidRPr="007A716A">
        <w:t>prior to total RNA isolation.</w:t>
      </w:r>
      <w:r w:rsidR="00804823">
        <w:t xml:space="preserve"> </w:t>
      </w:r>
      <w:r w:rsidR="00804823" w:rsidRPr="00DB2C42">
        <w:t xml:space="preserve">ISO is a non-selective β-adrenergic agonist that mimics cold exposure </w:t>
      </w:r>
      <w:r w:rsidR="004B354A" w:rsidRPr="004B354A">
        <w:rPr>
          <w:i/>
        </w:rPr>
        <w:t>in vitro</w:t>
      </w:r>
      <w:r w:rsidR="00CF0A48">
        <w:t xml:space="preserve"> </w:t>
      </w:r>
      <w:r w:rsidR="00804823" w:rsidRPr="00DB2C42">
        <w:fldChar w:fldCharType="begin"/>
      </w:r>
      <w:r w:rsidR="00F812BF">
        <w:instrText xml:space="preserve"> ADDIN ZOTERO_ITEM CSL_CITATION {"citationID":"fJV7B3Sy","properties":{"formattedCitation":"\\super 383\\nosupersub{}","plainCitation":"383","noteIndex":0},"citationItems":[{"id":2755,"uris":["http://zotero.org/users/9622455/items/IC94WJWK"],"itemData":{"id":2755,"type":"article-journal","abstract":"Adipose tissues are dynamic tissues that play crucial physiological roles in maintaining health and homeostasis. Although white adipose tissue and brown adipose tissue are currently considered key endocrine organs, they differ functionally and morphologically. The existence of the beige or brite adipocytes, cells displaying intermediary characteristics between white and brown adipocytes, illustrates the plastic nature of the adipose tissue. These cells are generated through white adipose tissue browning, a process associated with augmented non-shivering thermogenesis and metabolic capacity. This process involves the upregulation of the uncoupling protein 1, a molecule that uncouples the respiratory chain from Adenosine triphosphate synthesis, producing heat. β-3 adrenergic receptor system is one important mediator of white adipose tissue browning, during cold exposure. Surprisingly, hyperthermia may also induce beige activation and white adipose tissue beiging. Physical exercising copes with increased levels of specific molecules, including Beta-Aminoisobutyric acid, irisin, and Fibroblast growth factor 21 (FGF21), which induce adipose tissue browning. FGF21 is a stress-responsive hormone that interacts with beta-klotho. The central roles played by hormones in the browning process highlight the relevance of the individual lifestyle, including circadian rhythm and diet. Circadian rhythm involves the sleep–wake cycle and is regulated by melatonin, a hormone associated with UCP1 level upregulation. In contrast to the pro-inflammatory and adipose tissue disrupting effects of the western diet, specific food items, including capsaicin and n-3 polyunsaturated fatty acids, and dietary interventions such as calorie restriction and intermittent fasting, favor white adipose tissue browning and metabolic efficiency. The intestinal microbiome has also been pictured as a key factor in regulating white tissue browning, as it modulates bile acid levels, important molecules for the thermogenic program activation. During embryogenesis, in which adipose tissue formation is affected by Bone morphogenetic proteins that regulate gene expression, the stimuli herein discussed influence an orchestra of gene expression regulators, including a plethora of transcription factors, and chromatin remodeling enzymes, and non-coding RNAs. Considering the detrimental effects of adipose tissue browning and the disparities between adipose tissue characteristics in mice and humans, further efforts will benefit a better understanding of adipose tissue plasticity biology and its applicability to managing the overwhelming burden of several chronic diseases.","container-title":"Nutrition &amp; Metabolism","DOI":"10.1186/s12986-022-00694-0","ISSN":"1743-7075","issue":"1","journalAbbreviation":"Nutrition &amp; Metabolism","page":"61","source":"BioMed Central","title":"Browning of the white adipose tissue regulation: new insights into nutritional and metabolic relevance in health and diseases","title-short":"Browning of the white adipose tissue regulation","volume":"19","author":[{"family":"Machado","given":"Sabrina Azevedo"},{"family":"Pasquarelli-do-Nascimento","given":"Gabriel"},{"family":"Silva","given":"Debora Santos","non-dropping-particle":"da"},{"family":"Farias","given":"Gabriel Ribeiro"},{"family":"Oliveira Santos","given":"Igor","non-dropping-particle":"de"},{"family":"Baptista","given":"Luana Borges"},{"family":"Magalhães","given":"Kelly Grace"}],"issued":{"date-parts":[["2022",9,6]]}}}],"schema":"https://github.com/citation-style-language/schema/raw/master/csl-citation.json"} </w:instrText>
      </w:r>
      <w:r w:rsidR="00804823" w:rsidRPr="00DB2C42">
        <w:fldChar w:fldCharType="separate"/>
      </w:r>
      <w:r w:rsidR="00F812BF" w:rsidRPr="00F812BF">
        <w:rPr>
          <w:vertAlign w:val="superscript"/>
        </w:rPr>
        <w:t>383</w:t>
      </w:r>
      <w:r w:rsidR="00804823" w:rsidRPr="00DB2C42">
        <w:fldChar w:fldCharType="end"/>
      </w:r>
      <w:r w:rsidR="00804823" w:rsidRPr="00DB2C42">
        <w:t>.</w:t>
      </w:r>
    </w:p>
    <w:p w14:paraId="5E8ED2D8" w14:textId="5811FB57" w:rsidR="00881CD0" w:rsidRPr="00DB2C42" w:rsidRDefault="00881CD0" w:rsidP="00847BA5">
      <w:pPr>
        <w:pStyle w:val="Heading3"/>
        <w:jc w:val="left"/>
      </w:pPr>
      <w:bookmarkStart w:id="176" w:name="_Toc200810427"/>
      <w:bookmarkStart w:id="177" w:name="_Toc204848666"/>
      <w:r w:rsidRPr="00DB2C42">
        <w:t>Semi-</w:t>
      </w:r>
      <w:r w:rsidR="00552963">
        <w:t>Q</w:t>
      </w:r>
      <w:r w:rsidR="00552963" w:rsidRPr="00DB2C42">
        <w:t xml:space="preserve">uantitative </w:t>
      </w:r>
      <w:r w:rsidR="007A598A" w:rsidRPr="00DB2C42">
        <w:t>R</w:t>
      </w:r>
      <w:r w:rsidRPr="00DB2C42">
        <w:t>eal-time PCR (qRT-PCR)</w:t>
      </w:r>
      <w:bookmarkEnd w:id="176"/>
      <w:bookmarkEnd w:id="177"/>
    </w:p>
    <w:p w14:paraId="283B8F59" w14:textId="77777777" w:rsidR="00881CD0" w:rsidRPr="00DB2C42" w:rsidRDefault="00881CD0" w:rsidP="00E876F2">
      <w:pPr>
        <w:ind w:firstLine="720"/>
        <w:jc w:val="left"/>
      </w:pPr>
      <w:r w:rsidRPr="00DB2C42">
        <w:t xml:space="preserve">On day 7 of differentiation, total RNA was extracted via TRI Reagent (Molecular Research Center, Inc., Cincinnati, OH). Quantification and quality evaluation of the RNA were processed on a NanoDrop spectrophotometer (ThermoFisher Scientific, Waltham, MA). The High-Capacity cDNA Reverse Transcription Kit (Applied Biosystems, Foster City, CA) was used for reverse transcription of cDNA from 2 µg of total RNA. The expression levels of </w:t>
      </w:r>
      <w:r w:rsidRPr="00DB2C42">
        <w:rPr>
          <w:i/>
        </w:rPr>
        <w:t>Pgc1α</w:t>
      </w:r>
      <w:r w:rsidRPr="00DB2C42">
        <w:t xml:space="preserve"> and </w:t>
      </w:r>
      <w:r w:rsidRPr="00DB2C42">
        <w:rPr>
          <w:i/>
        </w:rPr>
        <w:t>Ucp1</w:t>
      </w:r>
      <w:r w:rsidRPr="00DB2C42">
        <w:t xml:space="preserve"> were quantified using SYBR Green PCR Master Mix (Applied Biosystems, Foster City, CA) on a 7300 Real-Time PCR System (Applied Biosystems, Foster City, CA). Results are presented as folds of differences from the negative control group, while the 2^-ΔΔCt method was used to calculate the relative expression of target genes normalized by the housekeeping gene </w:t>
      </w:r>
      <w:r w:rsidRPr="00DB2C42">
        <w:rPr>
          <w:i/>
          <w:iCs/>
        </w:rPr>
        <w:t>36B4</w:t>
      </w:r>
      <w:r w:rsidRPr="00DB2C42">
        <w:t>.</w:t>
      </w:r>
    </w:p>
    <w:p w14:paraId="0FF70BDF" w14:textId="010155BC" w:rsidR="00881CD0" w:rsidRPr="00DB2C42" w:rsidRDefault="00881CD0" w:rsidP="00847BA5">
      <w:pPr>
        <w:pStyle w:val="Heading3"/>
        <w:jc w:val="left"/>
      </w:pPr>
      <w:bookmarkStart w:id="178" w:name="_Toc204848667"/>
      <w:bookmarkStart w:id="179" w:name="_Toc200810428"/>
      <w:r w:rsidRPr="00DB2C42">
        <w:t xml:space="preserve">Mitochondrial </w:t>
      </w:r>
      <w:r w:rsidR="007A598A" w:rsidRPr="00DB2C42">
        <w:t>S</w:t>
      </w:r>
      <w:r w:rsidRPr="00DB2C42">
        <w:t xml:space="preserve">tress </w:t>
      </w:r>
      <w:r w:rsidR="007A598A" w:rsidRPr="00DB2C42">
        <w:t>T</w:t>
      </w:r>
      <w:r w:rsidRPr="00DB2C42">
        <w:t>est</w:t>
      </w:r>
      <w:bookmarkEnd w:id="178"/>
      <w:r w:rsidRPr="00DB2C42">
        <w:t xml:space="preserve"> </w:t>
      </w:r>
      <w:bookmarkEnd w:id="179"/>
    </w:p>
    <w:p w14:paraId="138F28E1" w14:textId="77777777" w:rsidR="00881CD0" w:rsidRPr="00DB2C42" w:rsidRDefault="00881CD0" w:rsidP="00E876F2">
      <w:pPr>
        <w:ind w:firstLine="720"/>
        <w:jc w:val="left"/>
      </w:pPr>
      <w:r w:rsidRPr="00DB2C42">
        <w:t>Mitochondrial respiration on day 8 of differentiation was measured using a Seahorse XFe24 Analyzer (Agilent Technologies, Santa Clara, CA). Cells were plated in 24-well microplates for at least three hours before the test. The cell was washed and replaced with Seahorse XF assay medium with 10 mM glucose, 2 mM glutamine, and 1 mM sodium pyruvate. The cells were then placed in a 37°C incubator for one hour in a non-CO₂ incubator.</w:t>
      </w:r>
    </w:p>
    <w:p w14:paraId="7620026C" w14:textId="3C2E4920" w:rsidR="00881CD0" w:rsidRPr="00DB2C42" w:rsidRDefault="00881CD0" w:rsidP="00E876F2">
      <w:pPr>
        <w:ind w:firstLine="720"/>
        <w:jc w:val="left"/>
      </w:pPr>
      <w:r w:rsidRPr="00DB2C42">
        <w:t>Basal respiration, ATP-linked respiration, maximal respiration, and non-mitochondrial respiration were measured sequentially after adding oligomycin (1</w:t>
      </w:r>
      <w:r w:rsidR="006362A0">
        <w:t>.5</w:t>
      </w:r>
      <w:r w:rsidRPr="00DB2C42">
        <w:t xml:space="preserve"> μM), FCCP (</w:t>
      </w:r>
      <w:r w:rsidR="006362A0">
        <w:t>6.</w:t>
      </w:r>
      <w:r w:rsidRPr="00DB2C42">
        <w:t>5 μM), and rotenone/antimycin A (</w:t>
      </w:r>
      <w:r w:rsidR="006362A0">
        <w:t>1</w:t>
      </w:r>
      <w:r w:rsidRPr="00DB2C42">
        <w:t xml:space="preserve"> μM each). Measurement results from the experiments were exported as </w:t>
      </w:r>
      <w:r w:rsidRPr="00DB2C42">
        <w:lastRenderedPageBreak/>
        <w:t>oxygen consumption respiration (OCR) data and manually analyzed in Microsoft Excel (Microsoft Corporation, Redmond, WA) using the manufacturer-provided equations. OCR values were adjusted based on the number of cells seeded per well.</w:t>
      </w:r>
    </w:p>
    <w:p w14:paraId="4509DC66" w14:textId="3A1DC1C4" w:rsidR="00881CD0" w:rsidRPr="00DB2C42" w:rsidRDefault="00881CD0" w:rsidP="00847BA5">
      <w:pPr>
        <w:pStyle w:val="Heading3"/>
        <w:jc w:val="left"/>
      </w:pPr>
      <w:bookmarkStart w:id="180" w:name="_Toc200810429"/>
      <w:bookmarkStart w:id="181" w:name="_Toc204848668"/>
      <w:r w:rsidRPr="00DB2C42">
        <w:t xml:space="preserve">Western </w:t>
      </w:r>
      <w:r w:rsidR="007A598A" w:rsidRPr="00DB2C42">
        <w:t>B</w:t>
      </w:r>
      <w:r w:rsidRPr="00DB2C42">
        <w:t xml:space="preserve">lot </w:t>
      </w:r>
      <w:r w:rsidR="007A598A" w:rsidRPr="00DB2C42">
        <w:t>A</w:t>
      </w:r>
      <w:r w:rsidRPr="00DB2C42">
        <w:t xml:space="preserve">nalysis of </w:t>
      </w:r>
      <w:r w:rsidR="007A598A" w:rsidRPr="00DB2C42">
        <w:t>I</w:t>
      </w:r>
      <w:r w:rsidRPr="00DB2C42">
        <w:t xml:space="preserve">nsulin </w:t>
      </w:r>
      <w:r w:rsidR="007A598A" w:rsidRPr="00DB2C42">
        <w:t>S</w:t>
      </w:r>
      <w:r w:rsidRPr="00DB2C42">
        <w:t>ignaling</w:t>
      </w:r>
      <w:bookmarkEnd w:id="180"/>
      <w:bookmarkEnd w:id="181"/>
    </w:p>
    <w:p w14:paraId="265915F0" w14:textId="71ED6AE7" w:rsidR="00881CD0" w:rsidRPr="00DB2C42" w:rsidRDefault="00881CD0" w:rsidP="00E876F2">
      <w:pPr>
        <w:ind w:firstLine="720"/>
        <w:jc w:val="left"/>
      </w:pPr>
      <w:r w:rsidRPr="00DB2C42">
        <w:t xml:space="preserve">At day 7 of differentiation, cells were serum-starved for 15-16 hours, followed by 50 nM insulin stimulation for 20 minutes at 37°C. The cells were then lysed in RIPA buffer (Cell Signaling Technology, Danvers, MA) containing protease and phosphatase inhibitor cocktails. Protein concentration was determined using the Pierce™ BCA Protein Assay Kit (ThermoFisher Scientific). Equal amounts of protein were loaded onto SDS-PAGE gels and transferred to PVDF membranes. Membranes were blocked with 5% non-fat milk, followed by incubation with primary antibodies anti-phospho-AKT </w:t>
      </w:r>
      <w:r w:rsidR="00AA7FC8" w:rsidRPr="00DB2C42">
        <w:t xml:space="preserve">Ser473 </w:t>
      </w:r>
      <w:r w:rsidRPr="00DB2C42">
        <w:t>(1:1000; Cell Signaling Technology; Cat# 4060S), anti-</w:t>
      </w:r>
      <w:r w:rsidR="00097FED">
        <w:t>(</w:t>
      </w:r>
      <w:r w:rsidRPr="00DB2C42">
        <w:t>total</w:t>
      </w:r>
      <w:r w:rsidR="00097FED">
        <w:t>)</w:t>
      </w:r>
      <w:r w:rsidRPr="00DB2C42">
        <w:t xml:space="preserve"> AKT (1:1000; </w:t>
      </w:r>
      <w:r w:rsidR="001C2A45" w:rsidRPr="00DB2C42">
        <w:t>Cell Signaling Technology</w:t>
      </w:r>
      <w:r w:rsidRPr="00DB2C42">
        <w:t xml:space="preserve">; Cat# 9272), anti-ERK1/2 (1:1000; </w:t>
      </w:r>
      <w:r w:rsidR="001C2A45" w:rsidRPr="00DB2C42">
        <w:t>Cell Signaling Technology</w:t>
      </w:r>
      <w:r w:rsidRPr="00DB2C42">
        <w:t>; Cat# 4695S)</w:t>
      </w:r>
      <w:r w:rsidR="00F025A8">
        <w:rPr>
          <w:lang w:eastAsia="zh-CN"/>
        </w:rPr>
        <w:t>, or</w:t>
      </w:r>
      <w:r w:rsidRPr="00DB2C42">
        <w:t xml:space="preserve"> anti-ERK1/2 (1:1000; </w:t>
      </w:r>
      <w:r w:rsidR="001C2A45" w:rsidRPr="00DB2C42">
        <w:t>Cell Signaling Technology</w:t>
      </w:r>
      <w:r w:rsidRPr="00DB2C42">
        <w:t xml:space="preserve">; Cat# 9102S) at 4°C overnight. ERK1/2 was used as a loading control. Subsequently, membranes were washed and incubated with HRP-conjugated secondary antibodies (1:4000; </w:t>
      </w:r>
      <w:r w:rsidR="001C2A45" w:rsidRPr="00DB2C42">
        <w:t>Cell Signaling Technology</w:t>
      </w:r>
      <w:r w:rsidRPr="00DB2C42">
        <w:t>; Cat# 7074S) for 1 hour at room temperature. Protein bands were detected using the chemiluminescent substrate SuperSignal™ West Pico PLUS (ThermoFisher Scientific</w:t>
      </w:r>
      <w:r w:rsidR="00BA393F">
        <w:t xml:space="preserve">, </w:t>
      </w:r>
      <w:r w:rsidR="001C2A45" w:rsidRPr="001C2A45">
        <w:t>Waltham, MA</w:t>
      </w:r>
      <w:r w:rsidRPr="00DB2C42">
        <w:t>) and imaged with the ChemiDoc XRS+ (Bio-Rad, Hercules, CA). Band intensity was quantified using ImageJ (NIH, Bethesda, MD), and AKT phosphorylation was calculated as the ratio of p-AKT to total AKT</w:t>
      </w:r>
      <w:r w:rsidR="00C56BA4">
        <w:t xml:space="preserve"> (p-AKT/AKT)</w:t>
      </w:r>
      <w:r w:rsidR="00034A7E">
        <w:t>.</w:t>
      </w:r>
    </w:p>
    <w:p w14:paraId="42AB6CB5" w14:textId="4027A26E" w:rsidR="00881CD0" w:rsidRPr="00DB2C42" w:rsidRDefault="00881CD0" w:rsidP="00847BA5">
      <w:pPr>
        <w:pStyle w:val="Heading3"/>
        <w:jc w:val="left"/>
      </w:pPr>
      <w:bookmarkStart w:id="182" w:name="_Toc200810430"/>
      <w:bookmarkStart w:id="183" w:name="_Toc204848669"/>
      <w:r w:rsidRPr="00DB2C42">
        <w:lastRenderedPageBreak/>
        <w:t xml:space="preserve">Statistical </w:t>
      </w:r>
      <w:r w:rsidR="007A598A" w:rsidRPr="00DB2C42">
        <w:t>A</w:t>
      </w:r>
      <w:r w:rsidRPr="00DB2C42">
        <w:t>nalysis</w:t>
      </w:r>
      <w:bookmarkEnd w:id="182"/>
      <w:bookmarkEnd w:id="183"/>
    </w:p>
    <w:p w14:paraId="45763166" w14:textId="53EC1F01" w:rsidR="00881CD0" w:rsidRPr="00DB2C42" w:rsidRDefault="00881CD0" w:rsidP="00E876F2">
      <w:pPr>
        <w:ind w:firstLine="720"/>
        <w:jc w:val="left"/>
      </w:pPr>
      <w:r w:rsidRPr="00DB2C42">
        <w:t>Data are presented as mean ± SEM. To evaluate the effects of</w:t>
      </w:r>
      <w:r w:rsidR="00750D49">
        <w:t xml:space="preserve"> basal </w:t>
      </w:r>
      <w:r w:rsidR="005E1ACD">
        <w:t>in comparison with</w:t>
      </w:r>
      <w:r w:rsidR="0092408A">
        <w:t xml:space="preserve"> isoproterenol </w:t>
      </w:r>
      <w:r w:rsidR="00750D49">
        <w:t>or insulin treatments</w:t>
      </w:r>
      <w:r w:rsidRPr="00DB2C42">
        <w:t xml:space="preserve">, two-way ANOVA followed by Tukey’s post hoc test was performed where applicable. Within each group, one-way ANOVA was used to compare fold changes relative to the </w:t>
      </w:r>
      <w:r w:rsidR="00CF462C">
        <w:t>control</w:t>
      </w:r>
      <w:r w:rsidRPr="00DB2C42">
        <w:t>. A p-value &lt; 0.05 was considered statistically significant. All statistical analyses were conducted using GraphPad Prism 9 (</w:t>
      </w:r>
      <w:r w:rsidR="00474FB5">
        <w:t>Dotmatics, Inc.</w:t>
      </w:r>
      <w:r w:rsidR="0087538D">
        <w:t xml:space="preserve">; </w:t>
      </w:r>
      <w:r w:rsidR="00474FB5">
        <w:t>San Diego, CA</w:t>
      </w:r>
      <w:r w:rsidRPr="00DB2C42">
        <w:t>).</w:t>
      </w:r>
    </w:p>
    <w:p w14:paraId="6251E122" w14:textId="77777777" w:rsidR="00881CD0" w:rsidRPr="00DB2C42" w:rsidRDefault="00881CD0" w:rsidP="00847BA5">
      <w:pPr>
        <w:pStyle w:val="Heading2"/>
        <w:jc w:val="left"/>
      </w:pPr>
      <w:bookmarkStart w:id="184" w:name="_Toc196309408"/>
      <w:bookmarkStart w:id="185" w:name="_Toc200810431"/>
      <w:bookmarkStart w:id="186" w:name="_Toc204848670"/>
      <w:r w:rsidRPr="00DB2C42">
        <w:t>Results</w:t>
      </w:r>
      <w:bookmarkEnd w:id="184"/>
      <w:bookmarkEnd w:id="185"/>
      <w:bookmarkEnd w:id="186"/>
    </w:p>
    <w:p w14:paraId="7A36AF56" w14:textId="2E007E62" w:rsidR="00881CD0" w:rsidRPr="00DB2C42" w:rsidRDefault="00881CD0" w:rsidP="00847BA5">
      <w:pPr>
        <w:pStyle w:val="Heading3"/>
        <w:jc w:val="left"/>
      </w:pPr>
      <w:bookmarkStart w:id="187" w:name="_Toc196309409"/>
      <w:bookmarkStart w:id="188" w:name="_Toc200810432"/>
      <w:bookmarkStart w:id="189" w:name="_Toc204848671"/>
      <w:r w:rsidRPr="00DB2C42">
        <w:t xml:space="preserve">RES </w:t>
      </w:r>
      <w:r w:rsidR="007A598A" w:rsidRPr="00DB2C42">
        <w:t>I</w:t>
      </w:r>
      <w:r w:rsidRPr="00DB2C42">
        <w:t xml:space="preserve">nduces </w:t>
      </w:r>
      <w:r w:rsidR="007A598A" w:rsidRPr="00DB2C42">
        <w:t>B</w:t>
      </w:r>
      <w:r w:rsidRPr="00DB2C42">
        <w:t xml:space="preserve">rowning by </w:t>
      </w:r>
      <w:r w:rsidR="007A598A" w:rsidRPr="00DB2C42">
        <w:t>I</w:t>
      </w:r>
      <w:r w:rsidRPr="00DB2C42">
        <w:t xml:space="preserve">ncreasing Pgc1α and Ucp1 mRNA </w:t>
      </w:r>
      <w:r w:rsidR="007A598A" w:rsidRPr="00DB2C42">
        <w:t>E</w:t>
      </w:r>
      <w:r w:rsidRPr="00DB2C42">
        <w:t>xpression</w:t>
      </w:r>
      <w:bookmarkEnd w:id="187"/>
      <w:bookmarkEnd w:id="188"/>
      <w:bookmarkEnd w:id="189"/>
      <w:r w:rsidRPr="00DB2C42">
        <w:t xml:space="preserve"> </w:t>
      </w:r>
    </w:p>
    <w:p w14:paraId="1EF17C37" w14:textId="1F8503E0" w:rsidR="00881CD0" w:rsidRPr="00DB2C42" w:rsidRDefault="00881CD0" w:rsidP="00E876F2">
      <w:pPr>
        <w:ind w:firstLine="720"/>
        <w:jc w:val="left"/>
      </w:pPr>
      <w:r w:rsidRPr="00DB2C42">
        <w:t xml:space="preserve">To investigate the browning effect of RES on subcutaneous white adipose tissue-derived stromal cells (ADSCs), we assessed the mRNA expression of thermogenic markers </w:t>
      </w:r>
      <w:r w:rsidRPr="00DB2C42">
        <w:rPr>
          <w:i/>
        </w:rPr>
        <w:t xml:space="preserve">Pgc1α </w:t>
      </w:r>
      <w:r w:rsidRPr="00DB2C42">
        <w:t xml:space="preserve">and </w:t>
      </w:r>
      <w:r w:rsidRPr="00DB2C42">
        <w:rPr>
          <w:i/>
        </w:rPr>
        <w:t>Ucp1</w:t>
      </w:r>
      <w:r w:rsidRPr="00DB2C42">
        <w:t xml:space="preserve"> at both basal and ISO-stimulated states in </w:t>
      </w:r>
      <w:r w:rsidR="00634F80">
        <w:t xml:space="preserve">the </w:t>
      </w:r>
      <w:r w:rsidRPr="00DB2C42">
        <w:t xml:space="preserve">ADSCs </w:t>
      </w:r>
      <w:r w:rsidR="00E13A85">
        <w:t>derived</w:t>
      </w:r>
      <w:r w:rsidR="00E13A85" w:rsidRPr="00DB2C42">
        <w:t xml:space="preserve"> </w:t>
      </w:r>
      <w:r w:rsidRPr="00DB2C42">
        <w:t xml:space="preserve">from male and female WT and </w:t>
      </w:r>
      <w:r w:rsidRPr="00DB2C42">
        <w:rPr>
          <w:i/>
        </w:rPr>
        <w:t>db/db</w:t>
      </w:r>
      <w:r w:rsidRPr="00DB2C42">
        <w:t xml:space="preserve"> mice </w:t>
      </w:r>
      <w:r w:rsidR="00FF321A">
        <w:t>and</w:t>
      </w:r>
      <w:r w:rsidR="00806841">
        <w:t xml:space="preserve"> were</w:t>
      </w:r>
      <w:r w:rsidRPr="00DB2C42">
        <w:t xml:space="preserve"> differentiated for 7 days in the presence</w:t>
      </w:r>
      <w:r w:rsidR="0070416D">
        <w:t xml:space="preserve"> or absence</w:t>
      </w:r>
      <w:r w:rsidRPr="00DB2C42">
        <w:t xml:space="preserve"> of 10 µM </w:t>
      </w:r>
      <w:r w:rsidR="00634F80">
        <w:t xml:space="preserve">of </w:t>
      </w:r>
      <w:r w:rsidRPr="00DB2C42">
        <w:t>RES</w:t>
      </w:r>
      <w:r w:rsidR="0070416D">
        <w:t>,</w:t>
      </w:r>
      <w:r w:rsidRPr="00DB2C42">
        <w:t xml:space="preserve"> ROSI (</w:t>
      </w:r>
      <w:r w:rsidR="00AD1EEE">
        <w:t xml:space="preserve">as </w:t>
      </w:r>
      <w:r w:rsidR="00634F80">
        <w:t xml:space="preserve">a </w:t>
      </w:r>
      <w:r w:rsidRPr="00DB2C42">
        <w:t>positive control</w:t>
      </w:r>
      <w:r w:rsidR="0070416D" w:rsidRPr="00DB2C42">
        <w:t>)</w:t>
      </w:r>
      <w:r w:rsidR="0070416D">
        <w:t>, or the vehicle control (DMSO).</w:t>
      </w:r>
    </w:p>
    <w:p w14:paraId="31371B21" w14:textId="6065237D" w:rsidR="00881CD0" w:rsidRPr="00DB2C42" w:rsidRDefault="00881CD0" w:rsidP="00E876F2">
      <w:pPr>
        <w:ind w:firstLine="720"/>
        <w:jc w:val="left"/>
      </w:pPr>
      <w:r w:rsidRPr="00DB2C42">
        <w:t xml:space="preserve">In </w:t>
      </w:r>
      <w:r w:rsidR="00220EB6">
        <w:t xml:space="preserve">the </w:t>
      </w:r>
      <w:r w:rsidR="006A096D">
        <w:t xml:space="preserve">differentiated </w:t>
      </w:r>
      <w:r w:rsidRPr="00DB2C42">
        <w:t>male WT ADSCs (</w:t>
      </w:r>
      <w:r w:rsidRPr="00B4336F">
        <w:rPr>
          <w:b/>
          <w:bCs/>
        </w:rPr>
        <w:fldChar w:fldCharType="begin"/>
      </w:r>
      <w:r w:rsidRPr="00B4336F">
        <w:rPr>
          <w:b/>
          <w:bCs/>
        </w:rPr>
        <w:instrText xml:space="preserve"> REF _Ref200808161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1</w:t>
      </w:r>
      <w:r w:rsidRPr="00B4336F">
        <w:rPr>
          <w:b/>
          <w:bCs/>
        </w:rPr>
        <w:fldChar w:fldCharType="end"/>
      </w:r>
      <w:r w:rsidRPr="00B4336F">
        <w:rPr>
          <w:b/>
          <w:bCs/>
        </w:rPr>
        <w:t>A</w:t>
      </w:r>
      <w:r w:rsidRPr="00DB2C42">
        <w:t xml:space="preserve">), ROSI significantly increased in </w:t>
      </w:r>
      <w:r w:rsidRPr="00DB2C42">
        <w:rPr>
          <w:i/>
        </w:rPr>
        <w:t xml:space="preserve">Pgc1α </w:t>
      </w:r>
      <w:r w:rsidRPr="00DB2C42">
        <w:t xml:space="preserve">mRNA expression, while no significant changes in </w:t>
      </w:r>
      <w:r w:rsidRPr="00DB2C42">
        <w:rPr>
          <w:i/>
        </w:rPr>
        <w:t xml:space="preserve">Pgc1α </w:t>
      </w:r>
      <w:r w:rsidRPr="00DB2C42">
        <w:t xml:space="preserve">expression were found in RES-treated groups compared to the negative and vehicle (DMSO) controls under both basal and ISO-stimulated conditions. </w:t>
      </w:r>
      <w:r w:rsidR="00554C67" w:rsidRPr="00554C67">
        <w:t xml:space="preserve">For </w:t>
      </w:r>
      <w:r w:rsidR="00554C67" w:rsidRPr="006A0A94">
        <w:rPr>
          <w:i/>
          <w:iCs/>
        </w:rPr>
        <w:t>Ucp1</w:t>
      </w:r>
      <w:r w:rsidR="00554C67" w:rsidRPr="00554C67">
        <w:t xml:space="preserve"> expression, ROSI </w:t>
      </w:r>
      <w:r w:rsidR="00775553">
        <w:t xml:space="preserve">and RES robustly </w:t>
      </w:r>
      <w:r w:rsidR="00554C67" w:rsidRPr="00554C67">
        <w:t xml:space="preserve">increased </w:t>
      </w:r>
      <w:r w:rsidR="00554C67" w:rsidRPr="006A0A94">
        <w:rPr>
          <w:i/>
          <w:iCs/>
        </w:rPr>
        <w:t>Ucp1</w:t>
      </w:r>
      <w:r w:rsidR="00554C67" w:rsidRPr="00554C67">
        <w:t xml:space="preserve"> mRNA in both</w:t>
      </w:r>
      <w:r w:rsidR="00775553">
        <w:t xml:space="preserve"> basal and ISO</w:t>
      </w:r>
      <w:r w:rsidR="00554C67" w:rsidRPr="00554C67">
        <w:t xml:space="preserve"> conditions as well.</w:t>
      </w:r>
      <w:r w:rsidRPr="00DB2C42">
        <w:t xml:space="preserve"> In </w:t>
      </w:r>
      <w:r w:rsidR="00CB6B77">
        <w:t xml:space="preserve">the </w:t>
      </w:r>
      <w:r w:rsidR="005637DE">
        <w:t xml:space="preserve">differentiated </w:t>
      </w:r>
      <w:r w:rsidRPr="00DB2C42">
        <w:t xml:space="preserve">female WT ADSCs </w:t>
      </w:r>
      <w:r w:rsidRPr="00B4336F">
        <w:rPr>
          <w:b/>
          <w:bCs/>
        </w:rPr>
        <w:t>(</w:t>
      </w:r>
      <w:r w:rsidRPr="00B4336F">
        <w:rPr>
          <w:b/>
          <w:bCs/>
        </w:rPr>
        <w:fldChar w:fldCharType="begin"/>
      </w:r>
      <w:r w:rsidRPr="00B4336F">
        <w:rPr>
          <w:b/>
          <w:bCs/>
        </w:rPr>
        <w:instrText xml:space="preserve"> REF _Ref200808161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1</w:t>
      </w:r>
      <w:r w:rsidRPr="00B4336F">
        <w:rPr>
          <w:b/>
          <w:bCs/>
        </w:rPr>
        <w:fldChar w:fldCharType="end"/>
      </w:r>
      <w:r w:rsidRPr="00B4336F">
        <w:rPr>
          <w:b/>
          <w:bCs/>
        </w:rPr>
        <w:t>B</w:t>
      </w:r>
      <w:r w:rsidRPr="00DB2C42">
        <w:t>), ROSI and</w:t>
      </w:r>
      <w:r w:rsidR="00566FC0" w:rsidRPr="00566FC0">
        <w:t xml:space="preserve"> </w:t>
      </w:r>
      <w:r w:rsidRPr="00DB2C42">
        <w:t xml:space="preserve">RES both significantly enhanced </w:t>
      </w:r>
      <w:r w:rsidRPr="00DB2C42">
        <w:rPr>
          <w:i/>
        </w:rPr>
        <w:t xml:space="preserve">Pgc1α </w:t>
      </w:r>
      <w:r w:rsidRPr="00DB2C42">
        <w:t>mRNA expression under ISO stimulation</w:t>
      </w:r>
      <w:r w:rsidR="009A4C5B">
        <w:t xml:space="preserve"> but not in basal condition</w:t>
      </w:r>
      <w:r w:rsidRPr="00DB2C42">
        <w:t xml:space="preserve"> compared to the control groups. </w:t>
      </w:r>
      <w:r w:rsidR="009A4C5B" w:rsidRPr="009A4C5B">
        <w:t xml:space="preserve">While </w:t>
      </w:r>
      <w:r w:rsidR="009A4C5B" w:rsidRPr="006A0A94">
        <w:rPr>
          <w:i/>
          <w:iCs/>
        </w:rPr>
        <w:t>Ucp1</w:t>
      </w:r>
      <w:r w:rsidR="009A4C5B" w:rsidRPr="009A4C5B">
        <w:t xml:space="preserve"> mRNA expression was significantly upregulated by ROSI and RES under both basal and ISO conditions.</w:t>
      </w:r>
    </w:p>
    <w:p w14:paraId="2A188FF7" w14:textId="4DC62821" w:rsidR="00881CD0" w:rsidRPr="00DB2C42" w:rsidRDefault="00881CD0" w:rsidP="00B04C49">
      <w:pPr>
        <w:ind w:firstLine="720"/>
        <w:jc w:val="left"/>
      </w:pPr>
      <w:r w:rsidRPr="00DB2C42">
        <w:lastRenderedPageBreak/>
        <w:t xml:space="preserve">In contrast, a robust increase in </w:t>
      </w:r>
      <w:r w:rsidRPr="00F928F8">
        <w:rPr>
          <w:i/>
          <w:iCs/>
        </w:rPr>
        <w:t>Pgc1α</w:t>
      </w:r>
      <w:r w:rsidRPr="00DB2C42">
        <w:t xml:space="preserve"> mRNA expression was shown in </w:t>
      </w:r>
      <w:r w:rsidR="00CB6B77">
        <w:t xml:space="preserve">the </w:t>
      </w:r>
      <w:r w:rsidR="00132316">
        <w:t xml:space="preserve">differentiated </w:t>
      </w:r>
      <w:r w:rsidRPr="00DB2C42">
        <w:t xml:space="preserve">male </w:t>
      </w:r>
      <w:r w:rsidRPr="00DB2C42">
        <w:rPr>
          <w:i/>
        </w:rPr>
        <w:t>db/db</w:t>
      </w:r>
      <w:r w:rsidRPr="00DB2C42">
        <w:t xml:space="preserve"> ADSCs (</w:t>
      </w:r>
      <w:r w:rsidRPr="00B4336F">
        <w:rPr>
          <w:b/>
          <w:bCs/>
        </w:rPr>
        <w:fldChar w:fldCharType="begin"/>
      </w:r>
      <w:r w:rsidRPr="00B4336F">
        <w:rPr>
          <w:b/>
          <w:bCs/>
        </w:rPr>
        <w:instrText xml:space="preserve"> REF _Ref200808161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1</w:t>
      </w:r>
      <w:r w:rsidRPr="00B4336F">
        <w:rPr>
          <w:b/>
          <w:bCs/>
        </w:rPr>
        <w:fldChar w:fldCharType="end"/>
      </w:r>
      <w:r w:rsidRPr="00B4336F">
        <w:rPr>
          <w:b/>
          <w:bCs/>
        </w:rPr>
        <w:t>C</w:t>
      </w:r>
      <w:r w:rsidRPr="00DB2C42">
        <w:t xml:space="preserve">) following ROSI and RES treatments under both basal and ISO-stimulated conditions. </w:t>
      </w:r>
      <w:r w:rsidRPr="00DB2C42">
        <w:rPr>
          <w:i/>
        </w:rPr>
        <w:t>Ucp1</w:t>
      </w:r>
      <w:r w:rsidRPr="00DB2C42">
        <w:t xml:space="preserve"> mRNA expression was similarly elevated by ROSI and RES. A similar pattern was observed in </w:t>
      </w:r>
      <w:r w:rsidR="006B239E">
        <w:t>the</w:t>
      </w:r>
      <w:r w:rsidR="00132316">
        <w:t xml:space="preserve"> differentiated</w:t>
      </w:r>
      <w:r w:rsidR="006B239E">
        <w:t xml:space="preserve"> </w:t>
      </w:r>
      <w:r w:rsidRPr="00DB2C42">
        <w:t xml:space="preserve">female </w:t>
      </w:r>
      <w:r w:rsidRPr="00DB2C42">
        <w:rPr>
          <w:i/>
        </w:rPr>
        <w:t>db/db</w:t>
      </w:r>
      <w:r w:rsidRPr="00DB2C42">
        <w:t xml:space="preserve"> ADSCs (</w:t>
      </w:r>
      <w:r w:rsidRPr="00B4336F">
        <w:rPr>
          <w:b/>
          <w:bCs/>
        </w:rPr>
        <w:fldChar w:fldCharType="begin"/>
      </w:r>
      <w:r w:rsidRPr="00B4336F">
        <w:rPr>
          <w:b/>
          <w:bCs/>
        </w:rPr>
        <w:instrText xml:space="preserve"> REF _Ref200808161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1</w:t>
      </w:r>
      <w:r w:rsidRPr="00B4336F">
        <w:rPr>
          <w:b/>
          <w:bCs/>
        </w:rPr>
        <w:fldChar w:fldCharType="end"/>
      </w:r>
      <w:r w:rsidRPr="00B4336F">
        <w:rPr>
          <w:b/>
          <w:bCs/>
        </w:rPr>
        <w:t>D</w:t>
      </w:r>
      <w:r w:rsidRPr="00DB2C42">
        <w:t xml:space="preserve">). ROSI greatly induced </w:t>
      </w:r>
      <w:r w:rsidRPr="00DB2C42">
        <w:rPr>
          <w:i/>
        </w:rPr>
        <w:t xml:space="preserve">Pgc1α </w:t>
      </w:r>
      <w:r w:rsidRPr="00DB2C42">
        <w:t xml:space="preserve">mRNA expression compared to RES under basal conditions, but not after ISO stimulation. ROSI also significantly elevated </w:t>
      </w:r>
      <w:r w:rsidRPr="00DB2C42">
        <w:rPr>
          <w:i/>
        </w:rPr>
        <w:t>Ucp1</w:t>
      </w:r>
      <w:r w:rsidRPr="00DB2C42">
        <w:t xml:space="preserve"> mRNA expression under both conditions. RES significantly increased </w:t>
      </w:r>
      <w:r w:rsidR="008947F1">
        <w:t xml:space="preserve">both </w:t>
      </w:r>
      <w:r w:rsidRPr="00DB2C42">
        <w:rPr>
          <w:i/>
        </w:rPr>
        <w:t xml:space="preserve">Pgc1α </w:t>
      </w:r>
      <w:r w:rsidRPr="00DB2C42">
        <w:t xml:space="preserve">and </w:t>
      </w:r>
      <w:r w:rsidRPr="00DB2C42">
        <w:rPr>
          <w:i/>
        </w:rPr>
        <w:t>Ucp1</w:t>
      </w:r>
      <w:r w:rsidRPr="00DB2C42">
        <w:t xml:space="preserve"> mRNA expression under both basal and ISO-stimulated conditions.</w:t>
      </w:r>
    </w:p>
    <w:p w14:paraId="0B57BB71" w14:textId="0644C047" w:rsidR="00881CD0" w:rsidRPr="00DB2C42" w:rsidRDefault="00881CD0" w:rsidP="00847BA5">
      <w:pPr>
        <w:pStyle w:val="Heading3"/>
        <w:jc w:val="left"/>
      </w:pPr>
      <w:bookmarkStart w:id="190" w:name="_Toc196309410"/>
      <w:bookmarkStart w:id="191" w:name="_Toc200810433"/>
      <w:bookmarkStart w:id="192" w:name="_Toc204848672"/>
      <w:r w:rsidRPr="00DB2C42">
        <w:t xml:space="preserve">Sex and </w:t>
      </w:r>
      <w:r w:rsidR="007A598A" w:rsidRPr="00DB2C42">
        <w:t>G</w:t>
      </w:r>
      <w:r w:rsidRPr="00DB2C42">
        <w:t xml:space="preserve">enotype </w:t>
      </w:r>
      <w:r w:rsidR="007A598A" w:rsidRPr="00DB2C42">
        <w:t>D</w:t>
      </w:r>
      <w:r w:rsidRPr="00DB2C42">
        <w:t xml:space="preserve">ifferences in the Pgc1α and Ucp1 mRNA </w:t>
      </w:r>
      <w:r w:rsidR="007A598A" w:rsidRPr="00DB2C42">
        <w:t>E</w:t>
      </w:r>
      <w:r w:rsidRPr="00DB2C42">
        <w:t xml:space="preserve">xpression in </w:t>
      </w:r>
      <w:r w:rsidR="007A598A" w:rsidRPr="00DB2C42">
        <w:t>R</w:t>
      </w:r>
      <w:r w:rsidRPr="00DB2C42">
        <w:t>esponse to ISO and RES</w:t>
      </w:r>
      <w:bookmarkEnd w:id="190"/>
      <w:bookmarkEnd w:id="191"/>
      <w:bookmarkEnd w:id="192"/>
      <w:r w:rsidRPr="00DB2C42">
        <w:t xml:space="preserve"> </w:t>
      </w:r>
    </w:p>
    <w:p w14:paraId="10207458" w14:textId="74EAEB57" w:rsidR="00881CD0" w:rsidRPr="00DB2C42" w:rsidRDefault="00881CD0" w:rsidP="00E876F2">
      <w:pPr>
        <w:ind w:firstLine="720"/>
        <w:jc w:val="left"/>
      </w:pPr>
      <w:r w:rsidRPr="00DB2C42">
        <w:t xml:space="preserve">To understand the impact of genotype and sex on the </w:t>
      </w:r>
      <w:r w:rsidR="00FD2DAC">
        <w:t xml:space="preserve">differentiated </w:t>
      </w:r>
      <w:r w:rsidRPr="00DB2C42">
        <w:t xml:space="preserve">ADSC’s response to ISO and RES, we compared the relative fold changes in </w:t>
      </w:r>
      <w:r w:rsidRPr="00DB2C42">
        <w:rPr>
          <w:i/>
        </w:rPr>
        <w:t xml:space="preserve">Pgc1α </w:t>
      </w:r>
      <w:r w:rsidRPr="00DB2C42">
        <w:t xml:space="preserve">and </w:t>
      </w:r>
      <w:r w:rsidRPr="00DB2C42">
        <w:rPr>
          <w:i/>
        </w:rPr>
        <w:t>Ucp1</w:t>
      </w:r>
      <w:r w:rsidRPr="00DB2C42">
        <w:t xml:space="preserve"> mRNA expression</w:t>
      </w:r>
      <w:r w:rsidR="00335FF5">
        <w:t xml:space="preserve"> i</w:t>
      </w:r>
      <w:r w:rsidRPr="00DB2C42">
        <w:t>n response to ISO stimulation (</w:t>
      </w:r>
      <w:r w:rsidRPr="00B4336F">
        <w:rPr>
          <w:b/>
          <w:bCs/>
        </w:rPr>
        <w:fldChar w:fldCharType="begin"/>
      </w:r>
      <w:r w:rsidRPr="00B4336F">
        <w:rPr>
          <w:b/>
          <w:bCs/>
        </w:rPr>
        <w:instrText xml:space="preserve"> REF _Ref200808218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2</w:t>
      </w:r>
      <w:r w:rsidRPr="00B4336F">
        <w:rPr>
          <w:b/>
          <w:bCs/>
        </w:rPr>
        <w:fldChar w:fldCharType="end"/>
      </w:r>
      <w:r w:rsidRPr="00B4336F">
        <w:rPr>
          <w:b/>
          <w:bCs/>
        </w:rPr>
        <w:t>A</w:t>
      </w:r>
      <w:r w:rsidR="00A07780">
        <w:rPr>
          <w:b/>
          <w:bCs/>
        </w:rPr>
        <w:t>, C</w:t>
      </w:r>
      <w:r w:rsidR="005B48F6" w:rsidRPr="00DB2C42">
        <w:t>)</w:t>
      </w:r>
      <w:r w:rsidR="005B48F6">
        <w:t>.</w:t>
      </w:r>
      <w:r w:rsidR="005B48F6" w:rsidRPr="00DB2C42">
        <w:t xml:space="preserve"> </w:t>
      </w:r>
      <w:r w:rsidR="005B48F6">
        <w:t xml:space="preserve">No </w:t>
      </w:r>
      <w:r w:rsidR="00071BF9" w:rsidRPr="00DB2C42">
        <w:t>statistical significance</w:t>
      </w:r>
      <w:r w:rsidR="00071BF9">
        <w:t>s were found in</w:t>
      </w:r>
      <w:r w:rsidR="00363E52">
        <w:t xml:space="preserve"> ISO-stimulated</w:t>
      </w:r>
      <w:r w:rsidR="00071BF9" w:rsidRPr="00DB2C42">
        <w:rPr>
          <w:i/>
        </w:rPr>
        <w:t xml:space="preserve"> </w:t>
      </w:r>
      <w:r w:rsidRPr="00DB2C42">
        <w:rPr>
          <w:i/>
        </w:rPr>
        <w:t xml:space="preserve">Pgc1α </w:t>
      </w:r>
      <w:r w:rsidR="00363E52">
        <w:t>upregulation</w:t>
      </w:r>
      <w:r w:rsidRPr="00DB2C42">
        <w:t xml:space="preserve"> </w:t>
      </w:r>
      <w:r w:rsidR="00071BF9">
        <w:t xml:space="preserve">among the cells from </w:t>
      </w:r>
      <w:r w:rsidR="000E4C1F">
        <w:t xml:space="preserve">male and female WT or </w:t>
      </w:r>
      <w:r w:rsidR="000E4C1F" w:rsidRPr="006A0A94">
        <w:rPr>
          <w:i/>
          <w:iCs/>
        </w:rPr>
        <w:t>db/db</w:t>
      </w:r>
      <w:r w:rsidR="000E4C1F">
        <w:t xml:space="preserve"> mice</w:t>
      </w:r>
      <w:r w:rsidR="0089368C">
        <w:t xml:space="preserve"> (</w:t>
      </w:r>
      <w:r w:rsidR="0089368C" w:rsidRPr="00B4336F">
        <w:rPr>
          <w:b/>
          <w:bCs/>
        </w:rPr>
        <w:t>Figure 4.2A</w:t>
      </w:r>
      <w:r w:rsidR="0089368C">
        <w:t>)</w:t>
      </w:r>
      <w:r w:rsidR="000E4C1F">
        <w:t xml:space="preserve">. </w:t>
      </w:r>
      <w:r w:rsidR="00E056F5">
        <w:t>We further compared the relative f</w:t>
      </w:r>
      <w:r w:rsidRPr="00DB2C42">
        <w:t xml:space="preserve">old changes in </w:t>
      </w:r>
      <w:r w:rsidRPr="00DB2C42">
        <w:rPr>
          <w:i/>
        </w:rPr>
        <w:t xml:space="preserve">Pgc1α </w:t>
      </w:r>
      <w:r w:rsidR="009F4ECF">
        <w:rPr>
          <w:iCs/>
        </w:rPr>
        <w:t xml:space="preserve">mRNA </w:t>
      </w:r>
      <w:r w:rsidRPr="00DB2C42">
        <w:t xml:space="preserve">expression following RES under basal or ISO stimulated conditions </w:t>
      </w:r>
      <w:r w:rsidR="0054028D">
        <w:t>(</w:t>
      </w:r>
      <w:r w:rsidRPr="00B4336F">
        <w:rPr>
          <w:b/>
          <w:bCs/>
        </w:rPr>
        <w:fldChar w:fldCharType="begin"/>
      </w:r>
      <w:r w:rsidRPr="00B4336F">
        <w:rPr>
          <w:b/>
          <w:bCs/>
        </w:rPr>
        <w:instrText xml:space="preserve"> REF _Ref200808218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2</w:t>
      </w:r>
      <w:r w:rsidRPr="00B4336F">
        <w:rPr>
          <w:b/>
          <w:bCs/>
        </w:rPr>
        <w:fldChar w:fldCharType="end"/>
      </w:r>
      <w:r w:rsidRPr="00B4336F">
        <w:rPr>
          <w:b/>
          <w:bCs/>
        </w:rPr>
        <w:t>B</w:t>
      </w:r>
      <w:r w:rsidR="0054028D">
        <w:t>)</w:t>
      </w:r>
      <w:r w:rsidRPr="00DB2C42">
        <w:t>. RES</w:t>
      </w:r>
      <w:r w:rsidR="006A2D25">
        <w:t>-induced</w:t>
      </w:r>
      <w:r w:rsidR="006A2D25" w:rsidRPr="00DB2C42">
        <w:t xml:space="preserve"> </w:t>
      </w:r>
      <w:r w:rsidRPr="00DB2C42">
        <w:rPr>
          <w:i/>
        </w:rPr>
        <w:t xml:space="preserve">Pgc1α </w:t>
      </w:r>
      <w:r w:rsidR="00485383">
        <w:rPr>
          <w:iCs/>
        </w:rPr>
        <w:t>upregulation was higher</w:t>
      </w:r>
      <w:r w:rsidRPr="00DB2C42">
        <w:t xml:space="preserve"> in </w:t>
      </w:r>
      <w:r w:rsidR="002C0CAC">
        <w:t xml:space="preserve">the </w:t>
      </w:r>
      <w:r w:rsidRPr="00DB2C42">
        <w:rPr>
          <w:i/>
        </w:rPr>
        <w:t>db/db</w:t>
      </w:r>
      <w:r w:rsidRPr="00DB2C42">
        <w:t xml:space="preserve"> </w:t>
      </w:r>
      <w:r w:rsidR="0010111D" w:rsidRPr="00B80691">
        <w:t xml:space="preserve">adipocytes </w:t>
      </w:r>
      <w:r w:rsidRPr="00B80691">
        <w:t xml:space="preserve">than the WT </w:t>
      </w:r>
      <w:r w:rsidR="0010111D" w:rsidRPr="00B80691">
        <w:t xml:space="preserve">adipocytes </w:t>
      </w:r>
      <w:r w:rsidRPr="00B80691">
        <w:t xml:space="preserve">under ISO-stimulated conditions, </w:t>
      </w:r>
      <w:r w:rsidR="000C6BB9" w:rsidRPr="00F928F8">
        <w:t xml:space="preserve">reaching statistical significance </w:t>
      </w:r>
      <w:r w:rsidR="00D745F7" w:rsidRPr="00F928F8">
        <w:t xml:space="preserve">only in </w:t>
      </w:r>
      <w:r w:rsidR="000C6BB9" w:rsidRPr="00F928F8">
        <w:t>male</w:t>
      </w:r>
      <w:r w:rsidR="00D745F7" w:rsidRPr="00F928F8">
        <w:t xml:space="preserve"> </w:t>
      </w:r>
      <w:r w:rsidR="000C6BB9" w:rsidRPr="00F928F8">
        <w:rPr>
          <w:i/>
          <w:iCs/>
        </w:rPr>
        <w:t>db/db</w:t>
      </w:r>
      <w:r w:rsidR="0068142E" w:rsidRPr="00F928F8">
        <w:t xml:space="preserve"> adipocytes</w:t>
      </w:r>
      <w:r w:rsidR="00630B58" w:rsidRPr="00F928F8">
        <w:t xml:space="preserve"> (</w:t>
      </w:r>
      <w:r w:rsidR="00630B58" w:rsidRPr="00B4336F">
        <w:rPr>
          <w:b/>
          <w:bCs/>
        </w:rPr>
        <w:t>Figure 4.2B</w:t>
      </w:r>
      <w:r w:rsidR="00630B58" w:rsidRPr="00F928F8">
        <w:t>)</w:t>
      </w:r>
      <w:r w:rsidR="0068142E" w:rsidRPr="00F928F8">
        <w:t xml:space="preserve">. </w:t>
      </w:r>
      <w:r w:rsidR="005442BF">
        <w:t>M</w:t>
      </w:r>
      <w:r w:rsidR="001F2E3D" w:rsidRPr="00F928F8">
        <w:t xml:space="preserve">ale </w:t>
      </w:r>
      <w:r w:rsidR="001F2E3D" w:rsidRPr="00F928F8">
        <w:rPr>
          <w:i/>
          <w:iCs/>
        </w:rPr>
        <w:t>db/db</w:t>
      </w:r>
      <w:r w:rsidR="001F2E3D" w:rsidRPr="00F928F8">
        <w:t xml:space="preserve"> adipocytes</w:t>
      </w:r>
      <w:r w:rsidR="005442BF">
        <w:t xml:space="preserve"> also</w:t>
      </w:r>
      <w:r w:rsidR="001F2E3D" w:rsidRPr="00F928F8">
        <w:t xml:space="preserve"> had </w:t>
      </w:r>
      <w:r w:rsidR="00835D26" w:rsidRPr="00F928F8">
        <w:t xml:space="preserve">higher </w:t>
      </w:r>
      <w:r w:rsidR="00EA183C" w:rsidRPr="00F928F8">
        <w:t xml:space="preserve">RES-induced </w:t>
      </w:r>
      <w:r w:rsidR="00835D26" w:rsidRPr="00F928F8">
        <w:rPr>
          <w:i/>
          <w:iCs/>
        </w:rPr>
        <w:t>Pgc1</w:t>
      </w:r>
      <w:r w:rsidR="00835D26" w:rsidRPr="00F928F8">
        <w:rPr>
          <w:i/>
          <w:iCs/>
        </w:rPr>
        <w:sym w:font="Symbol" w:char="F061"/>
      </w:r>
      <w:r w:rsidR="00835D26" w:rsidRPr="00F928F8">
        <w:t xml:space="preserve"> upregulation </w:t>
      </w:r>
      <w:r w:rsidR="00EA183C" w:rsidRPr="00F928F8">
        <w:t xml:space="preserve">than </w:t>
      </w:r>
      <w:r w:rsidR="005442BF">
        <w:t>fe</w:t>
      </w:r>
      <w:r w:rsidR="00EA183C" w:rsidRPr="00F928F8">
        <w:t xml:space="preserve">male </w:t>
      </w:r>
      <w:r w:rsidR="00EA183C" w:rsidRPr="00F928F8">
        <w:rPr>
          <w:i/>
          <w:iCs/>
        </w:rPr>
        <w:t>db/db</w:t>
      </w:r>
      <w:r w:rsidR="00EA183C" w:rsidRPr="00F928F8">
        <w:t xml:space="preserve"> adipocytes</w:t>
      </w:r>
      <w:r w:rsidR="00AE087B" w:rsidRPr="00F928F8">
        <w:t xml:space="preserve"> (</w:t>
      </w:r>
      <w:r w:rsidR="00AE087B" w:rsidRPr="00B4336F">
        <w:rPr>
          <w:b/>
          <w:bCs/>
        </w:rPr>
        <w:t>Figure 4.2B</w:t>
      </w:r>
      <w:r w:rsidR="00AE087B" w:rsidRPr="00F928F8">
        <w:t>)</w:t>
      </w:r>
      <w:r w:rsidR="00EA183C" w:rsidRPr="00F928F8">
        <w:t xml:space="preserve">. </w:t>
      </w:r>
    </w:p>
    <w:p w14:paraId="481C0545" w14:textId="6D128668" w:rsidR="00881CD0" w:rsidRPr="00DB2C42" w:rsidRDefault="00881CD0" w:rsidP="00E876F2">
      <w:pPr>
        <w:ind w:firstLine="720"/>
        <w:jc w:val="left"/>
      </w:pPr>
      <w:r w:rsidRPr="00DB2C42">
        <w:t xml:space="preserve">ISO stimulation </w:t>
      </w:r>
      <w:r w:rsidR="00E8294D">
        <w:t xml:space="preserve">induced </w:t>
      </w:r>
      <w:r w:rsidRPr="00DB2C42">
        <w:t>significant increase</w:t>
      </w:r>
      <w:r w:rsidR="00E8294D">
        <w:t>s</w:t>
      </w:r>
      <w:r w:rsidRPr="00DB2C42">
        <w:t xml:space="preserve"> in </w:t>
      </w:r>
      <w:r w:rsidRPr="00DB2C42">
        <w:rPr>
          <w:i/>
        </w:rPr>
        <w:t>Ucp1</w:t>
      </w:r>
      <w:r w:rsidRPr="00DB2C42">
        <w:t xml:space="preserve"> mRNA expression in </w:t>
      </w:r>
      <w:r w:rsidR="00B95B5A">
        <w:t xml:space="preserve">the differentiated </w:t>
      </w:r>
      <w:r w:rsidRPr="00DB2C42">
        <w:t xml:space="preserve">ADSCs from female </w:t>
      </w:r>
      <w:r w:rsidRPr="00DB2C42">
        <w:rPr>
          <w:i/>
        </w:rPr>
        <w:t>db/db</w:t>
      </w:r>
      <w:r w:rsidRPr="00DB2C42">
        <w:t xml:space="preserve"> mice </w:t>
      </w:r>
      <w:r w:rsidR="00B95B5A">
        <w:t>compared</w:t>
      </w:r>
      <w:r w:rsidRPr="00DB2C42">
        <w:t xml:space="preserve"> to female WT mice (</w:t>
      </w:r>
      <w:r w:rsidRPr="00B4336F">
        <w:rPr>
          <w:b/>
          <w:bCs/>
        </w:rPr>
        <w:fldChar w:fldCharType="begin"/>
      </w:r>
      <w:r w:rsidRPr="00B4336F">
        <w:rPr>
          <w:b/>
          <w:bCs/>
        </w:rPr>
        <w:instrText xml:space="preserve"> REF _Ref200808218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2</w:t>
      </w:r>
      <w:r w:rsidRPr="00B4336F">
        <w:rPr>
          <w:b/>
          <w:bCs/>
        </w:rPr>
        <w:fldChar w:fldCharType="end"/>
      </w:r>
      <w:r w:rsidRPr="00B4336F">
        <w:rPr>
          <w:b/>
          <w:bCs/>
        </w:rPr>
        <w:t>C</w:t>
      </w:r>
      <w:r w:rsidRPr="00DB2C42">
        <w:t xml:space="preserve">). </w:t>
      </w:r>
      <w:r w:rsidRPr="00DB2C42">
        <w:lastRenderedPageBreak/>
        <w:t xml:space="preserve">Moreover, </w:t>
      </w:r>
      <w:r w:rsidR="00F50CF6">
        <w:t xml:space="preserve">differentiated </w:t>
      </w:r>
      <w:r w:rsidRPr="00DB2C42">
        <w:t xml:space="preserve">female </w:t>
      </w:r>
      <w:r w:rsidRPr="00DB2C42">
        <w:rPr>
          <w:i/>
        </w:rPr>
        <w:t>db/db</w:t>
      </w:r>
      <w:r w:rsidRPr="00DB2C42">
        <w:t xml:space="preserve"> ADSCs had </w:t>
      </w:r>
      <w:r w:rsidR="00217701" w:rsidRPr="00DB2C42">
        <w:t xml:space="preserve">significantly greater </w:t>
      </w:r>
      <w:r w:rsidRPr="00DB2C42">
        <w:rPr>
          <w:i/>
        </w:rPr>
        <w:t>Ucp1</w:t>
      </w:r>
      <w:r w:rsidRPr="00DB2C42">
        <w:t xml:space="preserve"> induction than male </w:t>
      </w:r>
      <w:r w:rsidRPr="00DB2C42">
        <w:rPr>
          <w:i/>
        </w:rPr>
        <w:t>db/db</w:t>
      </w:r>
      <w:r w:rsidRPr="00DB2C42">
        <w:t xml:space="preserve"> </w:t>
      </w:r>
      <w:r w:rsidR="00F50CF6">
        <w:t>counterparts</w:t>
      </w:r>
      <w:r w:rsidR="00F50CF6" w:rsidRPr="00DB2C42">
        <w:t xml:space="preserve"> </w:t>
      </w:r>
      <w:r w:rsidRPr="00DB2C42">
        <w:t>after ISO stimulation</w:t>
      </w:r>
      <w:r w:rsidR="00564217">
        <w:t xml:space="preserve"> </w:t>
      </w:r>
      <w:r w:rsidR="00564217" w:rsidRPr="00DB2C42">
        <w:t>(</w:t>
      </w:r>
      <w:r w:rsidR="00564217" w:rsidRPr="00B4336F">
        <w:rPr>
          <w:b/>
          <w:bCs/>
        </w:rPr>
        <w:fldChar w:fldCharType="begin"/>
      </w:r>
      <w:r w:rsidR="00564217" w:rsidRPr="00B4336F">
        <w:rPr>
          <w:b/>
          <w:bCs/>
        </w:rPr>
        <w:instrText xml:space="preserve"> REF _Ref200808218 \h  \* MERGEFORMAT </w:instrText>
      </w:r>
      <w:r w:rsidR="00564217" w:rsidRPr="00B4336F">
        <w:rPr>
          <w:b/>
          <w:bCs/>
        </w:rPr>
      </w:r>
      <w:r w:rsidR="00564217" w:rsidRPr="00B4336F">
        <w:rPr>
          <w:b/>
          <w:bCs/>
        </w:rPr>
        <w:fldChar w:fldCharType="separate"/>
      </w:r>
      <w:r w:rsidR="00564217" w:rsidRPr="00B4336F">
        <w:rPr>
          <w:b/>
          <w:bCs/>
        </w:rPr>
        <w:t xml:space="preserve">Figure </w:t>
      </w:r>
      <w:r w:rsidR="00564217" w:rsidRPr="00B4336F">
        <w:rPr>
          <w:b/>
          <w:bCs/>
          <w:noProof/>
        </w:rPr>
        <w:t>4</w:t>
      </w:r>
      <w:r w:rsidR="00564217" w:rsidRPr="00B4336F">
        <w:rPr>
          <w:b/>
          <w:bCs/>
        </w:rPr>
        <w:t>.</w:t>
      </w:r>
      <w:r w:rsidR="00564217" w:rsidRPr="00B4336F">
        <w:rPr>
          <w:b/>
          <w:bCs/>
          <w:noProof/>
        </w:rPr>
        <w:t>2</w:t>
      </w:r>
      <w:r w:rsidR="00564217" w:rsidRPr="00B4336F">
        <w:rPr>
          <w:b/>
          <w:bCs/>
        </w:rPr>
        <w:fldChar w:fldCharType="end"/>
      </w:r>
      <w:r w:rsidR="00564217" w:rsidRPr="00B4336F">
        <w:rPr>
          <w:b/>
          <w:bCs/>
        </w:rPr>
        <w:t>C</w:t>
      </w:r>
      <w:r w:rsidR="00564217" w:rsidRPr="00DB2C42">
        <w:t>)</w:t>
      </w:r>
      <w:r w:rsidRPr="00DB2C42">
        <w:t>. In comparison, RE</w:t>
      </w:r>
      <w:r w:rsidR="0047681C">
        <w:t>S induced</w:t>
      </w:r>
      <w:r w:rsidRPr="00DB2C42">
        <w:t xml:space="preserve"> </w:t>
      </w:r>
      <w:r w:rsidRPr="00DB2C42">
        <w:rPr>
          <w:i/>
        </w:rPr>
        <w:t>Ucp1</w:t>
      </w:r>
      <w:r w:rsidRPr="00DB2C42">
        <w:t xml:space="preserve"> </w:t>
      </w:r>
      <w:r w:rsidR="0047681C">
        <w:t xml:space="preserve">upregulation </w:t>
      </w:r>
      <w:r w:rsidRPr="00DB2C42">
        <w:t>to the similar extent in all groups</w:t>
      </w:r>
      <w:r w:rsidR="00007692">
        <w:t xml:space="preserve"> under both basal- and ISO-stimulated conditions</w:t>
      </w:r>
      <w:r w:rsidRPr="00DB2C42">
        <w:t>, and there were no significant differences across sexes or genotypes</w:t>
      </w:r>
      <w:r w:rsidR="00A95F5F">
        <w:t xml:space="preserve"> (</w:t>
      </w:r>
      <w:r w:rsidR="00A95F5F" w:rsidRPr="00B4336F">
        <w:rPr>
          <w:b/>
          <w:bCs/>
        </w:rPr>
        <w:t xml:space="preserve">Figure </w:t>
      </w:r>
      <w:r w:rsidR="00425850" w:rsidRPr="00B4336F">
        <w:rPr>
          <w:b/>
          <w:bCs/>
        </w:rPr>
        <w:t>4.2D</w:t>
      </w:r>
      <w:r w:rsidR="00425850">
        <w:t>)</w:t>
      </w:r>
      <w:r w:rsidRPr="00DB2C42">
        <w:t xml:space="preserve">. </w:t>
      </w:r>
    </w:p>
    <w:p w14:paraId="760315D5" w14:textId="60B2C399" w:rsidR="00881CD0" w:rsidRPr="00DB2C42" w:rsidRDefault="00881CD0" w:rsidP="00847BA5">
      <w:pPr>
        <w:pStyle w:val="Heading3"/>
        <w:jc w:val="left"/>
      </w:pPr>
      <w:bookmarkStart w:id="193" w:name="_Toc200810434"/>
      <w:bookmarkStart w:id="194" w:name="_Toc204848673"/>
      <w:bookmarkStart w:id="195" w:name="_Toc196309411"/>
      <w:r w:rsidRPr="00DB2C42">
        <w:t xml:space="preserve">RES </w:t>
      </w:r>
      <w:r w:rsidR="007A598A" w:rsidRPr="00DB2C42">
        <w:t>I</w:t>
      </w:r>
      <w:r w:rsidRPr="00DB2C42">
        <w:t xml:space="preserve">ncreased </w:t>
      </w:r>
      <w:r w:rsidR="007A598A" w:rsidRPr="00DB2C42">
        <w:t>M</w:t>
      </w:r>
      <w:r w:rsidRPr="00DB2C42">
        <w:t xml:space="preserve">itochondrial </w:t>
      </w:r>
      <w:r w:rsidR="007A598A" w:rsidRPr="00DB2C42">
        <w:t>U</w:t>
      </w:r>
      <w:r w:rsidRPr="00DB2C42">
        <w:t>ncoupling</w:t>
      </w:r>
      <w:bookmarkEnd w:id="193"/>
      <w:bookmarkEnd w:id="194"/>
      <w:r w:rsidRPr="00DB2C42">
        <w:t xml:space="preserve"> </w:t>
      </w:r>
      <w:bookmarkEnd w:id="195"/>
    </w:p>
    <w:p w14:paraId="6F69908D" w14:textId="488A0FF2" w:rsidR="00881CD0" w:rsidRPr="00DB2C42" w:rsidRDefault="00881CD0" w:rsidP="00E876F2">
      <w:pPr>
        <w:ind w:firstLine="720"/>
        <w:jc w:val="left"/>
      </w:pPr>
      <w:r w:rsidRPr="00DB2C42">
        <w:t xml:space="preserve">The mitochondrial stress test was performed to measure mitochondrial respiration in ADSCs differentiated in the presence </w:t>
      </w:r>
      <w:r w:rsidR="00916009">
        <w:t xml:space="preserve">or absence </w:t>
      </w:r>
      <w:r w:rsidRPr="00DB2C42">
        <w:t xml:space="preserve">of </w:t>
      </w:r>
      <w:r w:rsidR="002F424F" w:rsidRPr="00554C67">
        <w:t xml:space="preserve">10 μM </w:t>
      </w:r>
      <w:r w:rsidR="0070416D">
        <w:t xml:space="preserve">of </w:t>
      </w:r>
      <w:r w:rsidRPr="00DB2C42">
        <w:t xml:space="preserve">RES, ROSI, or </w:t>
      </w:r>
      <w:r w:rsidR="0070416D">
        <w:t xml:space="preserve">the </w:t>
      </w:r>
      <w:r w:rsidRPr="00DB2C42">
        <w:t xml:space="preserve">vehicle control. In </w:t>
      </w:r>
      <w:r w:rsidR="00955A6A">
        <w:t xml:space="preserve">the differentiated </w:t>
      </w:r>
      <w:r w:rsidRPr="00DB2C42">
        <w:t xml:space="preserve">male WT ADSCs, RES did not significantly alter basal respiration, maximal respiration, or proton leak compared to </w:t>
      </w:r>
      <w:r w:rsidR="00767B5F">
        <w:t xml:space="preserve">both negative and </w:t>
      </w:r>
      <w:r w:rsidRPr="00DB2C42">
        <w:t>vehicle control (</w:t>
      </w:r>
      <w:r w:rsidRPr="00B4336F">
        <w:rPr>
          <w:b/>
          <w:bCs/>
        </w:rPr>
        <w:fldChar w:fldCharType="begin"/>
      </w:r>
      <w:r w:rsidRPr="00B4336F">
        <w:rPr>
          <w:b/>
          <w:bCs/>
        </w:rPr>
        <w:instrText xml:space="preserve"> REF _Ref200808286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3</w:t>
      </w:r>
      <w:r w:rsidRPr="00B4336F">
        <w:rPr>
          <w:b/>
          <w:bCs/>
        </w:rPr>
        <w:fldChar w:fldCharType="end"/>
      </w:r>
      <w:r w:rsidRPr="00B4336F">
        <w:rPr>
          <w:b/>
          <w:bCs/>
        </w:rPr>
        <w:t>B-D</w:t>
      </w:r>
      <w:r w:rsidRPr="00DB2C42">
        <w:t>). However, ATP production was significantly increased by RES relative to</w:t>
      </w:r>
      <w:r w:rsidR="000D5D71">
        <w:t xml:space="preserve"> the vehicle control</w:t>
      </w:r>
      <w:r w:rsidRPr="00DB2C42">
        <w:t>, which itself suppressed ATP production compared to the untreated negative control (</w:t>
      </w:r>
      <w:r w:rsidRPr="00B4336F">
        <w:rPr>
          <w:b/>
          <w:bCs/>
        </w:rPr>
        <w:fldChar w:fldCharType="begin"/>
      </w:r>
      <w:r w:rsidRPr="00B4336F">
        <w:rPr>
          <w:b/>
          <w:bCs/>
        </w:rPr>
        <w:instrText xml:space="preserve"> REF _Ref200808286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3</w:t>
      </w:r>
      <w:r w:rsidRPr="00B4336F">
        <w:rPr>
          <w:b/>
          <w:bCs/>
        </w:rPr>
        <w:fldChar w:fldCharType="end"/>
      </w:r>
      <w:r w:rsidRPr="00B4336F">
        <w:rPr>
          <w:b/>
          <w:bCs/>
        </w:rPr>
        <w:t>E</w:t>
      </w:r>
      <w:r w:rsidRPr="00DB2C42">
        <w:t xml:space="preserve">). RES </w:t>
      </w:r>
      <w:r w:rsidR="00461846">
        <w:t>further</w:t>
      </w:r>
      <w:r w:rsidR="00461846" w:rsidRPr="00DB2C42">
        <w:t xml:space="preserve"> </w:t>
      </w:r>
      <w:r w:rsidRPr="00DB2C42">
        <w:t>reduced coupling efficiency (</w:t>
      </w:r>
      <w:r w:rsidRPr="00B4336F">
        <w:rPr>
          <w:b/>
          <w:bCs/>
        </w:rPr>
        <w:fldChar w:fldCharType="begin"/>
      </w:r>
      <w:r w:rsidRPr="00B4336F">
        <w:rPr>
          <w:b/>
          <w:bCs/>
        </w:rPr>
        <w:instrText xml:space="preserve"> REF _Ref200808286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3</w:t>
      </w:r>
      <w:r w:rsidRPr="00B4336F">
        <w:rPr>
          <w:b/>
          <w:bCs/>
        </w:rPr>
        <w:fldChar w:fldCharType="end"/>
      </w:r>
      <w:r w:rsidRPr="00B4336F">
        <w:rPr>
          <w:b/>
          <w:bCs/>
        </w:rPr>
        <w:t>F</w:t>
      </w:r>
      <w:r w:rsidRPr="00DB2C42">
        <w:t xml:space="preserve">), indicating enhanced mitochondrial uncoupling, which is a marker for thermogenic activation. </w:t>
      </w:r>
    </w:p>
    <w:p w14:paraId="1526BC40" w14:textId="16754948" w:rsidR="009E1C29" w:rsidRDefault="00881CD0" w:rsidP="00E876F2">
      <w:pPr>
        <w:ind w:firstLine="720"/>
        <w:jc w:val="left"/>
      </w:pPr>
      <w:r w:rsidRPr="00DB2C42">
        <w:t xml:space="preserve">In </w:t>
      </w:r>
      <w:r w:rsidR="00560390">
        <w:t xml:space="preserve">the differentiated </w:t>
      </w:r>
      <w:r w:rsidRPr="00DB2C42">
        <w:t>female WT ADSCs, basal respiration was significantly increased by DMSO, RES, and ROSI compared to the negative control, with no significant differences among the three treatments (</w:t>
      </w:r>
      <w:r w:rsidRPr="00B4336F">
        <w:rPr>
          <w:b/>
          <w:bCs/>
        </w:rPr>
        <w:fldChar w:fldCharType="begin"/>
      </w:r>
      <w:r w:rsidRPr="00B4336F">
        <w:rPr>
          <w:b/>
          <w:bCs/>
        </w:rPr>
        <w:instrText xml:space="preserve"> REF _Ref200808310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4</w:t>
      </w:r>
      <w:r w:rsidRPr="00B4336F">
        <w:rPr>
          <w:b/>
          <w:bCs/>
        </w:rPr>
        <w:fldChar w:fldCharType="end"/>
      </w:r>
      <w:r w:rsidRPr="00B4336F">
        <w:rPr>
          <w:b/>
          <w:bCs/>
        </w:rPr>
        <w:t>B</w:t>
      </w:r>
      <w:r w:rsidRPr="00DB2C42">
        <w:t xml:space="preserve">). Maximal respiration was significantly elevated by both RES and ROSI compared to the negative </w:t>
      </w:r>
      <w:r w:rsidR="000D5D71">
        <w:t>and vehicle controls</w:t>
      </w:r>
      <w:r w:rsidRPr="00DB2C42">
        <w:t xml:space="preserve"> (</w:t>
      </w:r>
      <w:r w:rsidRPr="00B4336F">
        <w:rPr>
          <w:b/>
          <w:bCs/>
        </w:rPr>
        <w:fldChar w:fldCharType="begin"/>
      </w:r>
      <w:r w:rsidRPr="00B4336F">
        <w:rPr>
          <w:b/>
          <w:bCs/>
        </w:rPr>
        <w:instrText xml:space="preserve"> REF _Ref200808310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4</w:t>
      </w:r>
      <w:r w:rsidRPr="00B4336F">
        <w:rPr>
          <w:b/>
          <w:bCs/>
        </w:rPr>
        <w:fldChar w:fldCharType="end"/>
      </w:r>
      <w:r w:rsidRPr="00B4336F">
        <w:rPr>
          <w:b/>
          <w:bCs/>
        </w:rPr>
        <w:t>C</w:t>
      </w:r>
      <w:r w:rsidRPr="00DB2C42">
        <w:t>), indicating enhanced respiratory capacity. Proton leak was also increased by</w:t>
      </w:r>
      <w:r w:rsidR="00F65890">
        <w:t xml:space="preserve"> </w:t>
      </w:r>
      <w:r w:rsidRPr="00DB2C42">
        <w:t>RES and ROSI relative to the negative control but not significantly different from</w:t>
      </w:r>
      <w:r w:rsidR="000D5D71">
        <w:t xml:space="preserve"> the vehicle control</w:t>
      </w:r>
      <w:r w:rsidRPr="00DB2C42">
        <w:t xml:space="preserve"> (</w:t>
      </w:r>
      <w:r w:rsidRPr="00B4336F">
        <w:rPr>
          <w:b/>
          <w:bCs/>
        </w:rPr>
        <w:fldChar w:fldCharType="begin"/>
      </w:r>
      <w:r w:rsidRPr="00B4336F">
        <w:rPr>
          <w:b/>
          <w:bCs/>
        </w:rPr>
        <w:instrText xml:space="preserve"> REF _Ref200808310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4</w:t>
      </w:r>
      <w:r w:rsidRPr="00B4336F">
        <w:rPr>
          <w:b/>
          <w:bCs/>
        </w:rPr>
        <w:fldChar w:fldCharType="end"/>
      </w:r>
      <w:r w:rsidRPr="00B4336F">
        <w:rPr>
          <w:b/>
          <w:bCs/>
        </w:rPr>
        <w:t>D</w:t>
      </w:r>
      <w:r w:rsidRPr="00DB2C42">
        <w:t xml:space="preserve">). </w:t>
      </w:r>
      <w:r w:rsidR="008C3053">
        <w:t xml:space="preserve">Although </w:t>
      </w:r>
      <w:r w:rsidRPr="00DB2C42">
        <w:t>both RES and ROSI elevated ATP production compared to the negative control</w:t>
      </w:r>
      <w:r w:rsidR="008C3053">
        <w:t>,</w:t>
      </w:r>
      <w:r w:rsidR="00962D72">
        <w:t xml:space="preserve"> </w:t>
      </w:r>
      <w:r w:rsidR="00064A6B">
        <w:t>both treatment</w:t>
      </w:r>
      <w:r w:rsidR="00124A79">
        <w:t xml:space="preserve">s </w:t>
      </w:r>
      <w:r w:rsidRPr="00DB2C42">
        <w:t>induced modest but significant reduction</w:t>
      </w:r>
      <w:r w:rsidR="00124A79">
        <w:t>s</w:t>
      </w:r>
      <w:r w:rsidRPr="00DB2C42">
        <w:t xml:space="preserve"> in ATP production </w:t>
      </w:r>
      <w:r w:rsidR="00962D72">
        <w:t>compared</w:t>
      </w:r>
      <w:r w:rsidR="00962D72" w:rsidRPr="00DB2C42">
        <w:t xml:space="preserve"> </w:t>
      </w:r>
      <w:r w:rsidRPr="00DB2C42">
        <w:t>to</w:t>
      </w:r>
      <w:r w:rsidR="000D5D71">
        <w:t xml:space="preserve"> the vehicle control</w:t>
      </w:r>
      <w:r w:rsidR="00784BE2">
        <w:t xml:space="preserve"> </w:t>
      </w:r>
      <w:r w:rsidR="00784BE2" w:rsidRPr="00DB2C42">
        <w:t>(</w:t>
      </w:r>
      <w:r w:rsidR="00784BE2" w:rsidRPr="00B4336F">
        <w:rPr>
          <w:b/>
          <w:bCs/>
        </w:rPr>
        <w:fldChar w:fldCharType="begin"/>
      </w:r>
      <w:r w:rsidR="00784BE2" w:rsidRPr="00B4336F">
        <w:rPr>
          <w:b/>
          <w:bCs/>
        </w:rPr>
        <w:instrText xml:space="preserve"> REF _Ref200808310 \h  \* MERGEFORMAT </w:instrText>
      </w:r>
      <w:r w:rsidR="00784BE2" w:rsidRPr="00B4336F">
        <w:rPr>
          <w:b/>
          <w:bCs/>
        </w:rPr>
      </w:r>
      <w:r w:rsidR="00784BE2" w:rsidRPr="00B4336F">
        <w:rPr>
          <w:b/>
          <w:bCs/>
        </w:rPr>
        <w:fldChar w:fldCharType="separate"/>
      </w:r>
      <w:r w:rsidR="00784BE2" w:rsidRPr="00B4336F">
        <w:rPr>
          <w:b/>
          <w:bCs/>
        </w:rPr>
        <w:t xml:space="preserve">Figure </w:t>
      </w:r>
      <w:r w:rsidR="00784BE2" w:rsidRPr="00B4336F">
        <w:rPr>
          <w:b/>
          <w:bCs/>
          <w:noProof/>
        </w:rPr>
        <w:t>4</w:t>
      </w:r>
      <w:r w:rsidR="00784BE2" w:rsidRPr="00B4336F">
        <w:rPr>
          <w:b/>
          <w:bCs/>
        </w:rPr>
        <w:t>.</w:t>
      </w:r>
      <w:r w:rsidR="00784BE2" w:rsidRPr="00B4336F">
        <w:rPr>
          <w:b/>
          <w:bCs/>
          <w:noProof/>
        </w:rPr>
        <w:t>4</w:t>
      </w:r>
      <w:r w:rsidR="00784BE2" w:rsidRPr="00B4336F">
        <w:rPr>
          <w:b/>
          <w:bCs/>
        </w:rPr>
        <w:fldChar w:fldCharType="end"/>
      </w:r>
      <w:r w:rsidR="00784BE2" w:rsidRPr="00B4336F">
        <w:rPr>
          <w:b/>
          <w:bCs/>
        </w:rPr>
        <w:t>E</w:t>
      </w:r>
      <w:r w:rsidR="00784BE2" w:rsidRPr="00DB2C42">
        <w:t>)</w:t>
      </w:r>
      <w:r w:rsidRPr="00DB2C42">
        <w:t>. Finally,</w:t>
      </w:r>
      <w:r w:rsidR="00A72496">
        <w:t xml:space="preserve"> </w:t>
      </w:r>
      <w:r w:rsidRPr="00DB2C42">
        <w:t xml:space="preserve">RES significantly decreased coupling efficiency compared to both the </w:t>
      </w:r>
      <w:r w:rsidRPr="00DB2C42">
        <w:lastRenderedPageBreak/>
        <w:t xml:space="preserve">negative </w:t>
      </w:r>
      <w:r w:rsidR="00C77DDC">
        <w:t>and vehicle controls</w:t>
      </w:r>
      <w:r w:rsidRPr="00DB2C42">
        <w:t>, while ROSI only significantly reduced coupling efficiency compared to the negative control (</w:t>
      </w:r>
      <w:r w:rsidRPr="00B4336F">
        <w:rPr>
          <w:b/>
          <w:bCs/>
        </w:rPr>
        <w:fldChar w:fldCharType="begin"/>
      </w:r>
      <w:r w:rsidRPr="00B4336F">
        <w:rPr>
          <w:b/>
          <w:bCs/>
        </w:rPr>
        <w:instrText xml:space="preserve"> REF _Ref200808310 \h </w:instrText>
      </w:r>
      <w:r w:rsidR="00DB2C42" w:rsidRPr="00B4336F">
        <w:rPr>
          <w:b/>
          <w:bCs/>
        </w:rPr>
        <w:instrText xml:space="preserve"> \* MERGEFORMAT </w:instrText>
      </w:r>
      <w:r w:rsidRPr="00B4336F">
        <w:rPr>
          <w:b/>
          <w:bCs/>
        </w:rPr>
      </w:r>
      <w:r w:rsidRPr="00B4336F">
        <w:rPr>
          <w:b/>
          <w:bCs/>
        </w:rPr>
        <w:fldChar w:fldCharType="separate"/>
      </w:r>
      <w:r w:rsidRPr="00B4336F">
        <w:rPr>
          <w:b/>
          <w:bCs/>
        </w:rPr>
        <w:t xml:space="preserve">Figure </w:t>
      </w:r>
      <w:r w:rsidRPr="00B4336F">
        <w:rPr>
          <w:b/>
          <w:bCs/>
          <w:noProof/>
        </w:rPr>
        <w:t>4</w:t>
      </w:r>
      <w:r w:rsidRPr="00B4336F">
        <w:rPr>
          <w:b/>
          <w:bCs/>
        </w:rPr>
        <w:t>.</w:t>
      </w:r>
      <w:r w:rsidRPr="00B4336F">
        <w:rPr>
          <w:b/>
          <w:bCs/>
          <w:noProof/>
        </w:rPr>
        <w:t>4</w:t>
      </w:r>
      <w:r w:rsidRPr="00B4336F">
        <w:rPr>
          <w:b/>
          <w:bCs/>
        </w:rPr>
        <w:fldChar w:fldCharType="end"/>
      </w:r>
      <w:r w:rsidRPr="00B4336F">
        <w:rPr>
          <w:b/>
          <w:bCs/>
        </w:rPr>
        <w:t>F</w:t>
      </w:r>
      <w:r w:rsidRPr="00DB2C42">
        <w:t xml:space="preserve">). </w:t>
      </w:r>
    </w:p>
    <w:p w14:paraId="5D3CDB24" w14:textId="18AA696B" w:rsidR="00881CD0" w:rsidRPr="00DB2C42" w:rsidRDefault="00881CD0" w:rsidP="00E876F2">
      <w:pPr>
        <w:ind w:firstLine="720"/>
        <w:jc w:val="left"/>
      </w:pPr>
      <w:r w:rsidRPr="00DB2C42">
        <w:t xml:space="preserve">In </w:t>
      </w:r>
      <w:r w:rsidR="003108E5">
        <w:t xml:space="preserve">the differentiated </w:t>
      </w:r>
      <w:r w:rsidR="003108E5" w:rsidRPr="00DB2C42">
        <w:t xml:space="preserve">male </w:t>
      </w:r>
      <w:r w:rsidR="003108E5" w:rsidRPr="00DB2C42">
        <w:rPr>
          <w:i/>
        </w:rPr>
        <w:t xml:space="preserve">db/db </w:t>
      </w:r>
      <w:r w:rsidRPr="00DB2C42">
        <w:t xml:space="preserve">ADSCs, RES did not significantly affect basal respiration, whereas ROSI significantly increased basal respiration compared to both the negative </w:t>
      </w:r>
      <w:r w:rsidR="00C77DDC">
        <w:t>and vehicle controls</w:t>
      </w:r>
      <w:r w:rsidRPr="00DB2C42">
        <w:t xml:space="preserve"> (</w:t>
      </w:r>
      <w:r w:rsidRPr="00024229">
        <w:rPr>
          <w:b/>
          <w:bCs/>
        </w:rPr>
        <w:fldChar w:fldCharType="begin"/>
      </w:r>
      <w:r w:rsidRPr="00024229">
        <w:rPr>
          <w:b/>
          <w:bCs/>
        </w:rPr>
        <w:instrText xml:space="preserve"> REF _Ref200808368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5</w:t>
      </w:r>
      <w:r w:rsidRPr="00024229">
        <w:rPr>
          <w:b/>
          <w:bCs/>
        </w:rPr>
        <w:fldChar w:fldCharType="end"/>
      </w:r>
      <w:r w:rsidRPr="00024229">
        <w:rPr>
          <w:b/>
          <w:bCs/>
        </w:rPr>
        <w:t>B</w:t>
      </w:r>
      <w:r w:rsidRPr="00DB2C42">
        <w:t xml:space="preserve">). However, </w:t>
      </w:r>
      <w:r w:rsidR="00526E15" w:rsidRPr="00DB2C42">
        <w:t>RES</w:t>
      </w:r>
      <w:r w:rsidR="00526E15">
        <w:t xml:space="preserve">, but not ROSI, </w:t>
      </w:r>
      <w:r w:rsidR="00526E15" w:rsidRPr="00DB2C42">
        <w:t xml:space="preserve">significantly increased </w:t>
      </w:r>
      <w:r w:rsidRPr="00DB2C42">
        <w:t xml:space="preserve">maximal respiration </w:t>
      </w:r>
      <w:r w:rsidR="00165189">
        <w:t>compared to</w:t>
      </w:r>
      <w:r w:rsidRPr="00DB2C42">
        <w:t xml:space="preserve"> both controls (</w:t>
      </w:r>
      <w:r w:rsidRPr="00024229">
        <w:rPr>
          <w:b/>
          <w:bCs/>
        </w:rPr>
        <w:fldChar w:fldCharType="begin"/>
      </w:r>
      <w:r w:rsidRPr="00024229">
        <w:rPr>
          <w:b/>
          <w:bCs/>
        </w:rPr>
        <w:instrText xml:space="preserve"> REF _Ref200808368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5</w:t>
      </w:r>
      <w:r w:rsidRPr="00024229">
        <w:rPr>
          <w:b/>
          <w:bCs/>
        </w:rPr>
        <w:fldChar w:fldCharType="end"/>
      </w:r>
      <w:r w:rsidRPr="00024229">
        <w:rPr>
          <w:b/>
          <w:bCs/>
        </w:rPr>
        <w:t>C</w:t>
      </w:r>
      <w:r w:rsidRPr="00DB2C42">
        <w:t>). Both RES and ROSI significantly elevated proton leak compared to the negative</w:t>
      </w:r>
      <w:r w:rsidR="00C77DDC">
        <w:t xml:space="preserve"> and vehicle controls</w:t>
      </w:r>
      <w:r w:rsidRPr="00DB2C42">
        <w:t xml:space="preserve"> (</w:t>
      </w:r>
      <w:r w:rsidRPr="00024229">
        <w:rPr>
          <w:b/>
          <w:bCs/>
        </w:rPr>
        <w:fldChar w:fldCharType="begin"/>
      </w:r>
      <w:r w:rsidRPr="00024229">
        <w:rPr>
          <w:b/>
          <w:bCs/>
        </w:rPr>
        <w:instrText xml:space="preserve"> REF _Ref200808368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5</w:t>
      </w:r>
      <w:r w:rsidRPr="00024229">
        <w:rPr>
          <w:b/>
          <w:bCs/>
        </w:rPr>
        <w:fldChar w:fldCharType="end"/>
      </w:r>
      <w:r w:rsidRPr="00024229">
        <w:rPr>
          <w:b/>
          <w:bCs/>
        </w:rPr>
        <w:t>D</w:t>
      </w:r>
      <w:r w:rsidRPr="00DB2C42">
        <w:t>). While ROSI significantly increased ATP production, RES had no significant effect on ATP production (</w:t>
      </w:r>
      <w:r w:rsidRPr="00024229">
        <w:rPr>
          <w:b/>
          <w:bCs/>
        </w:rPr>
        <w:fldChar w:fldCharType="begin"/>
      </w:r>
      <w:r w:rsidRPr="00024229">
        <w:rPr>
          <w:b/>
          <w:bCs/>
        </w:rPr>
        <w:instrText xml:space="preserve"> REF _Ref200808368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5</w:t>
      </w:r>
      <w:r w:rsidRPr="00024229">
        <w:rPr>
          <w:b/>
          <w:bCs/>
        </w:rPr>
        <w:fldChar w:fldCharType="end"/>
      </w:r>
      <w:r w:rsidRPr="00024229">
        <w:rPr>
          <w:b/>
          <w:bCs/>
        </w:rPr>
        <w:t>E</w:t>
      </w:r>
      <w:r w:rsidRPr="00DB2C42">
        <w:t xml:space="preserve">). </w:t>
      </w:r>
      <w:r w:rsidR="00525BC6">
        <w:t xml:space="preserve">Consequently, </w:t>
      </w:r>
      <w:r w:rsidR="00525BC6" w:rsidRPr="005444EF">
        <w:t>RES</w:t>
      </w:r>
      <w:r w:rsidR="001848AF">
        <w:t>, but not ROSI,</w:t>
      </w:r>
      <w:r w:rsidRPr="00DB2C42">
        <w:t xml:space="preserve"> significantly decreased coupling efficiency compared to both the negative </w:t>
      </w:r>
      <w:r w:rsidR="00C77DDC">
        <w:t>and vehicle controls</w:t>
      </w:r>
      <w:r w:rsidR="00A4585C">
        <w:t xml:space="preserve"> in the differentiated male </w:t>
      </w:r>
      <w:r w:rsidR="00A4585C" w:rsidRPr="00F928F8">
        <w:rPr>
          <w:i/>
          <w:iCs/>
        </w:rPr>
        <w:t>db/db</w:t>
      </w:r>
      <w:r w:rsidR="00A4585C">
        <w:t xml:space="preserve"> ADSCs</w:t>
      </w:r>
      <w:r w:rsidR="00C77DDC">
        <w:t xml:space="preserve"> </w:t>
      </w:r>
      <w:r w:rsidRPr="00DB2C42">
        <w:t>(</w:t>
      </w:r>
      <w:r w:rsidRPr="00024229">
        <w:rPr>
          <w:b/>
          <w:bCs/>
        </w:rPr>
        <w:fldChar w:fldCharType="begin"/>
      </w:r>
      <w:r w:rsidRPr="00024229">
        <w:rPr>
          <w:b/>
          <w:bCs/>
        </w:rPr>
        <w:instrText xml:space="preserve"> REF _Ref200808368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5</w:t>
      </w:r>
      <w:r w:rsidRPr="00024229">
        <w:rPr>
          <w:b/>
          <w:bCs/>
        </w:rPr>
        <w:fldChar w:fldCharType="end"/>
      </w:r>
      <w:r w:rsidRPr="00024229">
        <w:rPr>
          <w:b/>
          <w:bCs/>
        </w:rPr>
        <w:t>F</w:t>
      </w:r>
      <w:r w:rsidRPr="00DB2C42">
        <w:t xml:space="preserve">). </w:t>
      </w:r>
    </w:p>
    <w:p w14:paraId="02AFDD22" w14:textId="5137C997" w:rsidR="00881CD0" w:rsidRPr="00DB2C42" w:rsidRDefault="00881CD0" w:rsidP="00E876F2">
      <w:pPr>
        <w:ind w:firstLine="720"/>
        <w:jc w:val="left"/>
      </w:pPr>
      <w:r w:rsidRPr="00DB2C42">
        <w:t xml:space="preserve">In </w:t>
      </w:r>
      <w:r w:rsidR="003E714C">
        <w:t xml:space="preserve">differentiated </w:t>
      </w:r>
      <w:r w:rsidRPr="00DB2C42">
        <w:t xml:space="preserve">female </w:t>
      </w:r>
      <w:r w:rsidRPr="00DB2C42">
        <w:rPr>
          <w:i/>
        </w:rPr>
        <w:t>db/db</w:t>
      </w:r>
      <w:r w:rsidRPr="00DB2C42">
        <w:t xml:space="preserve"> ADSCs, RES did not significantly affect basal respiration, whereas ROSI significantly increased basal respiration compared to both the negative </w:t>
      </w:r>
      <w:r w:rsidR="00C77DDC">
        <w:t xml:space="preserve">and vehicle controls </w:t>
      </w:r>
      <w:r w:rsidRPr="00DB2C42">
        <w:t>(</w:t>
      </w:r>
      <w:r w:rsidRPr="00024229">
        <w:rPr>
          <w:b/>
          <w:bCs/>
        </w:rPr>
        <w:fldChar w:fldCharType="begin"/>
      </w:r>
      <w:r w:rsidRPr="00024229">
        <w:rPr>
          <w:b/>
          <w:bCs/>
        </w:rPr>
        <w:instrText xml:space="preserve"> REF _Ref200808412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6</w:t>
      </w:r>
      <w:r w:rsidRPr="00024229">
        <w:rPr>
          <w:b/>
          <w:bCs/>
        </w:rPr>
        <w:fldChar w:fldCharType="end"/>
      </w:r>
      <w:r w:rsidRPr="00024229">
        <w:rPr>
          <w:b/>
          <w:bCs/>
        </w:rPr>
        <w:t>B</w:t>
      </w:r>
      <w:r w:rsidRPr="00DB2C42">
        <w:t>). Maximal respiration was elevated by</w:t>
      </w:r>
      <w:r w:rsidR="008F66B5">
        <w:t xml:space="preserve"> the vehicle (DMSO)</w:t>
      </w:r>
      <w:r w:rsidRPr="00DB2C42">
        <w:t xml:space="preserve">, RES, and ROSI </w:t>
      </w:r>
      <w:r w:rsidR="00880D90">
        <w:t>compared</w:t>
      </w:r>
      <w:r w:rsidR="00880D90" w:rsidRPr="00DB2C42">
        <w:t xml:space="preserve"> </w:t>
      </w:r>
      <w:r w:rsidRPr="00DB2C42">
        <w:t>to the negative control (</w:t>
      </w:r>
      <w:r w:rsidRPr="00024229">
        <w:rPr>
          <w:b/>
          <w:bCs/>
        </w:rPr>
        <w:fldChar w:fldCharType="begin"/>
      </w:r>
      <w:r w:rsidRPr="00024229">
        <w:rPr>
          <w:b/>
          <w:bCs/>
        </w:rPr>
        <w:instrText xml:space="preserve"> REF _Ref200808412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6</w:t>
      </w:r>
      <w:r w:rsidRPr="00024229">
        <w:rPr>
          <w:b/>
          <w:bCs/>
        </w:rPr>
        <w:fldChar w:fldCharType="end"/>
      </w:r>
      <w:r w:rsidRPr="00024229">
        <w:rPr>
          <w:b/>
          <w:bCs/>
        </w:rPr>
        <w:t>C</w:t>
      </w:r>
      <w:r w:rsidRPr="00DB2C42">
        <w:t xml:space="preserve">). </w:t>
      </w:r>
      <w:r w:rsidR="009461F6">
        <w:t>While</w:t>
      </w:r>
      <w:r w:rsidRPr="00DB2C42">
        <w:t xml:space="preserve"> ROSI significantly increased proton leak and ATP production compared to </w:t>
      </w:r>
      <w:r w:rsidR="009461F6">
        <w:t xml:space="preserve">both the negative and </w:t>
      </w:r>
      <w:r w:rsidR="008F66B5">
        <w:t>the vehicle control</w:t>
      </w:r>
      <w:r w:rsidR="009461F6">
        <w:t xml:space="preserve">s, </w:t>
      </w:r>
      <w:r w:rsidR="002B78F5">
        <w:t xml:space="preserve">RES </w:t>
      </w:r>
      <w:r w:rsidR="00063A89">
        <w:t>caused</w:t>
      </w:r>
      <w:r w:rsidR="00F86BFE">
        <w:t xml:space="preserve"> modest </w:t>
      </w:r>
      <w:r w:rsidR="001C039F">
        <w:t xml:space="preserve">but not </w:t>
      </w:r>
      <w:r w:rsidR="00017EE7">
        <w:t xml:space="preserve">significant </w:t>
      </w:r>
      <w:r w:rsidR="001C039F">
        <w:t>elevation</w:t>
      </w:r>
      <w:r w:rsidR="00017EE7">
        <w:t xml:space="preserve"> </w:t>
      </w:r>
      <w:r w:rsidR="00063A89">
        <w:t>i</w:t>
      </w:r>
      <w:r w:rsidR="00017EE7">
        <w:t xml:space="preserve">n the proton leak but </w:t>
      </w:r>
      <w:r w:rsidR="00A84631">
        <w:t xml:space="preserve">significantly </w:t>
      </w:r>
      <w:r w:rsidR="00017EE7">
        <w:t>decreased ATP production compared to the vehicle control</w:t>
      </w:r>
      <w:r w:rsidR="008F66B5">
        <w:t xml:space="preserve"> </w:t>
      </w:r>
      <w:r w:rsidRPr="00DB2C42">
        <w:t>(</w:t>
      </w:r>
      <w:r w:rsidRPr="00024229">
        <w:rPr>
          <w:b/>
          <w:bCs/>
        </w:rPr>
        <w:fldChar w:fldCharType="begin"/>
      </w:r>
      <w:r w:rsidRPr="00024229">
        <w:rPr>
          <w:b/>
          <w:bCs/>
        </w:rPr>
        <w:instrText xml:space="preserve"> REF _Ref200808412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6</w:t>
      </w:r>
      <w:r w:rsidRPr="00024229">
        <w:rPr>
          <w:b/>
          <w:bCs/>
        </w:rPr>
        <w:fldChar w:fldCharType="end"/>
      </w:r>
      <w:r w:rsidRPr="00024229">
        <w:rPr>
          <w:b/>
          <w:bCs/>
        </w:rPr>
        <w:t>D-E</w:t>
      </w:r>
      <w:r w:rsidRPr="00DB2C42">
        <w:t xml:space="preserve">). </w:t>
      </w:r>
      <w:r w:rsidR="00AE7847">
        <w:t xml:space="preserve">As a result, </w:t>
      </w:r>
      <w:r w:rsidR="00AE7847" w:rsidRPr="00DB2C42">
        <w:t xml:space="preserve">RES </w:t>
      </w:r>
      <w:r w:rsidR="00AE7847">
        <w:t>significantly reduced c</w:t>
      </w:r>
      <w:r w:rsidRPr="00DB2C42">
        <w:t xml:space="preserve">oupling efficiency </w:t>
      </w:r>
      <w:r w:rsidR="00825B88">
        <w:t>compared to both controls while</w:t>
      </w:r>
      <w:r w:rsidRPr="00DB2C42">
        <w:t xml:space="preserve"> ROSI </w:t>
      </w:r>
      <w:r w:rsidR="00EA0769">
        <w:t xml:space="preserve">and DMSO </w:t>
      </w:r>
      <w:r w:rsidR="00123382">
        <w:t xml:space="preserve">reduced the coupling efficiency </w:t>
      </w:r>
      <w:r w:rsidR="0035042F">
        <w:t xml:space="preserve">only compared to the </w:t>
      </w:r>
      <w:r w:rsidRPr="00DB2C42">
        <w:t>negative control</w:t>
      </w:r>
      <w:r w:rsidR="000E160A">
        <w:t xml:space="preserve"> in the differentiated female </w:t>
      </w:r>
      <w:r w:rsidR="000E160A" w:rsidRPr="00F928F8">
        <w:rPr>
          <w:i/>
          <w:iCs/>
        </w:rPr>
        <w:t>db/db</w:t>
      </w:r>
      <w:r w:rsidR="000E160A">
        <w:t xml:space="preserve"> ADSCs </w:t>
      </w:r>
      <w:r w:rsidRPr="00DB2C42">
        <w:t>(</w:t>
      </w:r>
      <w:r w:rsidRPr="00024229">
        <w:rPr>
          <w:b/>
          <w:bCs/>
        </w:rPr>
        <w:fldChar w:fldCharType="begin"/>
      </w:r>
      <w:r w:rsidRPr="00024229">
        <w:rPr>
          <w:b/>
          <w:bCs/>
        </w:rPr>
        <w:instrText xml:space="preserve"> REF _Ref200808412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6</w:t>
      </w:r>
      <w:r w:rsidRPr="00024229">
        <w:rPr>
          <w:b/>
          <w:bCs/>
        </w:rPr>
        <w:fldChar w:fldCharType="end"/>
      </w:r>
      <w:r w:rsidRPr="00024229">
        <w:rPr>
          <w:b/>
          <w:bCs/>
        </w:rPr>
        <w:t>F</w:t>
      </w:r>
      <w:r w:rsidRPr="00DB2C42">
        <w:t xml:space="preserve">). </w:t>
      </w:r>
    </w:p>
    <w:p w14:paraId="2FC307CB" w14:textId="636D6888" w:rsidR="00881CD0" w:rsidRPr="00DB2C42" w:rsidRDefault="00881CD0" w:rsidP="00847BA5">
      <w:pPr>
        <w:pStyle w:val="Heading3"/>
        <w:jc w:val="left"/>
      </w:pPr>
      <w:bookmarkStart w:id="196" w:name="_Toc196309412"/>
      <w:bookmarkStart w:id="197" w:name="_Toc200810435"/>
      <w:bookmarkStart w:id="198" w:name="_Toc204848674"/>
      <w:r w:rsidRPr="00DB2C42">
        <w:lastRenderedPageBreak/>
        <w:t xml:space="preserve">Sex and </w:t>
      </w:r>
      <w:r w:rsidR="007A598A" w:rsidRPr="00DB2C42">
        <w:t>G</w:t>
      </w:r>
      <w:r w:rsidRPr="00DB2C42">
        <w:t xml:space="preserve">enotype </w:t>
      </w:r>
      <w:r w:rsidR="007A598A" w:rsidRPr="00DB2C42">
        <w:t>D</w:t>
      </w:r>
      <w:r w:rsidRPr="00DB2C42">
        <w:t xml:space="preserve">ifferences in the </w:t>
      </w:r>
      <w:r w:rsidR="007A598A" w:rsidRPr="00DB2C42">
        <w:t>M</w:t>
      </w:r>
      <w:r w:rsidRPr="00DB2C42">
        <w:t xml:space="preserve">itochondrial </w:t>
      </w:r>
      <w:r w:rsidR="007A598A" w:rsidRPr="00DB2C42">
        <w:t>U</w:t>
      </w:r>
      <w:r w:rsidRPr="00DB2C42">
        <w:t xml:space="preserve">ncoupling in </w:t>
      </w:r>
      <w:r w:rsidR="006E6769" w:rsidRPr="00DB2C42">
        <w:t>R</w:t>
      </w:r>
      <w:r w:rsidRPr="00DB2C42">
        <w:t>esponse to RES</w:t>
      </w:r>
      <w:bookmarkEnd w:id="196"/>
      <w:bookmarkEnd w:id="197"/>
      <w:bookmarkEnd w:id="198"/>
    </w:p>
    <w:p w14:paraId="680EB131" w14:textId="3F9B5664" w:rsidR="00881CD0" w:rsidRPr="00DB2C42" w:rsidRDefault="00881CD0" w:rsidP="00E876F2">
      <w:pPr>
        <w:ind w:firstLine="720"/>
        <w:jc w:val="left"/>
      </w:pPr>
      <w:r w:rsidRPr="00DB2C42">
        <w:t>To assess the relative uncoupling response</w:t>
      </w:r>
      <w:r w:rsidR="00163F34">
        <w:t>s</w:t>
      </w:r>
      <w:r w:rsidRPr="00DB2C42">
        <w:t xml:space="preserve"> across different </w:t>
      </w:r>
      <w:r w:rsidR="004262E0">
        <w:t xml:space="preserve">differentiated </w:t>
      </w:r>
      <w:r w:rsidRPr="00DB2C42">
        <w:t>ADSCs, fold changes in proton leak and coupling efficiency induced by</w:t>
      </w:r>
      <w:r w:rsidR="00A65C96">
        <w:t xml:space="preserve"> </w:t>
      </w:r>
      <w:r w:rsidRPr="00DB2C42">
        <w:t>RES relative to</w:t>
      </w:r>
      <w:r w:rsidR="000D5D71">
        <w:t xml:space="preserve"> </w:t>
      </w:r>
      <w:r w:rsidR="00FF3613">
        <w:t xml:space="preserve">the </w:t>
      </w:r>
      <w:r w:rsidR="000D5D71">
        <w:t>vehicle control</w:t>
      </w:r>
      <w:r w:rsidRPr="00DB2C42">
        <w:t xml:space="preserve"> were calculated (</w:t>
      </w:r>
      <w:r w:rsidRPr="00024229">
        <w:rPr>
          <w:b/>
          <w:bCs/>
        </w:rPr>
        <w:fldChar w:fldCharType="begin"/>
      </w:r>
      <w:r w:rsidRPr="00024229">
        <w:rPr>
          <w:b/>
          <w:bCs/>
        </w:rPr>
        <w:instrText xml:space="preserve"> REF _Ref200808456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7</w:t>
      </w:r>
      <w:r w:rsidRPr="00024229">
        <w:rPr>
          <w:b/>
          <w:bCs/>
        </w:rPr>
        <w:fldChar w:fldCharType="end"/>
      </w:r>
      <w:r w:rsidRPr="00DB2C42">
        <w:t xml:space="preserve">). </w:t>
      </w:r>
      <w:r w:rsidR="00980DB2">
        <w:t>T</w:t>
      </w:r>
      <w:r w:rsidRPr="00DB2C42">
        <w:t>here were no significant differences among the four groups in the fold change</w:t>
      </w:r>
      <w:r w:rsidR="00E94042">
        <w:t>s</w:t>
      </w:r>
      <w:r w:rsidRPr="00DB2C42">
        <w:t xml:space="preserve"> of proton leak induced by RES </w:t>
      </w:r>
      <w:r w:rsidR="00FF3C0B">
        <w:t>compared</w:t>
      </w:r>
      <w:r w:rsidR="00FF3C0B" w:rsidRPr="00DB2C42">
        <w:t xml:space="preserve"> </w:t>
      </w:r>
      <w:r w:rsidRPr="00DB2C42">
        <w:t>to</w:t>
      </w:r>
      <w:r w:rsidR="008F66B5">
        <w:t xml:space="preserve"> the vehicle control</w:t>
      </w:r>
      <w:r w:rsidRPr="00DB2C42">
        <w:t xml:space="preserve"> (</w:t>
      </w:r>
      <w:r w:rsidRPr="00024229">
        <w:rPr>
          <w:b/>
          <w:bCs/>
        </w:rPr>
        <w:fldChar w:fldCharType="begin"/>
      </w:r>
      <w:r w:rsidRPr="00024229">
        <w:rPr>
          <w:b/>
          <w:bCs/>
        </w:rPr>
        <w:instrText xml:space="preserve"> REF _Ref200808456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7</w:t>
      </w:r>
      <w:r w:rsidRPr="00024229">
        <w:rPr>
          <w:b/>
          <w:bCs/>
        </w:rPr>
        <w:fldChar w:fldCharType="end"/>
      </w:r>
      <w:r w:rsidRPr="00024229">
        <w:rPr>
          <w:b/>
          <w:bCs/>
        </w:rPr>
        <w:t>A</w:t>
      </w:r>
      <w:r w:rsidRPr="00DB2C42">
        <w:t xml:space="preserve">). In contrast, </w:t>
      </w:r>
      <w:r w:rsidRPr="00BD366D">
        <w:t xml:space="preserve">RES </w:t>
      </w:r>
      <w:r w:rsidR="003A0752" w:rsidRPr="00F928F8">
        <w:t xml:space="preserve">significantly </w:t>
      </w:r>
      <w:r w:rsidR="00E27B76" w:rsidRPr="00F928F8">
        <w:t>reduced</w:t>
      </w:r>
      <w:r w:rsidR="004812D2" w:rsidRPr="00F928F8">
        <w:t xml:space="preserve"> </w:t>
      </w:r>
      <w:r w:rsidR="003A0752" w:rsidRPr="00F928F8">
        <w:t>mor</w:t>
      </w:r>
      <w:r w:rsidR="00A26621" w:rsidRPr="00F928F8">
        <w:t xml:space="preserve">e </w:t>
      </w:r>
      <w:r w:rsidRPr="00BD366D">
        <w:t xml:space="preserve">coupling efficiency in </w:t>
      </w:r>
      <w:r w:rsidR="00A26621" w:rsidRPr="00F928F8">
        <w:t xml:space="preserve">the differentiated male </w:t>
      </w:r>
      <w:r w:rsidR="00A26621" w:rsidRPr="00F928F8">
        <w:rPr>
          <w:i/>
          <w:iCs/>
        </w:rPr>
        <w:t>db/db</w:t>
      </w:r>
      <w:r w:rsidR="00A26621" w:rsidRPr="00F928F8">
        <w:t xml:space="preserve"> ADSCs than </w:t>
      </w:r>
      <w:r w:rsidR="00262E48" w:rsidRPr="00F928F8">
        <w:t xml:space="preserve">in </w:t>
      </w:r>
      <w:r w:rsidR="00A26621" w:rsidRPr="00F928F8">
        <w:t xml:space="preserve">the male WT </w:t>
      </w:r>
      <w:r w:rsidR="00E67FB5" w:rsidRPr="00F928F8">
        <w:t xml:space="preserve">and female </w:t>
      </w:r>
      <w:r w:rsidR="00E67FB5" w:rsidRPr="00F928F8">
        <w:rPr>
          <w:i/>
          <w:iCs/>
        </w:rPr>
        <w:t>db/db</w:t>
      </w:r>
      <w:r w:rsidR="00E67FB5" w:rsidRPr="00F928F8">
        <w:t xml:space="preserve"> </w:t>
      </w:r>
      <w:r w:rsidR="000938A2" w:rsidRPr="00F928F8">
        <w:t>counterparts</w:t>
      </w:r>
      <w:r w:rsidR="00262E48" w:rsidRPr="00F928F8">
        <w:t xml:space="preserve"> </w:t>
      </w:r>
      <w:r w:rsidRPr="00DB2C42">
        <w:t>(</w:t>
      </w:r>
      <w:r w:rsidRPr="00024229">
        <w:rPr>
          <w:b/>
          <w:bCs/>
        </w:rPr>
        <w:fldChar w:fldCharType="begin"/>
      </w:r>
      <w:r w:rsidRPr="00024229">
        <w:rPr>
          <w:b/>
          <w:bCs/>
        </w:rPr>
        <w:instrText xml:space="preserve"> REF _Ref200808456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7</w:t>
      </w:r>
      <w:r w:rsidRPr="00024229">
        <w:rPr>
          <w:b/>
          <w:bCs/>
        </w:rPr>
        <w:fldChar w:fldCharType="end"/>
      </w:r>
      <w:r w:rsidRPr="00024229">
        <w:rPr>
          <w:b/>
          <w:bCs/>
        </w:rPr>
        <w:t>B</w:t>
      </w:r>
      <w:r w:rsidRPr="00DB2C42">
        <w:t>).</w:t>
      </w:r>
    </w:p>
    <w:p w14:paraId="16B0895B" w14:textId="7815E6E6" w:rsidR="00881CD0" w:rsidRPr="00DB2C42" w:rsidRDefault="00881CD0" w:rsidP="00847BA5">
      <w:pPr>
        <w:pStyle w:val="Heading3"/>
        <w:jc w:val="left"/>
      </w:pPr>
      <w:bookmarkStart w:id="199" w:name="_Toc196309413"/>
      <w:bookmarkStart w:id="200" w:name="_Toc200810436"/>
      <w:bookmarkStart w:id="201" w:name="_Toc204848675"/>
      <w:r w:rsidRPr="00DB2C42">
        <w:t xml:space="preserve">RES </w:t>
      </w:r>
      <w:r w:rsidR="006E6769" w:rsidRPr="00DB2C42">
        <w:t>I</w:t>
      </w:r>
      <w:r w:rsidRPr="00DB2C42">
        <w:t xml:space="preserve">mproved </w:t>
      </w:r>
      <w:r w:rsidR="006E6769" w:rsidRPr="00DB2C42">
        <w:t>I</w:t>
      </w:r>
      <w:r w:rsidRPr="00DB2C42">
        <w:t xml:space="preserve">nsulin </w:t>
      </w:r>
      <w:r w:rsidR="006E6769" w:rsidRPr="00DB2C42">
        <w:t>S</w:t>
      </w:r>
      <w:r w:rsidRPr="00DB2C42">
        <w:t xml:space="preserve">ignaling by </w:t>
      </w:r>
      <w:r w:rsidR="006E6769" w:rsidRPr="00DB2C42">
        <w:t>E</w:t>
      </w:r>
      <w:r w:rsidRPr="00DB2C42">
        <w:t xml:space="preserve">nhancing </w:t>
      </w:r>
      <w:r w:rsidR="006E6769" w:rsidRPr="00DB2C42">
        <w:t>I</w:t>
      </w:r>
      <w:r w:rsidRPr="00DB2C42">
        <w:t xml:space="preserve">nsulin-stimulated AKT </w:t>
      </w:r>
      <w:r w:rsidR="006E6769" w:rsidRPr="00DB2C42">
        <w:t>P</w:t>
      </w:r>
      <w:r w:rsidRPr="00DB2C42">
        <w:t>hosphorylation</w:t>
      </w:r>
      <w:bookmarkEnd w:id="199"/>
      <w:bookmarkEnd w:id="200"/>
      <w:bookmarkEnd w:id="201"/>
      <w:r w:rsidRPr="00DB2C42">
        <w:t xml:space="preserve"> </w:t>
      </w:r>
    </w:p>
    <w:p w14:paraId="0D9238C3" w14:textId="750C9321" w:rsidR="00881CD0" w:rsidRPr="00DB2C42" w:rsidRDefault="00881CD0" w:rsidP="00E876F2">
      <w:pPr>
        <w:ind w:firstLine="720"/>
        <w:jc w:val="left"/>
      </w:pPr>
      <w:r w:rsidRPr="00DB2C42">
        <w:t>Insulin-stimulated AKT phosphorylation was assessed</w:t>
      </w:r>
      <w:r w:rsidR="007C48D0">
        <w:t xml:space="preserve"> as a marker of insulin sensitivity</w:t>
      </w:r>
      <w:r w:rsidRPr="00DB2C42">
        <w:t xml:space="preserve"> in </w:t>
      </w:r>
      <w:r w:rsidR="0005723D">
        <w:t xml:space="preserve">the </w:t>
      </w:r>
      <w:r w:rsidRPr="00DB2C42">
        <w:t xml:space="preserve">four types of ADSCs differentiated </w:t>
      </w:r>
      <w:r w:rsidR="00D84F73">
        <w:t xml:space="preserve">in the presence or absence of </w:t>
      </w:r>
      <w:r w:rsidRPr="00DB2C42">
        <w:t xml:space="preserve">RES, ROSI, or </w:t>
      </w:r>
      <w:r w:rsidR="00126564">
        <w:t xml:space="preserve">the </w:t>
      </w:r>
      <w:r w:rsidRPr="00DB2C42">
        <w:t xml:space="preserve">vehicle control. In </w:t>
      </w:r>
      <w:r w:rsidR="00D84F73">
        <w:t xml:space="preserve">the differentiated </w:t>
      </w:r>
      <w:r w:rsidRPr="00DB2C42">
        <w:t xml:space="preserve">male WT ADSCs, ROSI significantly increased total AKT protein levels </w:t>
      </w:r>
      <w:r w:rsidR="00ED2F11">
        <w:t xml:space="preserve">only </w:t>
      </w:r>
      <w:r w:rsidRPr="00DB2C42">
        <w:t xml:space="preserve">following insulin stimulation compared to both the negative </w:t>
      </w:r>
      <w:r w:rsidR="008F66B5">
        <w:t>and vehicle controls</w:t>
      </w:r>
      <w:r w:rsidRPr="00DB2C42">
        <w:t xml:space="preserve">, whereas </w:t>
      </w:r>
      <w:r w:rsidR="00DA00BB">
        <w:t>RES</w:t>
      </w:r>
      <w:r w:rsidR="00DA00BB" w:rsidRPr="00DB2C42">
        <w:t xml:space="preserve"> </w:t>
      </w:r>
      <w:r w:rsidRPr="00DB2C42">
        <w:t>had no effect on total AKT</w:t>
      </w:r>
      <w:r w:rsidR="00DA00BB">
        <w:t xml:space="preserve"> levels</w:t>
      </w:r>
      <w:r w:rsidR="00083BF6">
        <w:t xml:space="preserve"> under either basal or insulin-stimulated conditions</w:t>
      </w:r>
      <w:r w:rsidRPr="00DB2C42">
        <w:t xml:space="preserve"> (</w:t>
      </w:r>
      <w:r w:rsidRPr="00024229">
        <w:rPr>
          <w:b/>
          <w:bCs/>
        </w:rPr>
        <w:fldChar w:fldCharType="begin"/>
      </w:r>
      <w:r w:rsidRPr="00024229">
        <w:rPr>
          <w:b/>
          <w:bCs/>
        </w:rPr>
        <w:instrText xml:space="preserve"> REF _Ref200808698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8</w:t>
      </w:r>
      <w:r w:rsidRPr="00024229">
        <w:rPr>
          <w:b/>
          <w:bCs/>
        </w:rPr>
        <w:fldChar w:fldCharType="end"/>
      </w:r>
      <w:r w:rsidRPr="00024229">
        <w:rPr>
          <w:b/>
          <w:bCs/>
        </w:rPr>
        <w:t>B</w:t>
      </w:r>
      <w:r w:rsidRPr="00DB2C42">
        <w:t xml:space="preserve">). Both RES and ROSI significantly increased insulin-stimulated p-AKT (Ser473) levels compared to the negative </w:t>
      </w:r>
      <w:r w:rsidR="008F66B5">
        <w:t xml:space="preserve">and vehicle controls </w:t>
      </w:r>
      <w:r w:rsidRPr="00DB2C42">
        <w:t>(</w:t>
      </w:r>
      <w:r w:rsidRPr="00DB2C42">
        <w:fldChar w:fldCharType="begin"/>
      </w:r>
      <w:r w:rsidRPr="00DB2C42">
        <w:instrText xml:space="preserve"> REF _Ref200808698 \h </w:instrText>
      </w:r>
      <w:r w:rsidR="00DB2C42">
        <w:instrText xml:space="preserve"> \* MERGEFORMAT </w:instrText>
      </w:r>
      <w:r w:rsidRPr="00DB2C42">
        <w:fldChar w:fldCharType="separate"/>
      </w:r>
      <w:r w:rsidRPr="00DB2C42">
        <w:t xml:space="preserve">Figure </w:t>
      </w:r>
      <w:r w:rsidRPr="00DB2C42">
        <w:rPr>
          <w:noProof/>
        </w:rPr>
        <w:t>4</w:t>
      </w:r>
      <w:r w:rsidRPr="00DB2C42">
        <w:t>.</w:t>
      </w:r>
      <w:r w:rsidRPr="00DB2C42">
        <w:rPr>
          <w:noProof/>
        </w:rPr>
        <w:t>8</w:t>
      </w:r>
      <w:r w:rsidRPr="00DB2C42">
        <w:fldChar w:fldCharType="end"/>
      </w:r>
      <w:r w:rsidRPr="00DB2C42">
        <w:t xml:space="preserve">C). </w:t>
      </w:r>
      <w:r w:rsidR="00A84FDF">
        <w:t>Consequently</w:t>
      </w:r>
      <w:r w:rsidRPr="00DB2C42">
        <w:t xml:space="preserve">, only RES significantly increased the p-AKT/AKT ratio </w:t>
      </w:r>
      <w:r w:rsidR="00D9682D">
        <w:t xml:space="preserve">compared </w:t>
      </w:r>
      <w:r w:rsidRPr="00DB2C42">
        <w:t xml:space="preserve">to </w:t>
      </w:r>
      <w:r w:rsidR="008F66B5">
        <w:t>the vehicle control</w:t>
      </w:r>
      <w:r w:rsidR="008F66B5" w:rsidRPr="00DB2C42">
        <w:t xml:space="preserve"> </w:t>
      </w:r>
      <w:r w:rsidR="00DA4FDA">
        <w:t>in the different</w:t>
      </w:r>
      <w:r w:rsidR="00C929A7">
        <w:t xml:space="preserve">iated male WT ADSCs </w:t>
      </w:r>
      <w:r w:rsidRPr="00DB2C42">
        <w:t>(</w:t>
      </w:r>
      <w:r w:rsidRPr="00024229">
        <w:rPr>
          <w:b/>
          <w:bCs/>
        </w:rPr>
        <w:fldChar w:fldCharType="begin"/>
      </w:r>
      <w:r w:rsidRPr="00024229">
        <w:rPr>
          <w:b/>
          <w:bCs/>
        </w:rPr>
        <w:instrText xml:space="preserve"> REF _Ref200808698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8</w:t>
      </w:r>
      <w:r w:rsidRPr="00024229">
        <w:rPr>
          <w:b/>
          <w:bCs/>
        </w:rPr>
        <w:fldChar w:fldCharType="end"/>
      </w:r>
      <w:r w:rsidRPr="00024229">
        <w:rPr>
          <w:b/>
          <w:bCs/>
        </w:rPr>
        <w:t>D</w:t>
      </w:r>
      <w:r w:rsidRPr="00DB2C42">
        <w:t>).</w:t>
      </w:r>
    </w:p>
    <w:p w14:paraId="3D983601" w14:textId="6E3D6879" w:rsidR="00881CD0" w:rsidRPr="00DB2C42" w:rsidRDefault="00881CD0" w:rsidP="00E876F2">
      <w:pPr>
        <w:ind w:firstLine="720"/>
        <w:jc w:val="left"/>
      </w:pPr>
      <w:r w:rsidRPr="00DB2C42">
        <w:t xml:space="preserve">Similar results were found in </w:t>
      </w:r>
      <w:r w:rsidR="00EB2814">
        <w:t xml:space="preserve">the differentiated </w:t>
      </w:r>
      <w:r w:rsidRPr="00DB2C42">
        <w:t>female WT ADSCs.</w:t>
      </w:r>
      <w:r w:rsidR="006E5C1C">
        <w:t xml:space="preserve"> </w:t>
      </w:r>
      <w:r w:rsidRPr="00DB2C42">
        <w:t>ROSI</w:t>
      </w:r>
      <w:r w:rsidR="006E5C1C">
        <w:t>, but not RES,</w:t>
      </w:r>
      <w:r w:rsidRPr="00DB2C42">
        <w:t xml:space="preserve"> significantly increased total AKT levels following insulin stimulation compared to</w:t>
      </w:r>
      <w:r w:rsidR="008F66B5">
        <w:t xml:space="preserve"> the vehicle control</w:t>
      </w:r>
      <w:r w:rsidR="006E5C1C">
        <w:t xml:space="preserve"> </w:t>
      </w:r>
      <w:r w:rsidRPr="00DB2C42">
        <w:t>(</w:t>
      </w:r>
      <w:r w:rsidRPr="00024229">
        <w:rPr>
          <w:b/>
          <w:bCs/>
        </w:rPr>
        <w:fldChar w:fldCharType="begin"/>
      </w:r>
      <w:r w:rsidRPr="00024229">
        <w:rPr>
          <w:b/>
          <w:bCs/>
        </w:rPr>
        <w:instrText xml:space="preserve"> REF _Ref200808724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9</w:t>
      </w:r>
      <w:r w:rsidRPr="00024229">
        <w:rPr>
          <w:b/>
          <w:bCs/>
        </w:rPr>
        <w:fldChar w:fldCharType="end"/>
      </w:r>
      <w:r w:rsidRPr="00024229">
        <w:rPr>
          <w:b/>
          <w:bCs/>
        </w:rPr>
        <w:t>B</w:t>
      </w:r>
      <w:r w:rsidRPr="00DB2C42">
        <w:t xml:space="preserve">). </w:t>
      </w:r>
      <w:r w:rsidR="008F66B5">
        <w:t>Under insulin stimulation, b</w:t>
      </w:r>
      <w:r w:rsidRPr="00DB2C42">
        <w:t>oth</w:t>
      </w:r>
      <w:r w:rsidR="006E5C1C">
        <w:t xml:space="preserve"> </w:t>
      </w:r>
      <w:r w:rsidRPr="00DB2C42">
        <w:t xml:space="preserve">RES and ROSI significantly elevated p-AKT (Ser473) levels compared to the negative </w:t>
      </w:r>
      <w:r w:rsidR="008F66B5">
        <w:t xml:space="preserve">and vehicle controls </w:t>
      </w:r>
      <w:r w:rsidRPr="00DB2C42">
        <w:t>(</w:t>
      </w:r>
      <w:r w:rsidRPr="00024229">
        <w:rPr>
          <w:b/>
          <w:bCs/>
        </w:rPr>
        <w:fldChar w:fldCharType="begin"/>
      </w:r>
      <w:r w:rsidRPr="00024229">
        <w:rPr>
          <w:b/>
          <w:bCs/>
        </w:rPr>
        <w:instrText xml:space="preserve"> REF _Ref200808724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9</w:t>
      </w:r>
      <w:r w:rsidRPr="00024229">
        <w:rPr>
          <w:b/>
          <w:bCs/>
        </w:rPr>
        <w:fldChar w:fldCharType="end"/>
      </w:r>
      <w:r w:rsidRPr="00024229">
        <w:rPr>
          <w:b/>
          <w:bCs/>
        </w:rPr>
        <w:t>C</w:t>
      </w:r>
      <w:r w:rsidRPr="00DB2C42">
        <w:t xml:space="preserve">). </w:t>
      </w:r>
      <w:r w:rsidR="00B47B32">
        <w:t xml:space="preserve">While both </w:t>
      </w:r>
      <w:r w:rsidR="00B47B32">
        <w:lastRenderedPageBreak/>
        <w:t>treatment</w:t>
      </w:r>
      <w:r w:rsidR="00770DA7">
        <w:t>s</w:t>
      </w:r>
      <w:r w:rsidR="00B47B32">
        <w:t xml:space="preserve"> increased the p-AKT/AKT ratio</w:t>
      </w:r>
      <w:r w:rsidR="0058714A">
        <w:t>s</w:t>
      </w:r>
      <w:r w:rsidR="00B47B32">
        <w:t xml:space="preserve">, only </w:t>
      </w:r>
      <w:r w:rsidRPr="00DB2C42">
        <w:t>RES</w:t>
      </w:r>
      <w:r w:rsidR="00C12D4F">
        <w:t>’s effects reach stat</w:t>
      </w:r>
      <w:r w:rsidR="00F10DC8">
        <w:t xml:space="preserve">istical significance compared </w:t>
      </w:r>
      <w:r w:rsidRPr="00DB2C42">
        <w:t xml:space="preserve">to both the negative </w:t>
      </w:r>
      <w:r w:rsidR="008F66B5">
        <w:t xml:space="preserve">and vehicle </w:t>
      </w:r>
      <w:r w:rsidR="00F75B2C">
        <w:t>controls</w:t>
      </w:r>
      <w:r w:rsidR="008F66B5">
        <w:t xml:space="preserve"> </w:t>
      </w:r>
      <w:r w:rsidRPr="00DB2C42">
        <w:t>(</w:t>
      </w:r>
      <w:r w:rsidRPr="00024229">
        <w:rPr>
          <w:b/>
          <w:bCs/>
        </w:rPr>
        <w:fldChar w:fldCharType="begin"/>
      </w:r>
      <w:r w:rsidRPr="00024229">
        <w:rPr>
          <w:b/>
          <w:bCs/>
        </w:rPr>
        <w:instrText xml:space="preserve"> REF _Ref200808724 \h </w:instrText>
      </w:r>
      <w:r w:rsidR="00DB2C42" w:rsidRPr="00024229">
        <w:rPr>
          <w:b/>
          <w:bCs/>
        </w:rPr>
        <w:instrText xml:space="preserve"> \* MERGEFORMAT </w:instrText>
      </w:r>
      <w:r w:rsidRPr="00024229">
        <w:rPr>
          <w:b/>
          <w:bCs/>
        </w:rPr>
      </w:r>
      <w:r w:rsidRPr="00024229">
        <w:rPr>
          <w:b/>
          <w:bCs/>
        </w:rPr>
        <w:fldChar w:fldCharType="separate"/>
      </w:r>
      <w:r w:rsidRPr="00024229">
        <w:rPr>
          <w:b/>
          <w:bCs/>
        </w:rPr>
        <w:t xml:space="preserve">Figure </w:t>
      </w:r>
      <w:r w:rsidRPr="00024229">
        <w:rPr>
          <w:b/>
          <w:bCs/>
          <w:noProof/>
        </w:rPr>
        <w:t>4</w:t>
      </w:r>
      <w:r w:rsidRPr="00024229">
        <w:rPr>
          <w:b/>
          <w:bCs/>
        </w:rPr>
        <w:t>.</w:t>
      </w:r>
      <w:r w:rsidRPr="00024229">
        <w:rPr>
          <w:b/>
          <w:bCs/>
          <w:noProof/>
        </w:rPr>
        <w:t>9</w:t>
      </w:r>
      <w:r w:rsidRPr="00024229">
        <w:rPr>
          <w:b/>
          <w:bCs/>
        </w:rPr>
        <w:fldChar w:fldCharType="end"/>
      </w:r>
      <w:r w:rsidRPr="00024229">
        <w:rPr>
          <w:b/>
          <w:bCs/>
        </w:rPr>
        <w:t>D</w:t>
      </w:r>
      <w:r w:rsidRPr="00DB2C42">
        <w:t>).</w:t>
      </w:r>
    </w:p>
    <w:p w14:paraId="135CA1CD" w14:textId="5300653D" w:rsidR="00881CD0" w:rsidRPr="00DB2C42" w:rsidRDefault="008746B5" w:rsidP="00E876F2">
      <w:pPr>
        <w:ind w:firstLine="720"/>
        <w:jc w:val="left"/>
      </w:pPr>
      <w:r>
        <w:t xml:space="preserve">Similar to the differentiated male WT ADSCs, </w:t>
      </w:r>
      <w:r w:rsidR="00440935">
        <w:t xml:space="preserve">ROSI, but not RES, significantly increased </w:t>
      </w:r>
      <w:r w:rsidR="00440935" w:rsidRPr="00DB2C42">
        <w:t xml:space="preserve">total AKT protein levels under insulin-stimulated conditions </w:t>
      </w:r>
      <w:r w:rsidR="00440935">
        <w:t>i</w:t>
      </w:r>
      <w:r w:rsidR="00881CD0" w:rsidRPr="00DB2C42">
        <w:t xml:space="preserve">n </w:t>
      </w:r>
      <w:r w:rsidR="00770DA7">
        <w:t xml:space="preserve">the differentiated </w:t>
      </w:r>
      <w:r w:rsidR="00881CD0" w:rsidRPr="00DB2C42">
        <w:t xml:space="preserve">male </w:t>
      </w:r>
      <w:r w:rsidR="00881CD0" w:rsidRPr="00DB2C42">
        <w:rPr>
          <w:i/>
        </w:rPr>
        <w:t>db/db</w:t>
      </w:r>
      <w:r w:rsidR="00881CD0" w:rsidRPr="00DB2C42">
        <w:t xml:space="preserve"> ADSCs</w:t>
      </w:r>
      <w:r w:rsidR="00440935">
        <w:t xml:space="preserve"> </w:t>
      </w:r>
      <w:r w:rsidR="00881CD0" w:rsidRPr="00DB2C42">
        <w:t>(</w:t>
      </w:r>
      <w:r w:rsidR="00881CD0" w:rsidRPr="00024229">
        <w:rPr>
          <w:b/>
          <w:bCs/>
        </w:rPr>
        <w:fldChar w:fldCharType="begin"/>
      </w:r>
      <w:r w:rsidR="00881CD0" w:rsidRPr="00024229">
        <w:rPr>
          <w:b/>
          <w:bCs/>
        </w:rPr>
        <w:instrText xml:space="preserve"> REF _Ref200808745 \h </w:instrText>
      </w:r>
      <w:r w:rsidR="00DB2C42" w:rsidRPr="00024229">
        <w:rPr>
          <w:b/>
          <w:bCs/>
        </w:rPr>
        <w:instrText xml:space="preserve"> \* MERGEFORMAT </w:instrText>
      </w:r>
      <w:r w:rsidR="00881CD0" w:rsidRPr="00024229">
        <w:rPr>
          <w:b/>
          <w:bCs/>
        </w:rPr>
      </w:r>
      <w:r w:rsidR="00881CD0" w:rsidRPr="00024229">
        <w:rPr>
          <w:b/>
          <w:bCs/>
        </w:rPr>
        <w:fldChar w:fldCharType="separate"/>
      </w:r>
      <w:r w:rsidR="00881CD0" w:rsidRPr="00024229">
        <w:rPr>
          <w:b/>
          <w:bCs/>
        </w:rPr>
        <w:t xml:space="preserve">Figure </w:t>
      </w:r>
      <w:r w:rsidR="00881CD0" w:rsidRPr="00024229">
        <w:rPr>
          <w:b/>
          <w:bCs/>
          <w:noProof/>
        </w:rPr>
        <w:t>4</w:t>
      </w:r>
      <w:r w:rsidR="00881CD0" w:rsidRPr="00024229">
        <w:rPr>
          <w:b/>
          <w:bCs/>
        </w:rPr>
        <w:t>.</w:t>
      </w:r>
      <w:r w:rsidR="00881CD0" w:rsidRPr="00024229">
        <w:rPr>
          <w:b/>
          <w:bCs/>
          <w:noProof/>
        </w:rPr>
        <w:t>10</w:t>
      </w:r>
      <w:r w:rsidR="00881CD0" w:rsidRPr="00024229">
        <w:rPr>
          <w:b/>
          <w:bCs/>
        </w:rPr>
        <w:fldChar w:fldCharType="end"/>
      </w:r>
      <w:r w:rsidR="00881CD0" w:rsidRPr="00024229">
        <w:rPr>
          <w:b/>
          <w:bCs/>
        </w:rPr>
        <w:t>B</w:t>
      </w:r>
      <w:r w:rsidR="00881CD0" w:rsidRPr="00DB2C42">
        <w:t xml:space="preserve">). </w:t>
      </w:r>
      <w:r w:rsidR="00D86AEE">
        <w:t>Similarly, b</w:t>
      </w:r>
      <w:r w:rsidR="00D86AEE" w:rsidRPr="00DB2C42">
        <w:t xml:space="preserve">oth </w:t>
      </w:r>
      <w:r w:rsidR="00881CD0" w:rsidRPr="00DB2C42">
        <w:t xml:space="preserve">RES and ROSI significantly increased p-AKT (Ser473) levels compared to the negative </w:t>
      </w:r>
      <w:r w:rsidR="00364522">
        <w:t>and vehicle controls</w:t>
      </w:r>
      <w:r w:rsidR="00881CD0" w:rsidRPr="00DB2C42">
        <w:t xml:space="preserve"> (</w:t>
      </w:r>
      <w:r w:rsidR="00881CD0" w:rsidRPr="00024229">
        <w:rPr>
          <w:b/>
          <w:bCs/>
        </w:rPr>
        <w:fldChar w:fldCharType="begin"/>
      </w:r>
      <w:r w:rsidR="00881CD0" w:rsidRPr="00024229">
        <w:rPr>
          <w:b/>
          <w:bCs/>
        </w:rPr>
        <w:instrText xml:space="preserve"> REF _Ref200808745 \h </w:instrText>
      </w:r>
      <w:r w:rsidR="00DB2C42" w:rsidRPr="00024229">
        <w:rPr>
          <w:b/>
          <w:bCs/>
        </w:rPr>
        <w:instrText xml:space="preserve"> \* MERGEFORMAT </w:instrText>
      </w:r>
      <w:r w:rsidR="00881CD0" w:rsidRPr="00024229">
        <w:rPr>
          <w:b/>
          <w:bCs/>
        </w:rPr>
      </w:r>
      <w:r w:rsidR="00881CD0" w:rsidRPr="00024229">
        <w:rPr>
          <w:b/>
          <w:bCs/>
        </w:rPr>
        <w:fldChar w:fldCharType="separate"/>
      </w:r>
      <w:r w:rsidR="00881CD0" w:rsidRPr="00024229">
        <w:rPr>
          <w:b/>
          <w:bCs/>
        </w:rPr>
        <w:t xml:space="preserve">Figure </w:t>
      </w:r>
      <w:r w:rsidR="00881CD0" w:rsidRPr="00024229">
        <w:rPr>
          <w:b/>
          <w:bCs/>
          <w:noProof/>
        </w:rPr>
        <w:t>4</w:t>
      </w:r>
      <w:r w:rsidR="00881CD0" w:rsidRPr="00024229">
        <w:rPr>
          <w:b/>
          <w:bCs/>
        </w:rPr>
        <w:t>.</w:t>
      </w:r>
      <w:r w:rsidR="00881CD0" w:rsidRPr="00024229">
        <w:rPr>
          <w:b/>
          <w:bCs/>
          <w:noProof/>
        </w:rPr>
        <w:t>10</w:t>
      </w:r>
      <w:r w:rsidR="00881CD0" w:rsidRPr="00024229">
        <w:rPr>
          <w:b/>
          <w:bCs/>
        </w:rPr>
        <w:fldChar w:fldCharType="end"/>
      </w:r>
      <w:r w:rsidR="00881CD0" w:rsidRPr="00024229">
        <w:rPr>
          <w:b/>
          <w:bCs/>
        </w:rPr>
        <w:t>C</w:t>
      </w:r>
      <w:r w:rsidR="00881CD0" w:rsidRPr="00DB2C42">
        <w:t xml:space="preserve">). However, no significant differences were observed in p-AKT/AKT ratios across groups, although both RES and ROSI showed a non-significant trend toward increased p-AKT/AKT ratios </w:t>
      </w:r>
      <w:r w:rsidR="0001595E">
        <w:t>compared</w:t>
      </w:r>
      <w:r w:rsidR="0001595E" w:rsidRPr="00DB2C42">
        <w:t xml:space="preserve"> </w:t>
      </w:r>
      <w:r w:rsidR="00881CD0" w:rsidRPr="00DB2C42">
        <w:t xml:space="preserve">to </w:t>
      </w:r>
      <w:r w:rsidR="0001595E">
        <w:t xml:space="preserve">the </w:t>
      </w:r>
      <w:r w:rsidR="00881CD0" w:rsidRPr="00DB2C42">
        <w:t>controls (</w:t>
      </w:r>
      <w:r w:rsidR="00881CD0" w:rsidRPr="00024229">
        <w:rPr>
          <w:b/>
          <w:bCs/>
        </w:rPr>
        <w:fldChar w:fldCharType="begin"/>
      </w:r>
      <w:r w:rsidR="00881CD0" w:rsidRPr="00024229">
        <w:rPr>
          <w:b/>
          <w:bCs/>
        </w:rPr>
        <w:instrText xml:space="preserve"> REF _Ref200808745 \h </w:instrText>
      </w:r>
      <w:r w:rsidR="00DB2C42" w:rsidRPr="00024229">
        <w:rPr>
          <w:b/>
          <w:bCs/>
        </w:rPr>
        <w:instrText xml:space="preserve"> \* MERGEFORMAT </w:instrText>
      </w:r>
      <w:r w:rsidR="00881CD0" w:rsidRPr="00024229">
        <w:rPr>
          <w:b/>
          <w:bCs/>
        </w:rPr>
      </w:r>
      <w:r w:rsidR="00881CD0" w:rsidRPr="00024229">
        <w:rPr>
          <w:b/>
          <w:bCs/>
        </w:rPr>
        <w:fldChar w:fldCharType="separate"/>
      </w:r>
      <w:r w:rsidR="00881CD0" w:rsidRPr="00024229">
        <w:rPr>
          <w:b/>
          <w:bCs/>
        </w:rPr>
        <w:t xml:space="preserve">Figure </w:t>
      </w:r>
      <w:r w:rsidR="00881CD0" w:rsidRPr="00024229">
        <w:rPr>
          <w:b/>
          <w:bCs/>
          <w:noProof/>
        </w:rPr>
        <w:t>4</w:t>
      </w:r>
      <w:r w:rsidR="00881CD0" w:rsidRPr="00024229">
        <w:rPr>
          <w:b/>
          <w:bCs/>
        </w:rPr>
        <w:t>.</w:t>
      </w:r>
      <w:r w:rsidR="00881CD0" w:rsidRPr="00024229">
        <w:rPr>
          <w:b/>
          <w:bCs/>
          <w:noProof/>
        </w:rPr>
        <w:t>10</w:t>
      </w:r>
      <w:r w:rsidR="00881CD0" w:rsidRPr="00024229">
        <w:rPr>
          <w:b/>
          <w:bCs/>
        </w:rPr>
        <w:fldChar w:fldCharType="end"/>
      </w:r>
      <w:r w:rsidR="00881CD0" w:rsidRPr="00024229">
        <w:rPr>
          <w:b/>
          <w:bCs/>
        </w:rPr>
        <w:t>D</w:t>
      </w:r>
      <w:r w:rsidR="00881CD0" w:rsidRPr="00DB2C42">
        <w:t>).</w:t>
      </w:r>
    </w:p>
    <w:p w14:paraId="63B7FC5A" w14:textId="1C31E5B0" w:rsidR="00881CD0" w:rsidRPr="00DB2C42" w:rsidRDefault="00E02632" w:rsidP="00E876F2">
      <w:pPr>
        <w:ind w:firstLine="720"/>
        <w:jc w:val="left"/>
      </w:pPr>
      <w:r>
        <w:t>In contrast,</w:t>
      </w:r>
      <w:r w:rsidR="000929CB">
        <w:t xml:space="preserve"> </w:t>
      </w:r>
      <w:r w:rsidR="00881CD0" w:rsidRPr="00DB2C42">
        <w:t xml:space="preserve">ROSI </w:t>
      </w:r>
      <w:r w:rsidR="00A65DD7">
        <w:t xml:space="preserve">seemed to increase total AKT levels under both basal and insulin-stimulated conditions, </w:t>
      </w:r>
      <w:r w:rsidR="00BF681A">
        <w:t>effects of which only</w:t>
      </w:r>
      <w:r w:rsidR="00A65DD7">
        <w:t xml:space="preserve"> reach</w:t>
      </w:r>
      <w:r w:rsidR="00BF681A">
        <w:t>ed</w:t>
      </w:r>
      <w:r w:rsidR="00C408A0">
        <w:t xml:space="preserve"> </w:t>
      </w:r>
      <w:r w:rsidR="00475E9F" w:rsidRPr="00DB2C42">
        <w:t>significan</w:t>
      </w:r>
      <w:r w:rsidR="00475E9F">
        <w:t xml:space="preserve">ce under basal conditions </w:t>
      </w:r>
      <w:r w:rsidR="00881CD0" w:rsidRPr="00DB2C42">
        <w:t>compared to the negative control, while RES did not</w:t>
      </w:r>
      <w:r w:rsidR="00665297">
        <w:t xml:space="preserve"> have any effects under both conditions </w:t>
      </w:r>
      <w:r w:rsidR="00B71845">
        <w:t>i</w:t>
      </w:r>
      <w:r w:rsidR="000929CB" w:rsidRPr="00DB2C42">
        <w:t xml:space="preserve">n </w:t>
      </w:r>
      <w:r w:rsidR="007F1E6D">
        <w:t xml:space="preserve">the differentiated </w:t>
      </w:r>
      <w:r w:rsidR="000929CB" w:rsidRPr="00DB2C42">
        <w:t xml:space="preserve">female </w:t>
      </w:r>
      <w:r w:rsidR="000929CB" w:rsidRPr="00DB2C42">
        <w:rPr>
          <w:i/>
        </w:rPr>
        <w:t>db/db</w:t>
      </w:r>
      <w:r w:rsidR="000929CB" w:rsidRPr="00DB2C42">
        <w:t xml:space="preserve"> ADSCs</w:t>
      </w:r>
      <w:r w:rsidR="007F1E6D">
        <w:t xml:space="preserve"> </w:t>
      </w:r>
      <w:r w:rsidR="00881CD0" w:rsidRPr="00DB2C42">
        <w:t>(</w:t>
      </w:r>
      <w:r w:rsidR="00881CD0" w:rsidRPr="00024229">
        <w:rPr>
          <w:b/>
          <w:bCs/>
        </w:rPr>
        <w:fldChar w:fldCharType="begin"/>
      </w:r>
      <w:r w:rsidR="00881CD0" w:rsidRPr="00024229">
        <w:rPr>
          <w:b/>
          <w:bCs/>
        </w:rPr>
        <w:instrText xml:space="preserve"> REF _Ref200808771 \h </w:instrText>
      </w:r>
      <w:r w:rsidR="00DB2C42" w:rsidRPr="00024229">
        <w:rPr>
          <w:b/>
          <w:bCs/>
        </w:rPr>
        <w:instrText xml:space="preserve"> \* MERGEFORMAT </w:instrText>
      </w:r>
      <w:r w:rsidR="00881CD0" w:rsidRPr="00024229">
        <w:rPr>
          <w:b/>
          <w:bCs/>
        </w:rPr>
      </w:r>
      <w:r w:rsidR="00881CD0" w:rsidRPr="00024229">
        <w:rPr>
          <w:b/>
          <w:bCs/>
        </w:rPr>
        <w:fldChar w:fldCharType="separate"/>
      </w:r>
      <w:r w:rsidR="00881CD0" w:rsidRPr="00024229">
        <w:rPr>
          <w:b/>
          <w:bCs/>
        </w:rPr>
        <w:t xml:space="preserve">Figure </w:t>
      </w:r>
      <w:r w:rsidR="00881CD0" w:rsidRPr="00024229">
        <w:rPr>
          <w:b/>
          <w:bCs/>
          <w:noProof/>
        </w:rPr>
        <w:t>4</w:t>
      </w:r>
      <w:r w:rsidR="00881CD0" w:rsidRPr="00024229">
        <w:rPr>
          <w:b/>
          <w:bCs/>
        </w:rPr>
        <w:t>.</w:t>
      </w:r>
      <w:r w:rsidR="00881CD0" w:rsidRPr="00024229">
        <w:rPr>
          <w:b/>
          <w:bCs/>
          <w:noProof/>
        </w:rPr>
        <w:t>11</w:t>
      </w:r>
      <w:r w:rsidR="00881CD0" w:rsidRPr="00024229">
        <w:rPr>
          <w:b/>
          <w:bCs/>
        </w:rPr>
        <w:fldChar w:fldCharType="end"/>
      </w:r>
      <w:r w:rsidR="00881CD0" w:rsidRPr="00024229">
        <w:rPr>
          <w:b/>
          <w:bCs/>
        </w:rPr>
        <w:t>B</w:t>
      </w:r>
      <w:r w:rsidR="00881CD0" w:rsidRPr="00DB2C42">
        <w:t xml:space="preserve">). </w:t>
      </w:r>
      <w:r w:rsidR="00C61857">
        <w:t>While</w:t>
      </w:r>
      <w:r w:rsidR="00881CD0" w:rsidRPr="00DB2C42">
        <w:t xml:space="preserve"> ROSI also significantly elevated p-AKT (Ser473) level</w:t>
      </w:r>
      <w:r w:rsidR="00C61857">
        <w:t>s</w:t>
      </w:r>
      <w:r w:rsidR="008A4CDD">
        <w:t xml:space="preserve"> under both basal and insulin-stimulated conditions compared to</w:t>
      </w:r>
      <w:r w:rsidR="00881CD0" w:rsidRPr="00DB2C42">
        <w:t xml:space="preserve"> both the negative</w:t>
      </w:r>
      <w:r w:rsidR="007C68D2">
        <w:t xml:space="preserve"> and vehicle controls</w:t>
      </w:r>
      <w:r w:rsidR="008A4CDD">
        <w:t>, RES only</w:t>
      </w:r>
      <w:r w:rsidR="008E20D5">
        <w:t xml:space="preserve"> increased p-AKT </w:t>
      </w:r>
      <w:r w:rsidR="008E20D5" w:rsidRPr="00DB2C42">
        <w:t xml:space="preserve">(Ser473) </w:t>
      </w:r>
      <w:r w:rsidR="008E20D5">
        <w:t xml:space="preserve">levels under </w:t>
      </w:r>
      <w:r w:rsidR="00881CD0" w:rsidRPr="00DB2C42">
        <w:t>insulin</w:t>
      </w:r>
      <w:r w:rsidR="008E20D5">
        <w:t>-s</w:t>
      </w:r>
      <w:r w:rsidR="002502FF">
        <w:t xml:space="preserve">timulated conditions </w:t>
      </w:r>
      <w:r w:rsidR="00881CD0" w:rsidRPr="00DB2C42">
        <w:t>(</w:t>
      </w:r>
      <w:r w:rsidR="00881CD0" w:rsidRPr="00024229">
        <w:rPr>
          <w:b/>
          <w:bCs/>
        </w:rPr>
        <w:fldChar w:fldCharType="begin"/>
      </w:r>
      <w:r w:rsidR="00881CD0" w:rsidRPr="00024229">
        <w:rPr>
          <w:b/>
          <w:bCs/>
        </w:rPr>
        <w:instrText xml:space="preserve"> REF _Ref200808771 \h </w:instrText>
      </w:r>
      <w:r w:rsidR="00DB2C42" w:rsidRPr="00024229">
        <w:rPr>
          <w:b/>
          <w:bCs/>
        </w:rPr>
        <w:instrText xml:space="preserve"> \* MERGEFORMAT </w:instrText>
      </w:r>
      <w:r w:rsidR="00881CD0" w:rsidRPr="00024229">
        <w:rPr>
          <w:b/>
          <w:bCs/>
        </w:rPr>
      </w:r>
      <w:r w:rsidR="00881CD0" w:rsidRPr="00024229">
        <w:rPr>
          <w:b/>
          <w:bCs/>
        </w:rPr>
        <w:fldChar w:fldCharType="separate"/>
      </w:r>
      <w:r w:rsidR="00881CD0" w:rsidRPr="00024229">
        <w:rPr>
          <w:b/>
          <w:bCs/>
        </w:rPr>
        <w:t xml:space="preserve">Figure </w:t>
      </w:r>
      <w:r w:rsidR="00881CD0" w:rsidRPr="00024229">
        <w:rPr>
          <w:b/>
          <w:bCs/>
          <w:noProof/>
        </w:rPr>
        <w:t>4</w:t>
      </w:r>
      <w:r w:rsidR="00881CD0" w:rsidRPr="00024229">
        <w:rPr>
          <w:b/>
          <w:bCs/>
        </w:rPr>
        <w:t>.</w:t>
      </w:r>
      <w:r w:rsidR="00881CD0" w:rsidRPr="00024229">
        <w:rPr>
          <w:b/>
          <w:bCs/>
          <w:noProof/>
        </w:rPr>
        <w:t>11</w:t>
      </w:r>
      <w:r w:rsidR="00881CD0" w:rsidRPr="00024229">
        <w:rPr>
          <w:b/>
          <w:bCs/>
        </w:rPr>
        <w:fldChar w:fldCharType="end"/>
      </w:r>
      <w:r w:rsidR="00881CD0" w:rsidRPr="00024229">
        <w:rPr>
          <w:b/>
          <w:bCs/>
        </w:rPr>
        <w:t>C</w:t>
      </w:r>
      <w:r w:rsidR="00881CD0" w:rsidRPr="00DB2C42">
        <w:t xml:space="preserve">). However, no significant differences were observed in p-AKT/AKT ratios </w:t>
      </w:r>
      <w:r w:rsidR="00960535">
        <w:t>by R</w:t>
      </w:r>
      <w:r w:rsidR="00677447">
        <w:t>ES, ROSI, or DMSO</w:t>
      </w:r>
      <w:r w:rsidR="00881CD0" w:rsidRPr="00DB2C42">
        <w:t xml:space="preserve"> </w:t>
      </w:r>
      <w:r w:rsidR="00364522" w:rsidRPr="00364522">
        <w:t>under either basal or insulin-</w:t>
      </w:r>
      <w:r w:rsidR="001B559B" w:rsidRPr="00364522">
        <w:t>stimulat</w:t>
      </w:r>
      <w:r w:rsidR="001B559B">
        <w:t>ed</w:t>
      </w:r>
      <w:r w:rsidR="001B559B" w:rsidRPr="00364522">
        <w:t xml:space="preserve"> </w:t>
      </w:r>
      <w:r w:rsidR="00364522" w:rsidRPr="00364522">
        <w:t>condition</w:t>
      </w:r>
      <w:r w:rsidR="00195FF0">
        <w:t xml:space="preserve">s in the differentiated </w:t>
      </w:r>
      <w:r w:rsidR="00195FF0" w:rsidRPr="00DB2C42">
        <w:t xml:space="preserve">female </w:t>
      </w:r>
      <w:r w:rsidR="00195FF0" w:rsidRPr="00DB2C42">
        <w:rPr>
          <w:i/>
        </w:rPr>
        <w:t>db/db</w:t>
      </w:r>
      <w:r w:rsidR="00195FF0" w:rsidRPr="00DB2C42">
        <w:t xml:space="preserve"> ADSCs</w:t>
      </w:r>
      <w:r w:rsidR="00195FF0">
        <w:t xml:space="preserve"> </w:t>
      </w:r>
      <w:r w:rsidR="00881CD0" w:rsidRPr="00DB2C42">
        <w:t>(</w:t>
      </w:r>
      <w:r w:rsidR="00881CD0" w:rsidRPr="00024229">
        <w:rPr>
          <w:b/>
          <w:bCs/>
        </w:rPr>
        <w:fldChar w:fldCharType="begin"/>
      </w:r>
      <w:r w:rsidR="00881CD0" w:rsidRPr="00024229">
        <w:rPr>
          <w:b/>
          <w:bCs/>
        </w:rPr>
        <w:instrText xml:space="preserve"> REF _Ref200808771 \h </w:instrText>
      </w:r>
      <w:r w:rsidR="00DB2C42" w:rsidRPr="00024229">
        <w:rPr>
          <w:b/>
          <w:bCs/>
        </w:rPr>
        <w:instrText xml:space="preserve"> \* MERGEFORMAT </w:instrText>
      </w:r>
      <w:r w:rsidR="00881CD0" w:rsidRPr="00024229">
        <w:rPr>
          <w:b/>
          <w:bCs/>
        </w:rPr>
      </w:r>
      <w:r w:rsidR="00881CD0" w:rsidRPr="00024229">
        <w:rPr>
          <w:b/>
          <w:bCs/>
        </w:rPr>
        <w:fldChar w:fldCharType="separate"/>
      </w:r>
      <w:r w:rsidR="00881CD0" w:rsidRPr="00024229">
        <w:rPr>
          <w:b/>
          <w:bCs/>
        </w:rPr>
        <w:t xml:space="preserve">Figure </w:t>
      </w:r>
      <w:r w:rsidR="00881CD0" w:rsidRPr="00024229">
        <w:rPr>
          <w:b/>
          <w:bCs/>
          <w:noProof/>
        </w:rPr>
        <w:t>4</w:t>
      </w:r>
      <w:r w:rsidR="00881CD0" w:rsidRPr="00024229">
        <w:rPr>
          <w:b/>
          <w:bCs/>
        </w:rPr>
        <w:t>.</w:t>
      </w:r>
      <w:r w:rsidR="00881CD0" w:rsidRPr="00024229">
        <w:rPr>
          <w:b/>
          <w:bCs/>
          <w:noProof/>
        </w:rPr>
        <w:t>11</w:t>
      </w:r>
      <w:r w:rsidR="00881CD0" w:rsidRPr="00024229">
        <w:rPr>
          <w:b/>
          <w:bCs/>
        </w:rPr>
        <w:fldChar w:fldCharType="end"/>
      </w:r>
      <w:r w:rsidR="00881CD0" w:rsidRPr="00024229">
        <w:rPr>
          <w:b/>
          <w:bCs/>
        </w:rPr>
        <w:t>D</w:t>
      </w:r>
      <w:r w:rsidR="00881CD0" w:rsidRPr="00DB2C42">
        <w:t xml:space="preserve">). </w:t>
      </w:r>
    </w:p>
    <w:p w14:paraId="24590275" w14:textId="55DA1DE2" w:rsidR="00881CD0" w:rsidRPr="00DB2C42" w:rsidRDefault="00881CD0" w:rsidP="00847BA5">
      <w:pPr>
        <w:pStyle w:val="Heading3"/>
        <w:jc w:val="left"/>
      </w:pPr>
      <w:bookmarkStart w:id="202" w:name="_Toc196309414"/>
      <w:bookmarkStart w:id="203" w:name="_Toc200810437"/>
      <w:bookmarkStart w:id="204" w:name="_Toc204848676"/>
      <w:r w:rsidRPr="00DB2C42">
        <w:t xml:space="preserve">Sex and </w:t>
      </w:r>
      <w:r w:rsidR="006E6769" w:rsidRPr="00DB2C42">
        <w:t>G</w:t>
      </w:r>
      <w:r w:rsidRPr="00DB2C42">
        <w:t xml:space="preserve">enotype </w:t>
      </w:r>
      <w:r w:rsidR="006E6769" w:rsidRPr="00DB2C42">
        <w:t>D</w:t>
      </w:r>
      <w:r w:rsidRPr="00DB2C42">
        <w:t xml:space="preserve">ifferences in </w:t>
      </w:r>
      <w:r w:rsidR="006E6769" w:rsidRPr="00DB2C42">
        <w:t>I</w:t>
      </w:r>
      <w:r w:rsidRPr="00DB2C42">
        <w:t xml:space="preserve">nsulin </w:t>
      </w:r>
      <w:r w:rsidR="006E6769" w:rsidRPr="00DB2C42">
        <w:t>S</w:t>
      </w:r>
      <w:r w:rsidRPr="00DB2C42">
        <w:t xml:space="preserve">ensitivity </w:t>
      </w:r>
      <w:r w:rsidR="006E6769" w:rsidRPr="00DB2C42">
        <w:t>M</w:t>
      </w:r>
      <w:r w:rsidRPr="00DB2C42">
        <w:t xml:space="preserve">arkers in </w:t>
      </w:r>
      <w:r w:rsidR="002E3207">
        <w:t>R</w:t>
      </w:r>
      <w:r w:rsidRPr="00DB2C42">
        <w:t xml:space="preserve">esponse to </w:t>
      </w:r>
      <w:r w:rsidR="006E6769" w:rsidRPr="00DB2C42">
        <w:t>I</w:t>
      </w:r>
      <w:r w:rsidRPr="00DB2C42">
        <w:t>nsulin and RES</w:t>
      </w:r>
      <w:bookmarkEnd w:id="202"/>
      <w:bookmarkEnd w:id="203"/>
      <w:bookmarkEnd w:id="204"/>
    </w:p>
    <w:p w14:paraId="05BFFC5A" w14:textId="539DE9D1" w:rsidR="00881CD0" w:rsidRPr="00DB2C42" w:rsidRDefault="00881CD0" w:rsidP="00E876F2">
      <w:pPr>
        <w:ind w:firstLine="720"/>
        <w:jc w:val="left"/>
      </w:pPr>
      <w:r w:rsidRPr="00DB2C42">
        <w:t>To understand the impact of genotype and sex on the differentiated ADSCs’ response to insulin and RES, fold changes in p-AKT</w:t>
      </w:r>
      <w:r w:rsidR="007C68D2">
        <w:t>/ERK</w:t>
      </w:r>
      <w:r w:rsidRPr="00DB2C42">
        <w:t xml:space="preserve"> and p-AKT/AKT in response to insulin (</w:t>
      </w:r>
      <w:r w:rsidRPr="00C641E9">
        <w:rPr>
          <w:b/>
          <w:bCs/>
        </w:rPr>
        <w:fldChar w:fldCharType="begin"/>
      </w:r>
      <w:r w:rsidRPr="00C641E9">
        <w:rPr>
          <w:b/>
          <w:bCs/>
        </w:rPr>
        <w:instrText xml:space="preserve"> REF _Ref200808803 \h </w:instrText>
      </w:r>
      <w:r w:rsidR="00DB2C42" w:rsidRPr="00C641E9">
        <w:rPr>
          <w:b/>
          <w:bCs/>
        </w:rPr>
        <w:instrText xml:space="preserve"> \* MERGEFORMAT </w:instrText>
      </w:r>
      <w:r w:rsidRPr="00C641E9">
        <w:rPr>
          <w:b/>
          <w:bCs/>
        </w:rPr>
      </w:r>
      <w:r w:rsidRPr="00C641E9">
        <w:rPr>
          <w:b/>
          <w:bCs/>
        </w:rPr>
        <w:fldChar w:fldCharType="separate"/>
      </w:r>
      <w:r w:rsidRPr="00C641E9">
        <w:rPr>
          <w:b/>
          <w:bCs/>
        </w:rPr>
        <w:t xml:space="preserve">Figure </w:t>
      </w:r>
      <w:r w:rsidRPr="00C641E9">
        <w:rPr>
          <w:b/>
          <w:bCs/>
          <w:noProof/>
        </w:rPr>
        <w:lastRenderedPageBreak/>
        <w:t>4</w:t>
      </w:r>
      <w:r w:rsidRPr="00C641E9">
        <w:rPr>
          <w:b/>
          <w:bCs/>
        </w:rPr>
        <w:t>.</w:t>
      </w:r>
      <w:r w:rsidRPr="00C641E9">
        <w:rPr>
          <w:b/>
          <w:bCs/>
          <w:noProof/>
        </w:rPr>
        <w:t>12</w:t>
      </w:r>
      <w:r w:rsidRPr="00C641E9">
        <w:rPr>
          <w:b/>
          <w:bCs/>
        </w:rPr>
        <w:fldChar w:fldCharType="end"/>
      </w:r>
      <w:r w:rsidRPr="00C641E9">
        <w:rPr>
          <w:b/>
          <w:bCs/>
        </w:rPr>
        <w:t>A, C</w:t>
      </w:r>
      <w:r w:rsidRPr="00DB2C42">
        <w:t>) and to RES relative to the</w:t>
      </w:r>
      <w:r w:rsidR="007C68D2">
        <w:t xml:space="preserve"> vehicle control</w:t>
      </w:r>
      <w:r w:rsidRPr="00DB2C42">
        <w:t xml:space="preserve"> under basal and insulin-stimulated conditions (</w:t>
      </w:r>
      <w:r w:rsidRPr="00C641E9">
        <w:rPr>
          <w:b/>
          <w:bCs/>
        </w:rPr>
        <w:fldChar w:fldCharType="begin"/>
      </w:r>
      <w:r w:rsidRPr="00C641E9">
        <w:rPr>
          <w:b/>
          <w:bCs/>
        </w:rPr>
        <w:instrText xml:space="preserve"> REF _Ref200808803 \h </w:instrText>
      </w:r>
      <w:r w:rsidR="00DB2C42" w:rsidRPr="00C641E9">
        <w:rPr>
          <w:b/>
          <w:bCs/>
        </w:rPr>
        <w:instrText xml:space="preserve"> \* MERGEFORMAT </w:instrText>
      </w:r>
      <w:r w:rsidRPr="00C641E9">
        <w:rPr>
          <w:b/>
          <w:bCs/>
        </w:rPr>
      </w:r>
      <w:r w:rsidRPr="00C641E9">
        <w:rPr>
          <w:b/>
          <w:bCs/>
        </w:rPr>
        <w:fldChar w:fldCharType="separate"/>
      </w:r>
      <w:r w:rsidRPr="00C641E9">
        <w:rPr>
          <w:b/>
          <w:bCs/>
        </w:rPr>
        <w:t xml:space="preserve">Figure </w:t>
      </w:r>
      <w:r w:rsidRPr="00C641E9">
        <w:rPr>
          <w:b/>
          <w:bCs/>
          <w:noProof/>
        </w:rPr>
        <w:t>4</w:t>
      </w:r>
      <w:r w:rsidRPr="00C641E9">
        <w:rPr>
          <w:b/>
          <w:bCs/>
        </w:rPr>
        <w:t>.</w:t>
      </w:r>
      <w:r w:rsidRPr="00C641E9">
        <w:rPr>
          <w:b/>
          <w:bCs/>
          <w:noProof/>
        </w:rPr>
        <w:t>12</w:t>
      </w:r>
      <w:r w:rsidRPr="00C641E9">
        <w:rPr>
          <w:b/>
          <w:bCs/>
        </w:rPr>
        <w:fldChar w:fldCharType="end"/>
      </w:r>
      <w:r w:rsidRPr="00C641E9">
        <w:rPr>
          <w:b/>
          <w:bCs/>
        </w:rPr>
        <w:t>B, D</w:t>
      </w:r>
      <w:r w:rsidRPr="00DB2C42">
        <w:t xml:space="preserve">) were calculated and compared for the four groups of differentiated ADSCs. </w:t>
      </w:r>
      <w:r w:rsidR="00F929D2">
        <w:t>Insulin</w:t>
      </w:r>
      <w:r w:rsidR="007924E0">
        <w:t xml:space="preserve"> (at 50 nM)</w:t>
      </w:r>
      <w:r w:rsidR="00F929D2">
        <w:t xml:space="preserve"> induced </w:t>
      </w:r>
      <w:r w:rsidR="00D177D3">
        <w:t>significantly</w:t>
      </w:r>
      <w:r w:rsidR="00F53068">
        <w:t xml:space="preserve"> higher</w:t>
      </w:r>
      <w:r w:rsidR="0013276F">
        <w:t xml:space="preserve"> p-AKT levels in the differentiated f</w:t>
      </w:r>
      <w:r w:rsidRPr="00DB2C42">
        <w:t xml:space="preserve">emale </w:t>
      </w:r>
      <w:r w:rsidRPr="00DB2C42">
        <w:rPr>
          <w:i/>
        </w:rPr>
        <w:t>db/db</w:t>
      </w:r>
      <w:r w:rsidRPr="00DB2C42">
        <w:t xml:space="preserve"> ADSCs compared to </w:t>
      </w:r>
      <w:r w:rsidR="00AE2E90">
        <w:t xml:space="preserve">the </w:t>
      </w:r>
      <w:r w:rsidR="006E4059">
        <w:t xml:space="preserve">differentiated </w:t>
      </w:r>
      <w:r w:rsidRPr="00DB2C42">
        <w:t xml:space="preserve">female WT and male </w:t>
      </w:r>
      <w:r w:rsidRPr="00DB2C42">
        <w:rPr>
          <w:i/>
        </w:rPr>
        <w:t>db/db</w:t>
      </w:r>
      <w:r w:rsidRPr="00DB2C42">
        <w:t xml:space="preserve"> ADSCs</w:t>
      </w:r>
      <w:r w:rsidR="006E4059">
        <w:t xml:space="preserve"> </w:t>
      </w:r>
      <w:r w:rsidRPr="00DB2C42">
        <w:t>(</w:t>
      </w:r>
      <w:r w:rsidRPr="00C641E9">
        <w:rPr>
          <w:b/>
          <w:bCs/>
        </w:rPr>
        <w:fldChar w:fldCharType="begin"/>
      </w:r>
      <w:r w:rsidRPr="00C641E9">
        <w:rPr>
          <w:b/>
          <w:bCs/>
        </w:rPr>
        <w:instrText xml:space="preserve"> REF _Ref200808803 \h </w:instrText>
      </w:r>
      <w:r w:rsidR="00DB2C42" w:rsidRPr="00C641E9">
        <w:rPr>
          <w:b/>
          <w:bCs/>
        </w:rPr>
        <w:instrText xml:space="preserve"> \* MERGEFORMAT </w:instrText>
      </w:r>
      <w:r w:rsidRPr="00C641E9">
        <w:rPr>
          <w:b/>
          <w:bCs/>
        </w:rPr>
      </w:r>
      <w:r w:rsidRPr="00C641E9">
        <w:rPr>
          <w:b/>
          <w:bCs/>
        </w:rPr>
        <w:fldChar w:fldCharType="separate"/>
      </w:r>
      <w:r w:rsidRPr="00C641E9">
        <w:rPr>
          <w:b/>
          <w:bCs/>
        </w:rPr>
        <w:t xml:space="preserve">Figure </w:t>
      </w:r>
      <w:r w:rsidRPr="00C641E9">
        <w:rPr>
          <w:b/>
          <w:bCs/>
          <w:noProof/>
        </w:rPr>
        <w:t>4</w:t>
      </w:r>
      <w:r w:rsidRPr="00C641E9">
        <w:rPr>
          <w:b/>
          <w:bCs/>
        </w:rPr>
        <w:t>.</w:t>
      </w:r>
      <w:r w:rsidRPr="00C641E9">
        <w:rPr>
          <w:b/>
          <w:bCs/>
          <w:noProof/>
        </w:rPr>
        <w:t>12</w:t>
      </w:r>
      <w:r w:rsidRPr="00C641E9">
        <w:rPr>
          <w:b/>
          <w:bCs/>
        </w:rPr>
        <w:fldChar w:fldCharType="end"/>
      </w:r>
      <w:r w:rsidRPr="00C641E9">
        <w:rPr>
          <w:b/>
          <w:bCs/>
        </w:rPr>
        <w:t>A</w:t>
      </w:r>
      <w:r w:rsidRPr="00DB2C42">
        <w:t xml:space="preserve">). </w:t>
      </w:r>
      <w:r w:rsidR="007D3F41">
        <w:t xml:space="preserve">However, there were no </w:t>
      </w:r>
      <w:r w:rsidR="009E18D0">
        <w:t xml:space="preserve">significant differences in the p-AKT/AKT ratios </w:t>
      </w:r>
      <w:r w:rsidR="008F72C0">
        <w:t>in response to insulin</w:t>
      </w:r>
      <w:r w:rsidR="00A56102">
        <w:t xml:space="preserve"> </w:t>
      </w:r>
      <w:r w:rsidR="003A51C5">
        <w:t>among</w:t>
      </w:r>
      <w:r w:rsidR="008F72C0">
        <w:t xml:space="preserve"> all four groups of differentiated ADSCs </w:t>
      </w:r>
      <w:r w:rsidR="003A51C5">
        <w:t>(</w:t>
      </w:r>
      <w:r w:rsidR="007C14F0" w:rsidRPr="00C641E9">
        <w:rPr>
          <w:b/>
          <w:bCs/>
        </w:rPr>
        <w:fldChar w:fldCharType="begin"/>
      </w:r>
      <w:r w:rsidR="007C14F0" w:rsidRPr="00C641E9">
        <w:rPr>
          <w:b/>
          <w:bCs/>
        </w:rPr>
        <w:instrText xml:space="preserve"> REF _Ref200808803 \h </w:instrText>
      </w:r>
      <w:r w:rsidR="00C641E9">
        <w:rPr>
          <w:b/>
          <w:bCs/>
        </w:rPr>
        <w:instrText xml:space="preserve"> \* MERGEFORMAT </w:instrText>
      </w:r>
      <w:r w:rsidR="007C14F0" w:rsidRPr="00C641E9">
        <w:rPr>
          <w:b/>
          <w:bCs/>
        </w:rPr>
      </w:r>
      <w:r w:rsidR="007C14F0" w:rsidRPr="00C641E9">
        <w:rPr>
          <w:b/>
          <w:bCs/>
        </w:rPr>
        <w:fldChar w:fldCharType="separate"/>
      </w:r>
      <w:r w:rsidR="007C14F0" w:rsidRPr="00C641E9">
        <w:rPr>
          <w:b/>
          <w:bCs/>
        </w:rPr>
        <w:t xml:space="preserve">Figure </w:t>
      </w:r>
      <w:r w:rsidR="007C14F0" w:rsidRPr="00C641E9">
        <w:rPr>
          <w:b/>
          <w:bCs/>
          <w:noProof/>
        </w:rPr>
        <w:t>4</w:t>
      </w:r>
      <w:r w:rsidR="007C14F0" w:rsidRPr="00C641E9">
        <w:rPr>
          <w:b/>
          <w:bCs/>
        </w:rPr>
        <w:t>.</w:t>
      </w:r>
      <w:r w:rsidR="007C14F0" w:rsidRPr="00C641E9">
        <w:rPr>
          <w:b/>
          <w:bCs/>
          <w:noProof/>
        </w:rPr>
        <w:t>12</w:t>
      </w:r>
      <w:r w:rsidR="007C14F0" w:rsidRPr="00C641E9">
        <w:rPr>
          <w:b/>
          <w:bCs/>
        </w:rPr>
        <w:fldChar w:fldCharType="end"/>
      </w:r>
      <w:r w:rsidR="003A51C5" w:rsidRPr="00C641E9">
        <w:rPr>
          <w:b/>
          <w:bCs/>
        </w:rPr>
        <w:t>C</w:t>
      </w:r>
      <w:r w:rsidR="003A51C5">
        <w:t xml:space="preserve">). </w:t>
      </w:r>
      <w:r w:rsidR="001B372E">
        <w:t xml:space="preserve">Although RES induced </w:t>
      </w:r>
      <w:r w:rsidR="00103ABB">
        <w:t>higher levels of p-AKT levels and higher p-AKT/AKT ratios</w:t>
      </w:r>
      <w:r w:rsidR="00AB4352">
        <w:t xml:space="preserve"> under insulin-stimulated conditions in all groups differentiated ADSCs, there were no significant differences </w:t>
      </w:r>
      <w:r w:rsidR="0064728C">
        <w:t xml:space="preserve">in p-AKT or p-AKT/AKT in response to RES </w:t>
      </w:r>
      <w:r w:rsidR="00AB4352">
        <w:t xml:space="preserve">among </w:t>
      </w:r>
      <w:r w:rsidR="00137588">
        <w:t>the groups under either basal or insulin-stimulated conditions</w:t>
      </w:r>
      <w:r w:rsidR="00AB4352">
        <w:t xml:space="preserve"> </w:t>
      </w:r>
      <w:r w:rsidRPr="00DB2C42">
        <w:t>(</w:t>
      </w:r>
      <w:r w:rsidRPr="0012645C">
        <w:rPr>
          <w:b/>
          <w:bCs/>
        </w:rPr>
        <w:fldChar w:fldCharType="begin"/>
      </w:r>
      <w:r w:rsidRPr="0012645C">
        <w:rPr>
          <w:b/>
          <w:bCs/>
        </w:rPr>
        <w:instrText xml:space="preserve"> REF _Ref200808803 \h </w:instrText>
      </w:r>
      <w:r w:rsidR="00DB2C42" w:rsidRPr="0012645C">
        <w:rPr>
          <w:b/>
          <w:bCs/>
        </w:rPr>
        <w:instrText xml:space="preserve"> \* MERGEFORMAT </w:instrText>
      </w:r>
      <w:r w:rsidRPr="0012645C">
        <w:rPr>
          <w:b/>
          <w:bCs/>
        </w:rPr>
      </w:r>
      <w:r w:rsidRPr="0012645C">
        <w:rPr>
          <w:b/>
          <w:bCs/>
        </w:rPr>
        <w:fldChar w:fldCharType="separate"/>
      </w:r>
      <w:r w:rsidRPr="0012645C">
        <w:rPr>
          <w:b/>
          <w:bCs/>
        </w:rPr>
        <w:t xml:space="preserve">Figure </w:t>
      </w:r>
      <w:r w:rsidRPr="0012645C">
        <w:rPr>
          <w:b/>
          <w:bCs/>
          <w:noProof/>
        </w:rPr>
        <w:t>4</w:t>
      </w:r>
      <w:r w:rsidRPr="0012645C">
        <w:rPr>
          <w:b/>
          <w:bCs/>
        </w:rPr>
        <w:t>.</w:t>
      </w:r>
      <w:r w:rsidRPr="0012645C">
        <w:rPr>
          <w:b/>
          <w:bCs/>
          <w:noProof/>
        </w:rPr>
        <w:t>12</w:t>
      </w:r>
      <w:r w:rsidRPr="0012645C">
        <w:rPr>
          <w:b/>
          <w:bCs/>
        </w:rPr>
        <w:fldChar w:fldCharType="end"/>
      </w:r>
      <w:r w:rsidRPr="0012645C">
        <w:rPr>
          <w:b/>
          <w:bCs/>
        </w:rPr>
        <w:t>D</w:t>
      </w:r>
      <w:r w:rsidRPr="00DB2C42">
        <w:t>).</w:t>
      </w:r>
    </w:p>
    <w:p w14:paraId="3140C4DD" w14:textId="77777777" w:rsidR="00881CD0" w:rsidRPr="00DB2C42" w:rsidRDefault="00881CD0" w:rsidP="00847BA5">
      <w:pPr>
        <w:pStyle w:val="Heading2"/>
        <w:jc w:val="left"/>
      </w:pPr>
      <w:bookmarkStart w:id="205" w:name="_Toc196309415"/>
      <w:bookmarkStart w:id="206" w:name="_Toc200810438"/>
      <w:bookmarkStart w:id="207" w:name="_Toc204848677"/>
      <w:r w:rsidRPr="00DB2C42">
        <w:t>Discussion</w:t>
      </w:r>
      <w:bookmarkEnd w:id="205"/>
      <w:bookmarkEnd w:id="206"/>
      <w:bookmarkEnd w:id="207"/>
    </w:p>
    <w:p w14:paraId="415BB67C" w14:textId="7674847E" w:rsidR="00CC2D0A" w:rsidRDefault="00CC2D0A" w:rsidP="00E876F2">
      <w:pPr>
        <w:ind w:firstLine="720"/>
        <w:jc w:val="left"/>
      </w:pPr>
      <w:r w:rsidRPr="00DB2C42">
        <w:t xml:space="preserve">This study </w:t>
      </w:r>
      <w:r>
        <w:t>demonstrate</w:t>
      </w:r>
      <w:r w:rsidRPr="00DB2C42">
        <w:t xml:space="preserve">s that resveratrol (RES) </w:t>
      </w:r>
      <w:r>
        <w:t xml:space="preserve">at a physiologically achievable dose of </w:t>
      </w:r>
      <w:r w:rsidRPr="00165CA1">
        <w:t>10 μM</w:t>
      </w:r>
      <w:r w:rsidRPr="00DB2C42">
        <w:t xml:space="preserve"> promote</w:t>
      </w:r>
      <w:r>
        <w:t xml:space="preserve">s </w:t>
      </w:r>
      <w:r w:rsidRPr="00DB2C42">
        <w:t>the browning of adipocytes and increase</w:t>
      </w:r>
      <w:r>
        <w:t>s</w:t>
      </w:r>
      <w:r w:rsidRPr="00DB2C42">
        <w:t xml:space="preserve"> insulin signaling in </w:t>
      </w:r>
      <w:r>
        <w:t xml:space="preserve">the </w:t>
      </w:r>
      <w:r w:rsidRPr="00DB2C42">
        <w:t xml:space="preserve">subcutaneous adipose-derived stromal cells (ADSCs) </w:t>
      </w:r>
      <w:r>
        <w:t>from</w:t>
      </w:r>
      <w:r w:rsidRPr="00DB2C42">
        <w:t xml:space="preserve"> both wild-type (WT) and diabetic (</w:t>
      </w:r>
      <w:r w:rsidRPr="00DB2C42">
        <w:rPr>
          <w:i/>
        </w:rPr>
        <w:t>db/db</w:t>
      </w:r>
      <w:r w:rsidRPr="00DB2C42">
        <w:t xml:space="preserve">) mice. To our knowledge, this is the first study </w:t>
      </w:r>
      <w:r>
        <w:t>that has directly compared the effects of RES on browning and improving insulin sensitivity in differentiated ADSCs derived from diabetic mice with their WT controls, as well as in</w:t>
      </w:r>
      <w:r w:rsidRPr="00DB2C42">
        <w:t xml:space="preserve"> </w:t>
      </w:r>
      <w:r>
        <w:t xml:space="preserve">females compared to their </w:t>
      </w:r>
      <w:r w:rsidRPr="00DB2C42">
        <w:t xml:space="preserve">male counterparts. Our results demonstrate that sex and </w:t>
      </w:r>
      <w:r>
        <w:t>diabetic</w:t>
      </w:r>
      <w:r w:rsidRPr="00DB2C42">
        <w:t xml:space="preserve"> status affect the</w:t>
      </w:r>
      <w:r>
        <w:t xml:space="preserve"> responses of differentiated ADSCs</w:t>
      </w:r>
      <w:r w:rsidRPr="00DB2C42">
        <w:t xml:space="preserve"> to physiological stimulations, such as </w:t>
      </w:r>
      <w:r w:rsidRPr="00687229">
        <w:t xml:space="preserve">the β-adrenergic agonist isoproterenol and insulin, as well as to the </w:t>
      </w:r>
      <w:r w:rsidRPr="00DB2C42">
        <w:t xml:space="preserve">dietary bioactive compound </w:t>
      </w:r>
      <w:r>
        <w:t>RES</w:t>
      </w:r>
      <w:r w:rsidRPr="00DB2C42">
        <w:t>.</w:t>
      </w:r>
    </w:p>
    <w:p w14:paraId="6490E600" w14:textId="527DDDDB" w:rsidR="00DB0781" w:rsidRPr="00DB0781" w:rsidRDefault="00DB0781" w:rsidP="00DB0781">
      <w:pPr>
        <w:ind w:firstLine="720"/>
        <w:jc w:val="left"/>
      </w:pPr>
      <w:r w:rsidRPr="00DB0781">
        <w:t xml:space="preserve">Adrenergic activation, primarily through the sympathetic nervous system, plays a crucial role in thermogenesis and energy expenditure as heat in brown and brown-like adipocytes. As a </w:t>
      </w:r>
      <w:r w:rsidRPr="00DB0781">
        <w:lastRenderedPageBreak/>
        <w:t xml:space="preserve">nonselective </w:t>
      </w:r>
      <w:r w:rsidRPr="00DB0781">
        <w:sym w:font="Symbol" w:char="F062"/>
      </w:r>
      <w:r w:rsidRPr="00DB0781">
        <w:t xml:space="preserve">-adrenergic agonist, ISO induces thermogenic activation by upregulating </w:t>
      </w:r>
      <w:r w:rsidRPr="00DB0781">
        <w:rPr>
          <w:i/>
          <w:iCs/>
        </w:rPr>
        <w:t>Pgc1</w:t>
      </w:r>
      <w:r w:rsidRPr="00DB0781">
        <w:rPr>
          <w:i/>
          <w:iCs/>
        </w:rPr>
        <w:sym w:font="Symbol" w:char="F061"/>
      </w:r>
      <w:r w:rsidRPr="00DB0781">
        <w:t xml:space="preserve"> and </w:t>
      </w:r>
      <w:r w:rsidRPr="00DB0781">
        <w:rPr>
          <w:i/>
          <w:iCs/>
        </w:rPr>
        <w:t>Ucp1</w:t>
      </w:r>
      <w:r w:rsidRPr="00DB0781">
        <w:t xml:space="preserve"> mRNA expression in all four groups of differentiated ADSCs. Higher ISO-stimulated </w:t>
      </w:r>
      <w:r w:rsidRPr="00DB0781">
        <w:rPr>
          <w:i/>
          <w:iCs/>
        </w:rPr>
        <w:t>Pgc1</w:t>
      </w:r>
      <w:r w:rsidRPr="00DB0781">
        <w:rPr>
          <w:i/>
          <w:iCs/>
        </w:rPr>
        <w:sym w:font="Symbol" w:char="F061"/>
      </w:r>
      <w:r w:rsidRPr="00DB0781">
        <w:t xml:space="preserve"> mRNA induction was found in the differentiated </w:t>
      </w:r>
      <w:r w:rsidRPr="00DB0781">
        <w:rPr>
          <w:i/>
          <w:iCs/>
        </w:rPr>
        <w:t>db/db</w:t>
      </w:r>
      <w:r w:rsidRPr="00DB0781">
        <w:t xml:space="preserve"> ADSCs of both sexes, although the differences were not statistically significant compared to their WT counterparts (</w:t>
      </w:r>
      <w:r w:rsidR="00866B6B" w:rsidRPr="00866B6B">
        <w:rPr>
          <w:b/>
          <w:bCs/>
        </w:rPr>
        <w:fldChar w:fldCharType="begin"/>
      </w:r>
      <w:r w:rsidR="00866B6B" w:rsidRPr="00866B6B">
        <w:rPr>
          <w:b/>
          <w:bCs/>
        </w:rPr>
        <w:instrText xml:space="preserve"> REF _Ref200808218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2</w:t>
      </w:r>
      <w:r w:rsidR="00866B6B" w:rsidRPr="00866B6B">
        <w:rPr>
          <w:b/>
          <w:bCs/>
        </w:rPr>
        <w:fldChar w:fldCharType="end"/>
      </w:r>
      <w:r w:rsidRPr="00DB0781">
        <w:rPr>
          <w:b/>
          <w:bCs/>
        </w:rPr>
        <w:t>A</w:t>
      </w:r>
      <w:r w:rsidRPr="00DB0781">
        <w:t xml:space="preserve">). In contrast, the differentiated ADSCs from female </w:t>
      </w:r>
      <w:r w:rsidRPr="00DB0781">
        <w:rPr>
          <w:i/>
          <w:iCs/>
        </w:rPr>
        <w:t>db/db</w:t>
      </w:r>
      <w:r w:rsidRPr="00DB0781">
        <w:t xml:space="preserve"> mice showed significantly higher ISO-stimulated </w:t>
      </w:r>
      <w:r w:rsidRPr="00DB0781">
        <w:rPr>
          <w:i/>
          <w:iCs/>
        </w:rPr>
        <w:t>Ucp1</w:t>
      </w:r>
      <w:r w:rsidRPr="00DB0781">
        <w:t xml:space="preserve"> mRNA induction compared to female WT controls or male </w:t>
      </w:r>
      <w:r w:rsidRPr="00DB0781">
        <w:rPr>
          <w:i/>
          <w:iCs/>
        </w:rPr>
        <w:t>db/db</w:t>
      </w:r>
      <w:r w:rsidRPr="00DB0781">
        <w:t xml:space="preserve"> counterparts (</w:t>
      </w:r>
      <w:r w:rsidR="00866B6B" w:rsidRPr="00866B6B">
        <w:rPr>
          <w:b/>
          <w:bCs/>
        </w:rPr>
        <w:fldChar w:fldCharType="begin"/>
      </w:r>
      <w:r w:rsidR="00866B6B" w:rsidRPr="00866B6B">
        <w:rPr>
          <w:b/>
          <w:bCs/>
        </w:rPr>
        <w:instrText xml:space="preserve"> REF _Ref200808218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2</w:t>
      </w:r>
      <w:r w:rsidR="00866B6B" w:rsidRPr="00866B6B">
        <w:rPr>
          <w:b/>
          <w:bCs/>
        </w:rPr>
        <w:fldChar w:fldCharType="end"/>
      </w:r>
      <w:r w:rsidRPr="00DB0781">
        <w:rPr>
          <w:b/>
          <w:bCs/>
        </w:rPr>
        <w:t>C</w:t>
      </w:r>
      <w:r w:rsidRPr="00DB0781">
        <w:t xml:space="preserve">). The results suggest that cellular adrenergic activation pathways in the differentiated ADSCs from </w:t>
      </w:r>
      <w:r w:rsidRPr="00DB0781">
        <w:rPr>
          <w:i/>
          <w:iCs/>
        </w:rPr>
        <w:t>db/db</w:t>
      </w:r>
      <w:r w:rsidRPr="00DB0781">
        <w:t xml:space="preserve"> mice are functional and may be upregulated to some extent, compensating for the genetic defects </w:t>
      </w:r>
      <w:r w:rsidRPr="00DB0781">
        <w:fldChar w:fldCharType="begin"/>
      </w:r>
      <w:r w:rsidR="005128B7">
        <w:instrText xml:space="preserve"> ADDIN ZOTERO_ITEM CSL_CITATION {"citationID":"XCh6z616","properties":{"formattedCitation":"\\super 440\\nosupersub{}","plainCitation":"440","noteIndex":0},"citationItems":[{"id":2881,"uris":["http://zotero.org/users/9622455/items/LDU4UKA8"],"itemData":{"id":2881,"type":"article-journal","container-title":"Current Biology","DOI":"10.1016/j.cub.2021.08.016","ISSN":"0960-9822","issue":"20","journalAbbreviation":"Current Biology","language":"English","note":"publisher: Elsevier\nPMID: 34453886","page":"4659-4666.e2","source":"www.cell.com","title":"Energy compensation and adiposity in humans","volume":"31","author":[{"family":"Careau","given":"Vincent"},{"family":"Halsey","given":"Lewis G."},{"family":"Pontzer","given":"Herman"},{"family":"Ainslie","given":"Philip N."},{"family":"Andersen","given":"Lene F."},{"family":"Anderson","given":"Liam J."},{"family":"Arab","given":"Lenore"},{"family":"Baddou","given":"Issad"},{"family":"Bedu-Addo","given":"Kweku"},{"family":"Blaak","given":"Ellen E."},{"family":"Blanc","given":"Stephane"},{"family":"Bonomi","given":"Alberto G."},{"family":"Bouten","given":"Carlijn V. C."},{"family":"Buchowski","given":"Maciej S."},{"family":"Butte","given":"Nancy F."},{"family":"Camps","given":"Stefan G. J. A."},{"family":"Close","given":"Graeme L."},{"family":"Cooper","given":"Jamie A."},{"family":"Das","given":"Sai Krupa"},{"family":"Cooper","given":"Richard"},{"family":"Dugas","given":"Lara R."},{"family":"Eaton","given":"Simon D."},{"family":"Ekelund","given":"Ulf"},{"family":"Entringer","given":"Sonja"},{"family":"Forrester","given":"Terrence"},{"family":"Fudge","given":"Barry W."},{"family":"Goris","given":"Annelies H."},{"family":"Gurven","given":"Michael"},{"family":"Hambly","given":"Catherine"},{"family":"Hamdouchi","given":"Asmaa El"},{"family":"Hoos","given":"Marije B."},{"family":"Hu","given":"Sumei"},{"family":"Joonas","given":"Noorjehan"},{"family":"Joosen","given":"Annemiek M."},{"family":"Katzmarzyk","given":"Peter"},{"family":"Kempen","given":"Kitty P."},{"family":"Kimura","given":"Misaka"},{"family":"Kraus","given":"William E."},{"family":"Kushner","given":"Robert F."},{"family":"Lambert","given":"Estelle V."},{"family":"Leonard","given":"William R."},{"family":"Lessan","given":"Nader"},{"family":"Martin","given":"Corby K."},{"family":"Medin","given":"Anine C."},{"family":"Meijer","given":"Erwin P."},{"family":"Morehen","given":"James C."},{"family":"Morton","given":"James P."},{"family":"Neuhouser","given":"Marian L."},{"family":"Nicklas","given":"Theresa A."},{"family":"Ojiambo","given":"Robert M."},{"family":"Pietiläinen","given":"Kirsi H."},{"family":"Pitsiladis","given":"Yannis P."},{"family":"Plange-Rhule","given":"Jacob"},{"family":"Plasqui","given":"Guy"},{"family":"Prentice","given":"Ross L."},{"family":"Rabinovich","given":"Roberto A."},{"family":"Racette","given":"Susan B."},{"family":"Raichlen","given":"David A."},{"family":"Ravussin","given":"Eric"},{"family":"Reilly","given":"John J."},{"family":"Reynolds","given":"Rebecca M."},{"family":"Roberts","given":"Susan B."},{"family":"Schuit","given":"Albertine J."},{"family":"Sjödin","given":"Anders M."},{"family":"Stice","given":"Eric"},{"family":"Urlacher","given":"Samuel S."},{"family":"Valenti","given":"Giulio"},{"family":"Etten","given":"Ludo M. Van"},{"family":"Mil","given":"Edgar A. Van"},{"family":"Wells","given":"Jonathan C. K."},{"family":"Wilson","given":"George"},{"family":"Wood","given":"Brian M."},{"family":"Yanovski","given":"Jack"},{"family":"Yoshida","given":"Tsukasa"},{"family":"Zhang","given":"Xueying"},{"family":"Murphy-Alford","given":"Alexia J."},{"family":"Loechl","given":"Cornelia U."},{"family":"Luke","given":"Amy H."},{"family":"Rood","given":"Jennifer"},{"family":"Sagayama","given":"Hiroyuki"},{"family":"Schoeller","given":"Dale A."},{"family":"Wong","given":"William W."},{"family":"Yamada","given":"Yosuke"},{"family":"Speakman","given":"John R."}],"issued":{"date-parts":[["2021",10,25]]}}}],"schema":"https://github.com/citation-style-language/schema/raw/master/csl-citation.json"} </w:instrText>
      </w:r>
      <w:r w:rsidRPr="00DB0781">
        <w:fldChar w:fldCharType="separate"/>
      </w:r>
      <w:r w:rsidR="005128B7" w:rsidRPr="005128B7">
        <w:rPr>
          <w:vertAlign w:val="superscript"/>
        </w:rPr>
        <w:t>440</w:t>
      </w:r>
      <w:r w:rsidRPr="00DB0781">
        <w:fldChar w:fldCharType="end"/>
      </w:r>
      <w:r w:rsidRPr="00DB0781">
        <w:t xml:space="preserve">. The sex differences in ISO-induced </w:t>
      </w:r>
      <w:r w:rsidRPr="00DB0781">
        <w:rPr>
          <w:i/>
          <w:iCs/>
        </w:rPr>
        <w:t>Ucp1</w:t>
      </w:r>
      <w:r w:rsidRPr="00DB0781">
        <w:t xml:space="preserve"> mRNA upregulation might be due to potential sex-specific differences in adrenergic receptor expression </w:t>
      </w:r>
      <w:r w:rsidRPr="00DB0781">
        <w:fldChar w:fldCharType="begin"/>
      </w:r>
      <w:r w:rsidR="005128B7">
        <w:instrText xml:space="preserve"> ADDIN ZOTERO_ITEM CSL_CITATION {"citationID":"WDJZ0hmM","properties":{"formattedCitation":"\\super 441\\uc0\\u8211{}443\\nosupersub{}","plainCitation":"441–443","noteIndex":0},"citationItems":[{"id":2889,"uris":["http://zotero.org/users/9622455/items/LI56WXBQ"],"itemData":{"id":2889,"type":"article-journal","abstract":"Vessels of female rats constrict less and relax more to adrenergic stimulation than vessels of males. Although we have reported that these sex-specific differences rely on endothelial β-adrenoceptors, the role of sex hormones in β-adrenoceptor expression and related vessel tone regulation is unknown. We investigated the role of estrogen, progesterone and testosterone on β-adrenoceptor expression and adrenergic vessel tone regulation, along with sex-specific differences in human mammary arteries. The sex-specific differences in vasoconstriction and vasorelaxation in rat vessels were eliminated after ovariectomy in females. Ovariectomy increased vessel vasoconstriction to norepinephrine more than twofold. Vasorelaxations by isoprenaline and a β3-agonist were reduced after ovariectomy. Estrogen, but not progesterone substitution, restored sex-specific differences in vasoconstriction and vasorelaxation. Vascular mRNA levels of β1- and β3- but not β2-adrenoreceptors were higher in vessels of females compared with males. Ovariectomy reduced these differences by decreasing β1- and β3- but not β2-adrenoreceptor expression in females. Consistently, estrogen substitution restored β1- and β3-adrenoreceptor expression. Orchiectomy or testosterone treatment affected neither vasoconstriction and vasorelaxation nor β-adrenoceptor expression in vessels of male rats. In human mammary arteries, sex-specific differences in vasoconstriction and vasorelaxation were reduced after removal of endothelium or treatment with l-NMMA. Vessels of women showed higher levels of β1- and β3-adrenoceptors than in men. In conclusion, the sex-specific differences in vasoconstriction and vasorelaxation are common for rat and human vessels. In rats, these differences are estrogen but not testosterone or progesterone dependent. Estrogen determines these differences via regulation of vascular endothelial β1- and β3-adrenoreceptor expression. NEW &amp; NOTEWORTHY This study proposes a mechanistic concept regulating sex-specific differences in adrenergic vasoconstriction and vasorelaxation. Estrogen increases vascular β1- and β3-adrenoceptor expression in female rats. This and our previous studies demonstrate that these receptors are located primarily on endothelium and when activated by norepinephrine act via nitric oxide (NO). Therefore, β-adrenergic stimulation leads to a more pronounced vasorelaxation in females. Coactivation of endothelial β1- and β3-adrenoreceptors leads to higher NO release in vessels of females, ultimately blunting vasoconstriction triggered by activation of smooth muscle α-adrenoceptors.","container-title":"American Journal of Physiology-Heart and Circulatory Physiology","DOI":"10.1152/ajpheart.00456.2018","ISSN":"0363-6135","issue":"2","note":"publisher: American Physiological Society","page":"H243-H254","source":"journals.physiology.org (Atypon)","title":"Estrogen determines sex differences in adrenergic vessel tone by regulation of endothelial β-adrenoceptor expression","volume":"317","author":[{"family":"Riedel","given":"Kristin"},{"family":"Deussen","given":"Andreas Johannes"},{"family":"Tolkmitt","given":"Josephine"},{"family":"Weber","given":"Silvio"},{"family":"Schlinkert","given":"Pia"},{"family":"Zatschler","given":"Birgit"},{"family":"Friebel","given":"Carmen"},{"family":"Müller","given":"Bianca"},{"family":"El-Armouche","given":"Ali"},{"family":"Morawietz","given":"Henning"},{"family":"Matschke","given":"Klaus"},{"family":"Kopaliani","given":"Irakli"}],"issued":{"date-parts":[["2019",8]]}}},{"id":2884,"uris":["http://zotero.org/users/9622455/items/BUUZ26EV"],"itemData":{"id":2884,"type":"article-journal","abstract":"Estrogens have cell-specific effects on a variety of physiological endpoints including regulation of mitochondrial biogenesis and activity. Estrogens regulate gene transcription by the classical genomic mechanism of binding to estrogen receptors α and β (ERα and ERβ) as well as the more recently described nongenomic pathways involving plasma membrane-associated ERs that activate intracellular protein kinase-mediated phosphorylation signaling cascades. Here I will review the rapid and longer-term effects of estrogen on mitochondrial function. The identification of ERα and ERβ within mitochondria of various cells and tissues is discussed with a model of estrogen regulation of the transcription of Nuclear Respiratory Factor-1 (NRF-1, NRF1). NRF-1 subsequently promotes transcription of mitochondrial transcription factor Tfam (mtDNA maintenance factor, also called mtTFA) and then Tfam targets mtDNA-encoded genes. The nuclear effects of estrogens on gene expression directly controlling mitochondrial biogenesis, oxygen consumption, mtDNA transcription, and apoptosis are reviewed. Overall, we are just beginning to evaluate the many direct and indirect effects of estrogens on mitochondrial activities.","container-title":"Journal of cellular biochemistry","DOI":"10.1002/jcb.21936","ISSN":"0730-2312","issue":"6","journalAbbreviation":"J Cell Biochem","note":"PMID: 18846505\nPMCID: PMC2593138","page":"1342-1351","source":"PubMed Central","title":"Estrogenic Control of Mitochondrial Function and Biogenesis","volume":"105","author":[{"family":"Klinge","given":"Carolyn M."}],"issued":{"date-parts":[["2008",12,15]]}}},{"id":2887,"uris":["http://zotero.org/users/9622455/items/GGH7PT8R"],"itemData":{"id":2887,"type":"article-journal","abstract":"Mitochondria are unique organelles present in almost all cell types. They are involved not only in the supply of energy to the host cell, but also in multiple biochemical and biological processes like calcium homeostasis, production, and regulation of reactive oxygen species (ROS), pH control, or cell death. The importance of mitochondria in cell biology and pathology is increasingly recognized. Being maternally inherited, mitochondria exhibit a tissue-specificity, because most of the mitochondrial proteins are encoded by the nuclear genome. This renders them exquisitely well-adapted to the physiology of the host cell. It is thus not surprising that mitochondria show a sexual dimorphism and that they are also prone to the influence of sex chromosomes and sex hormones. Estrogens affect mitochondria through multiple processes involving membrane and nuclear estrogen receptors (ERs) as well as more direct effects. Moreover, estrogen receptors have been identified within mitochondria. The effects of estrogens on mitochondria comprise protein content and specific activity of mitochondrial proteins, phospholipid content of membranes, oxidant and anti-oxidant capacities, oxidative phosphorylation, and calcium retention capacities. Herein we will briefly review the life cycle and functions of mitochondria, the importance of estrogen receptors and the effects of estrogens on heart and skeletal muscle mitochondria.","container-title":"Frontiers in Endocrinology","DOI":"10.3389/fendo.2019.00557","ISSN":"1664-2392","journalAbbreviation":"Front. Endocrinol.","language":"English","note":"publisher: Frontiers","source":"Frontiers","title":"Estrogens, Estrogen Receptors Effects on Cardiac and Skeletal Muscle Mitochondria","URL":"https://www.frontiersin.orghttps://www.frontiersin.org/journals/endocrinology/articles/10.3389/fendo.2019.00557/full","volume":"10","author":[{"family":"Ventura-Clapier","given":"Renée"},{"family":"Piquereau","given":"Jérôme"},{"family":"Veksler","given":"Vladimir"},{"family":"Garnier","given":"Anne"}],"accessed":{"date-parts":[["2025",4,29]]},"issued":{"date-parts":[["2019",8,14]]}}}],"schema":"https://github.com/citation-style-language/schema/raw/master/csl-citation.json"} </w:instrText>
      </w:r>
      <w:r w:rsidRPr="00DB0781">
        <w:fldChar w:fldCharType="separate"/>
      </w:r>
      <w:r w:rsidR="005128B7" w:rsidRPr="005128B7">
        <w:rPr>
          <w:vertAlign w:val="superscript"/>
        </w:rPr>
        <w:t>441–443</w:t>
      </w:r>
      <w:r w:rsidRPr="00DB0781">
        <w:fldChar w:fldCharType="end"/>
      </w:r>
      <w:r w:rsidRPr="00DB0781">
        <w:t xml:space="preserve"> and/or response to ISO in the differentiated ADSCs. Moreover, the results also suggest that cold intolerance and lower heat production/body weight found in the </w:t>
      </w:r>
      <w:r w:rsidRPr="00DB0781">
        <w:rPr>
          <w:i/>
          <w:iCs/>
        </w:rPr>
        <w:t>db/db</w:t>
      </w:r>
      <w:r w:rsidRPr="00DB0781">
        <w:t xml:space="preserve"> mice are likely due to other defects, perhaps upstream of cellular adrenergic activation in the adipocytes. </w:t>
      </w:r>
    </w:p>
    <w:p w14:paraId="25D48BCE" w14:textId="02B58D66" w:rsidR="00DB0781" w:rsidRPr="00DB0781" w:rsidRDefault="00DB0781" w:rsidP="00DB0781">
      <w:pPr>
        <w:ind w:firstLine="720"/>
        <w:jc w:val="left"/>
      </w:pPr>
      <w:r w:rsidRPr="00DB0781">
        <w:t xml:space="preserve">To our surprise, RES induced similar </w:t>
      </w:r>
      <w:r w:rsidRPr="00DB0781">
        <w:rPr>
          <w:i/>
          <w:iCs/>
        </w:rPr>
        <w:t>Ucp1</w:t>
      </w:r>
      <w:r w:rsidRPr="00DB0781">
        <w:t xml:space="preserve"> mRNA upregulation under both basal and ISO stimulated conditions in all </w:t>
      </w:r>
      <w:r w:rsidRPr="00DB0781" w:rsidDel="003A1528">
        <w:t>groups</w:t>
      </w:r>
      <w:r w:rsidRPr="00DB0781">
        <w:t xml:space="preserve"> of differentiated ADSCs (</w:t>
      </w:r>
      <w:r w:rsidR="00866B6B" w:rsidRPr="00866B6B">
        <w:rPr>
          <w:b/>
          <w:bCs/>
        </w:rPr>
        <w:fldChar w:fldCharType="begin"/>
      </w:r>
      <w:r w:rsidR="00866B6B" w:rsidRPr="00866B6B">
        <w:rPr>
          <w:b/>
          <w:bCs/>
        </w:rPr>
        <w:instrText xml:space="preserve"> REF _Ref200808218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2</w:t>
      </w:r>
      <w:r w:rsidR="00866B6B" w:rsidRPr="00866B6B">
        <w:rPr>
          <w:b/>
          <w:bCs/>
        </w:rPr>
        <w:fldChar w:fldCharType="end"/>
      </w:r>
      <w:r w:rsidRPr="00DB0781">
        <w:rPr>
          <w:b/>
          <w:bCs/>
        </w:rPr>
        <w:t>D</w:t>
      </w:r>
      <w:r w:rsidRPr="00DB0781">
        <w:t xml:space="preserve">). In contrast, the inductions of </w:t>
      </w:r>
      <w:r w:rsidRPr="00DB0781">
        <w:rPr>
          <w:i/>
        </w:rPr>
        <w:t xml:space="preserve">Pgc1α </w:t>
      </w:r>
      <w:r w:rsidRPr="00DB0781">
        <w:rPr>
          <w:iCs/>
        </w:rPr>
        <w:t>mRNA</w:t>
      </w:r>
      <w:r w:rsidRPr="00DB0781">
        <w:rPr>
          <w:i/>
        </w:rPr>
        <w:t xml:space="preserve"> </w:t>
      </w:r>
      <w:r w:rsidRPr="00DB0781">
        <w:rPr>
          <w:iCs/>
        </w:rPr>
        <w:t xml:space="preserve">expression by RES, particularly under ISO stimulated conditions, </w:t>
      </w:r>
      <w:r w:rsidRPr="00DB0781">
        <w:t xml:space="preserve">were more robust in the differentiated ADSCs from the </w:t>
      </w:r>
      <w:r w:rsidRPr="00DB0781">
        <w:rPr>
          <w:i/>
        </w:rPr>
        <w:t>db/db</w:t>
      </w:r>
      <w:r w:rsidRPr="00DB0781">
        <w:t xml:space="preserve"> mice compared to WT mice in both sexes, and female </w:t>
      </w:r>
      <w:r w:rsidRPr="00DB0781">
        <w:rPr>
          <w:i/>
          <w:iCs/>
        </w:rPr>
        <w:t>db/db</w:t>
      </w:r>
      <w:r w:rsidRPr="00DB0781">
        <w:t xml:space="preserve"> cells had a higher response to RES compared to the male </w:t>
      </w:r>
      <w:r w:rsidRPr="00DB0781">
        <w:rPr>
          <w:i/>
          <w:iCs/>
        </w:rPr>
        <w:t>db/db</w:t>
      </w:r>
      <w:r w:rsidRPr="00DB0781">
        <w:t xml:space="preserve"> cells (</w:t>
      </w:r>
      <w:r w:rsidR="00866B6B" w:rsidRPr="00866B6B">
        <w:rPr>
          <w:b/>
          <w:bCs/>
        </w:rPr>
        <w:fldChar w:fldCharType="begin"/>
      </w:r>
      <w:r w:rsidR="00866B6B" w:rsidRPr="00866B6B">
        <w:rPr>
          <w:b/>
          <w:bCs/>
        </w:rPr>
        <w:instrText xml:space="preserve"> REF _Ref200808218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2</w:t>
      </w:r>
      <w:r w:rsidR="00866B6B" w:rsidRPr="00866B6B">
        <w:rPr>
          <w:b/>
          <w:bCs/>
        </w:rPr>
        <w:fldChar w:fldCharType="end"/>
      </w:r>
      <w:r w:rsidRPr="00DB0781">
        <w:rPr>
          <w:b/>
          <w:bCs/>
        </w:rPr>
        <w:t>B</w:t>
      </w:r>
      <w:r w:rsidRPr="00DB0781">
        <w:t xml:space="preserve">). These results suggest that differentiated </w:t>
      </w:r>
      <w:r w:rsidRPr="00DB0781">
        <w:rPr>
          <w:i/>
          <w:iCs/>
        </w:rPr>
        <w:t>db/db</w:t>
      </w:r>
      <w:r w:rsidRPr="00DB0781">
        <w:t xml:space="preserve"> ADSCs can also respond to the browning effects of RES (even to a higher degree). Our findings not only align with a previous report demonstrating RES’s browning effects on the differentiated white adipose </w:t>
      </w:r>
      <w:r w:rsidRPr="00DB0781">
        <w:lastRenderedPageBreak/>
        <w:t>stromal cells from wildtype mice</w:t>
      </w:r>
      <w:r w:rsidR="00084DD9">
        <w:t xml:space="preserve"> </w:t>
      </w:r>
      <w:fldSimple w:instr=" ADDIN ZOTERO_TEMP ">
        <w:r w:rsidR="00C65078">
          <w:rPr>
            <w:u w:val="dash"/>
            <w:vertAlign w:val="superscript"/>
          </w:rPr>
          <w:t>1</w:t>
        </w:r>
      </w:fldSimple>
      <w:r w:rsidRPr="00DB0781">
        <w:t xml:space="preserve">, but also extend the findings to the white adipose stromal cells from diabetic </w:t>
      </w:r>
      <w:r w:rsidRPr="00DB0781">
        <w:rPr>
          <w:i/>
          <w:iCs/>
        </w:rPr>
        <w:t>db/db</w:t>
      </w:r>
      <w:r w:rsidRPr="00DB0781">
        <w:t xml:space="preserve"> mice of both sexes. </w:t>
      </w:r>
    </w:p>
    <w:p w14:paraId="660436B3" w14:textId="085FC59E" w:rsidR="00DB0781" w:rsidRPr="00DB0781" w:rsidRDefault="00DB0781" w:rsidP="00DB0781">
      <w:pPr>
        <w:ind w:firstLine="720"/>
        <w:jc w:val="left"/>
      </w:pPr>
      <w:r w:rsidRPr="00DB0781">
        <w:t>To correlate thermogenic gene expression, mitochondrial respiration and uncoupling in response to RES were further examined in the four groups of differentiated ADSCs. Although there were no significant differences in RES-induced changes in proton leak (</w:t>
      </w:r>
      <w:r w:rsidR="00866B6B" w:rsidRPr="00866B6B">
        <w:rPr>
          <w:b/>
          <w:bCs/>
        </w:rPr>
        <w:fldChar w:fldCharType="begin"/>
      </w:r>
      <w:r w:rsidR="00866B6B" w:rsidRPr="00866B6B">
        <w:rPr>
          <w:b/>
          <w:bCs/>
        </w:rPr>
        <w:instrText xml:space="preserve"> REF _Ref200808456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7</w:t>
      </w:r>
      <w:r w:rsidR="00866B6B" w:rsidRPr="00866B6B">
        <w:rPr>
          <w:b/>
          <w:bCs/>
        </w:rPr>
        <w:fldChar w:fldCharType="end"/>
      </w:r>
      <w:r w:rsidRPr="00DB0781">
        <w:rPr>
          <w:b/>
          <w:bCs/>
        </w:rPr>
        <w:t>A</w:t>
      </w:r>
      <w:r w:rsidRPr="00DB0781">
        <w:t>), there were significant differences in RES-induced changes in coupling efficiency among the four groups of differentiated ADSCs (</w:t>
      </w:r>
      <w:r w:rsidR="00866B6B" w:rsidRPr="00866B6B">
        <w:rPr>
          <w:b/>
          <w:bCs/>
        </w:rPr>
        <w:fldChar w:fldCharType="begin"/>
      </w:r>
      <w:r w:rsidR="00866B6B" w:rsidRPr="00866B6B">
        <w:rPr>
          <w:b/>
          <w:bCs/>
        </w:rPr>
        <w:instrText xml:space="preserve"> REF _Ref200808456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7</w:t>
      </w:r>
      <w:r w:rsidR="00866B6B" w:rsidRPr="00866B6B">
        <w:rPr>
          <w:b/>
          <w:bCs/>
        </w:rPr>
        <w:fldChar w:fldCharType="end"/>
      </w:r>
      <w:r w:rsidRPr="00DB0781">
        <w:rPr>
          <w:b/>
          <w:bCs/>
        </w:rPr>
        <w:t>B</w:t>
      </w:r>
      <w:r w:rsidRPr="00DB0781">
        <w:t xml:space="preserve">), as differentiated male </w:t>
      </w:r>
      <w:r w:rsidRPr="00DB0781">
        <w:rPr>
          <w:i/>
          <w:iCs/>
        </w:rPr>
        <w:t>db/db</w:t>
      </w:r>
      <w:r w:rsidRPr="00DB0781">
        <w:t xml:space="preserve"> ADSCs showed significantly lower coupling efficiency in response to RES than male WT cells and female </w:t>
      </w:r>
      <w:r w:rsidRPr="00DB0781">
        <w:rPr>
          <w:i/>
          <w:iCs/>
        </w:rPr>
        <w:t>db/db</w:t>
      </w:r>
      <w:r w:rsidRPr="00DB0781">
        <w:t xml:space="preserve"> cells (</w:t>
      </w:r>
      <w:r w:rsidR="00866B6B" w:rsidRPr="00866B6B">
        <w:rPr>
          <w:b/>
          <w:bCs/>
        </w:rPr>
        <w:fldChar w:fldCharType="begin"/>
      </w:r>
      <w:r w:rsidR="00866B6B" w:rsidRPr="00866B6B">
        <w:rPr>
          <w:b/>
          <w:bCs/>
        </w:rPr>
        <w:instrText xml:space="preserve"> REF _Ref200808456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7</w:t>
      </w:r>
      <w:r w:rsidR="00866B6B" w:rsidRPr="00866B6B">
        <w:rPr>
          <w:b/>
          <w:bCs/>
        </w:rPr>
        <w:fldChar w:fldCharType="end"/>
      </w:r>
      <w:r w:rsidRPr="00DB0781">
        <w:rPr>
          <w:b/>
          <w:bCs/>
        </w:rPr>
        <w:t>B</w:t>
      </w:r>
      <w:r w:rsidRPr="00DB0781">
        <w:t xml:space="preserve">). The facts that RES induced similar changes in </w:t>
      </w:r>
      <w:r w:rsidRPr="00DB0781">
        <w:rPr>
          <w:i/>
          <w:iCs/>
        </w:rPr>
        <w:t>Ucp1</w:t>
      </w:r>
      <w:r w:rsidRPr="00DB0781">
        <w:t xml:space="preserve"> mRNA expression but significant differences in mitochondrial coupling efficiency in the four groups of differentiated ADSCs suggest that i) RES may have differential effects on ATP production among the four groups of differentiated ADSCs; ii) RES may have differential effects on </w:t>
      </w:r>
      <w:r w:rsidRPr="00DB0781">
        <w:rPr>
          <w:i/>
          <w:iCs/>
        </w:rPr>
        <w:t>Ucp1</w:t>
      </w:r>
      <w:r w:rsidRPr="00DB0781">
        <w:t xml:space="preserve"> gene post transcription, translation, and/or post translational modification. It is known that the functionality of the </w:t>
      </w:r>
      <w:r w:rsidRPr="00DB0781">
        <w:rPr>
          <w:iCs/>
        </w:rPr>
        <w:t>UCP1</w:t>
      </w:r>
      <w:r w:rsidRPr="00DB0781">
        <w:t xml:space="preserve"> protein is determined not only by </w:t>
      </w:r>
      <w:r w:rsidRPr="00DB0781">
        <w:rPr>
          <w:i/>
        </w:rPr>
        <w:t>Ucp1</w:t>
      </w:r>
      <w:r w:rsidRPr="00DB0781">
        <w:t xml:space="preserve"> gene expression but also by its post-translational modifications, which are controlled by fatty acid presence, purine nucleotides, and the cellular redox state </w:t>
      </w:r>
      <w:r w:rsidRPr="00DB0781">
        <w:fldChar w:fldCharType="begin"/>
      </w:r>
      <w:r w:rsidR="005128B7">
        <w:instrText xml:space="preserve"> ADDIN ZOTERO_ITEM CSL_CITATION {"citationID":"zNQ4ymfQ","properties":{"formattedCitation":"\\super 154,444\\uc0\\u8211{}446\\nosupersub{}","plainCitation":"154,444–446","noteIndex":0},"citationItems":[{"id":2902,"uris":["http://zotero.org/users/9622455/items/BRHK5D6C"],"itemData":{"id":2902,"type":"article-journal","abstract":"Uncoupling protein 1 (UCP1)-dependent thermogenesis in brown adipose tissue is supported by a burst of mitochondrial reactive oxygen species upon cold exposure.","container-title":"Nature","DOI":"10.1038/nature17399","ISSN":"1476-4687","issue":"7597","language":"en","license":"2016 Springer Nature Limited","note":"publisher: Nature Publishing Group","page":"112-116","source":"www.nature.com","title":"Mitochondrial ROS regulate thermogenic energy expenditure and sulfenylation of UCP1","volume":"532","author":[{"family":"Chouchani","given":"Edward T."},{"family":"Kazak","given":"Lawrence"},{"family":"Jedrychowski","given":"Mark P."},{"family":"Lu","given":"Gina Z."},{"family":"Erickson","given":"Brian K."},{"family":"Szpyt","given":"John"},{"family":"Pierce","given":"Kerry A."},{"family":"Laznik-Bogoslavski","given":"Dina"},{"family":"Vetrivelan","given":"Ramalingam"},{"family":"Clish","given":"Clary B."},{"family":"Robinson","given":"Alan J."},{"family":"Gygi","given":"Steve P."},{"family":"Spiegelman","given":"Bruce M."}],"issued":{"date-parts":[["2016",4]]}}},{"id":2891,"uris":["http://zotero.org/users/9622455/items/RWHFE4PM"],"itemData":{"id":2891,"type":"article-journal","abstract":"Background: Fatty acids activate UCP1 to catalyze mitochondrial proton leak., Results: Palmitate changed the kinetics of two processes: mant-GDP binding to UCP1 and enzymatic proteolysis of UCP1., Conclusion: We present the first demonstration that fatty acids induce a conformational change in UCP1., Significance: The finding has profound implications for the mechanism of UCP1, providing crucial insights into cellular metabolic inefficiency., UCP1 catalyzes proton leak across the mitochondrial inner membrane to disengage substrate oxidation from ATP production. It is well established that UCP1 is activated by fatty acids and inhibited by purine nucleotides, but precisely how this regulation occurs remains unsettled. Although fatty acids can competitively overcome nucleotide inhibition in functional assays, fatty acids have little effect on purine nucleotide binding. Here, we present the first demonstration that fatty acids induce a conformational change in UCP1. Palmitate dramatically changed the bin</w:instrText>
      </w:r>
      <w:r w:rsidR="005128B7">
        <w:rPr>
          <w:rFonts w:hint="eastAsia"/>
        </w:rPr>
        <w:instrText>ding kinetics of 2</w:instrText>
      </w:r>
      <w:r w:rsidR="005128B7">
        <w:rPr>
          <w:rFonts w:hint="eastAsia"/>
        </w:rPr>
        <w:instrText>′</w:instrText>
      </w:r>
      <w:r w:rsidR="005128B7">
        <w:rPr>
          <w:rFonts w:hint="eastAsia"/>
        </w:rPr>
        <w:instrText>/3</w:instrText>
      </w:r>
      <w:r w:rsidR="005128B7">
        <w:rPr>
          <w:rFonts w:hint="eastAsia"/>
        </w:rPr>
        <w:instrText>′</w:instrText>
      </w:r>
      <w:r w:rsidR="005128B7">
        <w:rPr>
          <w:rFonts w:hint="eastAsia"/>
        </w:rPr>
        <w:instrText>-O-(N-methylanthraniloyl)-GDP, a fluorescently labeled nucleotide analog, for UCP1. Furthermore, palmitate accelerated the rate of enzymatic proteolysis of UCP1. The altered kinetics of both processes indicate that fatty acids change</w:instrText>
      </w:r>
      <w:r w:rsidR="005128B7">
        <w:instrText xml:space="preserve"> the conformation of UCP1, reconciling the apparent discrepancy between existing functional and ligand binding data. Our results provide a framework for how fatty acids and nucleotides compete to regulate the activity of UCP1.","container-title":"The Journal of Biological Chemistry","DOI":"10.1074/jbc.M112.381780","ISSN":"0021-9258","issue":"44","journalAbbreviation":"J Biol Chem","note":"PMID: 22952235\nPMCID: PMC3481287","page":"36845-36853","source":"PubMed Central","title":"Fatty Acids Change the Conformation of Uncoupling Protein 1 (UCP1)","volume":"287","author":[{"family":"Divakaruni","given":"Ajit S."},{"family":"Humphrey","given":"Dickon M."},{"family":"Brand","given":"Martin D."}],"issued":{"date-parts":[["2012",10,26]]}}},{"id":2894,"uris":["http://zotero.org/users/9622455/items/3762BQAT"],"itemData":{"id":2894,"type":"article-journal","abstract":"Non-shivering thermogenesis in mammalian brown adipose tissue is a powerful mechanism to defend normothermia in cold climates. To minimize the loss of chemical energy, the central functional component, mitochondrial uncoupling protein 1, UCP1, must be tightly regulated. The canonical pathway of UCP1 activation includes lipolytic release of free fatty acids in response to an adrenergic signal. Activating fatty acids overcome constitutive inhibition of UCP1 by the di- and triphosphate forms of purine nucleotides, i.e., ATP, ADP, GTP, and GDP. Cellular concentrations of inhibitory, free nucleotides are subject to significant, adrenergically induced alterations. The regulatory components involved may constitute novel drug targets to manipulate brown fat thermogenesis and thereby organismic energy balance. We here review evidence for and against a dominant role of nucleotides in thermogenic control, describe conceptual routes to endogenously and pharmacologically alter free nucleotide pool size, speculate on a signaling role of degradation products released from active brown fat, and highlight gaps in our understanding of signaling and metabolic pathways involved.","container-title":"Frontiers in Endocrinology","DOI":"10.3389/fendo.2020.00118","ISSN":"1664-2392","journalAbbreviation":"Front Endocrinol (Lausanne)","note":"PMID: 32210919\nPMCID: PMC7076073","page":"118","source":"PubMed Central","title":"Purine Nucleotides in the Regulation of Brown Adipose Tissue Activity","volume":"11","author":[{"family":"Bast-Habersbrunner","given":"Andrea"},{"family":"Fromme","given":"Tobias"}],"issued":{"date-parts":[["2020",3,10]]}}},{"id":2897,"uris":["http://zotero.org/users/9622455/items/FNSSS7NC"],"itemData":{"id":2897,"type":"article-journal","abstract":"Brown and beige adipose tissues can catabolize stored energy to generate heat, relying on the principal effector of thermogenesis: uncoupling protein 1 (UCP1). This unique capability could be leveraged as a therapy for metabolic disease. Numerous animal and cellular models have now demonstrated that mitochondrial reactive oxygen species (ROS) signal to support adipocyte thermogenic identity and function. Herein, we contextualize these findings within the established principles of redox signaling and mechanistic studies of UCP1 function. We provide a framework for understanding the role of mitochondrial ROS signaling in thermogenesis together with testable hypotheses for understanding mechanisms and developing therapies.","container-title":"Journal of Biological Chemistry","DOI":"10.1074/jbc.R117.789628","ISSN":"0021-9258","issue":"41","journalAbbreviation":"Journal of Biological Chemistry","page":"16810-16816","source":"ScienceDirect","title":"Mitochondrial reactive oxygen species and adipose tissue thermogenesis: Bridging physiology and mechanisms","title-short":"Mitochondrial reactive oxygen species and adipose tissue thermogenesis","volume":"292","author":[{"family":"Chouchani","given":"Edward T."},{"family":"Kazak","given":"Lawrence"},{"family":"Spiegelman","given":"Bruce M."}],"issued":{"date-parts":[["2017",10,13]]}}}],"schema":"https://github.com/citation-style-language/schema/raw/master/csl-citation.json"} </w:instrText>
      </w:r>
      <w:r w:rsidRPr="00DB0781">
        <w:fldChar w:fldCharType="separate"/>
      </w:r>
      <w:r w:rsidR="005128B7" w:rsidRPr="005128B7">
        <w:rPr>
          <w:vertAlign w:val="superscript"/>
        </w:rPr>
        <w:t>154,444–446</w:t>
      </w:r>
      <w:r w:rsidRPr="00DB0781">
        <w:fldChar w:fldCharType="end"/>
      </w:r>
      <w:r w:rsidRPr="00DB0781">
        <w:t xml:space="preserve">. Hence, future studies are needed to explore the mechanisms underlying the differential effects of RES in reducing mitochondrial uncoupling in the four groups of differentiated ADSCs. Moreover, the results underscore the importance of assessing mitochondrial uncoupling in conjunction with thermogenic gene expression when studying the browning effects in differentiated ADSCs from diabetic animals compared to WT controls, or in males compared to females. </w:t>
      </w:r>
    </w:p>
    <w:p w14:paraId="4AB35B33" w14:textId="5DCAD5F4" w:rsidR="00DB0781" w:rsidRPr="00DB0781" w:rsidRDefault="00DB0781" w:rsidP="00DB0781">
      <w:pPr>
        <w:ind w:firstLine="720"/>
        <w:jc w:val="left"/>
      </w:pPr>
      <w:r w:rsidRPr="00DB0781">
        <w:lastRenderedPageBreak/>
        <w:t>Insulin signaling was further studied in the differentiated ADSCs in response to RES. Although insulin-induced p-AKT levels (p-AKT/ERK) varied (</w:t>
      </w:r>
      <w:r w:rsidR="00866B6B" w:rsidRPr="00866B6B">
        <w:rPr>
          <w:b/>
          <w:bCs/>
        </w:rPr>
        <w:fldChar w:fldCharType="begin"/>
      </w:r>
      <w:r w:rsidR="00866B6B" w:rsidRPr="00866B6B">
        <w:rPr>
          <w:b/>
          <w:bCs/>
        </w:rPr>
        <w:instrText xml:space="preserve"> REF _Ref200808803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12</w:t>
      </w:r>
      <w:r w:rsidR="00866B6B" w:rsidRPr="00866B6B">
        <w:rPr>
          <w:b/>
          <w:bCs/>
        </w:rPr>
        <w:fldChar w:fldCharType="end"/>
      </w:r>
      <w:r w:rsidRPr="00DB0781">
        <w:rPr>
          <w:b/>
          <w:bCs/>
        </w:rPr>
        <w:t>A</w:t>
      </w:r>
      <w:r w:rsidRPr="00DB0781">
        <w:t>), insulin-induced p-AKT/AKT ratios were not different among the four differentiated ADSCs (</w:t>
      </w:r>
      <w:r w:rsidR="00866B6B" w:rsidRPr="00866B6B">
        <w:rPr>
          <w:b/>
          <w:bCs/>
        </w:rPr>
        <w:fldChar w:fldCharType="begin"/>
      </w:r>
      <w:r w:rsidR="00866B6B" w:rsidRPr="00866B6B">
        <w:rPr>
          <w:b/>
          <w:bCs/>
        </w:rPr>
        <w:instrText xml:space="preserve"> REF _Ref200808803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12</w:t>
      </w:r>
      <w:r w:rsidR="00866B6B" w:rsidRPr="00866B6B">
        <w:rPr>
          <w:b/>
          <w:bCs/>
        </w:rPr>
        <w:fldChar w:fldCharType="end"/>
      </w:r>
      <w:r w:rsidRPr="00DB0781">
        <w:rPr>
          <w:b/>
          <w:bCs/>
        </w:rPr>
        <w:t>C</w:t>
      </w:r>
      <w:r w:rsidRPr="00DB0781">
        <w:t xml:space="preserve">), indicating that although insulin may have differential effects on total AKT levels, differentiated ADSCs respond to insulin with a similar degree of AKT phosphorylation, regardless of sex and diabetic status. Because we used insulin at 50 nM, which is supraphysiological as </w:t>
      </w:r>
      <w:r w:rsidRPr="00DB0781">
        <w:rPr>
          <w:i/>
          <w:iCs/>
        </w:rPr>
        <w:t>db/db</w:t>
      </w:r>
      <w:r w:rsidRPr="00DB0781">
        <w:t xml:space="preserve"> mice’s random serum insulin levels were ~ 20 ng/ml or ~3.4 nM (Chapter III), the results suggest differentiated </w:t>
      </w:r>
      <w:r w:rsidRPr="00DB0781">
        <w:rPr>
          <w:i/>
          <w:iCs/>
        </w:rPr>
        <w:t>db/db</w:t>
      </w:r>
      <w:r w:rsidRPr="00DB0781">
        <w:t xml:space="preserve"> ADSCs respond to supraphysiological levels of insulin in a similar manner to those of differentiated WT ADSCs.</w:t>
      </w:r>
    </w:p>
    <w:p w14:paraId="5DBE9C20" w14:textId="3228DCE0" w:rsidR="00DB0781" w:rsidRPr="00DB0781" w:rsidRDefault="00DB0781" w:rsidP="00DB0781">
      <w:pPr>
        <w:ind w:firstLine="720"/>
        <w:jc w:val="left"/>
      </w:pPr>
      <w:r w:rsidRPr="00DB0781">
        <w:t>In addition to its influence on mitochondrial uncoupling and energy expenditure, RES showed similar fold increases in p-AKT (</w:t>
      </w:r>
      <w:r w:rsidR="00866B6B" w:rsidRPr="00866B6B">
        <w:rPr>
          <w:b/>
          <w:bCs/>
        </w:rPr>
        <w:fldChar w:fldCharType="begin"/>
      </w:r>
      <w:r w:rsidR="00866B6B" w:rsidRPr="00866B6B">
        <w:rPr>
          <w:b/>
          <w:bCs/>
        </w:rPr>
        <w:instrText xml:space="preserve"> REF _Ref200808803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12</w:t>
      </w:r>
      <w:r w:rsidR="00866B6B" w:rsidRPr="00866B6B">
        <w:rPr>
          <w:b/>
          <w:bCs/>
        </w:rPr>
        <w:fldChar w:fldCharType="end"/>
      </w:r>
      <w:r w:rsidRPr="00DB0781">
        <w:rPr>
          <w:b/>
          <w:bCs/>
        </w:rPr>
        <w:t>B</w:t>
      </w:r>
      <w:r w:rsidRPr="00DB0781">
        <w:t>) and p-ATK/AKT (</w:t>
      </w:r>
      <w:r w:rsidR="00866B6B" w:rsidRPr="00866B6B">
        <w:rPr>
          <w:b/>
          <w:bCs/>
        </w:rPr>
        <w:fldChar w:fldCharType="begin"/>
      </w:r>
      <w:r w:rsidR="00866B6B" w:rsidRPr="00866B6B">
        <w:rPr>
          <w:b/>
          <w:bCs/>
        </w:rPr>
        <w:instrText xml:space="preserve"> REF _Ref200808803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12</w:t>
      </w:r>
      <w:r w:rsidR="00866B6B" w:rsidRPr="00866B6B">
        <w:rPr>
          <w:b/>
          <w:bCs/>
        </w:rPr>
        <w:fldChar w:fldCharType="end"/>
      </w:r>
      <w:r w:rsidRPr="00DB0781">
        <w:rPr>
          <w:b/>
          <w:bCs/>
        </w:rPr>
        <w:t>D</w:t>
      </w:r>
      <w:r w:rsidRPr="00DB0781">
        <w:t>) under insulin-stimulated conditions in the differentiated ADSCs, as there were no differences in RES-induced p-AKT and p-AKT/AKT ratios under insulin-stimulated conditions among the four groups of differentiated ADSCs (</w:t>
      </w:r>
      <w:r w:rsidR="00866B6B" w:rsidRPr="00866B6B">
        <w:rPr>
          <w:b/>
          <w:bCs/>
        </w:rPr>
        <w:fldChar w:fldCharType="begin"/>
      </w:r>
      <w:r w:rsidR="00866B6B" w:rsidRPr="00866B6B">
        <w:rPr>
          <w:b/>
          <w:bCs/>
        </w:rPr>
        <w:instrText xml:space="preserve"> REF _Ref200808803 \h </w:instrText>
      </w:r>
      <w:r w:rsidR="00866B6B">
        <w:rPr>
          <w:b/>
          <w:bCs/>
        </w:rPr>
        <w:instrText xml:space="preserve"> \* MERGEFORMAT </w:instrText>
      </w:r>
      <w:r w:rsidR="00866B6B" w:rsidRPr="00866B6B">
        <w:rPr>
          <w:b/>
          <w:bCs/>
        </w:rPr>
      </w:r>
      <w:r w:rsidR="00866B6B" w:rsidRPr="00866B6B">
        <w:rPr>
          <w:b/>
          <w:bCs/>
        </w:rPr>
        <w:fldChar w:fldCharType="separate"/>
      </w:r>
      <w:r w:rsidR="00866B6B" w:rsidRPr="00866B6B">
        <w:rPr>
          <w:b/>
          <w:bCs/>
        </w:rPr>
        <w:t xml:space="preserve">Figure </w:t>
      </w:r>
      <w:r w:rsidR="00866B6B" w:rsidRPr="00866B6B">
        <w:rPr>
          <w:b/>
          <w:bCs/>
          <w:noProof/>
        </w:rPr>
        <w:t>4</w:t>
      </w:r>
      <w:r w:rsidR="00866B6B" w:rsidRPr="00866B6B">
        <w:rPr>
          <w:b/>
          <w:bCs/>
        </w:rPr>
        <w:t>.</w:t>
      </w:r>
      <w:r w:rsidR="00866B6B" w:rsidRPr="00866B6B">
        <w:rPr>
          <w:b/>
          <w:bCs/>
          <w:noProof/>
        </w:rPr>
        <w:t>12</w:t>
      </w:r>
      <w:r w:rsidR="00866B6B" w:rsidRPr="00866B6B">
        <w:rPr>
          <w:b/>
          <w:bCs/>
        </w:rPr>
        <w:fldChar w:fldCharType="end"/>
      </w:r>
      <w:r w:rsidRPr="00DB0781">
        <w:rPr>
          <w:b/>
          <w:bCs/>
        </w:rPr>
        <w:t>B and D</w:t>
      </w:r>
      <w:r w:rsidRPr="00DB0781">
        <w:t>). The results suggest that under the tested conditions, RES has similar beneficial effects in enhancing insulin signaling in the differentiated ADSCs, regardless of sex and diabetic conditions.</w:t>
      </w:r>
    </w:p>
    <w:p w14:paraId="74786757" w14:textId="77777777" w:rsidR="00DB0781" w:rsidRPr="00DB0781" w:rsidRDefault="00DB0781" w:rsidP="00DB0781">
      <w:pPr>
        <w:ind w:firstLine="720"/>
        <w:jc w:val="left"/>
      </w:pPr>
      <w:r w:rsidRPr="00DB0781">
        <w:t xml:space="preserve">Our study has several limitations. Primarily, the experiments were performed in vitro with differentiated ADSCs, which does not capture the full complexity of adipose tissue in vivo, considering the interplay of systemic hormones, nervous connections, and immune constituents. In addition, while we analyzed gene expression and mitochondrial respiration, we did not measure other functional outputs, including glucose uptake and fatty acid oxidation. Furthermore, only one concentration of RES was investigated. Determining therapeutic margins </w:t>
      </w:r>
      <w:r w:rsidRPr="00DB0781">
        <w:lastRenderedPageBreak/>
        <w:t xml:space="preserve">will require consideration of dose-dependent effects and in vivo pharmacokinetics. Lastly, although the use of the </w:t>
      </w:r>
      <w:r w:rsidRPr="00DB0781">
        <w:rPr>
          <w:i/>
        </w:rPr>
        <w:t>db/db</w:t>
      </w:r>
      <w:r w:rsidRPr="00DB0781">
        <w:t xml:space="preserve"> mice model captures critical features of obesity and obesity associated T2DM, further investigations using human cells or mouse transplantation models will be important for developing a browning strategy for treating human obesity and T2DM. </w:t>
      </w:r>
    </w:p>
    <w:p w14:paraId="10B6338B" w14:textId="77777777" w:rsidR="00DB0781" w:rsidRDefault="00DB0781" w:rsidP="00E876F2">
      <w:pPr>
        <w:ind w:firstLine="720"/>
        <w:jc w:val="left"/>
      </w:pPr>
    </w:p>
    <w:p w14:paraId="2C4C3A76" w14:textId="77777777" w:rsidR="00881CD0" w:rsidRPr="00DB2C42" w:rsidRDefault="00881CD0" w:rsidP="00847BA5">
      <w:pPr>
        <w:pStyle w:val="Heading2"/>
        <w:jc w:val="left"/>
      </w:pPr>
      <w:bookmarkStart w:id="208" w:name="_Toc196309416"/>
      <w:bookmarkStart w:id="209" w:name="_Toc200810439"/>
      <w:bookmarkStart w:id="210" w:name="_Toc204848678"/>
      <w:r w:rsidRPr="00DB2C42">
        <w:t>Conclusion</w:t>
      </w:r>
      <w:bookmarkEnd w:id="208"/>
      <w:bookmarkEnd w:id="209"/>
      <w:bookmarkEnd w:id="210"/>
    </w:p>
    <w:p w14:paraId="1E0AAD1F" w14:textId="77777777" w:rsidR="000B3B76" w:rsidRPr="00DB2C42" w:rsidRDefault="000B3B76" w:rsidP="000B3B76">
      <w:pPr>
        <w:ind w:firstLine="384"/>
        <w:jc w:val="left"/>
      </w:pPr>
      <w:r>
        <w:t>Overall, t</w:t>
      </w:r>
      <w:r w:rsidRPr="00DB2C42">
        <w:t xml:space="preserve">he study demonstrates </w:t>
      </w:r>
      <w:r>
        <w:t>significant differences in response to physiological stimulation, such as adrenergic activation and insulin, among differentiated ADSCs from diabetic mice compared to the WT controls and from males compared to the females. Moreover, RES</w:t>
      </w:r>
      <w:r w:rsidRPr="00DB2C42">
        <w:t xml:space="preserve"> enhances browning</w:t>
      </w:r>
      <w:r>
        <w:t>, mitochondrial uncoupling,</w:t>
      </w:r>
      <w:r w:rsidRPr="00DB2C42">
        <w:t xml:space="preserve"> and insulin s</w:t>
      </w:r>
      <w:r>
        <w:t>ensitivity</w:t>
      </w:r>
      <w:r w:rsidRPr="00DB2C42">
        <w:t xml:space="preserve"> in </w:t>
      </w:r>
      <w:r>
        <w:t xml:space="preserve">the differentiated </w:t>
      </w:r>
      <w:r w:rsidRPr="00DB2C42">
        <w:t xml:space="preserve">ADSCs in </w:t>
      </w:r>
      <w:r>
        <w:t>a manner</w:t>
      </w:r>
      <w:r w:rsidRPr="00DB2C42">
        <w:t xml:space="preserve"> that depends on sex and </w:t>
      </w:r>
      <w:r>
        <w:t>diabetic</w:t>
      </w:r>
      <w:r w:rsidRPr="00DB2C42">
        <w:t xml:space="preserve"> status. The stronge</w:t>
      </w:r>
      <w:r>
        <w:t>r</w:t>
      </w:r>
      <w:r w:rsidRPr="00DB2C42">
        <w:t xml:space="preserve"> effects of RES-induced PGC1</w:t>
      </w:r>
      <w:r w:rsidRPr="00DB2C42">
        <w:rPr>
          <w:lang w:val="el-GR"/>
        </w:rPr>
        <w:t>α/</w:t>
      </w:r>
      <w:r w:rsidRPr="00DB2C42">
        <w:rPr>
          <w:iCs/>
        </w:rPr>
        <w:t>UCP1</w:t>
      </w:r>
      <w:r w:rsidRPr="00DB2C42">
        <w:t xml:space="preserve"> </w:t>
      </w:r>
      <w:r>
        <w:t>mRNA expression</w:t>
      </w:r>
      <w:r w:rsidRPr="00DB2C42">
        <w:t xml:space="preserve"> and mitochondrial uncoupling were observed in </w:t>
      </w:r>
      <w:r>
        <w:t xml:space="preserve">the differentiated ADSCs from the </w:t>
      </w:r>
      <w:r w:rsidRPr="00DB2C42">
        <w:rPr>
          <w:i/>
        </w:rPr>
        <w:t>db/db</w:t>
      </w:r>
      <w:r w:rsidRPr="00DB2C42">
        <w:t xml:space="preserve"> </w:t>
      </w:r>
      <w:r>
        <w:t>mice</w:t>
      </w:r>
      <w:r w:rsidRPr="00DB2C42">
        <w:t xml:space="preserve">, </w:t>
      </w:r>
      <w:r>
        <w:t xml:space="preserve">with female </w:t>
      </w:r>
      <w:r w:rsidRPr="002C351D">
        <w:rPr>
          <w:i/>
          <w:iCs/>
        </w:rPr>
        <w:t>db/db</w:t>
      </w:r>
      <w:r>
        <w:t xml:space="preserve"> cells showing a greater response to RES than male </w:t>
      </w:r>
      <w:r w:rsidRPr="002C351D">
        <w:rPr>
          <w:i/>
          <w:iCs/>
        </w:rPr>
        <w:t>db/db</w:t>
      </w:r>
      <w:r>
        <w:t xml:space="preserve"> cells. Furthermore, under tested conditions, RES shows similar enhancement in insulin signaling in all four groups of differentiated ADSCs, regardless of sex and diabetic status. </w:t>
      </w:r>
    </w:p>
    <w:p w14:paraId="1AA03749" w14:textId="77777777" w:rsidR="000B3B76" w:rsidRPr="00DB2C42" w:rsidRDefault="000B3B76" w:rsidP="000B3B76">
      <w:pPr>
        <w:ind w:firstLine="384"/>
        <w:jc w:val="left"/>
      </w:pPr>
      <w:r w:rsidRPr="00DB2C42">
        <w:t>These findings reinforce the therapeutic potential</w:t>
      </w:r>
      <w:r>
        <w:t xml:space="preserve"> </w:t>
      </w:r>
      <w:r w:rsidRPr="00DB2C42">
        <w:t xml:space="preserve">of </w:t>
      </w:r>
      <w:r>
        <w:t>RES</w:t>
      </w:r>
      <w:r w:rsidRPr="00DB2C42">
        <w:t xml:space="preserve"> as an active phytonutrient that induces the browning of white adipocytes</w:t>
      </w:r>
      <w:r>
        <w:t xml:space="preserve">, increases mitochondrial uncoupling, </w:t>
      </w:r>
      <w:r w:rsidRPr="00DB2C42">
        <w:t xml:space="preserve">and </w:t>
      </w:r>
      <w:r>
        <w:t>enhances insulin sensitivity, particularly in the context of obesity and T2DM</w:t>
      </w:r>
      <w:r w:rsidRPr="00DB2C42">
        <w:t xml:space="preserve">. Our study reveals the importance of sex and </w:t>
      </w:r>
      <w:r>
        <w:t>diabetic</w:t>
      </w:r>
      <w:r w:rsidRPr="00DB2C42">
        <w:t xml:space="preserve"> status in modifying the beneficial effects of RES</w:t>
      </w:r>
      <w:r>
        <w:t>, particularly in browning and mitochondrial uncoupling</w:t>
      </w:r>
      <w:r w:rsidRPr="00DB2C42">
        <w:t xml:space="preserve">. Further work should focus on validating these effects in vivo, elucidating the molecular pathways </w:t>
      </w:r>
      <w:r>
        <w:t>that drive</w:t>
      </w:r>
      <w:r w:rsidRPr="00DB2C42">
        <w:t xml:space="preserve"> sex- and genotype-dependent differences, </w:t>
      </w:r>
      <w:r w:rsidRPr="00DB2C42">
        <w:lastRenderedPageBreak/>
        <w:t xml:space="preserve">and investigating the potential for translating RES-based interventions </w:t>
      </w:r>
      <w:r>
        <w:t>for</w:t>
      </w:r>
      <w:r w:rsidRPr="00DB2C42">
        <w:t xml:space="preserve"> </w:t>
      </w:r>
      <w:r>
        <w:t xml:space="preserve">the treatment of </w:t>
      </w:r>
      <w:r w:rsidRPr="00DB2C42">
        <w:t xml:space="preserve">human </w:t>
      </w:r>
      <w:r>
        <w:t>obesity and T2DM</w:t>
      </w:r>
      <w:r w:rsidRPr="00DB2C42">
        <w:t>.</w:t>
      </w:r>
    </w:p>
    <w:p w14:paraId="4FEA5CA5" w14:textId="55B1B8C8" w:rsidR="00881CD0" w:rsidRPr="00DB2C42" w:rsidRDefault="00881CD0" w:rsidP="003079C9">
      <w:pPr>
        <w:ind w:firstLine="720"/>
        <w:jc w:val="left"/>
      </w:pPr>
    </w:p>
    <w:p w14:paraId="6CF0FD4E" w14:textId="77777777" w:rsidR="00881CD0" w:rsidRPr="00DB2C42" w:rsidRDefault="00881CD0" w:rsidP="00847BA5">
      <w:pPr>
        <w:spacing w:line="240" w:lineRule="auto"/>
        <w:jc w:val="left"/>
      </w:pPr>
      <w:r w:rsidRPr="00DB2C42">
        <w:br w:type="page"/>
      </w:r>
    </w:p>
    <w:p w14:paraId="6EE4DB03" w14:textId="5A5CC82D" w:rsidR="00881CD0" w:rsidRPr="00DB2C42" w:rsidRDefault="00881CD0" w:rsidP="00764B32">
      <w:pPr>
        <w:pStyle w:val="Heading2"/>
        <w:numPr>
          <w:ilvl w:val="0"/>
          <w:numId w:val="0"/>
        </w:numPr>
        <w:ind w:left="576" w:hanging="576"/>
      </w:pPr>
      <w:bookmarkStart w:id="211" w:name="_Toc196309418"/>
      <w:bookmarkStart w:id="212" w:name="_Toc200810441"/>
      <w:bookmarkStart w:id="213" w:name="_Toc204848679"/>
      <w:r w:rsidRPr="00DB2C42">
        <w:lastRenderedPageBreak/>
        <w:t>Appendix</w:t>
      </w:r>
      <w:bookmarkEnd w:id="211"/>
      <w:bookmarkEnd w:id="212"/>
      <w:bookmarkEnd w:id="213"/>
    </w:p>
    <w:p w14:paraId="5CB2F088" w14:textId="6004E86C" w:rsidR="00881CD0" w:rsidRPr="00DB2C42" w:rsidRDefault="00AE4094" w:rsidP="00BE38C9">
      <w:pPr>
        <w:keepNext/>
      </w:pPr>
      <w:r>
        <w:rPr>
          <w:noProof/>
        </w:rPr>
        <w:drawing>
          <wp:inline distT="0" distB="0" distL="0" distR="0" wp14:anchorId="3755527F" wp14:editId="630F8D47">
            <wp:extent cx="5943600" cy="2877185"/>
            <wp:effectExtent l="0" t="0" r="0" b="0"/>
            <wp:docPr id="1952155848" name="Picture 1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55848" name="Picture 19" descr="A screenshot of a video gam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877185"/>
                    </a:xfrm>
                    <a:prstGeom prst="rect">
                      <a:avLst/>
                    </a:prstGeom>
                  </pic:spPr>
                </pic:pic>
              </a:graphicData>
            </a:graphic>
          </wp:inline>
        </w:drawing>
      </w:r>
    </w:p>
    <w:p w14:paraId="57C287B8" w14:textId="3785FABD" w:rsidR="00881CD0" w:rsidRPr="00DB2C42" w:rsidRDefault="00881CD0" w:rsidP="00546B55">
      <w:pPr>
        <w:pStyle w:val="Caption"/>
      </w:pPr>
      <w:bookmarkStart w:id="214" w:name="_Ref200808161"/>
      <w:bookmarkStart w:id="215" w:name="_Toc204847359"/>
      <w:r w:rsidRPr="00DB2C42">
        <w:t xml:space="preserve">Figure </w:t>
      </w:r>
      <w:fldSimple w:instr=" STYLEREF 1 \s ">
        <w:r w:rsidR="00F71430">
          <w:rPr>
            <w:noProof/>
          </w:rPr>
          <w:t>4</w:t>
        </w:r>
      </w:fldSimple>
      <w:r w:rsidR="00F71430">
        <w:t>.</w:t>
      </w:r>
      <w:fldSimple w:instr=" SEQ Figure \* ARABIC \s 1 ">
        <w:r w:rsidR="00F71430">
          <w:rPr>
            <w:noProof/>
          </w:rPr>
          <w:t>1</w:t>
        </w:r>
      </w:fldSimple>
      <w:bookmarkEnd w:id="214"/>
      <w:r w:rsidRPr="00DB2C42">
        <w:t xml:space="preserve"> RES induced browning by increasing </w:t>
      </w:r>
      <w:r w:rsidRPr="00DB2C42">
        <w:rPr>
          <w:i/>
          <w:iCs/>
        </w:rPr>
        <w:t>Pgc1α</w:t>
      </w:r>
      <w:r w:rsidRPr="00DB2C42">
        <w:t xml:space="preserve"> and </w:t>
      </w:r>
      <w:r w:rsidRPr="00DB2C42">
        <w:rPr>
          <w:i/>
          <w:iCs/>
        </w:rPr>
        <w:t>Ucp1</w:t>
      </w:r>
      <w:r w:rsidRPr="00DB2C42">
        <w:t xml:space="preserve"> mRNA expression in the </w:t>
      </w:r>
      <w:r w:rsidR="002B2B1E">
        <w:t xml:space="preserve">differentiated </w:t>
      </w:r>
      <w:r w:rsidRPr="00DB2C42">
        <w:t xml:space="preserve">ADSCs derived from (A) male WT, (B) female WT, (C) male </w:t>
      </w:r>
      <w:r w:rsidRPr="00DB2C42">
        <w:rPr>
          <w:i/>
          <w:iCs/>
        </w:rPr>
        <w:t>db/db</w:t>
      </w:r>
      <w:r w:rsidRPr="00DB2C42">
        <w:t xml:space="preserve">, and (D) female </w:t>
      </w:r>
      <w:r w:rsidRPr="00DB2C42">
        <w:rPr>
          <w:i/>
          <w:iCs/>
        </w:rPr>
        <w:t>db/db</w:t>
      </w:r>
      <w:r w:rsidRPr="00DB2C42">
        <w:t xml:space="preserve"> mice.</w:t>
      </w:r>
      <w:bookmarkEnd w:id="215"/>
      <w:r w:rsidRPr="00DB2C42">
        <w:t xml:space="preserve"> </w:t>
      </w:r>
    </w:p>
    <w:p w14:paraId="421D2936" w14:textId="05A6D1BE" w:rsidR="00AE4094" w:rsidRDefault="005C235D" w:rsidP="00AE4094">
      <w:pPr>
        <w:spacing w:line="240" w:lineRule="auto"/>
        <w:jc w:val="left"/>
      </w:pPr>
      <w:r>
        <w:t>T</w:t>
      </w:r>
      <w:r w:rsidR="0042779F">
        <w:t xml:space="preserve">he </w:t>
      </w:r>
      <w:r w:rsidR="00881CD0" w:rsidRPr="00AE4094">
        <w:t xml:space="preserve">ADSCs were isolated from subcutaneous white adipose tissue in mice aged 10-12 weeks. </w:t>
      </w:r>
      <w:r w:rsidR="00881CD0" w:rsidRPr="00654662">
        <w:rPr>
          <w:i/>
          <w:iCs/>
        </w:rPr>
        <w:t>Pgc1α</w:t>
      </w:r>
      <w:r w:rsidR="00881CD0" w:rsidRPr="00AE4094">
        <w:t xml:space="preserve"> and </w:t>
      </w:r>
      <w:r w:rsidR="00881CD0" w:rsidRPr="00654662">
        <w:rPr>
          <w:i/>
          <w:iCs/>
        </w:rPr>
        <w:t>Ucp1</w:t>
      </w:r>
      <w:r w:rsidR="00881CD0" w:rsidRPr="00AE4094">
        <w:t xml:space="preserve"> mRNA expressions were measured in pooled ADSCs from 3-5 mice following a 7-day differentiation in the presence </w:t>
      </w:r>
      <w:r w:rsidR="002C2B35">
        <w:t xml:space="preserve">or absence </w:t>
      </w:r>
      <w:r w:rsidR="00881CD0" w:rsidRPr="00AE4094">
        <w:t>of either resveratrol (RES</w:t>
      </w:r>
      <w:r w:rsidR="00F42F95">
        <w:t xml:space="preserve">, </w:t>
      </w:r>
      <w:r w:rsidR="00F42F95" w:rsidRPr="00AE4094">
        <w:t>10 µM</w:t>
      </w:r>
      <w:r w:rsidR="00881CD0" w:rsidRPr="00AE4094">
        <w:t xml:space="preserve">) or rosiglitazone (ROSI, </w:t>
      </w:r>
      <w:r w:rsidR="00F42F95">
        <w:t xml:space="preserve">a </w:t>
      </w:r>
      <w:r w:rsidR="00881CD0" w:rsidRPr="00AE4094">
        <w:t>positive control</w:t>
      </w:r>
      <w:r w:rsidR="008D146B">
        <w:t xml:space="preserve">, </w:t>
      </w:r>
      <w:r w:rsidR="008D146B" w:rsidRPr="00AE4094">
        <w:t>1 µM</w:t>
      </w:r>
      <w:r w:rsidR="00881CD0" w:rsidRPr="00AE4094">
        <w:t>)</w:t>
      </w:r>
      <w:r w:rsidR="00622269">
        <w:t xml:space="preserve"> or </w:t>
      </w:r>
      <w:r w:rsidR="009A548E" w:rsidRPr="00DB2C42">
        <w:t>the vehicle control (DMSO)</w:t>
      </w:r>
      <w:r w:rsidR="00881CD0" w:rsidRPr="00AE4094">
        <w:t xml:space="preserve">. </w:t>
      </w:r>
      <w:r w:rsidR="008D146B">
        <w:t>I</w:t>
      </w:r>
      <w:r w:rsidR="00881CD0" w:rsidRPr="00AE4094">
        <w:t>soproterenol (ISO</w:t>
      </w:r>
      <w:r w:rsidR="008D146B">
        <w:t xml:space="preserve">, </w:t>
      </w:r>
      <w:r w:rsidR="008D146B" w:rsidRPr="00AE4094">
        <w:t>1</w:t>
      </w:r>
      <w:r w:rsidR="008D146B">
        <w:t xml:space="preserve"> </w:t>
      </w:r>
      <w:r w:rsidR="008D146B" w:rsidRPr="00AE4094">
        <w:t>µM</w:t>
      </w:r>
      <w:r w:rsidR="00881CD0" w:rsidRPr="00AE4094">
        <w:t xml:space="preserve">) was added for the final 6 hours to </w:t>
      </w:r>
      <w:r w:rsidR="00606B59">
        <w:t>activate brown</w:t>
      </w:r>
      <w:r w:rsidR="00C8610D">
        <w:t>-like adipocytes</w:t>
      </w:r>
      <w:r w:rsidR="00881CD0" w:rsidRPr="00AE4094">
        <w:t xml:space="preserve">. Data = mean ± SEM (n = 3). One-way ANOVA was used for all statistical analyses in basal or ISO conditions. </w:t>
      </w:r>
      <w:r w:rsidR="00881CD0" w:rsidRPr="001F6302">
        <w:t>#, ##, ###</w:t>
      </w:r>
      <w:r w:rsidR="00881CD0" w:rsidRPr="00AE4094">
        <w:t xml:space="preserve"> indicate p &lt; 0.05, p &lt; 0.01, </w:t>
      </w:r>
      <w:r w:rsidR="00C8610D">
        <w:t xml:space="preserve">and </w:t>
      </w:r>
      <w:r w:rsidR="00881CD0" w:rsidRPr="00AE4094">
        <w:t>p &lt; 0.001</w:t>
      </w:r>
      <w:r w:rsidR="00B60E28">
        <w:t xml:space="preserve">, </w:t>
      </w:r>
      <w:r w:rsidR="00B60E28" w:rsidRPr="00AE4094">
        <w:t>respectively</w:t>
      </w:r>
      <w:r w:rsidR="00B60E28">
        <w:t xml:space="preserve">, </w:t>
      </w:r>
      <w:r w:rsidR="00881CD0" w:rsidRPr="00AE4094">
        <w:t xml:space="preserve">compared to the negative control </w:t>
      </w:r>
      <w:r w:rsidR="008A32A9" w:rsidRPr="00AE4094">
        <w:t>(–)</w:t>
      </w:r>
      <w:r w:rsidR="008A32A9">
        <w:t xml:space="preserve"> </w:t>
      </w:r>
      <w:r w:rsidR="00881CD0" w:rsidRPr="00AE4094">
        <w:t xml:space="preserve">group, while *, **, *** indicate p &lt; 0.05, p &lt; 0.01, </w:t>
      </w:r>
      <w:r w:rsidR="00446186">
        <w:t xml:space="preserve">and </w:t>
      </w:r>
      <w:r w:rsidR="00881CD0" w:rsidRPr="00AE4094">
        <w:t>p &lt; 0.001</w:t>
      </w:r>
      <w:r w:rsidR="003F52E0">
        <w:t xml:space="preserve">, respectively, </w:t>
      </w:r>
      <w:r w:rsidR="00881CD0" w:rsidRPr="00AE4094">
        <w:t>compare</w:t>
      </w:r>
      <w:r w:rsidR="00AE4094" w:rsidRPr="00AE4094">
        <w:t xml:space="preserve">d </w:t>
      </w:r>
      <w:r w:rsidR="00881CD0" w:rsidRPr="00AE4094">
        <w:t>to the DMSO</w:t>
      </w:r>
      <w:r w:rsidR="003F0F49">
        <w:t xml:space="preserve"> group</w:t>
      </w:r>
      <w:r w:rsidR="00881CD0" w:rsidRPr="00AE4094">
        <w:t>.</w:t>
      </w:r>
    </w:p>
    <w:p w14:paraId="362E72CB" w14:textId="3E92962C" w:rsidR="00881CD0" w:rsidRPr="00AE4094" w:rsidRDefault="00885F67" w:rsidP="00AE4094">
      <w:pPr>
        <w:spacing w:line="240" w:lineRule="auto"/>
        <w:jc w:val="left"/>
        <w:rPr>
          <w:b/>
          <w:bCs/>
        </w:rPr>
      </w:pPr>
      <w:r>
        <w:rPr>
          <w:b/>
          <w:bCs/>
          <w:noProof/>
        </w:rPr>
        <w:lastRenderedPageBreak/>
        <w:drawing>
          <wp:inline distT="0" distB="0" distL="0" distR="0" wp14:anchorId="1897F96B" wp14:editId="3C30694E">
            <wp:extent cx="5943600" cy="3798570"/>
            <wp:effectExtent l="0" t="0" r="0" b="0"/>
            <wp:docPr id="1273616691"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16691" name="Picture 3" descr="A screenshot of a graph&#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798570"/>
                    </a:xfrm>
                    <a:prstGeom prst="rect">
                      <a:avLst/>
                    </a:prstGeom>
                  </pic:spPr>
                </pic:pic>
              </a:graphicData>
            </a:graphic>
          </wp:inline>
        </w:drawing>
      </w:r>
    </w:p>
    <w:p w14:paraId="2EF698E2" w14:textId="301D40F7" w:rsidR="00881CD0" w:rsidRPr="00DB2C42" w:rsidRDefault="00881CD0" w:rsidP="00546B55">
      <w:pPr>
        <w:pStyle w:val="Caption"/>
      </w:pPr>
      <w:bookmarkStart w:id="216" w:name="_Ref200808218"/>
      <w:bookmarkStart w:id="217" w:name="_Ref203146686"/>
      <w:bookmarkStart w:id="218" w:name="_Toc204847360"/>
      <w:r w:rsidRPr="00DB2C42">
        <w:t xml:space="preserve">Figure </w:t>
      </w:r>
      <w:fldSimple w:instr=" STYLEREF 1 \s ">
        <w:r w:rsidR="00F71430">
          <w:rPr>
            <w:noProof/>
          </w:rPr>
          <w:t>4</w:t>
        </w:r>
      </w:fldSimple>
      <w:r w:rsidR="00F71430">
        <w:t>.</w:t>
      </w:r>
      <w:fldSimple w:instr=" SEQ Figure \* ARABIC \s 1 ">
        <w:r w:rsidR="00F71430">
          <w:rPr>
            <w:noProof/>
          </w:rPr>
          <w:t>2</w:t>
        </w:r>
      </w:fldSimple>
      <w:bookmarkEnd w:id="216"/>
      <w:r w:rsidRPr="00DB2C42">
        <w:t xml:space="preserve"> Fold changes in thermogenic gene expression following isoproterenol and resveratrol treatment in the </w:t>
      </w:r>
      <w:r w:rsidR="006B1888">
        <w:t xml:space="preserve">adipocytes derived from </w:t>
      </w:r>
      <w:r w:rsidRPr="00DB2C42">
        <w:t xml:space="preserve">ADSCs </w:t>
      </w:r>
      <w:r w:rsidR="006B1888">
        <w:t>of</w:t>
      </w:r>
      <w:r w:rsidR="006B1888" w:rsidRPr="00DB2C42">
        <w:t xml:space="preserve"> </w:t>
      </w:r>
      <w:r w:rsidRPr="00DB2C42">
        <w:t xml:space="preserve">male and female WT and </w:t>
      </w:r>
      <w:r w:rsidRPr="00DB2C42">
        <w:rPr>
          <w:i/>
          <w:iCs/>
        </w:rPr>
        <w:t>db/db</w:t>
      </w:r>
      <w:r w:rsidRPr="00DB2C42">
        <w:t xml:space="preserve"> mice.</w:t>
      </w:r>
      <w:bookmarkEnd w:id="217"/>
      <w:bookmarkEnd w:id="218"/>
      <w:r w:rsidRPr="00DB2C42">
        <w:t xml:space="preserve"> </w:t>
      </w:r>
    </w:p>
    <w:p w14:paraId="4553E65A" w14:textId="6E9C9754" w:rsidR="00881CD0" w:rsidRPr="00DB2C42" w:rsidRDefault="00881CD0" w:rsidP="00AE4094">
      <w:pPr>
        <w:spacing w:line="240" w:lineRule="auto"/>
        <w:jc w:val="left"/>
      </w:pPr>
      <w:r w:rsidRPr="00DB2C42">
        <w:t xml:space="preserve">(A) Fold changes of </w:t>
      </w:r>
      <w:r w:rsidRPr="00654662">
        <w:rPr>
          <w:i/>
          <w:iCs/>
        </w:rPr>
        <w:t>Pgc1α</w:t>
      </w:r>
      <w:r w:rsidRPr="00DB2C42">
        <w:t xml:space="preserve"> and (C) </w:t>
      </w:r>
      <w:r w:rsidRPr="00654662">
        <w:rPr>
          <w:i/>
          <w:iCs/>
        </w:rPr>
        <w:t>Ucp1</w:t>
      </w:r>
      <w:r w:rsidRPr="00DB2C42">
        <w:t xml:space="preserve"> mRNA expression in response to isoproterenol (ISO) stimulation were calculated for all groups. (B) Fold changes of </w:t>
      </w:r>
      <w:r w:rsidRPr="00DB2C42">
        <w:rPr>
          <w:i/>
          <w:iCs/>
        </w:rPr>
        <w:t>Pgc1α</w:t>
      </w:r>
      <w:r w:rsidRPr="00DB2C42">
        <w:t xml:space="preserve"> and (D) </w:t>
      </w:r>
      <w:r w:rsidRPr="00DB2C42">
        <w:rPr>
          <w:i/>
          <w:iCs/>
        </w:rPr>
        <w:t xml:space="preserve">Ucp1 </w:t>
      </w:r>
      <w:r w:rsidRPr="00DB2C42">
        <w:t xml:space="preserve">mRNA expression in response to RES </w:t>
      </w:r>
      <w:r w:rsidRPr="00F8778B">
        <w:t>relative</w:t>
      </w:r>
      <w:r w:rsidRPr="00DB2C42">
        <w:t xml:space="preserve"> to the DMSO were calculated under basal or ISO-stimulated conditions. Data = mean ± SEM (n = 3). One-way ANOVA was used for statistical analysis in (A)</w:t>
      </w:r>
      <w:r w:rsidR="00D04756">
        <w:t xml:space="preserve"> </w:t>
      </w:r>
      <w:r w:rsidRPr="00DB2C42">
        <w:t>and (C); two-way ANOVA was used in (B) and (D).</w:t>
      </w:r>
      <w:r w:rsidRPr="00AE4094">
        <w:rPr>
          <w:vertAlign w:val="superscript"/>
        </w:rPr>
        <w:t xml:space="preserve"> </w:t>
      </w:r>
      <w:r w:rsidRPr="001F6302">
        <w:t>#</w:t>
      </w:r>
      <w:r w:rsidR="006312B2" w:rsidRPr="001F6302">
        <w:t>#</w:t>
      </w:r>
      <w:r w:rsidRPr="001F6302">
        <w:t>, ##</w:t>
      </w:r>
      <w:r w:rsidR="006312B2" w:rsidRPr="001F6302">
        <w:t>#</w:t>
      </w:r>
      <w:r w:rsidR="00A77AA8">
        <w:rPr>
          <w:vertAlign w:val="superscript"/>
        </w:rPr>
        <w:t xml:space="preserve"> </w:t>
      </w:r>
      <w:r w:rsidRPr="00DB2C42">
        <w:t>indicate p &lt; 0.0</w:t>
      </w:r>
      <w:r w:rsidR="006312B2">
        <w:t>1</w:t>
      </w:r>
      <w:r w:rsidR="003844F6">
        <w:t xml:space="preserve"> and</w:t>
      </w:r>
      <w:r w:rsidR="003844F6" w:rsidRPr="00DB2C42">
        <w:t xml:space="preserve"> </w:t>
      </w:r>
      <w:r w:rsidRPr="00DB2C42">
        <w:t>p &lt; 0.0</w:t>
      </w:r>
      <w:r w:rsidR="006312B2">
        <w:t>0</w:t>
      </w:r>
      <w:r w:rsidRPr="00DB2C42">
        <w:t xml:space="preserve">1 for comparisons between males and females. *** indicate p &lt; 0.001 for comparisons between WT and </w:t>
      </w:r>
      <w:r w:rsidRPr="00AE4094">
        <w:rPr>
          <w:i/>
          <w:iCs/>
        </w:rPr>
        <w:t>db/db</w:t>
      </w:r>
      <w:r w:rsidRPr="00DB2C42">
        <w:t xml:space="preserve"> mice. †† indicates p &lt; 0.01 for comparisons between basal and ISO conditions.</w:t>
      </w:r>
    </w:p>
    <w:p w14:paraId="3EB8D2C7" w14:textId="79764265" w:rsidR="00881CD0" w:rsidRPr="00DB2C42" w:rsidRDefault="00AE4094" w:rsidP="00881CD0">
      <w:pPr>
        <w:keepNext/>
      </w:pPr>
      <w:r>
        <w:rPr>
          <w:noProof/>
        </w:rPr>
        <w:lastRenderedPageBreak/>
        <w:drawing>
          <wp:inline distT="0" distB="0" distL="0" distR="0" wp14:anchorId="48DE1A1F" wp14:editId="61D39A05">
            <wp:extent cx="5943600" cy="2988310"/>
            <wp:effectExtent l="0" t="0" r="0" b="0"/>
            <wp:docPr id="2045580441" name="Picture 2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80441" name="Picture 21" descr="A screenshot of a video gam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988310"/>
                    </a:xfrm>
                    <a:prstGeom prst="rect">
                      <a:avLst/>
                    </a:prstGeom>
                  </pic:spPr>
                </pic:pic>
              </a:graphicData>
            </a:graphic>
          </wp:inline>
        </w:drawing>
      </w:r>
    </w:p>
    <w:p w14:paraId="537AEC17" w14:textId="5EDD536C" w:rsidR="00881CD0" w:rsidRPr="00DB2C42" w:rsidRDefault="00881CD0" w:rsidP="00546B55">
      <w:pPr>
        <w:pStyle w:val="Caption"/>
      </w:pPr>
      <w:bookmarkStart w:id="219" w:name="_Ref200808286"/>
      <w:bookmarkStart w:id="220" w:name="_Ref203146453"/>
      <w:bookmarkStart w:id="221" w:name="_Toc204847361"/>
      <w:r w:rsidRPr="00DB2C42">
        <w:t xml:space="preserve">Figure </w:t>
      </w:r>
      <w:fldSimple w:instr=" STYLEREF 1 \s ">
        <w:r w:rsidR="00F71430">
          <w:rPr>
            <w:noProof/>
          </w:rPr>
          <w:t>4</w:t>
        </w:r>
      </w:fldSimple>
      <w:r w:rsidR="00F71430">
        <w:t>.</w:t>
      </w:r>
      <w:fldSimple w:instr=" SEQ Figure \* ARABIC \s 1 ">
        <w:r w:rsidR="00F71430">
          <w:rPr>
            <w:noProof/>
          </w:rPr>
          <w:t>3</w:t>
        </w:r>
      </w:fldSimple>
      <w:bookmarkEnd w:id="219"/>
      <w:r w:rsidRPr="00DB2C42">
        <w:t xml:space="preserve"> Resveratrol enhanced mitochondrial uncoupling in the </w:t>
      </w:r>
      <w:r w:rsidR="004A4301">
        <w:t>differentiated</w:t>
      </w:r>
      <w:r w:rsidR="00AE1D2C">
        <w:t xml:space="preserve"> </w:t>
      </w:r>
      <w:r w:rsidRPr="00DB2C42">
        <w:t xml:space="preserve">ADSCs </w:t>
      </w:r>
      <w:r w:rsidR="00AE1D2C">
        <w:t xml:space="preserve">from </w:t>
      </w:r>
      <w:r w:rsidRPr="00DB2C42">
        <w:t>male WT mice.</w:t>
      </w:r>
      <w:bookmarkEnd w:id="220"/>
      <w:bookmarkEnd w:id="221"/>
    </w:p>
    <w:p w14:paraId="2DC0195B" w14:textId="1CDC7D73" w:rsidR="00881CD0" w:rsidRPr="00DB2C42" w:rsidRDefault="00E4643C" w:rsidP="00AE4094">
      <w:pPr>
        <w:spacing w:line="240" w:lineRule="auto"/>
        <w:jc w:val="left"/>
      </w:pPr>
      <w:r>
        <w:t xml:space="preserve">The </w:t>
      </w:r>
      <w:r w:rsidR="00881CD0" w:rsidRPr="00DB2C42">
        <w:t xml:space="preserve">ADSCs were first differentiated </w:t>
      </w:r>
      <w:r w:rsidR="00223C74">
        <w:t>in the presence</w:t>
      </w:r>
      <w:r w:rsidR="00DB0337">
        <w:t xml:space="preserve"> or absence</w:t>
      </w:r>
      <w:r w:rsidR="00223C74">
        <w:t xml:space="preserve"> of </w:t>
      </w:r>
      <w:r w:rsidR="00F8778B">
        <w:t xml:space="preserve">RES </w:t>
      </w:r>
      <w:r w:rsidR="00DB0337">
        <w:t>(</w:t>
      </w:r>
      <w:r w:rsidR="00DB0337" w:rsidRPr="00DB2C42">
        <w:t>10 µM</w:t>
      </w:r>
      <w:r w:rsidR="00DB0337">
        <w:t xml:space="preserve">), </w:t>
      </w:r>
      <w:r w:rsidR="00F8778B">
        <w:t xml:space="preserve">ROSI </w:t>
      </w:r>
      <w:r w:rsidR="00DB0337">
        <w:t>(</w:t>
      </w:r>
      <w:r w:rsidR="00DB0337" w:rsidRPr="00DB2C42">
        <w:t>1 µM</w:t>
      </w:r>
      <w:r w:rsidR="00DB0337">
        <w:t>),</w:t>
      </w:r>
      <w:r w:rsidR="00DB0337" w:rsidRPr="00DB2C42">
        <w:t xml:space="preserve"> </w:t>
      </w:r>
      <w:r w:rsidR="00DB0337">
        <w:t xml:space="preserve">or </w:t>
      </w:r>
      <w:r w:rsidR="00DB0337" w:rsidRPr="00DB2C42">
        <w:t xml:space="preserve">DMSO </w:t>
      </w:r>
      <w:r w:rsidR="00881CD0" w:rsidRPr="00DB2C42">
        <w:t xml:space="preserve">for 7 days, then </w:t>
      </w:r>
      <w:r w:rsidR="00992D35">
        <w:t xml:space="preserve">were </w:t>
      </w:r>
      <w:r w:rsidR="00881CD0" w:rsidRPr="00DB2C42">
        <w:t>reseeded into a Seahorse XF</w:t>
      </w:r>
      <w:r w:rsidR="004859E6">
        <w:t>e</w:t>
      </w:r>
      <w:r w:rsidR="00881CD0" w:rsidRPr="00DB2C42">
        <w:t xml:space="preserve"> assay plate. The cells underwent real-time oxygen consumption rate (OCR) measurements for a mitochondrial stress test after reseeding. (A) OCR recording</w:t>
      </w:r>
      <w:r w:rsidR="00683CDF">
        <w:t>s</w:t>
      </w:r>
      <w:r w:rsidR="00881CD0" w:rsidRPr="00DB2C42">
        <w:t xml:space="preserve"> over time, (B) Basal respiration, (C) Maximal respiration, (D) Proton leak, (E) ATP production, and (F) Coupling efficiency </w:t>
      </w:r>
      <w:r w:rsidR="00AE4094">
        <w:t>are</w:t>
      </w:r>
      <w:r w:rsidR="00881CD0" w:rsidRPr="00DB2C42">
        <w:t xml:space="preserve"> shown. Data = mean ± SEM (n = 3–5). One-way ANOVA was used for statistical analysis. </w:t>
      </w:r>
      <w:r w:rsidR="00881CD0" w:rsidRPr="001F6302">
        <w:t>#, ##, ###</w:t>
      </w:r>
      <w:r w:rsidR="00881CD0" w:rsidRPr="00DB2C42">
        <w:rPr>
          <w:vertAlign w:val="superscript"/>
        </w:rPr>
        <w:t xml:space="preserve"> </w:t>
      </w:r>
      <w:r w:rsidR="00881CD0" w:rsidRPr="00DB2C42">
        <w:t xml:space="preserve">indicate p &lt; 0.05, p &lt; 0.01, </w:t>
      </w:r>
      <w:r w:rsidR="00211D90">
        <w:t xml:space="preserve">and </w:t>
      </w:r>
      <w:r w:rsidR="00881CD0" w:rsidRPr="00DB2C42">
        <w:t>p &lt; 0.001</w:t>
      </w:r>
      <w:r w:rsidR="00E25FFF">
        <w:t xml:space="preserve">, </w:t>
      </w:r>
      <w:r w:rsidR="00E25FFF" w:rsidRPr="00DB2C42">
        <w:t>respectively</w:t>
      </w:r>
      <w:r w:rsidR="00E25FFF">
        <w:t xml:space="preserve">, </w:t>
      </w:r>
      <w:r w:rsidR="00881CD0" w:rsidRPr="00DB2C42">
        <w:t xml:space="preserve">compared to the </w:t>
      </w:r>
      <w:r w:rsidR="000257C8" w:rsidRPr="00DB2C42">
        <w:t>(-)</w:t>
      </w:r>
      <w:r w:rsidR="000257C8">
        <w:t xml:space="preserve"> </w:t>
      </w:r>
      <w:r w:rsidR="00881CD0" w:rsidRPr="00DB2C42">
        <w:t>group, while *, **, *** indicate p &lt; 0.05, p &lt; 0.01,</w:t>
      </w:r>
      <w:r w:rsidR="00FF5025">
        <w:t xml:space="preserve"> and</w:t>
      </w:r>
      <w:r w:rsidR="00881CD0" w:rsidRPr="00DB2C42">
        <w:t xml:space="preserve"> p &lt; 0.001</w:t>
      </w:r>
      <w:r w:rsidR="00B6536D">
        <w:t>, respectively,</w:t>
      </w:r>
      <w:r w:rsidR="00881CD0" w:rsidRPr="00DB2C42">
        <w:t xml:space="preserve"> compared to the</w:t>
      </w:r>
      <w:r w:rsidR="00B6536D">
        <w:t xml:space="preserve"> </w:t>
      </w:r>
      <w:r w:rsidR="00881CD0" w:rsidRPr="00DB2C42">
        <w:t>DMSO</w:t>
      </w:r>
      <w:r w:rsidR="00B6536D">
        <w:t xml:space="preserve"> group</w:t>
      </w:r>
      <w:r w:rsidR="00881CD0" w:rsidRPr="00DB2C42">
        <w:t>.</w:t>
      </w:r>
    </w:p>
    <w:p w14:paraId="3D997A39" w14:textId="7D680188" w:rsidR="00881CD0" w:rsidRPr="00DB2C42" w:rsidRDefault="00AE4094" w:rsidP="00881CD0">
      <w:pPr>
        <w:keepNext/>
      </w:pPr>
      <w:r>
        <w:rPr>
          <w:noProof/>
        </w:rPr>
        <w:lastRenderedPageBreak/>
        <w:drawing>
          <wp:inline distT="0" distB="0" distL="0" distR="0" wp14:anchorId="1A0FC235" wp14:editId="0D35BE56">
            <wp:extent cx="5943600" cy="3063875"/>
            <wp:effectExtent l="0" t="0" r="0" b="0"/>
            <wp:docPr id="523674802" name="Picture 2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74802" name="Picture 22" descr="A screenshot of a video gam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063875"/>
                    </a:xfrm>
                    <a:prstGeom prst="rect">
                      <a:avLst/>
                    </a:prstGeom>
                  </pic:spPr>
                </pic:pic>
              </a:graphicData>
            </a:graphic>
          </wp:inline>
        </w:drawing>
      </w:r>
    </w:p>
    <w:p w14:paraId="43F29F18" w14:textId="06AC1618" w:rsidR="00881CD0" w:rsidRPr="00DB2C42" w:rsidRDefault="00881CD0" w:rsidP="00546B55">
      <w:pPr>
        <w:pStyle w:val="Caption"/>
      </w:pPr>
      <w:bookmarkStart w:id="222" w:name="_Ref200808310"/>
      <w:bookmarkStart w:id="223" w:name="_Ref203146456"/>
      <w:bookmarkStart w:id="224" w:name="_Toc204847362"/>
      <w:r w:rsidRPr="00DB2C42">
        <w:t xml:space="preserve">Figure </w:t>
      </w:r>
      <w:fldSimple w:instr=" STYLEREF 1 \s ">
        <w:r w:rsidR="00F71430">
          <w:rPr>
            <w:noProof/>
          </w:rPr>
          <w:t>4</w:t>
        </w:r>
      </w:fldSimple>
      <w:r w:rsidR="00F71430">
        <w:t>.</w:t>
      </w:r>
      <w:fldSimple w:instr=" SEQ Figure \* ARABIC \s 1 ">
        <w:r w:rsidR="00F71430">
          <w:rPr>
            <w:noProof/>
          </w:rPr>
          <w:t>4</w:t>
        </w:r>
      </w:fldSimple>
      <w:bookmarkEnd w:id="222"/>
      <w:r w:rsidRPr="00DB2C42">
        <w:t xml:space="preserve"> Resveratrol enhanced mitochondrial uncoupling in the </w:t>
      </w:r>
      <w:r w:rsidR="004A4301">
        <w:t xml:space="preserve">differentiated </w:t>
      </w:r>
      <w:r w:rsidR="00DC0B28" w:rsidRPr="00DB2C42">
        <w:t xml:space="preserve">ADSCs </w:t>
      </w:r>
      <w:r w:rsidR="004A4301">
        <w:t xml:space="preserve">from </w:t>
      </w:r>
      <w:r w:rsidRPr="00DB2C42">
        <w:t>female WT mice.</w:t>
      </w:r>
      <w:bookmarkEnd w:id="223"/>
      <w:bookmarkEnd w:id="224"/>
      <w:r w:rsidR="00A54127">
        <w:t xml:space="preserve"> </w:t>
      </w:r>
    </w:p>
    <w:p w14:paraId="7475489F" w14:textId="7F707C41" w:rsidR="00D515DE" w:rsidRPr="00DB2C42" w:rsidRDefault="00D515DE" w:rsidP="00D515DE">
      <w:pPr>
        <w:spacing w:line="240" w:lineRule="auto"/>
        <w:jc w:val="left"/>
      </w:pPr>
      <w:r>
        <w:t xml:space="preserve">The </w:t>
      </w:r>
      <w:r w:rsidRPr="00DB2C42">
        <w:t xml:space="preserve">ADSCs were first differentiated </w:t>
      </w:r>
      <w:r>
        <w:t xml:space="preserve">in the presence or absence of </w:t>
      </w:r>
      <w:r w:rsidR="00F8778B">
        <w:t xml:space="preserve">RES </w:t>
      </w:r>
      <w:r>
        <w:t>(</w:t>
      </w:r>
      <w:r w:rsidRPr="00DB2C42">
        <w:t>10 µM</w:t>
      </w:r>
      <w:r>
        <w:t xml:space="preserve">), </w:t>
      </w:r>
      <w:r w:rsidR="00F8778B">
        <w:t xml:space="preserve">ROSI </w:t>
      </w:r>
      <w:r>
        <w:t>(</w:t>
      </w:r>
      <w:r w:rsidRPr="00DB2C42">
        <w:t>1 µM</w:t>
      </w:r>
      <w:r>
        <w:t>),</w:t>
      </w:r>
      <w:r w:rsidRPr="00DB2C42">
        <w:t xml:space="preserve"> </w:t>
      </w:r>
      <w:r>
        <w:t xml:space="preserve">or </w:t>
      </w:r>
      <w:r w:rsidRPr="00DB2C42">
        <w:t xml:space="preserve">DMSO for 7 days, then </w:t>
      </w:r>
      <w:r>
        <w:t xml:space="preserve">were </w:t>
      </w:r>
      <w:r w:rsidRPr="00DB2C42">
        <w:t>reseeded into a Seahorse XF</w:t>
      </w:r>
      <w:r>
        <w:t>e</w:t>
      </w:r>
      <w:r w:rsidRPr="00DB2C42">
        <w:t xml:space="preserve"> assay plate. The cells underwent real-time oxygen consumption rate (OCR) measurements for a mitochondrial stress test after reseeding. (A) OCR recording</w:t>
      </w:r>
      <w:r>
        <w:t>s</w:t>
      </w:r>
      <w:r w:rsidRPr="00DB2C42">
        <w:t xml:space="preserve"> over time, (B) Basal respiration, (C) Maximal respiration, (D) Proton leak, (E) ATP production, and (F) Coupling efficiency </w:t>
      </w:r>
      <w:r>
        <w:t>are</w:t>
      </w:r>
      <w:r w:rsidRPr="00DB2C42">
        <w:t xml:space="preserve"> shown. Data = mean ± SEM (n = 3–5). One-way ANOVA was used for statistical analysis. </w:t>
      </w:r>
      <w:r w:rsidRPr="001F6302">
        <w:t>#, ##, ###</w:t>
      </w:r>
      <w:r w:rsidRPr="00DB2C42">
        <w:rPr>
          <w:vertAlign w:val="superscript"/>
        </w:rPr>
        <w:t xml:space="preserve"> </w:t>
      </w:r>
      <w:r w:rsidRPr="00DB2C42">
        <w:t xml:space="preserve">indicate p &lt; 0.05, p &lt; 0.01, </w:t>
      </w:r>
      <w:r>
        <w:t xml:space="preserve">and </w:t>
      </w:r>
      <w:r w:rsidRPr="00DB2C42">
        <w:t>p &lt; 0.001</w:t>
      </w:r>
      <w:r>
        <w:t xml:space="preserve">, </w:t>
      </w:r>
      <w:r w:rsidRPr="00DB2C42">
        <w:t>respectively</w:t>
      </w:r>
      <w:r>
        <w:t xml:space="preserve">, </w:t>
      </w:r>
      <w:r w:rsidRPr="00DB2C42">
        <w:t xml:space="preserve">compared to the </w:t>
      </w:r>
      <w:r w:rsidR="005763CE" w:rsidRPr="00DB2C42">
        <w:t>(-)</w:t>
      </w:r>
      <w:r w:rsidR="005763CE">
        <w:t xml:space="preserve"> </w:t>
      </w:r>
      <w:r w:rsidRPr="00DB2C42">
        <w:t>group, while *, **, *** indicate p &lt; 0.05, p &lt; 0.01,</w:t>
      </w:r>
      <w:r>
        <w:t xml:space="preserve"> and</w:t>
      </w:r>
      <w:r w:rsidRPr="00DB2C42">
        <w:t xml:space="preserve"> p &lt; 0.001</w:t>
      </w:r>
      <w:r>
        <w:t>, respectively,</w:t>
      </w:r>
      <w:r w:rsidRPr="00DB2C42">
        <w:t xml:space="preserve"> compared to the</w:t>
      </w:r>
      <w:r>
        <w:t xml:space="preserve"> </w:t>
      </w:r>
      <w:r w:rsidRPr="00DB2C42">
        <w:t>DMSO</w:t>
      </w:r>
      <w:r>
        <w:t xml:space="preserve"> group</w:t>
      </w:r>
      <w:r w:rsidRPr="00DB2C42">
        <w:t>.</w:t>
      </w:r>
    </w:p>
    <w:p w14:paraId="7A60F3C8" w14:textId="77777777" w:rsidR="00D515DE" w:rsidRDefault="00D515DE" w:rsidP="00AE4094">
      <w:pPr>
        <w:spacing w:line="240" w:lineRule="auto"/>
        <w:jc w:val="left"/>
      </w:pPr>
    </w:p>
    <w:p w14:paraId="7A87C504" w14:textId="05C347D7" w:rsidR="00881CD0" w:rsidRPr="00DB2C42" w:rsidRDefault="001F6302" w:rsidP="00881CD0">
      <w:pPr>
        <w:keepNext/>
      </w:pPr>
      <w:r>
        <w:rPr>
          <w:noProof/>
        </w:rPr>
        <w:lastRenderedPageBreak/>
        <w:drawing>
          <wp:inline distT="0" distB="0" distL="0" distR="0" wp14:anchorId="2CA92254" wp14:editId="6B982E05">
            <wp:extent cx="5943600" cy="2992120"/>
            <wp:effectExtent l="0" t="0" r="0" b="5080"/>
            <wp:docPr id="1260757065" name="Picture 2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57065" name="Picture 23" descr="A screenshot of a computer scree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992120"/>
                    </a:xfrm>
                    <a:prstGeom prst="rect">
                      <a:avLst/>
                    </a:prstGeom>
                  </pic:spPr>
                </pic:pic>
              </a:graphicData>
            </a:graphic>
          </wp:inline>
        </w:drawing>
      </w:r>
    </w:p>
    <w:p w14:paraId="459E1CDE" w14:textId="5097849E" w:rsidR="00881CD0" w:rsidRDefault="00881CD0" w:rsidP="00546B55">
      <w:pPr>
        <w:pStyle w:val="Caption"/>
      </w:pPr>
      <w:bookmarkStart w:id="225" w:name="_Ref200808368"/>
      <w:bookmarkStart w:id="226" w:name="_Ref203146457"/>
      <w:bookmarkStart w:id="227" w:name="_Toc204847363"/>
      <w:r w:rsidRPr="00DB2C42">
        <w:t xml:space="preserve">Figure </w:t>
      </w:r>
      <w:fldSimple w:instr=" STYLEREF 1 \s ">
        <w:r w:rsidR="00F71430">
          <w:rPr>
            <w:noProof/>
          </w:rPr>
          <w:t>4</w:t>
        </w:r>
      </w:fldSimple>
      <w:r w:rsidR="00F71430">
        <w:t>.</w:t>
      </w:r>
      <w:fldSimple w:instr=" SEQ Figure \* ARABIC \s 1 ">
        <w:r w:rsidR="00F71430">
          <w:rPr>
            <w:noProof/>
          </w:rPr>
          <w:t>5</w:t>
        </w:r>
      </w:fldSimple>
      <w:bookmarkEnd w:id="225"/>
      <w:r w:rsidRPr="00DB2C42">
        <w:t xml:space="preserve"> Resveratrol enhanced mitochondrial uncoupling in the</w:t>
      </w:r>
      <w:r w:rsidR="00AE3943" w:rsidRPr="00DB2C42">
        <w:t xml:space="preserve"> </w:t>
      </w:r>
      <w:r w:rsidR="00E85457">
        <w:t xml:space="preserve">differentiated </w:t>
      </w:r>
      <w:r w:rsidRPr="00DB2C42">
        <w:t xml:space="preserve">ADSCs </w:t>
      </w:r>
      <w:r w:rsidR="00E85457">
        <w:t xml:space="preserve">from </w:t>
      </w:r>
      <w:r w:rsidRPr="00DB2C42">
        <w:t xml:space="preserve">male </w:t>
      </w:r>
      <w:r w:rsidRPr="00DB2C42">
        <w:rPr>
          <w:i/>
          <w:iCs/>
        </w:rPr>
        <w:t>db/db</w:t>
      </w:r>
      <w:r w:rsidRPr="00DB2C42">
        <w:t xml:space="preserve"> mice.</w:t>
      </w:r>
      <w:bookmarkEnd w:id="226"/>
      <w:bookmarkEnd w:id="227"/>
    </w:p>
    <w:p w14:paraId="779F57E7" w14:textId="128CE139" w:rsidR="001B4CCE" w:rsidRPr="00DB2C42" w:rsidRDefault="001B4CCE" w:rsidP="001B4CCE">
      <w:pPr>
        <w:spacing w:line="240" w:lineRule="auto"/>
        <w:jc w:val="left"/>
      </w:pPr>
      <w:r>
        <w:t xml:space="preserve">The </w:t>
      </w:r>
      <w:r w:rsidRPr="00DB2C42">
        <w:t xml:space="preserve">ADSCs were first differentiated </w:t>
      </w:r>
      <w:r>
        <w:t xml:space="preserve">in the presence or absence of </w:t>
      </w:r>
      <w:r w:rsidR="00F8778B">
        <w:t xml:space="preserve">RES </w:t>
      </w:r>
      <w:r>
        <w:t>(</w:t>
      </w:r>
      <w:r w:rsidRPr="00DB2C42">
        <w:t>10 µM</w:t>
      </w:r>
      <w:r>
        <w:t xml:space="preserve">), </w:t>
      </w:r>
      <w:r w:rsidR="00F8778B">
        <w:t xml:space="preserve">ROSI </w:t>
      </w:r>
      <w:r>
        <w:t>(</w:t>
      </w:r>
      <w:r w:rsidRPr="00DB2C42">
        <w:t>1 µM</w:t>
      </w:r>
      <w:r>
        <w:t>),</w:t>
      </w:r>
      <w:r w:rsidRPr="00DB2C42">
        <w:t xml:space="preserve"> </w:t>
      </w:r>
      <w:r>
        <w:t xml:space="preserve">or </w:t>
      </w:r>
      <w:r w:rsidRPr="00DB2C42">
        <w:t xml:space="preserve">DMSO for 7 days, then </w:t>
      </w:r>
      <w:r>
        <w:t xml:space="preserve">were </w:t>
      </w:r>
      <w:r w:rsidRPr="00DB2C42">
        <w:t>reseeded into a Seahorse XF</w:t>
      </w:r>
      <w:r>
        <w:t>e</w:t>
      </w:r>
      <w:r w:rsidRPr="00DB2C42">
        <w:t xml:space="preserve"> assay plate. The cells underwent real-time oxygen consumption rate (OCR) measurements for a mitochondrial stress test after reseeding. (A) OCR recording</w:t>
      </w:r>
      <w:r>
        <w:t>s</w:t>
      </w:r>
      <w:r w:rsidRPr="00DB2C42">
        <w:t xml:space="preserve"> over time, (B) Basal respiration, (C) Maximal respiration, (D) Proton leak, (E) ATP production, and (F) Coupling efficiency </w:t>
      </w:r>
      <w:r>
        <w:t>are</w:t>
      </w:r>
      <w:r w:rsidRPr="00DB2C42">
        <w:t xml:space="preserve"> shown. Data = mean ± SEM (n = 3–5). One-way ANOVA was used for statistical analysis. </w:t>
      </w:r>
      <w:r w:rsidRPr="001F6302">
        <w:t>#, ##, ###</w:t>
      </w:r>
      <w:r w:rsidRPr="00DB2C42">
        <w:rPr>
          <w:vertAlign w:val="superscript"/>
        </w:rPr>
        <w:t xml:space="preserve"> </w:t>
      </w:r>
      <w:r w:rsidRPr="00DB2C42">
        <w:t xml:space="preserve">indicate p &lt; 0.05, p &lt; 0.01, </w:t>
      </w:r>
      <w:r>
        <w:t xml:space="preserve">and </w:t>
      </w:r>
      <w:r w:rsidRPr="00DB2C42">
        <w:t>p &lt; 0.001</w:t>
      </w:r>
      <w:r>
        <w:t xml:space="preserve">, </w:t>
      </w:r>
      <w:r w:rsidRPr="00DB2C42">
        <w:t>respectively</w:t>
      </w:r>
      <w:r>
        <w:t xml:space="preserve">, </w:t>
      </w:r>
      <w:r w:rsidRPr="00DB2C42">
        <w:t xml:space="preserve">compared to the </w:t>
      </w:r>
      <w:r w:rsidR="005763CE" w:rsidRPr="00DB2C42">
        <w:t>(-)</w:t>
      </w:r>
      <w:r w:rsidR="005763CE">
        <w:t xml:space="preserve"> </w:t>
      </w:r>
      <w:r w:rsidRPr="00DB2C42">
        <w:t>group, while *, **, *** indicate p &lt; 0.05, p &lt; 0.01,</w:t>
      </w:r>
      <w:r>
        <w:t xml:space="preserve"> and</w:t>
      </w:r>
      <w:r w:rsidRPr="00DB2C42">
        <w:t xml:space="preserve"> p &lt; 0.001</w:t>
      </w:r>
      <w:r>
        <w:t>, respectively,</w:t>
      </w:r>
      <w:r w:rsidRPr="00DB2C42">
        <w:t xml:space="preserve"> compared to the</w:t>
      </w:r>
      <w:r>
        <w:t xml:space="preserve"> </w:t>
      </w:r>
      <w:r w:rsidRPr="00DB2C42">
        <w:t>DMSO</w:t>
      </w:r>
      <w:r>
        <w:t xml:space="preserve"> group</w:t>
      </w:r>
      <w:r w:rsidRPr="00DB2C42">
        <w:t>.</w:t>
      </w:r>
    </w:p>
    <w:p w14:paraId="6FF726FB" w14:textId="77777777" w:rsidR="001B4CCE" w:rsidRPr="004B4BEB" w:rsidRDefault="001B4CCE" w:rsidP="004B4BEB"/>
    <w:p w14:paraId="1D40D6C5" w14:textId="61ED8FF3" w:rsidR="00881CD0" w:rsidRPr="00DB2C42" w:rsidRDefault="001F6302" w:rsidP="00CA4E6F">
      <w:pPr>
        <w:keepNext/>
        <w:jc w:val="left"/>
      </w:pPr>
      <w:r>
        <w:rPr>
          <w:noProof/>
        </w:rPr>
        <w:lastRenderedPageBreak/>
        <w:drawing>
          <wp:inline distT="0" distB="0" distL="0" distR="0" wp14:anchorId="71B8474C" wp14:editId="39682675">
            <wp:extent cx="5943600" cy="3017520"/>
            <wp:effectExtent l="0" t="0" r="0" b="5080"/>
            <wp:docPr id="1229150374" name="Picture 2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50374" name="Picture 24" descr="A screenshot of a video gam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017520"/>
                    </a:xfrm>
                    <a:prstGeom prst="rect">
                      <a:avLst/>
                    </a:prstGeom>
                  </pic:spPr>
                </pic:pic>
              </a:graphicData>
            </a:graphic>
          </wp:inline>
        </w:drawing>
      </w:r>
    </w:p>
    <w:p w14:paraId="5B7C1576" w14:textId="1B8A3BF6" w:rsidR="00881CD0" w:rsidRPr="00DB2C42" w:rsidRDefault="00881CD0" w:rsidP="00546B55">
      <w:pPr>
        <w:pStyle w:val="Caption"/>
      </w:pPr>
      <w:bookmarkStart w:id="228" w:name="_Ref200808412"/>
      <w:bookmarkStart w:id="229" w:name="_Ref203146459"/>
      <w:bookmarkStart w:id="230" w:name="_Toc204847364"/>
      <w:r w:rsidRPr="00DB2C42">
        <w:t xml:space="preserve">Figure </w:t>
      </w:r>
      <w:fldSimple w:instr=" STYLEREF 1 \s ">
        <w:r w:rsidR="00F71430">
          <w:rPr>
            <w:noProof/>
          </w:rPr>
          <w:t>4</w:t>
        </w:r>
      </w:fldSimple>
      <w:r w:rsidR="00F71430">
        <w:t>.</w:t>
      </w:r>
      <w:fldSimple w:instr=" SEQ Figure \* ARABIC \s 1 ">
        <w:r w:rsidR="00F71430">
          <w:rPr>
            <w:noProof/>
          </w:rPr>
          <w:t>6</w:t>
        </w:r>
      </w:fldSimple>
      <w:bookmarkEnd w:id="228"/>
      <w:r w:rsidRPr="00DB2C42">
        <w:t xml:space="preserve"> Resveratrol enhanced mitochondrial uncoupling in the</w:t>
      </w:r>
      <w:r w:rsidR="00D45CAB" w:rsidRPr="00DB2C42">
        <w:t xml:space="preserve"> </w:t>
      </w:r>
      <w:r w:rsidR="00E85457">
        <w:t>differentiated</w:t>
      </w:r>
      <w:r w:rsidR="00D45CAB">
        <w:t xml:space="preserve"> </w:t>
      </w:r>
      <w:r w:rsidRPr="00DB2C42">
        <w:t xml:space="preserve">ADSCs </w:t>
      </w:r>
      <w:r w:rsidR="00E85457">
        <w:t xml:space="preserve">from </w:t>
      </w:r>
      <w:r w:rsidRPr="00DB2C42">
        <w:t xml:space="preserve">female </w:t>
      </w:r>
      <w:r w:rsidRPr="00DB2C42">
        <w:rPr>
          <w:i/>
          <w:iCs/>
        </w:rPr>
        <w:t>db/db</w:t>
      </w:r>
      <w:r w:rsidRPr="00DB2C42">
        <w:t xml:space="preserve"> mice.</w:t>
      </w:r>
      <w:bookmarkEnd w:id="229"/>
      <w:bookmarkEnd w:id="230"/>
    </w:p>
    <w:p w14:paraId="29413559" w14:textId="2DE57337" w:rsidR="008D0C27" w:rsidRPr="00DB2C42" w:rsidRDefault="008D0C27" w:rsidP="008D0C27">
      <w:pPr>
        <w:spacing w:line="240" w:lineRule="auto"/>
        <w:jc w:val="left"/>
      </w:pPr>
      <w:r>
        <w:t xml:space="preserve">The </w:t>
      </w:r>
      <w:r w:rsidRPr="00DB2C42">
        <w:t xml:space="preserve">ADSCs were first differentiated </w:t>
      </w:r>
      <w:r>
        <w:t xml:space="preserve">in the presence or absence of </w:t>
      </w:r>
      <w:r w:rsidR="00F8778B">
        <w:t xml:space="preserve">RES </w:t>
      </w:r>
      <w:r>
        <w:t>(</w:t>
      </w:r>
      <w:r w:rsidRPr="00DB2C42">
        <w:t>10 µM</w:t>
      </w:r>
      <w:r>
        <w:t xml:space="preserve">), </w:t>
      </w:r>
      <w:r w:rsidR="00F8778B">
        <w:t xml:space="preserve">ROSI </w:t>
      </w:r>
      <w:r>
        <w:t>(</w:t>
      </w:r>
      <w:r w:rsidRPr="00DB2C42">
        <w:t>1 µM</w:t>
      </w:r>
      <w:r>
        <w:t>),</w:t>
      </w:r>
      <w:r w:rsidRPr="00DB2C42">
        <w:t xml:space="preserve"> </w:t>
      </w:r>
      <w:r>
        <w:t xml:space="preserve">or </w:t>
      </w:r>
      <w:r w:rsidRPr="00DB2C42">
        <w:t xml:space="preserve">DMSO for 7 days, then </w:t>
      </w:r>
      <w:r>
        <w:t xml:space="preserve">were </w:t>
      </w:r>
      <w:r w:rsidRPr="00DB2C42">
        <w:t>reseeded into a Seahorse XF</w:t>
      </w:r>
      <w:r>
        <w:t>e</w:t>
      </w:r>
      <w:r w:rsidRPr="00DB2C42">
        <w:t xml:space="preserve"> assay plate. The cells underwent real-time oxygen consumption rate (OCR) measurements for a mitochondrial stress test after reseeding. (A) OCR recording</w:t>
      </w:r>
      <w:r>
        <w:t>s</w:t>
      </w:r>
      <w:r w:rsidRPr="00DB2C42">
        <w:t xml:space="preserve"> over time, (B) Basal respiration, (C) Maximal respiration, (D) Proton leak, (E) ATP production, and (F) Coupling efficiency </w:t>
      </w:r>
      <w:r>
        <w:t>are</w:t>
      </w:r>
      <w:r w:rsidRPr="00DB2C42">
        <w:t xml:space="preserve"> shown. Data = mean ± SEM (n = 3–5). One-way ANOVA was used for statistical analysis. </w:t>
      </w:r>
      <w:r w:rsidRPr="001F6302">
        <w:t>#, ##, ###</w:t>
      </w:r>
      <w:r w:rsidRPr="00DB2C42">
        <w:rPr>
          <w:vertAlign w:val="superscript"/>
        </w:rPr>
        <w:t xml:space="preserve"> </w:t>
      </w:r>
      <w:r w:rsidRPr="00DB2C42">
        <w:t xml:space="preserve">indicate p &lt; 0.05, p &lt; 0.01, </w:t>
      </w:r>
      <w:r>
        <w:t xml:space="preserve">and </w:t>
      </w:r>
      <w:r w:rsidRPr="00DB2C42">
        <w:t>p &lt; 0.001</w:t>
      </w:r>
      <w:r>
        <w:t xml:space="preserve">, </w:t>
      </w:r>
      <w:r w:rsidRPr="00DB2C42">
        <w:t>respectively</w:t>
      </w:r>
      <w:r>
        <w:t xml:space="preserve">, </w:t>
      </w:r>
      <w:r w:rsidRPr="00DB2C42">
        <w:t xml:space="preserve">compared to the </w:t>
      </w:r>
      <w:r w:rsidR="00560155" w:rsidRPr="00DB2C42">
        <w:t>(-)</w:t>
      </w:r>
      <w:r w:rsidR="00560155">
        <w:t xml:space="preserve"> </w:t>
      </w:r>
      <w:r w:rsidRPr="00DB2C42">
        <w:t>group, while *, **, *** indicate p &lt; 0.05, p &lt; 0.01,</w:t>
      </w:r>
      <w:r>
        <w:t xml:space="preserve"> and</w:t>
      </w:r>
      <w:r w:rsidRPr="00DB2C42">
        <w:t xml:space="preserve"> p &lt; 0.001</w:t>
      </w:r>
      <w:r>
        <w:t>, respectively,</w:t>
      </w:r>
      <w:r w:rsidRPr="00DB2C42">
        <w:t xml:space="preserve"> compared to the</w:t>
      </w:r>
      <w:r>
        <w:t xml:space="preserve"> </w:t>
      </w:r>
      <w:r w:rsidRPr="00DB2C42">
        <w:t>DMSO</w:t>
      </w:r>
      <w:r>
        <w:t xml:space="preserve"> group</w:t>
      </w:r>
      <w:r w:rsidRPr="00DB2C42">
        <w:t>.</w:t>
      </w:r>
    </w:p>
    <w:p w14:paraId="1581A26F" w14:textId="77777777" w:rsidR="008D0C27" w:rsidRDefault="008D0C27" w:rsidP="001F6302">
      <w:pPr>
        <w:spacing w:line="240" w:lineRule="auto"/>
        <w:jc w:val="left"/>
      </w:pPr>
    </w:p>
    <w:p w14:paraId="1B6D931F" w14:textId="6CF7D557" w:rsidR="00881CD0" w:rsidRPr="00DB2C42" w:rsidRDefault="001F6302" w:rsidP="00881CD0">
      <w:pPr>
        <w:keepNext/>
      </w:pPr>
      <w:r>
        <w:rPr>
          <w:noProof/>
        </w:rPr>
        <w:lastRenderedPageBreak/>
        <w:drawing>
          <wp:inline distT="0" distB="0" distL="0" distR="0" wp14:anchorId="4744078F" wp14:editId="262A2207">
            <wp:extent cx="5943600" cy="2021840"/>
            <wp:effectExtent l="0" t="0" r="0" b="0"/>
            <wp:docPr id="1789907455" name="Picture 25" descr="A graph of a graph showing a number of rectangular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07455" name="Picture 25" descr="A graph of a graph showing a number of rectangular objects&#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2021840"/>
                    </a:xfrm>
                    <a:prstGeom prst="rect">
                      <a:avLst/>
                    </a:prstGeom>
                  </pic:spPr>
                </pic:pic>
              </a:graphicData>
            </a:graphic>
          </wp:inline>
        </w:drawing>
      </w:r>
    </w:p>
    <w:p w14:paraId="55B1D923" w14:textId="31CF6A88" w:rsidR="00881CD0" w:rsidRPr="00DB2C42" w:rsidRDefault="00881CD0" w:rsidP="00546B55">
      <w:pPr>
        <w:pStyle w:val="Caption"/>
      </w:pPr>
      <w:bookmarkStart w:id="231" w:name="_Ref200808456"/>
      <w:bookmarkStart w:id="232" w:name="_Toc204847365"/>
      <w:r w:rsidRPr="00DB2C42">
        <w:t xml:space="preserve">Figure </w:t>
      </w:r>
      <w:fldSimple w:instr=" STYLEREF 1 \s ">
        <w:r w:rsidR="00F71430">
          <w:rPr>
            <w:noProof/>
          </w:rPr>
          <w:t>4</w:t>
        </w:r>
      </w:fldSimple>
      <w:r w:rsidR="00F71430">
        <w:t>.</w:t>
      </w:r>
      <w:fldSimple w:instr=" SEQ Figure \* ARABIC \s 1 ">
        <w:r w:rsidR="00F71430">
          <w:rPr>
            <w:noProof/>
          </w:rPr>
          <w:t>7</w:t>
        </w:r>
      </w:fldSimple>
      <w:bookmarkEnd w:id="231"/>
      <w:r w:rsidRPr="00DB2C42">
        <w:t xml:space="preserve"> Fold changes in proton leak and coupling efficiency following resveratrol treatment in the differentiated ADSCs from male and female WT and </w:t>
      </w:r>
      <w:r w:rsidRPr="00DB2C42">
        <w:rPr>
          <w:i/>
          <w:iCs/>
        </w:rPr>
        <w:t>db/db</w:t>
      </w:r>
      <w:r w:rsidRPr="00DB2C42">
        <w:t xml:space="preserve"> mice.</w:t>
      </w:r>
      <w:bookmarkEnd w:id="232"/>
    </w:p>
    <w:p w14:paraId="2BA3C624" w14:textId="5AABC5BE" w:rsidR="00881CD0" w:rsidRPr="00DB2C42" w:rsidRDefault="00881CD0" w:rsidP="001F6302">
      <w:pPr>
        <w:spacing w:line="240" w:lineRule="auto"/>
        <w:jc w:val="left"/>
      </w:pPr>
      <w:r w:rsidRPr="00DB2C42">
        <w:t xml:space="preserve">(A) Fold changes of proton leak and (B) coupling efficiency in response to </w:t>
      </w:r>
      <w:r w:rsidR="006C6F6F">
        <w:t>RES</w:t>
      </w:r>
      <w:r w:rsidR="006C6F6F" w:rsidRPr="00DB2C42">
        <w:t xml:space="preserve"> </w:t>
      </w:r>
      <w:r w:rsidRPr="00DB2C42">
        <w:t>relative to DMSO</w:t>
      </w:r>
      <w:r w:rsidR="006C6F6F">
        <w:t xml:space="preserve"> </w:t>
      </w:r>
      <w:r w:rsidRPr="00DB2C42">
        <w:t>were calculated</w:t>
      </w:r>
      <w:r w:rsidR="006B49E9">
        <w:t xml:space="preserve"> for each of the </w:t>
      </w:r>
      <w:r w:rsidR="00DB464E">
        <w:t>4 groups</w:t>
      </w:r>
      <w:r w:rsidRPr="00DB2C42">
        <w:t xml:space="preserve">, highlighting sex-specific responses and differences between </w:t>
      </w:r>
      <w:r w:rsidR="00C365D7">
        <w:t xml:space="preserve">the </w:t>
      </w:r>
      <w:r w:rsidRPr="00DB2C42">
        <w:t xml:space="preserve">WT and </w:t>
      </w:r>
      <w:r w:rsidRPr="00DB2C42">
        <w:rPr>
          <w:i/>
        </w:rPr>
        <w:t>db/db</w:t>
      </w:r>
      <w:r w:rsidRPr="00DB2C42">
        <w:t xml:space="preserve">. Data = mean ± SEM (n = </w:t>
      </w:r>
      <w:r w:rsidR="00720741">
        <w:t>3-</w:t>
      </w:r>
      <w:r w:rsidRPr="00DB2C42">
        <w:t xml:space="preserve">5). One-way ANOVA was used for statistical analysis. </w:t>
      </w:r>
      <w:r w:rsidRPr="00470EC3">
        <w:t>#</w:t>
      </w:r>
      <w:r w:rsidRPr="00DB2C42">
        <w:t xml:space="preserve"> indicates p</w:t>
      </w:r>
      <w:r w:rsidR="000E2120">
        <w:t xml:space="preserve"> </w:t>
      </w:r>
      <w:r w:rsidRPr="00DB2C42">
        <w:t>&lt; 0.05 compared between sexes, and **</w:t>
      </w:r>
      <w:r w:rsidR="001F6302" w:rsidRPr="00DB2C42">
        <w:t>*</w:t>
      </w:r>
      <w:r w:rsidRPr="00DB2C42">
        <w:t xml:space="preserve"> indicates p</w:t>
      </w:r>
      <w:r w:rsidR="000E2120">
        <w:t xml:space="preserve"> </w:t>
      </w:r>
      <w:r w:rsidRPr="00DB2C42">
        <w:t>&lt; 0.0</w:t>
      </w:r>
      <w:r w:rsidR="001F6302">
        <w:t>0</w:t>
      </w:r>
      <w:r w:rsidRPr="00DB2C42">
        <w:t xml:space="preserve">1 compared between </w:t>
      </w:r>
      <w:r w:rsidR="00A00F53">
        <w:t xml:space="preserve">the </w:t>
      </w:r>
      <w:r w:rsidRPr="00DB2C42">
        <w:t xml:space="preserve">WT and </w:t>
      </w:r>
      <w:r w:rsidRPr="00DB2C42">
        <w:rPr>
          <w:i/>
        </w:rPr>
        <w:t>db/db</w:t>
      </w:r>
      <w:r w:rsidRPr="00DB2C42">
        <w:t xml:space="preserve">. </w:t>
      </w:r>
    </w:p>
    <w:p w14:paraId="44F517B6" w14:textId="3C44C466" w:rsidR="00881CD0" w:rsidRPr="00DB2C42" w:rsidRDefault="00180C29" w:rsidP="00881CD0">
      <w:pPr>
        <w:keepNext/>
      </w:pPr>
      <w:r>
        <w:rPr>
          <w:noProof/>
        </w:rPr>
        <w:lastRenderedPageBreak/>
        <w:drawing>
          <wp:inline distT="0" distB="0" distL="0" distR="0" wp14:anchorId="2D4D7375" wp14:editId="51F1BD98">
            <wp:extent cx="5943600" cy="3053080"/>
            <wp:effectExtent l="0" t="0" r="0" b="0"/>
            <wp:docPr id="1101056050" name="Picture 2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56050" name="Picture 28" descr="A screenshot of a graph&#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053080"/>
                    </a:xfrm>
                    <a:prstGeom prst="rect">
                      <a:avLst/>
                    </a:prstGeom>
                  </pic:spPr>
                </pic:pic>
              </a:graphicData>
            </a:graphic>
          </wp:inline>
        </w:drawing>
      </w:r>
    </w:p>
    <w:p w14:paraId="099B89A5" w14:textId="74C5A08C" w:rsidR="00881CD0" w:rsidRPr="00DB2C42" w:rsidRDefault="00881CD0" w:rsidP="00546B55">
      <w:pPr>
        <w:pStyle w:val="Caption"/>
      </w:pPr>
      <w:bookmarkStart w:id="233" w:name="_Ref200808698"/>
      <w:bookmarkStart w:id="234" w:name="_Toc204847366"/>
      <w:r w:rsidRPr="00DB2C42">
        <w:t xml:space="preserve">Figure </w:t>
      </w:r>
      <w:fldSimple w:instr=" STYLEREF 1 \s ">
        <w:r w:rsidR="00F71430">
          <w:rPr>
            <w:noProof/>
          </w:rPr>
          <w:t>4</w:t>
        </w:r>
      </w:fldSimple>
      <w:r w:rsidR="00F71430">
        <w:t>.</w:t>
      </w:r>
      <w:fldSimple w:instr=" SEQ Figure \* ARABIC \s 1 ">
        <w:r w:rsidR="00F71430">
          <w:rPr>
            <w:noProof/>
          </w:rPr>
          <w:t>8</w:t>
        </w:r>
      </w:fldSimple>
      <w:bookmarkEnd w:id="233"/>
      <w:r w:rsidRPr="00DB2C42">
        <w:t xml:space="preserve"> Resveratrol improved insulin sensitivity in the </w:t>
      </w:r>
      <w:r w:rsidR="002D72A5">
        <w:t xml:space="preserve">differentiated </w:t>
      </w:r>
      <w:r w:rsidRPr="00DB2C42">
        <w:t>ADSCs from male WT mice.</w:t>
      </w:r>
      <w:bookmarkEnd w:id="234"/>
    </w:p>
    <w:p w14:paraId="2EFC4154" w14:textId="10B6C230" w:rsidR="00881CD0" w:rsidRPr="00DB2C42" w:rsidRDefault="00277885" w:rsidP="00470EC3">
      <w:pPr>
        <w:spacing w:line="240" w:lineRule="auto"/>
        <w:jc w:val="left"/>
      </w:pPr>
      <w:r>
        <w:t xml:space="preserve">The </w:t>
      </w:r>
      <w:r w:rsidR="00881CD0" w:rsidRPr="00DB2C42">
        <w:t xml:space="preserve">ADSCs </w:t>
      </w:r>
      <w:r w:rsidR="005F1ACF" w:rsidRPr="005F1ACF">
        <w:t xml:space="preserve">from </w:t>
      </w:r>
      <w:r w:rsidR="005F1ACF">
        <w:t xml:space="preserve">the </w:t>
      </w:r>
      <w:r w:rsidR="005F1ACF" w:rsidRPr="005F1ACF">
        <w:t>male WT mice</w:t>
      </w:r>
      <w:r w:rsidR="005F1ACF">
        <w:t xml:space="preserve"> </w:t>
      </w:r>
      <w:r w:rsidR="00881CD0" w:rsidRPr="00DB2C42">
        <w:t>were differentiated for 7 days in the presence</w:t>
      </w:r>
      <w:r w:rsidR="00C81848">
        <w:t xml:space="preserve"> or absence</w:t>
      </w:r>
      <w:r w:rsidR="00881CD0" w:rsidRPr="00DB2C42">
        <w:t xml:space="preserve"> of </w:t>
      </w:r>
      <w:r w:rsidR="00465E3B">
        <w:t xml:space="preserve">RES </w:t>
      </w:r>
      <w:r w:rsidR="00C81848">
        <w:t>(</w:t>
      </w:r>
      <w:r w:rsidRPr="00DB2C42">
        <w:t>10 µM</w:t>
      </w:r>
      <w:r w:rsidR="00967CF5">
        <w:t>)</w:t>
      </w:r>
      <w:r w:rsidR="00881CD0" w:rsidRPr="00DB2C42">
        <w:t>, ROSI</w:t>
      </w:r>
      <w:r w:rsidR="00465E3B">
        <w:t xml:space="preserve"> </w:t>
      </w:r>
      <w:r w:rsidR="00C81848">
        <w:t>(a</w:t>
      </w:r>
      <w:r w:rsidR="00881CD0" w:rsidRPr="00DB2C42">
        <w:t xml:space="preserve"> positive control</w:t>
      </w:r>
      <w:r w:rsidR="00C81848">
        <w:t xml:space="preserve">, 1 </w:t>
      </w:r>
      <w:r w:rsidR="00465E3B">
        <w:sym w:font="Symbol" w:char="F06D"/>
      </w:r>
      <w:r w:rsidR="00465E3B">
        <w:t>M</w:t>
      </w:r>
      <w:r w:rsidR="00881CD0" w:rsidRPr="00DB2C42">
        <w:t>), or DMSO</w:t>
      </w:r>
      <w:r w:rsidR="00886ACF">
        <w:t>,</w:t>
      </w:r>
      <w:r w:rsidR="00881CD0" w:rsidRPr="00DB2C42">
        <w:t xml:space="preserve"> followed by overnight starvation in DMEM/high glucose without FBS. Cells were then stimulated with or without insulin </w:t>
      </w:r>
      <w:r w:rsidR="0066054E">
        <w:t>(</w:t>
      </w:r>
      <w:r w:rsidR="0066054E" w:rsidRPr="00DB2C42">
        <w:t>50 nM</w:t>
      </w:r>
      <w:r w:rsidR="0066054E">
        <w:t>)</w:t>
      </w:r>
      <w:r w:rsidR="0066054E" w:rsidRPr="00DB2C42">
        <w:t xml:space="preserve"> </w:t>
      </w:r>
      <w:r w:rsidR="00881CD0" w:rsidRPr="00DB2C42">
        <w:t xml:space="preserve">for 20 minutes, and protein lysates were collected for Western blot analysis. (A) </w:t>
      </w:r>
      <w:r w:rsidR="00A93C06">
        <w:t>T</w:t>
      </w:r>
      <w:r w:rsidR="00881CD0" w:rsidRPr="00DB2C42">
        <w:t>otal AKT</w:t>
      </w:r>
      <w:r w:rsidR="005D11E8">
        <w:t xml:space="preserve">, </w:t>
      </w:r>
      <w:r w:rsidR="00881CD0" w:rsidRPr="00DB2C42">
        <w:t>p-AKT</w:t>
      </w:r>
      <w:r w:rsidR="00D26760">
        <w:t xml:space="preserve"> (</w:t>
      </w:r>
      <w:r w:rsidR="00745494">
        <w:t>ser473</w:t>
      </w:r>
      <w:r w:rsidR="00A74F10">
        <w:t>)</w:t>
      </w:r>
      <w:r w:rsidR="005D11E8">
        <w:t xml:space="preserve">, and their respective </w:t>
      </w:r>
      <w:r w:rsidR="00534E6F">
        <w:t xml:space="preserve">loading control </w:t>
      </w:r>
      <w:r w:rsidR="00881CD0" w:rsidRPr="00DB2C42">
        <w:t>ERK1/2</w:t>
      </w:r>
      <w:r w:rsidR="00534E6F">
        <w:t xml:space="preserve"> are shown</w:t>
      </w:r>
      <w:r w:rsidR="00881CD0" w:rsidRPr="00DB2C42">
        <w:t>. The left panel corresponds to the basal condition (-Insulin), and the right panel to the insulin-stimulated condition (+Insulin). Quantification of total AKT/ERK1/2</w:t>
      </w:r>
      <w:r w:rsidR="00B00250">
        <w:t xml:space="preserve"> </w:t>
      </w:r>
      <w:r w:rsidR="00B00250" w:rsidRPr="00DB2C42">
        <w:t>(B)</w:t>
      </w:r>
      <w:r w:rsidR="00881CD0" w:rsidRPr="00DB2C42">
        <w:t>, p-AKT/ERK1/2</w:t>
      </w:r>
      <w:r w:rsidR="009542C6">
        <w:t xml:space="preserve"> </w:t>
      </w:r>
      <w:r w:rsidR="009542C6" w:rsidRPr="00DB2C42">
        <w:t>(C)</w:t>
      </w:r>
      <w:r w:rsidR="00881CD0" w:rsidRPr="00DB2C42">
        <w:t>, and p-AKT/total AKT</w:t>
      </w:r>
      <w:r w:rsidR="00126ABB">
        <w:t xml:space="preserve"> </w:t>
      </w:r>
      <w:r w:rsidR="00126ABB" w:rsidRPr="00DB2C42">
        <w:t xml:space="preserve">(D) </w:t>
      </w:r>
      <w:r w:rsidR="00126ABB">
        <w:t xml:space="preserve">are </w:t>
      </w:r>
      <w:r w:rsidR="00881CD0" w:rsidRPr="00DB2C42">
        <w:t xml:space="preserve">presented as fold change relative to </w:t>
      </w:r>
      <w:r w:rsidR="005F371A">
        <w:t xml:space="preserve">the (-) group under </w:t>
      </w:r>
      <w:r w:rsidR="00881CD0" w:rsidRPr="00DB2C42">
        <w:t xml:space="preserve">basal </w:t>
      </w:r>
      <w:r w:rsidR="005F371A">
        <w:t>conditions</w:t>
      </w:r>
      <w:r w:rsidR="00CC7CB9">
        <w:t xml:space="preserve">. </w:t>
      </w:r>
      <w:r w:rsidR="00881CD0" w:rsidRPr="00DB2C42">
        <w:t xml:space="preserve">Data = mean ± SEM (n = 3). One-way ANOVA was used for statistical analysis. </w:t>
      </w:r>
      <w:r w:rsidR="00881CD0" w:rsidRPr="001C13BC">
        <w:t xml:space="preserve">#, ## </w:t>
      </w:r>
      <w:r w:rsidR="00881CD0" w:rsidRPr="00DB2C42">
        <w:t xml:space="preserve">indicate </w:t>
      </w:r>
      <w:r w:rsidR="00881CD0" w:rsidRPr="00745494">
        <w:t>p</w:t>
      </w:r>
      <w:r w:rsidR="00881CD0" w:rsidRPr="00DB2C42">
        <w:t xml:space="preserve"> &lt; 0.05</w:t>
      </w:r>
      <w:r w:rsidR="00611A6D">
        <w:t xml:space="preserve"> and </w:t>
      </w:r>
      <w:r w:rsidR="00881CD0" w:rsidRPr="00745494">
        <w:t>p</w:t>
      </w:r>
      <w:r w:rsidR="00881CD0" w:rsidRPr="00DB2C42">
        <w:t xml:space="preserve"> &lt; 0.01 compared to the </w:t>
      </w:r>
      <w:r w:rsidR="006F4175" w:rsidRPr="00DB2C42">
        <w:t>(-)</w:t>
      </w:r>
      <w:r w:rsidR="006F4175">
        <w:t xml:space="preserve"> </w:t>
      </w:r>
      <w:r w:rsidR="00881CD0" w:rsidRPr="00DB2C42">
        <w:t xml:space="preserve">group. </w:t>
      </w:r>
      <w:r w:rsidR="001F6302" w:rsidRPr="00DB2C42">
        <w:t>*</w:t>
      </w:r>
      <w:r w:rsidR="00881CD0" w:rsidRPr="001F6302">
        <w:rPr>
          <w:vertAlign w:val="superscript"/>
        </w:rPr>
        <w:t xml:space="preserve">, </w:t>
      </w:r>
      <w:r w:rsidR="001F6302" w:rsidRPr="00DB2C42">
        <w:t>**</w:t>
      </w:r>
      <w:r w:rsidR="00881CD0" w:rsidRPr="00DB2C42">
        <w:t xml:space="preserve"> indicate </w:t>
      </w:r>
      <w:r w:rsidR="00881CD0" w:rsidRPr="00745494">
        <w:t>p</w:t>
      </w:r>
      <w:r w:rsidR="00881CD0" w:rsidRPr="00DB2C42">
        <w:t xml:space="preserve"> &lt; 0.05</w:t>
      </w:r>
      <w:r w:rsidR="00975ED0">
        <w:t xml:space="preserve"> and </w:t>
      </w:r>
      <w:r w:rsidR="00881CD0" w:rsidRPr="00745494">
        <w:t>p</w:t>
      </w:r>
      <w:r w:rsidR="00881CD0" w:rsidRPr="00DB2C42">
        <w:t xml:space="preserve"> &lt; 0.01 compared to the DMSO</w:t>
      </w:r>
      <w:r w:rsidR="006F4175">
        <w:t xml:space="preserve"> group</w:t>
      </w:r>
      <w:r w:rsidR="00881CD0" w:rsidRPr="00DB2C42">
        <w:t>.</w:t>
      </w:r>
    </w:p>
    <w:p w14:paraId="1E630ACF" w14:textId="74EEB1FB" w:rsidR="00881CD0" w:rsidRPr="00DB2C42" w:rsidRDefault="001F6302" w:rsidP="00881CD0">
      <w:pPr>
        <w:keepNext/>
      </w:pPr>
      <w:r>
        <w:rPr>
          <w:noProof/>
        </w:rPr>
        <w:lastRenderedPageBreak/>
        <w:drawing>
          <wp:inline distT="0" distB="0" distL="0" distR="0" wp14:anchorId="2A23CE96" wp14:editId="5EB378B2">
            <wp:extent cx="5943600" cy="2971800"/>
            <wp:effectExtent l="0" t="0" r="0" b="0"/>
            <wp:docPr id="2060890079" name="Picture 2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90079" name="Picture 26" descr="A screenshot of a computer screen&#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58A27220" w14:textId="5964CBD9" w:rsidR="00881CD0" w:rsidRPr="00DB2C42" w:rsidRDefault="00881CD0" w:rsidP="00546B55">
      <w:pPr>
        <w:pStyle w:val="Caption"/>
      </w:pPr>
      <w:bookmarkStart w:id="235" w:name="_Ref200808724"/>
      <w:bookmarkStart w:id="236" w:name="_Toc204847367"/>
      <w:r w:rsidRPr="00DB2C42">
        <w:t xml:space="preserve">Figure </w:t>
      </w:r>
      <w:fldSimple w:instr=" STYLEREF 1 \s ">
        <w:r w:rsidR="00F71430">
          <w:rPr>
            <w:noProof/>
          </w:rPr>
          <w:t>4</w:t>
        </w:r>
      </w:fldSimple>
      <w:r w:rsidR="00F71430">
        <w:t>.</w:t>
      </w:r>
      <w:fldSimple w:instr=" SEQ Figure \* ARABIC \s 1 ">
        <w:r w:rsidR="00F71430">
          <w:rPr>
            <w:noProof/>
          </w:rPr>
          <w:t>9</w:t>
        </w:r>
      </w:fldSimple>
      <w:bookmarkEnd w:id="235"/>
      <w:r w:rsidRPr="00DB2C42">
        <w:t xml:space="preserve"> Resveratrol improved insulin sensitivity in the </w:t>
      </w:r>
      <w:r w:rsidR="000E2C90">
        <w:t xml:space="preserve">differentiated </w:t>
      </w:r>
      <w:r w:rsidRPr="00DB2C42">
        <w:t>ADSCs from female WT mice.</w:t>
      </w:r>
      <w:bookmarkEnd w:id="236"/>
    </w:p>
    <w:p w14:paraId="6B01280A" w14:textId="36806A3E" w:rsidR="00881CD0" w:rsidRPr="00DB2C42" w:rsidRDefault="000342BC" w:rsidP="001F6302">
      <w:pPr>
        <w:spacing w:line="240" w:lineRule="auto"/>
        <w:jc w:val="left"/>
      </w:pPr>
      <w:r>
        <w:t xml:space="preserve">The </w:t>
      </w:r>
      <w:r w:rsidRPr="00DB2C42">
        <w:t xml:space="preserve">ADSCs </w:t>
      </w:r>
      <w:r w:rsidR="004D4CC4" w:rsidRPr="004D4CC4">
        <w:t xml:space="preserve">from </w:t>
      </w:r>
      <w:r w:rsidR="004D4CC4">
        <w:t xml:space="preserve">the </w:t>
      </w:r>
      <w:r w:rsidR="004D4CC4" w:rsidRPr="004D4CC4">
        <w:t>female WT mice</w:t>
      </w:r>
      <w:r w:rsidR="004D4CC4">
        <w:t xml:space="preserve"> </w:t>
      </w:r>
      <w:r w:rsidRPr="00DB2C42">
        <w:t>were differentiated for 7 days in the presence</w:t>
      </w:r>
      <w:r>
        <w:t xml:space="preserve"> or absence</w:t>
      </w:r>
      <w:r w:rsidRPr="00DB2C42">
        <w:t xml:space="preserve"> of </w:t>
      </w:r>
      <w:r>
        <w:t>RES (</w:t>
      </w:r>
      <w:r w:rsidRPr="00DB2C42">
        <w:t>10 µM</w:t>
      </w:r>
      <w:r>
        <w:t>)</w:t>
      </w:r>
      <w:r w:rsidRPr="00DB2C42">
        <w:t>, ROSI</w:t>
      </w:r>
      <w:r>
        <w:t xml:space="preserve"> (a</w:t>
      </w:r>
      <w:r w:rsidRPr="00DB2C42">
        <w:t xml:space="preserve"> positive control</w:t>
      </w:r>
      <w:r>
        <w:t xml:space="preserve">, 1 </w:t>
      </w:r>
      <w:r>
        <w:sym w:font="Symbol" w:char="F06D"/>
      </w:r>
      <w:r>
        <w:t>M</w:t>
      </w:r>
      <w:r w:rsidRPr="00DB2C42">
        <w:t>), or DMSO</w:t>
      </w:r>
      <w:r>
        <w:t>,</w:t>
      </w:r>
      <w:r w:rsidRPr="00DB2C42">
        <w:t xml:space="preserve"> followed by overnight starvation in DMEM/high glucose without FBS. Cells were then stimulated with or without insulin </w:t>
      </w:r>
      <w:r>
        <w:t>(</w:t>
      </w:r>
      <w:r w:rsidRPr="00DB2C42">
        <w:t>50 nM</w:t>
      </w:r>
      <w:r>
        <w:t>)</w:t>
      </w:r>
      <w:r w:rsidRPr="00DB2C42">
        <w:t xml:space="preserve"> for 20 minutes, and protein lysates were collected for Western blot analysis. (A) </w:t>
      </w:r>
      <w:r>
        <w:t>T</w:t>
      </w:r>
      <w:r w:rsidRPr="00DB2C42">
        <w:t>otal AKT</w:t>
      </w:r>
      <w:r>
        <w:t xml:space="preserve">, </w:t>
      </w:r>
      <w:r w:rsidRPr="00DB2C42">
        <w:t>p-AKT</w:t>
      </w:r>
      <w:r>
        <w:t xml:space="preserve"> (ser473), and their respective loading control </w:t>
      </w:r>
      <w:r w:rsidRPr="00DB2C42">
        <w:t>ERK1/2</w:t>
      </w:r>
      <w:r>
        <w:t xml:space="preserve"> are shown</w:t>
      </w:r>
      <w:r w:rsidRPr="00DB2C42">
        <w:t>. The left panel corresponds to the basal condition (-Insulin), and the right panel to the insulin-stimulated condition (+Insulin). Quantification of total AKT/ERK1/2</w:t>
      </w:r>
      <w:r>
        <w:t xml:space="preserve"> </w:t>
      </w:r>
      <w:r w:rsidRPr="00DB2C42">
        <w:t>(B), p-AKT/ERK1/2</w:t>
      </w:r>
      <w:r>
        <w:t xml:space="preserve"> </w:t>
      </w:r>
      <w:r w:rsidRPr="00DB2C42">
        <w:t>(C), and p-AKT/total AKT</w:t>
      </w:r>
      <w:r>
        <w:t xml:space="preserve"> </w:t>
      </w:r>
      <w:r w:rsidRPr="00DB2C42">
        <w:t xml:space="preserve">(D) </w:t>
      </w:r>
      <w:r>
        <w:t xml:space="preserve">are </w:t>
      </w:r>
      <w:r w:rsidRPr="00DB2C42">
        <w:t xml:space="preserve">presented as fold change relative to </w:t>
      </w:r>
      <w:r>
        <w:t xml:space="preserve">the (-) group under </w:t>
      </w:r>
      <w:r w:rsidRPr="00DB2C42">
        <w:t xml:space="preserve">basal </w:t>
      </w:r>
      <w:r>
        <w:t xml:space="preserve">conditions. </w:t>
      </w:r>
      <w:r w:rsidR="00881CD0" w:rsidRPr="00DB2C42">
        <w:t xml:space="preserve">Data = mean ± SEM (n = 3). </w:t>
      </w:r>
      <w:r w:rsidR="00F928F8">
        <w:t>One-way ANOVA was</w:t>
      </w:r>
      <w:r w:rsidR="00881CD0" w:rsidRPr="00DB2C42">
        <w:t xml:space="preserve"> used for statistical analysis. </w:t>
      </w:r>
      <w:r w:rsidR="00881CD0" w:rsidRPr="00470EC3">
        <w:rPr>
          <w:b/>
          <w:bCs/>
        </w:rPr>
        <w:t>#</w:t>
      </w:r>
      <w:r w:rsidR="0082142F">
        <w:t xml:space="preserve"> </w:t>
      </w:r>
      <w:r w:rsidR="00881CD0" w:rsidRPr="00DB2C42">
        <w:t>indicate</w:t>
      </w:r>
      <w:r w:rsidR="00AD15FA">
        <w:t>s</w:t>
      </w:r>
      <w:r w:rsidR="00881CD0" w:rsidRPr="00DB2C42">
        <w:t xml:space="preserve"> </w:t>
      </w:r>
      <w:r w:rsidR="00881CD0" w:rsidRPr="00234FC8">
        <w:t>p</w:t>
      </w:r>
      <w:r w:rsidR="00881CD0" w:rsidRPr="00DB2C42">
        <w:t xml:space="preserve"> &lt; 0.05</w:t>
      </w:r>
      <w:r w:rsidR="00EA0808">
        <w:t xml:space="preserve"> </w:t>
      </w:r>
      <w:r w:rsidR="00881CD0" w:rsidRPr="00DB2C42">
        <w:t xml:space="preserve">compared to the </w:t>
      </w:r>
      <w:r w:rsidR="00EA0808" w:rsidRPr="00DB2C42">
        <w:t>(-)</w:t>
      </w:r>
      <w:r w:rsidR="00EA0808">
        <w:t xml:space="preserve"> </w:t>
      </w:r>
      <w:r w:rsidR="00881CD0" w:rsidRPr="00DB2C42">
        <w:t xml:space="preserve">group. </w:t>
      </w:r>
      <w:r w:rsidR="001F6302" w:rsidRPr="00DB2C42">
        <w:t>*</w:t>
      </w:r>
      <w:r w:rsidR="0082142F">
        <w:t xml:space="preserve"> </w:t>
      </w:r>
      <w:r w:rsidR="00881CD0" w:rsidRPr="00DB2C42">
        <w:t xml:space="preserve">indicates </w:t>
      </w:r>
      <w:r w:rsidR="00881CD0" w:rsidRPr="00234FC8">
        <w:t>p</w:t>
      </w:r>
      <w:r w:rsidR="00881CD0" w:rsidRPr="000C4700">
        <w:t xml:space="preserve"> </w:t>
      </w:r>
      <w:r w:rsidR="00881CD0" w:rsidRPr="00DB2C42">
        <w:t>&lt; 0.05 compared to the DMSO</w:t>
      </w:r>
      <w:r w:rsidR="00EA0808">
        <w:t xml:space="preserve"> group</w:t>
      </w:r>
      <w:r w:rsidR="00881CD0" w:rsidRPr="00DB2C42">
        <w:t>.</w:t>
      </w:r>
    </w:p>
    <w:p w14:paraId="2669EF7C" w14:textId="21E7EF9A" w:rsidR="00881CD0" w:rsidRPr="00DB2C42" w:rsidRDefault="001F6302" w:rsidP="00881CD0">
      <w:pPr>
        <w:keepNext/>
      </w:pPr>
      <w:r>
        <w:rPr>
          <w:noProof/>
        </w:rPr>
        <w:lastRenderedPageBreak/>
        <w:drawing>
          <wp:inline distT="0" distB="0" distL="0" distR="0" wp14:anchorId="7E5E0EA3" wp14:editId="22A2E838">
            <wp:extent cx="5943600" cy="2996565"/>
            <wp:effectExtent l="0" t="0" r="0" b="0"/>
            <wp:docPr id="108527186" name="Picture 27"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7186" name="Picture 27" descr="A close-up of a graph&#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2996565"/>
                    </a:xfrm>
                    <a:prstGeom prst="rect">
                      <a:avLst/>
                    </a:prstGeom>
                  </pic:spPr>
                </pic:pic>
              </a:graphicData>
            </a:graphic>
          </wp:inline>
        </w:drawing>
      </w:r>
    </w:p>
    <w:p w14:paraId="49153898" w14:textId="58963D68" w:rsidR="00881CD0" w:rsidRPr="00DB2C42" w:rsidRDefault="00881CD0" w:rsidP="00546B55">
      <w:pPr>
        <w:pStyle w:val="Caption"/>
      </w:pPr>
      <w:bookmarkStart w:id="237" w:name="_Ref200808745"/>
      <w:bookmarkStart w:id="238" w:name="_Toc204847368"/>
      <w:r w:rsidRPr="00DB2C42">
        <w:t xml:space="preserve">Figure </w:t>
      </w:r>
      <w:fldSimple w:instr=" STYLEREF 1 \s ">
        <w:r w:rsidR="00F71430">
          <w:rPr>
            <w:noProof/>
          </w:rPr>
          <w:t>4</w:t>
        </w:r>
      </w:fldSimple>
      <w:r w:rsidR="00F71430">
        <w:t>.</w:t>
      </w:r>
      <w:fldSimple w:instr=" SEQ Figure \* ARABIC \s 1 ">
        <w:r w:rsidR="00F71430">
          <w:rPr>
            <w:noProof/>
          </w:rPr>
          <w:t>10</w:t>
        </w:r>
      </w:fldSimple>
      <w:bookmarkEnd w:id="237"/>
      <w:r w:rsidRPr="00DB2C42">
        <w:t xml:space="preserve"> Resveratrol improved insulin sensitivity in the </w:t>
      </w:r>
      <w:r w:rsidR="00097675">
        <w:t xml:space="preserve">differentiated </w:t>
      </w:r>
      <w:r w:rsidRPr="00DB2C42">
        <w:t xml:space="preserve">ADSCs from male </w:t>
      </w:r>
      <w:r w:rsidRPr="00DB2C42">
        <w:rPr>
          <w:i/>
          <w:iCs/>
        </w:rPr>
        <w:t>db/db</w:t>
      </w:r>
      <w:r w:rsidRPr="00DB2C42">
        <w:t xml:space="preserve"> mice.</w:t>
      </w:r>
      <w:bookmarkEnd w:id="238"/>
    </w:p>
    <w:p w14:paraId="4E29032C" w14:textId="731DD581" w:rsidR="00881CD0" w:rsidRPr="00DB2C42" w:rsidRDefault="007C5B58" w:rsidP="001F6302">
      <w:pPr>
        <w:spacing w:line="240" w:lineRule="auto"/>
        <w:jc w:val="left"/>
      </w:pPr>
      <w:r>
        <w:t xml:space="preserve">The </w:t>
      </w:r>
      <w:r w:rsidRPr="00DB2C42">
        <w:t xml:space="preserve">ADSCs </w:t>
      </w:r>
      <w:r w:rsidR="000744CD" w:rsidRPr="000744CD">
        <w:t xml:space="preserve">from </w:t>
      </w:r>
      <w:r w:rsidR="000744CD">
        <w:t xml:space="preserve">the </w:t>
      </w:r>
      <w:r w:rsidR="000744CD" w:rsidRPr="000744CD">
        <w:t xml:space="preserve">male </w:t>
      </w:r>
      <w:r w:rsidR="000744CD" w:rsidRPr="004D4CC4">
        <w:rPr>
          <w:i/>
          <w:iCs/>
        </w:rPr>
        <w:t>db/db</w:t>
      </w:r>
      <w:r w:rsidR="000744CD" w:rsidRPr="000744CD">
        <w:t xml:space="preserve"> mice</w:t>
      </w:r>
      <w:r w:rsidR="004D4CC4">
        <w:t xml:space="preserve"> were </w:t>
      </w:r>
      <w:r w:rsidRPr="00DB2C42">
        <w:t>differentiated for 7 days in the presence</w:t>
      </w:r>
      <w:r>
        <w:t xml:space="preserve"> or absence</w:t>
      </w:r>
      <w:r w:rsidRPr="00DB2C42">
        <w:t xml:space="preserve"> of </w:t>
      </w:r>
      <w:r>
        <w:t>RES (</w:t>
      </w:r>
      <w:r w:rsidRPr="00DB2C42">
        <w:t>10 µM</w:t>
      </w:r>
      <w:r>
        <w:t>)</w:t>
      </w:r>
      <w:r w:rsidRPr="00DB2C42">
        <w:t>, ROSI</w:t>
      </w:r>
      <w:r>
        <w:t xml:space="preserve"> (a</w:t>
      </w:r>
      <w:r w:rsidRPr="00DB2C42">
        <w:t xml:space="preserve"> positive control</w:t>
      </w:r>
      <w:r>
        <w:t xml:space="preserve">, 1 </w:t>
      </w:r>
      <w:r>
        <w:sym w:font="Symbol" w:char="F06D"/>
      </w:r>
      <w:r>
        <w:t>M</w:t>
      </w:r>
      <w:r w:rsidRPr="00DB2C42">
        <w:t>), or DMSO</w:t>
      </w:r>
      <w:r>
        <w:t>,</w:t>
      </w:r>
      <w:r w:rsidRPr="00DB2C42">
        <w:t xml:space="preserve"> followed by overnight starvation in DMEM/high glucose without FBS. Cells were then stimulated with or without insulin </w:t>
      </w:r>
      <w:r>
        <w:t>(</w:t>
      </w:r>
      <w:r w:rsidRPr="00DB2C42">
        <w:t>50 nM</w:t>
      </w:r>
      <w:r>
        <w:t>)</w:t>
      </w:r>
      <w:r w:rsidRPr="00DB2C42">
        <w:t xml:space="preserve"> for 20 minutes, and protein lysates were collected for Western blot analysis. (A) </w:t>
      </w:r>
      <w:r>
        <w:t>T</w:t>
      </w:r>
      <w:r w:rsidRPr="00DB2C42">
        <w:t>otal AKT</w:t>
      </w:r>
      <w:r>
        <w:t xml:space="preserve">, </w:t>
      </w:r>
      <w:r w:rsidRPr="00DB2C42">
        <w:t>p-AKT</w:t>
      </w:r>
      <w:r>
        <w:t xml:space="preserve"> (ser473), and their respective loading control </w:t>
      </w:r>
      <w:r w:rsidRPr="00DB2C42">
        <w:t>ERK1/2</w:t>
      </w:r>
      <w:r>
        <w:t xml:space="preserve"> are shown</w:t>
      </w:r>
      <w:r w:rsidRPr="00DB2C42">
        <w:t>. The left panel corresponds to the basal condition (-Insulin), and the right panel to the insulin-stimulated condition (+Insulin). Quantification of total AKT/ERK1/2</w:t>
      </w:r>
      <w:r>
        <w:t xml:space="preserve"> </w:t>
      </w:r>
      <w:r w:rsidRPr="00DB2C42">
        <w:t>(B), p-AKT/ERK1/2</w:t>
      </w:r>
      <w:r>
        <w:t xml:space="preserve"> </w:t>
      </w:r>
      <w:r w:rsidRPr="00DB2C42">
        <w:t>(C), and p-AKT/total AKT</w:t>
      </w:r>
      <w:r>
        <w:t xml:space="preserve"> </w:t>
      </w:r>
      <w:r w:rsidRPr="00DB2C42">
        <w:t xml:space="preserve">(D) </w:t>
      </w:r>
      <w:r>
        <w:t xml:space="preserve">are </w:t>
      </w:r>
      <w:r w:rsidRPr="00DB2C42">
        <w:t xml:space="preserve">presented as fold change relative to </w:t>
      </w:r>
      <w:r>
        <w:t xml:space="preserve">the (-) group under </w:t>
      </w:r>
      <w:r w:rsidRPr="00DB2C42">
        <w:t xml:space="preserve">basal </w:t>
      </w:r>
      <w:r>
        <w:t xml:space="preserve">conditions. </w:t>
      </w:r>
      <w:r w:rsidRPr="00DB2C42">
        <w:t xml:space="preserve">Data = mean ± SEM (n = 3). </w:t>
      </w:r>
      <w:r w:rsidR="00E76624">
        <w:t>One-way ANOVA was</w:t>
      </w:r>
      <w:r w:rsidR="00881CD0" w:rsidRPr="00DB2C42">
        <w:t xml:space="preserve"> used for statistical analysis. </w:t>
      </w:r>
      <w:r w:rsidR="00881CD0" w:rsidRPr="008D2FF8">
        <w:t>#, ##</w:t>
      </w:r>
      <w:r w:rsidR="00881CD0" w:rsidRPr="00DB2C42">
        <w:t xml:space="preserve"> indicate p &lt; 0.05</w:t>
      </w:r>
      <w:r w:rsidR="00D23BDD">
        <w:t xml:space="preserve"> and </w:t>
      </w:r>
      <w:r w:rsidR="00881CD0" w:rsidRPr="00DB2C42">
        <w:t xml:space="preserve">p &lt; 0.01 compared to the </w:t>
      </w:r>
      <w:r w:rsidR="00D23BDD" w:rsidRPr="00DB2C42">
        <w:t>(-)</w:t>
      </w:r>
      <w:r w:rsidR="00D23BDD">
        <w:t xml:space="preserve"> </w:t>
      </w:r>
      <w:r w:rsidR="00881CD0" w:rsidRPr="00DB2C42">
        <w:t xml:space="preserve">group. </w:t>
      </w:r>
      <w:r w:rsidR="001F6302" w:rsidRPr="00DB2C42">
        <w:t>*</w:t>
      </w:r>
      <w:r w:rsidR="00881CD0" w:rsidRPr="00DB2C42">
        <w:t xml:space="preserve"> indicates p &lt; 0.05 compared to the DMSO</w:t>
      </w:r>
      <w:r w:rsidR="005E7538">
        <w:t xml:space="preserve"> group</w:t>
      </w:r>
      <w:r w:rsidR="005E7538" w:rsidRPr="00DB2C42">
        <w:t>.</w:t>
      </w:r>
    </w:p>
    <w:p w14:paraId="166B94AA" w14:textId="77777777" w:rsidR="00881CD0" w:rsidRPr="00DB2C42" w:rsidRDefault="00881CD0" w:rsidP="00881CD0">
      <w:pPr>
        <w:keepNext/>
      </w:pPr>
      <w:r w:rsidRPr="00DB2C42">
        <w:rPr>
          <w:noProof/>
        </w:rPr>
        <w:lastRenderedPageBreak/>
        <w:drawing>
          <wp:inline distT="0" distB="0" distL="0" distR="0" wp14:anchorId="29D6104C" wp14:editId="143BF9D2">
            <wp:extent cx="5418282" cy="2720139"/>
            <wp:effectExtent l="12700" t="12700" r="17780" b="10795"/>
            <wp:docPr id="672535641" name="Picture 18"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35641" name="Picture 18" descr="A close-up of a graph&#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80687" cy="2751468"/>
                    </a:xfrm>
                    <a:prstGeom prst="rect">
                      <a:avLst/>
                    </a:prstGeom>
                    <a:ln w="12700">
                      <a:solidFill>
                        <a:schemeClr val="tx1"/>
                      </a:solidFill>
                    </a:ln>
                  </pic:spPr>
                </pic:pic>
              </a:graphicData>
            </a:graphic>
          </wp:inline>
        </w:drawing>
      </w:r>
    </w:p>
    <w:p w14:paraId="383303E4" w14:textId="30955F59" w:rsidR="00881CD0" w:rsidRPr="00DB2C42" w:rsidRDefault="00881CD0" w:rsidP="00546B55">
      <w:pPr>
        <w:pStyle w:val="Caption"/>
      </w:pPr>
      <w:bookmarkStart w:id="239" w:name="_Ref200808771"/>
      <w:bookmarkStart w:id="240" w:name="_Toc204847369"/>
      <w:r w:rsidRPr="00DB2C42">
        <w:t xml:space="preserve">Figure </w:t>
      </w:r>
      <w:fldSimple w:instr=" STYLEREF 1 \s ">
        <w:r w:rsidR="00F71430">
          <w:rPr>
            <w:noProof/>
          </w:rPr>
          <w:t>4</w:t>
        </w:r>
      </w:fldSimple>
      <w:r w:rsidR="00F71430">
        <w:t>.</w:t>
      </w:r>
      <w:fldSimple w:instr=" SEQ Figure \* ARABIC \s 1 ">
        <w:r w:rsidR="00F71430">
          <w:rPr>
            <w:noProof/>
          </w:rPr>
          <w:t>11</w:t>
        </w:r>
      </w:fldSimple>
      <w:bookmarkEnd w:id="239"/>
      <w:r w:rsidRPr="00DB2C42">
        <w:t xml:space="preserve"> Resveratrol improved insulin sensitivity in the </w:t>
      </w:r>
      <w:r w:rsidR="00097675">
        <w:t xml:space="preserve">differentiated </w:t>
      </w:r>
      <w:r w:rsidRPr="00DB2C42">
        <w:t xml:space="preserve">ADSCs from female </w:t>
      </w:r>
      <w:r w:rsidRPr="00DB2C42">
        <w:rPr>
          <w:i/>
          <w:iCs/>
        </w:rPr>
        <w:t>db/db</w:t>
      </w:r>
      <w:r w:rsidRPr="00DB2C42">
        <w:t xml:space="preserve"> mice.</w:t>
      </w:r>
      <w:bookmarkEnd w:id="240"/>
    </w:p>
    <w:p w14:paraId="18291C45" w14:textId="68B8C4CB" w:rsidR="00881CD0" w:rsidRPr="00DB2C42" w:rsidRDefault="000B1C37" w:rsidP="00470EC3">
      <w:pPr>
        <w:spacing w:line="240" w:lineRule="auto"/>
        <w:jc w:val="left"/>
      </w:pPr>
      <w:r>
        <w:t xml:space="preserve">The </w:t>
      </w:r>
      <w:r w:rsidRPr="00DB2C42">
        <w:t xml:space="preserve">ADSCs </w:t>
      </w:r>
      <w:r w:rsidR="004D4CC4">
        <w:t xml:space="preserve">from </w:t>
      </w:r>
      <w:r w:rsidR="004E4F8A">
        <w:t xml:space="preserve">the </w:t>
      </w:r>
      <w:r w:rsidR="004E4F8A" w:rsidRPr="004E4F8A">
        <w:t xml:space="preserve">female </w:t>
      </w:r>
      <w:r w:rsidR="004E4F8A" w:rsidRPr="004E4F8A">
        <w:rPr>
          <w:i/>
          <w:iCs/>
        </w:rPr>
        <w:t>db/db</w:t>
      </w:r>
      <w:r w:rsidR="004E4F8A" w:rsidRPr="004E4F8A">
        <w:t xml:space="preserve"> mice</w:t>
      </w:r>
      <w:r w:rsidR="004E4F8A">
        <w:t xml:space="preserve"> </w:t>
      </w:r>
      <w:r w:rsidRPr="00DB2C42">
        <w:t>were differentiated for 7 days in the presence</w:t>
      </w:r>
      <w:r>
        <w:t xml:space="preserve"> or absence</w:t>
      </w:r>
      <w:r w:rsidRPr="00DB2C42">
        <w:t xml:space="preserve"> of </w:t>
      </w:r>
      <w:r>
        <w:t>RES (</w:t>
      </w:r>
      <w:r w:rsidRPr="00DB2C42">
        <w:t>10 µM</w:t>
      </w:r>
      <w:r>
        <w:t>)</w:t>
      </w:r>
      <w:r w:rsidRPr="00DB2C42">
        <w:t>, ROSI</w:t>
      </w:r>
      <w:r>
        <w:t xml:space="preserve"> (a</w:t>
      </w:r>
      <w:r w:rsidRPr="00DB2C42">
        <w:t xml:space="preserve"> positive control</w:t>
      </w:r>
      <w:r>
        <w:t xml:space="preserve">, 1 </w:t>
      </w:r>
      <w:r>
        <w:sym w:font="Symbol" w:char="F06D"/>
      </w:r>
      <w:r>
        <w:t>M</w:t>
      </w:r>
      <w:r w:rsidRPr="00DB2C42">
        <w:t>), or DMSO</w:t>
      </w:r>
      <w:r>
        <w:t>,</w:t>
      </w:r>
      <w:r w:rsidRPr="00DB2C42">
        <w:t xml:space="preserve"> followed by overnight starvation in DMEM/high glucose without FBS. Cells were then stimulated with or without insulin </w:t>
      </w:r>
      <w:r>
        <w:t>(</w:t>
      </w:r>
      <w:r w:rsidRPr="00DB2C42">
        <w:t>50 nM</w:t>
      </w:r>
      <w:r>
        <w:t>)</w:t>
      </w:r>
      <w:r w:rsidRPr="00DB2C42">
        <w:t xml:space="preserve"> for 20 minutes, and protein lysates were collected for Western blot analysis. (A) </w:t>
      </w:r>
      <w:r>
        <w:t>T</w:t>
      </w:r>
      <w:r w:rsidRPr="00DB2C42">
        <w:t>otal AKT</w:t>
      </w:r>
      <w:r>
        <w:t xml:space="preserve">, </w:t>
      </w:r>
      <w:r w:rsidRPr="00DB2C42">
        <w:t>p-AKT</w:t>
      </w:r>
      <w:r>
        <w:t xml:space="preserve"> (ser473), and their respective loading control </w:t>
      </w:r>
      <w:r w:rsidRPr="00DB2C42">
        <w:t>ERK1/2</w:t>
      </w:r>
      <w:r>
        <w:t xml:space="preserve"> are shown</w:t>
      </w:r>
      <w:r w:rsidRPr="00DB2C42">
        <w:t>. The left panel corresponds to the basal condition (-Insulin), and the right panel to the insulin-stimulated condition (+Insulin). Quantification of total AKT/ERK1/2</w:t>
      </w:r>
      <w:r>
        <w:t xml:space="preserve"> </w:t>
      </w:r>
      <w:r w:rsidRPr="00DB2C42">
        <w:t>(B), p-AKT/ERK1/2</w:t>
      </w:r>
      <w:r>
        <w:t xml:space="preserve"> </w:t>
      </w:r>
      <w:r w:rsidRPr="00DB2C42">
        <w:t>(C), and p-AKT/total AKT</w:t>
      </w:r>
      <w:r>
        <w:t xml:space="preserve"> </w:t>
      </w:r>
      <w:r w:rsidRPr="00DB2C42">
        <w:t xml:space="preserve">(D) </w:t>
      </w:r>
      <w:r>
        <w:t xml:space="preserve">are </w:t>
      </w:r>
      <w:r w:rsidRPr="00DB2C42">
        <w:t xml:space="preserve">presented as fold change relative to </w:t>
      </w:r>
      <w:r>
        <w:t xml:space="preserve">the (-) group under </w:t>
      </w:r>
      <w:r w:rsidRPr="00DB2C42">
        <w:t xml:space="preserve">basal </w:t>
      </w:r>
      <w:r>
        <w:t xml:space="preserve">conditions. </w:t>
      </w:r>
      <w:r w:rsidRPr="00DB2C42">
        <w:t>Data = mean ± SEM (n = 3)</w:t>
      </w:r>
      <w:r w:rsidR="00881CD0" w:rsidRPr="00DB2C42">
        <w:t xml:space="preserve">. One-way ANOVA was used for statistical analysis. </w:t>
      </w:r>
      <w:r w:rsidR="00881CD0" w:rsidRPr="008D2FF8">
        <w:t>#, ##, ###</w:t>
      </w:r>
      <w:r w:rsidR="00881CD0" w:rsidRPr="008D2FF8">
        <w:rPr>
          <w:vertAlign w:val="superscript"/>
        </w:rPr>
        <w:t xml:space="preserve"> </w:t>
      </w:r>
      <w:r w:rsidR="00881CD0" w:rsidRPr="00DB2C42">
        <w:t xml:space="preserve">indicate p &lt; 0.05, p &lt; 0.01, </w:t>
      </w:r>
      <w:r w:rsidR="00156FF8">
        <w:t xml:space="preserve">and </w:t>
      </w:r>
      <w:r w:rsidR="00881CD0" w:rsidRPr="00DB2C42">
        <w:t>p &lt; 0.00</w:t>
      </w:r>
      <w:r w:rsidR="00156FF8">
        <w:t>1, respectively,</w:t>
      </w:r>
      <w:r w:rsidR="00881CD0" w:rsidRPr="00DB2C42">
        <w:t xml:space="preserve"> compared to the </w:t>
      </w:r>
      <w:r w:rsidR="00156FF8" w:rsidRPr="00DB2C42">
        <w:t>(-)</w:t>
      </w:r>
      <w:r w:rsidR="00881CD0" w:rsidRPr="00DB2C42">
        <w:t xml:space="preserve"> group.</w:t>
      </w:r>
      <w:r w:rsidR="001F6302">
        <w:rPr>
          <w:b/>
          <w:bCs/>
        </w:rPr>
        <w:t xml:space="preserve"> </w:t>
      </w:r>
      <w:r w:rsidR="001F6302" w:rsidRPr="001F6302">
        <w:t>*, **, ***</w:t>
      </w:r>
      <w:r w:rsidR="001F6302">
        <w:t xml:space="preserve"> </w:t>
      </w:r>
      <w:r w:rsidR="00881CD0" w:rsidRPr="00DB2C42">
        <w:t xml:space="preserve">indicate p &lt; 0.05, p &lt; 0.01, </w:t>
      </w:r>
      <w:r w:rsidR="00E90DFE">
        <w:t xml:space="preserve">and </w:t>
      </w:r>
      <w:r w:rsidR="00881CD0" w:rsidRPr="00DB2C42">
        <w:t>p &lt; 0.001</w:t>
      </w:r>
      <w:r w:rsidR="00E90DFE">
        <w:t>, respectively,</w:t>
      </w:r>
      <w:r w:rsidR="00881CD0" w:rsidRPr="00DB2C42">
        <w:t xml:space="preserve"> compared to the DMSO</w:t>
      </w:r>
      <w:r w:rsidR="00E90DFE">
        <w:t xml:space="preserve"> group</w:t>
      </w:r>
      <w:r w:rsidR="00881CD0" w:rsidRPr="00DB2C42">
        <w:t>.</w:t>
      </w:r>
    </w:p>
    <w:p w14:paraId="7C2E3FC1" w14:textId="31988411" w:rsidR="00881CD0" w:rsidRPr="00DB2C42" w:rsidRDefault="00647F74" w:rsidP="00881CD0">
      <w:pPr>
        <w:keepNext/>
      </w:pPr>
      <w:r>
        <w:rPr>
          <w:noProof/>
        </w:rPr>
        <w:lastRenderedPageBreak/>
        <w:drawing>
          <wp:inline distT="0" distB="0" distL="0" distR="0" wp14:anchorId="67B03A07" wp14:editId="39286C15">
            <wp:extent cx="5943600" cy="3698875"/>
            <wp:effectExtent l="0" t="0" r="0" b="0"/>
            <wp:docPr id="649980570"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80570" name="Picture 4" descr="A screenshot of a graph&#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698875"/>
                    </a:xfrm>
                    <a:prstGeom prst="rect">
                      <a:avLst/>
                    </a:prstGeom>
                  </pic:spPr>
                </pic:pic>
              </a:graphicData>
            </a:graphic>
          </wp:inline>
        </w:drawing>
      </w:r>
    </w:p>
    <w:p w14:paraId="1550D444" w14:textId="71F0311D" w:rsidR="00881CD0" w:rsidRPr="00DB2C42" w:rsidRDefault="00881CD0" w:rsidP="00546B55">
      <w:pPr>
        <w:pStyle w:val="Caption"/>
      </w:pPr>
      <w:bookmarkStart w:id="241" w:name="_Ref200808803"/>
      <w:bookmarkStart w:id="242" w:name="_Toc204847370"/>
      <w:r w:rsidRPr="00DB2C42">
        <w:t xml:space="preserve">Figure </w:t>
      </w:r>
      <w:fldSimple w:instr=" STYLEREF 1 \s ">
        <w:r w:rsidR="00F71430">
          <w:rPr>
            <w:noProof/>
          </w:rPr>
          <w:t>4</w:t>
        </w:r>
      </w:fldSimple>
      <w:r w:rsidR="00F71430">
        <w:t>.</w:t>
      </w:r>
      <w:fldSimple w:instr=" SEQ Figure \* ARABIC \s 1 ">
        <w:r w:rsidR="00F71430">
          <w:rPr>
            <w:noProof/>
          </w:rPr>
          <w:t>12</w:t>
        </w:r>
      </w:fldSimple>
      <w:bookmarkEnd w:id="241"/>
      <w:r w:rsidRPr="00DB2C42">
        <w:t xml:space="preserve"> Fold changes in insulin sensitivity markers following insulin and resveratrol treatment in the differentiated ADSCs from male and female WT and </w:t>
      </w:r>
      <w:r w:rsidRPr="00DB2C42">
        <w:rPr>
          <w:i/>
          <w:iCs/>
        </w:rPr>
        <w:t>db/db</w:t>
      </w:r>
      <w:r w:rsidRPr="00DB2C42">
        <w:t xml:space="preserve"> mice.</w:t>
      </w:r>
      <w:bookmarkEnd w:id="242"/>
    </w:p>
    <w:p w14:paraId="58EBDFA3" w14:textId="2B1E6FF1" w:rsidR="00A559B5" w:rsidRDefault="00881CD0" w:rsidP="001654A1">
      <w:pPr>
        <w:spacing w:line="240" w:lineRule="auto"/>
        <w:jc w:val="left"/>
      </w:pPr>
      <w:r w:rsidRPr="00DB2C42">
        <w:t>(A) Fold changes of p-AKT</w:t>
      </w:r>
      <w:r w:rsidR="003760C9">
        <w:t>/ERK</w:t>
      </w:r>
      <w:r w:rsidRPr="00DB2C42">
        <w:t xml:space="preserve"> and (C) p-AKT/AKT in response to insulin were calculated for all groups. (B) Fold changes of p-AKT</w:t>
      </w:r>
      <w:r w:rsidR="007B3D81">
        <w:t>/</w:t>
      </w:r>
      <w:r w:rsidR="00EE6B2A">
        <w:t>ERK</w:t>
      </w:r>
      <w:r w:rsidRPr="00DB2C42">
        <w:t xml:space="preserve"> and (D) p-AKT/AKT in response to </w:t>
      </w:r>
      <w:r w:rsidR="003D7838">
        <w:t xml:space="preserve">RES </w:t>
      </w:r>
      <w:r w:rsidR="00890034">
        <w:t>relative</w:t>
      </w:r>
      <w:r w:rsidRPr="00DB2C42">
        <w:t xml:space="preserve"> to </w:t>
      </w:r>
      <w:r w:rsidR="00A0336A">
        <w:t xml:space="preserve">the </w:t>
      </w:r>
      <w:r w:rsidRPr="00DB2C42">
        <w:t>DMSO</w:t>
      </w:r>
      <w:r w:rsidR="00A0336A">
        <w:t xml:space="preserve"> group</w:t>
      </w:r>
      <w:r w:rsidRPr="00DB2C42">
        <w:t xml:space="preserve"> under basal and insulin-stimulated conditions were calculated. Data = mean ± SEM (n = 3). One-way ANOVA was used for statistical analysis in (A) and (C), and two-way ANOVA was used in (B) and (D). </w:t>
      </w:r>
      <w:r w:rsidRPr="00B56D27">
        <w:t xml:space="preserve">## </w:t>
      </w:r>
      <w:r w:rsidRPr="00DB2C42">
        <w:t xml:space="preserve">indicate p &lt; 0.01 for comparisons between males and females, while </w:t>
      </w:r>
      <w:r w:rsidR="001654A1" w:rsidRPr="001F6302">
        <w:t>**</w:t>
      </w:r>
      <w:r w:rsidRPr="00DB2C42">
        <w:t xml:space="preserve"> indicate p &lt; 0.01 for comparisons between WT and </w:t>
      </w:r>
      <w:r w:rsidRPr="00DB2C42">
        <w:rPr>
          <w:i/>
          <w:iCs/>
        </w:rPr>
        <w:t xml:space="preserve">db/db </w:t>
      </w:r>
      <w:r w:rsidRPr="00DB2C42">
        <w:t xml:space="preserve">mice. </w:t>
      </w:r>
      <w:r w:rsidRPr="00DB2C42">
        <w:rPr>
          <w:b/>
          <w:bCs/>
          <w:vertAlign w:val="superscript"/>
        </w:rPr>
        <w:t>†</w:t>
      </w:r>
      <w:r w:rsidRPr="00DB2C42">
        <w:rPr>
          <w:vertAlign w:val="superscript"/>
        </w:rPr>
        <w:t xml:space="preserve">, </w:t>
      </w:r>
      <w:r w:rsidRPr="00DB2C42">
        <w:rPr>
          <w:b/>
          <w:bCs/>
          <w:vertAlign w:val="superscript"/>
        </w:rPr>
        <w:t>††</w:t>
      </w:r>
      <w:r w:rsidRPr="00DB2C42">
        <w:t xml:space="preserve"> indicate p &lt; 0.05</w:t>
      </w:r>
      <w:r w:rsidR="00EE452E">
        <w:t xml:space="preserve"> and</w:t>
      </w:r>
      <w:r w:rsidR="00EE452E" w:rsidRPr="00DB2C42">
        <w:t xml:space="preserve"> </w:t>
      </w:r>
      <w:r w:rsidRPr="00DB2C42">
        <w:t>p &lt; 0.01 for comparisons between basal and insulin conditions.</w:t>
      </w:r>
    </w:p>
    <w:p w14:paraId="342320D7" w14:textId="571C9694" w:rsidR="00881CD0" w:rsidRPr="00DB2C42" w:rsidRDefault="00A559B5" w:rsidP="00312C85">
      <w:pPr>
        <w:ind w:left="720" w:hanging="720"/>
        <w:jc w:val="left"/>
      </w:pPr>
      <w:r>
        <w:br w:type="page"/>
      </w:r>
    </w:p>
    <w:p w14:paraId="1887F639" w14:textId="357ACD7B" w:rsidR="00AE6043" w:rsidRPr="00DB2C42" w:rsidRDefault="00AE6043" w:rsidP="00F37087">
      <w:pPr>
        <w:pStyle w:val="Heading1"/>
      </w:pPr>
      <w:bookmarkStart w:id="243" w:name="_Toc200810442"/>
      <w:bookmarkStart w:id="244" w:name="_Toc204848680"/>
      <w:r w:rsidRPr="00DB2C42">
        <w:lastRenderedPageBreak/>
        <w:t xml:space="preserve">CHAPTER V </w:t>
      </w:r>
      <w:bookmarkEnd w:id="243"/>
      <w:r w:rsidR="004060E2" w:rsidRPr="004060E2">
        <w:t>BROWNING AND INSULIN SIGNALING IN 3T3-L1 ADIPOCYTES: EVALUATING THE CONTRIBUTION OF UCP1</w:t>
      </w:r>
      <w:bookmarkEnd w:id="244"/>
    </w:p>
    <w:p w14:paraId="32FDAFE4" w14:textId="77777777" w:rsidR="00AE6043" w:rsidRPr="00DB2C42" w:rsidRDefault="00AE6043" w:rsidP="00AE6043">
      <w:r w:rsidRPr="00DB2C42">
        <w:br w:type="page"/>
      </w:r>
    </w:p>
    <w:p w14:paraId="495186BC" w14:textId="77777777" w:rsidR="00AE6043" w:rsidRPr="00DB2C42" w:rsidRDefault="00AE6043" w:rsidP="00847BA5">
      <w:pPr>
        <w:pStyle w:val="Heading2"/>
        <w:jc w:val="left"/>
      </w:pPr>
      <w:bookmarkStart w:id="245" w:name="_Toc200810443"/>
      <w:bookmarkStart w:id="246" w:name="_Toc204848681"/>
      <w:r w:rsidRPr="00DB2C42">
        <w:lastRenderedPageBreak/>
        <w:t>Abstract</w:t>
      </w:r>
      <w:bookmarkEnd w:id="245"/>
      <w:bookmarkEnd w:id="246"/>
    </w:p>
    <w:p w14:paraId="3BCF74B2" w14:textId="77777777" w:rsidR="004B42C8" w:rsidRPr="00DB2C42" w:rsidRDefault="004B42C8" w:rsidP="004B42C8">
      <w:pPr>
        <w:ind w:firstLine="720"/>
        <w:jc w:val="left"/>
      </w:pPr>
      <w:r w:rsidRPr="00DB2C42">
        <w:t>Uncoupling protein 1 (UCP1) is a central marker of browning in white adipose tissue and plays an important role in thermogenic function. Rosiglitazone (ROSI), a PPAR</w:t>
      </w:r>
      <w:r w:rsidRPr="00DB2C42">
        <w:sym w:font="Symbol" w:char="F067"/>
      </w:r>
      <w:r w:rsidRPr="00DB2C42">
        <w:t xml:space="preserve"> agonist used to treat insulin resistance, is known to promote adipocyte differentiation and browning, which includes increased U</w:t>
      </w:r>
      <w:r>
        <w:t>CP</w:t>
      </w:r>
      <w:r w:rsidRPr="00DB2C42">
        <w:t>1</w:t>
      </w:r>
      <w:r>
        <w:t xml:space="preserve"> </w:t>
      </w:r>
      <w:r w:rsidRPr="00DB2C42">
        <w:t>expression. In the previous chapter, we observed that ROSI enhanced both U</w:t>
      </w:r>
      <w:r>
        <w:t>CP</w:t>
      </w:r>
      <w:r w:rsidRPr="00DB2C42">
        <w:t>1 expression and insulin-stimulated AKT phosphorylation in the adipose-derived stromal cells, suggesting a possible connection between browning and improvement of insulin signaling. To examine whether UCP1</w:t>
      </w:r>
      <w:r>
        <w:t>-mediated browning</w:t>
      </w:r>
      <w:r w:rsidRPr="00DB2C42">
        <w:t xml:space="preserve"> contributes to </w:t>
      </w:r>
      <w:r>
        <w:t>enhanced insulin signaling by ROSI</w:t>
      </w:r>
      <w:r w:rsidRPr="00DB2C42">
        <w:t xml:space="preserve">, we generated </w:t>
      </w:r>
      <w:r>
        <w:t xml:space="preserve">a </w:t>
      </w:r>
      <w:r w:rsidRPr="00DB2C42">
        <w:t xml:space="preserve">3T3-L1 </w:t>
      </w:r>
      <w:r>
        <w:t xml:space="preserve">cell line with </w:t>
      </w:r>
      <w:r w:rsidRPr="00DC493F">
        <w:rPr>
          <w:i/>
          <w:iCs/>
        </w:rPr>
        <w:t>Ucp</w:t>
      </w:r>
      <w:r>
        <w:rPr>
          <w:i/>
          <w:iCs/>
        </w:rPr>
        <w:t xml:space="preserve"> </w:t>
      </w:r>
      <w:r w:rsidRPr="00DC493F">
        <w:rPr>
          <w:i/>
          <w:iCs/>
        </w:rPr>
        <w:t>1</w:t>
      </w:r>
      <w:r>
        <w:t xml:space="preserve"> knockout (KO) using</w:t>
      </w:r>
      <w:r w:rsidRPr="00DB2C42">
        <w:t xml:space="preserve"> CRISPR/Cas9</w:t>
      </w:r>
      <w:r>
        <w:t xml:space="preserve"> technology</w:t>
      </w:r>
      <w:r w:rsidRPr="00DB2C42">
        <w:t xml:space="preserve">. </w:t>
      </w:r>
      <w:r w:rsidRPr="00DC493F">
        <w:rPr>
          <w:i/>
          <w:iCs/>
        </w:rPr>
        <w:t xml:space="preserve">Ucp1 </w:t>
      </w:r>
      <w:r w:rsidRPr="00DB2C42">
        <w:t xml:space="preserve">KO </w:t>
      </w:r>
      <w:r>
        <w:t>attenuated</w:t>
      </w:r>
      <w:r w:rsidRPr="00DB2C42">
        <w:t xml:space="preserve"> ROSI-induced differentiation of adipocytes but did correlate with the absence of proton leak and uncoupling process in mitochondria. Notably, ROSI failed to enhance insulin-stimulated AKT phosphorylation in UCP1 KO adipocytes. These findings indicate that UCP1-dependent thermogenesis is likely involved in the insulin-sensitizing actions of rosiglitazone and also support the potential implication of adipocyte browning in the modulation of insulin sensitivity and responsiveness to rosiglitazone.</w:t>
      </w:r>
    </w:p>
    <w:p w14:paraId="494965D8" w14:textId="77777777" w:rsidR="00AE6043" w:rsidRPr="00DB2C42" w:rsidRDefault="00AE6043" w:rsidP="00AE6043">
      <w:r w:rsidRPr="00DB2C42">
        <w:br w:type="page"/>
      </w:r>
    </w:p>
    <w:p w14:paraId="1FD4FC1E" w14:textId="77777777" w:rsidR="00AE6043" w:rsidRDefault="00AE6043" w:rsidP="00847BA5">
      <w:pPr>
        <w:pStyle w:val="Heading2"/>
        <w:jc w:val="left"/>
      </w:pPr>
      <w:bookmarkStart w:id="247" w:name="_Toc200810444"/>
      <w:bookmarkStart w:id="248" w:name="_Toc204848682"/>
      <w:r w:rsidRPr="00DB2C42">
        <w:lastRenderedPageBreak/>
        <w:t>Introduction</w:t>
      </w:r>
      <w:bookmarkEnd w:id="247"/>
      <w:bookmarkEnd w:id="248"/>
    </w:p>
    <w:p w14:paraId="4D77E300" w14:textId="6DAE2839" w:rsidR="0011525C" w:rsidRPr="00DB2C42" w:rsidRDefault="0011525C" w:rsidP="0011525C">
      <w:pPr>
        <w:ind w:firstLine="720"/>
        <w:jc w:val="left"/>
      </w:pPr>
      <w:r w:rsidRPr="00DB2C42">
        <w:t>Brown and beige adipocytes are specialized types of fat cells that dissipate energy as heat instead of storing it as fat</w:t>
      </w:r>
      <w:r>
        <w:t>, a process known as</w:t>
      </w:r>
      <w:r w:rsidRPr="00DB2C42">
        <w:t xml:space="preserve"> non-shivering thermogenesis</w:t>
      </w:r>
      <w:r>
        <w:t xml:space="preserve"> </w:t>
      </w:r>
      <w:r w:rsidRPr="00DB2C42">
        <w:fldChar w:fldCharType="begin"/>
      </w:r>
      <w:r w:rsidR="00BE712C">
        <w:instrText xml:space="preserve"> ADDIN ZOTERO_ITEM CSL_CITATION {"citationID":"ahI1HBa3","properties":{"formattedCitation":"\\super 447\\uc0\\u8211{}449\\nosupersub{}","plainCitation":"447–449","noteIndex":0},"citationItems":[{"id":2975,"uris":["http://zotero.org/users/9622455/items/67GDKHKF"],"itemData":{"id":2975,"type":"article-journal","abstract":"Brown adipocytes constitute a specialized tissue in heat build-up (i.e., thermogenesis) due to their mitochondrial uncoupling capacity, as they express thermogenic genes, playing a role in the energy metabolism of the whole body in mammals through non-shivering thermogenesis. Beige adipocytes originate in white adipose tissue (WAT) through the tissue browning process and are phenotypically similar to brown adipocytes. Considering that the activity of these cells is essential to reduce the incidence of metabolic diseases, including obesity, type 2 diabetes, and dyslipidemia, the stimulation of the brown fat and the development of beige adipose tissue has become a promising therapeutic target to treat clinical conditions. Due to the low amount of brown adipose tissue (BAT) in human adults, both phenomena (i.e., activation of brown and development of beige adipocytes) are related to better control of body weight, adiposity, insulin resistance, and hyperlipidemia. This review focuses on the comprehensively discussion of the metabolic importance of BAT activation and/or browning of WAT, and approaches that lead to the biogenesis of these thermogenic fats, such as cold exposure, thyroid hormones, physical exercise, diet and pharmacological agents (i.e., β3-adrenergic receptor agonist, glucagon-like peptide 1, mineralocorticoid receptor antagonists, ephedrine). These stimulatory agents have shown promise in activating BAT in humans. Frow our review, concluded that there are still many obstacles to be overcome in the upcoming years to better assess the real impact of BAT activation on metabolic health (i.e., absence of insulin resistance and metabolic syndrome), and elucidate many questions surrounding BAT physiology, so that this organ can indeed be considered an attractive therapeutic target for the prevention and reversal of obesity and metabolic disorders.","container-title":"Health Sciences Review","DOI":"10.1016/j.hsr.2024.100148","ISSN":"2772-6320","journalAbbreviation":"Health Sciences Review","page":"100148","source":"ScienceDirect","title":"Brown and beige adipose tissue: New therapeutic targets for metabolic disorders","title-short":"Brown and beige adipose tissue","volume":"10","author":[{"family":"Magro","given":"Bruno Souza"},{"family":"Dias","given":"Daniel Penteado Martins"}],"issued":{"date-parts":[["2024",3,1]]}}},{"id":2972,"uris":["http://zotero.org/users/9622455/items/NFL5V23F"],"itemData":{"id":2972,"type":"article-journal","abstract":"Cannon, Barbara, and Jan Nedergaard. Brown Adipose Tissue: Function and Physiological Significance. Physiol Rev 84: 277–359, 2004; 10.1152/physrev.00015.2003.—The function of brown adipose tissue is to transfer energy from food into heat; physiologically, both the heat produced and the resulting decrease in metabolic efficiency can be of significance. Both the acute activity of the tissue, i.e., the heat production, and the recruitment process in the tissue (that results in a higher thermogenic capacity) are under the control of norepinephrine released from sympathetic nerves. In thermoregulatory thermogenesis, brown adipose tissue is essential for classical nonshivering thermogen-esis (this phenomenon does not exist in the absence of functional brown adipose tissue), as well as for the cold acclimation-recruited norepinephrine-induced thermogenesis. Heat production from brown adipose tissue is activated whenever the organism is in need of extra heat, e.g., postnatally, during entry into a febrile state, and during arousal from hibernation, and the rate of thermogenesis is centrally controlled via a pathway initiated in the hypothalamus. Feeding as such also results in activation of brown adipose tissue; a series of diets, apparently all characterized by being low in protein, result in a leptin-dependent recruitment of the tissue; this metaboloregulatory thermogenesis is also under hypothalamic control. When the tissue is active, high amounts of lipids and glucose are combusted in the tissue. The development of brown adipose tissue with its characteristic protein, uncoupling protein-1 (UCP1), was probably determinative for the evolutionary success of mammals, as its thermogenesis enhances neonatal survival and allows for active life even in cold surroundings.","container-title":"Physiological Reviews","DOI":"10.1152/physrev.00015.2003","ISSN":"0031-9333, 1522-1210","issue":"1","language":"en","note":"publisher: American Physiological Society","page":"277-359","source":"Crossref","title":"Brown Adipose Tissue: Function and Physiological Significance","title-short":"Brown Adipose Tissue","volume":"84","author":[{"family":"Cannon","given":"Barbara"},{"family":"Nedergaard","given":"Jan"}],"issued":{"date-parts":[["2004",1]]}}},{"id":2973,"uris":["http://zotero.org/users/9622455/items/ZIQHRTLE"],"itemData":{"id":2973,"type":"article-journal","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thermogenesis.","container-title":"Nature","DOI":"10.1038/35007527","ISSN":"1476-4687","issue":"6778","language":"en","license":"2000 Macmillan Magazines Ltd.","note":"publisher: Nature Publishing Group","page":"652-660","source":"www.nature.com","title":"Towards a molecular understanding of adaptive thermogenesis","volume":"404","author":[{"family":"Lowell","given":"Bradford B."},{"family":"Spiegelman","given":"Bruce M."}],"issued":{"date-parts":[["2000",4]]}}}],"schema":"https://github.com/citation-style-language/schema/raw/master/csl-citation.json"} </w:instrText>
      </w:r>
      <w:r w:rsidRPr="00DB2C42">
        <w:fldChar w:fldCharType="separate"/>
      </w:r>
      <w:r w:rsidR="00BE712C" w:rsidRPr="00BE712C">
        <w:rPr>
          <w:vertAlign w:val="superscript"/>
        </w:rPr>
        <w:t>447–449</w:t>
      </w:r>
      <w:r w:rsidRPr="00DB2C42">
        <w:fldChar w:fldCharType="end"/>
      </w:r>
      <w:r w:rsidRPr="00DB2C42">
        <w:t>. This process is mediated by uncoupling protein 1 (UCP1), a mitochondrial protein</w:t>
      </w:r>
      <w:r>
        <w:t xml:space="preserve"> that allows protons to flow across the inner mitochondrial membrane, producing</w:t>
      </w:r>
      <w:r w:rsidRPr="00DB2C42">
        <w:t xml:space="preserve"> heat instead of synthesizing ATP</w:t>
      </w:r>
      <w:r>
        <w:t xml:space="preserve"> </w:t>
      </w:r>
      <w:r w:rsidRPr="00DB2C42">
        <w:fldChar w:fldCharType="begin"/>
      </w:r>
      <w:r w:rsidR="00BE712C">
        <w:instrText xml:space="preserve"> ADDIN ZOTERO_ITEM CSL_CITATION {"citationID":"xS2AhmbL","properties":{"formattedCitation":"\\super 450,451\\nosupersub{}","plainCitation":"450,451","noteIndex":0},"citationItems":[{"id":2979,"uris":["http://zotero.org/users/9622455/items/5NA6KSL8"],"itemData":{"id":2979,"type":"article-journal","abstract":"Non-shivering thermogenesis in brown adipose tissue is mediated by uncoupling protein 1 (UCP1), which provides a carefully regulated proton re-entry pathway across the mitochondrial inner membrane operating in parallel to the ATP synthase and allowing respiration, and hence thermogenesis, to be released from the constraints of respiratory control. In the 40 years since UCP1 was first described, an extensive, and frequently contradictory, literature has accumulated, focused on the acute physiological regulation of the protein by fatty acids, purine nucleotides and possible additional factors. The purpose of this review is to examine, in detail, the experimental evidence underlying these proposed mechanisms. Emphasis will be placed on the methodologies employed and their relation to the physiological constraints under which the protein functions in the intact cell. The nature of the endogenous, UCP1-independent, proton leak will also be discussed. Finally, the troubled history of the putative novel uncoupling proteins, UCP2 and UCP3, will be evaluated.","container-title":"Biochimica et Biophysica Acta (BBA) - Bioenergetics","DOI":"10.1016/j.bbabio.2021.148428","ISSN":"0005-2728","issue":"7","journalAbbreviation":"Biochimica et Biophysica Acta (BBA) - Bioenergetics","page":"148428","source":"ScienceDirect","title":"Mitochondrial proton leaks and uncoupling proteins","volume":"1862","author":[{"family":"Nicholls","given":"David G."}],"issued":{"date-parts":[["2021",7,1]]}}},{"id":2983,"uris":["http://zotero.org/users/9622455/items/GEDK3WH6"],"itemData":{"id":2983,"type":"article-journal","abstract":"Mitochondrial uncoupling can be defined as a dissociation between mitochondrial membrane potential generation and its use for mitochondria-dependent ATP synthesis. Although this process was originally considered a mitochondrial dysfunction, the identification of UCP-1 as an endogenous physiological uncoupling protein suggests that the process could be involved in many other biological processes. In this review, we first compare the mitochondrial uncoupling agents available in term of mechanistic and non-specific effects. Proteins regulating mitochondrial uncoupling, as well as chemical compounds with uncoupling properties are discussed. Second, we summarize the most recent findings linking mitochondrial uncoupling and other cellular or biological processes, such as bulk and specific autophagy, reactive oxygen species production, protein secretion, cell death, physical exercise, metabolic adaptations in adipose tissue, and cell signaling. Finally, we show how mitochondrial uncoupling could be used to treat several human diseases, such as obesity, cardiovascular diseases, or neurological disorders.","container-title":"Cells","DOI":"10.3390/cells8080795","ISSN":"2073-4409","issue":"8","language":"en","license":"http://creativecommons.org/licenses/by/3.0/","note":"number: 8\npublisher: Multidisciplinary Digital Publishing Institute","page":"795","source":"www.mdpi.com","title":"Mitochondrial Uncoupling: A Key Controller of Biological Processes in Physiology and Diseases","title-short":"Mitochondrial Uncoupling","volume":"8","author":[{"family":"Demine","given":"Stéphane"},{"family":"Renard","given":"Patricia"},{"family":"Arnould","given":"Thierry"}],"issued":{"date-parts":[["2019",8]]}}}],"schema":"https://github.com/citation-style-language/schema/raw/master/csl-citation.json"} </w:instrText>
      </w:r>
      <w:r w:rsidRPr="00DB2C42">
        <w:fldChar w:fldCharType="separate"/>
      </w:r>
      <w:r w:rsidR="00BE712C" w:rsidRPr="00BE712C">
        <w:rPr>
          <w:vertAlign w:val="superscript"/>
        </w:rPr>
        <w:t>450,451</w:t>
      </w:r>
      <w:r w:rsidRPr="00DB2C42">
        <w:fldChar w:fldCharType="end"/>
      </w:r>
      <w:r w:rsidRPr="00DB2C42">
        <w:t>. UCP1 expression can be strongly induced by cold exposure and β-adrenergic stimulation</w:t>
      </w:r>
      <w:r>
        <w:t xml:space="preserve"> </w:t>
      </w:r>
      <w:r w:rsidRPr="00DB2C42">
        <w:fldChar w:fldCharType="begin"/>
      </w:r>
      <w:r w:rsidR="00BE712C">
        <w:instrText xml:space="preserve"> ADDIN ZOTERO_ITEM CSL_CITATION {"citationID":"4CfZX1rA","properties":{"formattedCitation":"\\super 452,453\\nosupersub{}","plainCitation":"452,453","noteIndex":0},"citationItems":[{"id":2981,"uris":["http://zotero.org/users/9622455/items/EDM5WGW8"],"itemData":{"id":2981,"type":"article-journal","abstract":"Brown adipose tissue (BAT) thermogenic functions are primarily mediated by uncoupling protein (UCP)-1. Ucp1 gene expression is highly induced by cold temperature, via sympathetic nervous system and β-adrenergic receptors (βARs). Ucp1 is also repressed by the clock gene Rev-erbα, contributing to its circadian rhythmicity. In this study, we investigated mice lacking βARs (β-less mice) to test the relationship between βAR signaling and the BAT molecular clock. We found that in addition to controlling the induction of Ucp1 and other key BAT genes at near freezing temperatures, βARs are essential for the basal expression of BAT Ucp1 at room temperature. Remarkably, although basal Ucp1 expression is low throughout day and night in β-less mice, the circadian rhythmicity of Ucp1 and clock genes in BAT is maintained. Thus, the requirement of βAR signaling for BAT activity is independent of the circadian rhythmicity of Ucp1 expression and circadian oscillation of the molecular clock genes. On the other hand, we found that βARs are essential for the normal circadian rhythms of locomotor activity. Our results demonstrate that in addition to controlling the BAT response to extreme cold, βAR signaling is necessary to maintain basal Ucp1 tone and to couple BAT circadian rhythmicity to the central clock.—Razzoli, M., Emmett, M. J., Lazar, M. A., Bartolomucci, A. β-Adrenergic receptors control brown adipose UCP-1 tone and cold response without affecting its circadian rhythmicity.","container-title":"The FASEB Journal","DOI":"10.1096/fj.201800452R","ISSN":"0892-6638","issue":"10","journalAbbreviation":"FASEB J","note":"PMID: 29715048\nPMCID: PMC6133705","page":"5640-5646","source":"PubMed Central","title":"β-Adrenergic receptors control brown adipose UCP-1 tone and cold response without affecting its circadian rhythmicity","volume":"32","author":[{"family":"Razzoli","given":"Maria"},{"family":"Emmett","given":"Matthew J."},{"family":"Lazar","given":"Mitchell A."},{"family":"Bartolomucci","given":"Alessandro"}],"issued":{"date-parts":[["2018",10]]}}},{"id":2985,"uris":["http://zotero.org/users/9622455/items/7L77BKSK"],"itemData":{"id":2985,"type":"article-journal","abstract":"Brown and beige adipocytes are characterised as expressing the unique mitochondrial uncoupling protein (UCP)1 for which the primary stimulus in vivo is cold exposure. The extent to which cold-induced UCP1 activation can also be achieved in vitro, and therefore perform a comparable cellular function, is unknown. We report an in vitro model to induce adipocyte browning using bone marrow (BM) derived mesenchymal stem cells (MSC), which relies on differentiation at 32 °C instead of 37 °C. The low temperature promoted browning in adipogenic cultures, with increased adipocyte differentiation and upregulation of adipogenic and thermogenic factors, especially UCP1. Cells exhibited enhanced uncoupled respiration and metabolic adaptation. Cold-exposed differentiated cells showed a marked translocation of leptin to adipocyte nuclei, suggesting a previously unknown role for leptin in the browning process. These results indicate that BM-MSC can be driven to forming beige-like adipocytes in vitro by exposure to a reduced temperature. This in vitro model will provide a powerful tool to elucidate the precise role of leptin and related hormones in hitherto functions in the browning process.","container-title":"Scientific Reports","DOI":"10.1038/s41598-018-23267-9","ISSN":"2045-2322","issue":"1","journalAbbreviation":"Sci Rep","language":"en","license":"2018 The Author(s)","note":"publisher: Nature Publishing Group","page":"4974","source":"www.nature.com","title":"Low temperature exposure induces browning of bone marrow stem cell derived adipocytes in vitro","volume":"8","author":[{"family":"Velickovic","given":"Ksenija"},{"family":"Lugo Leija","given":"Hilda Anaid"},{"family":"Bloor","given":"Ian"},{"family":"Law","given":"James"},{"family":"Sacks","given":"Harold"},{"family":"Symonds","given":"Michael"},{"family":"Sottile","given":"Virginie"}],"issued":{"date-parts":[["2018",3,21]]}}}],"schema":"https://github.com/citation-style-language/schema/raw/master/csl-citation.json"} </w:instrText>
      </w:r>
      <w:r w:rsidRPr="00DB2C42">
        <w:fldChar w:fldCharType="separate"/>
      </w:r>
      <w:r w:rsidR="00BE712C" w:rsidRPr="00BE712C">
        <w:rPr>
          <w:vertAlign w:val="superscript"/>
        </w:rPr>
        <w:t>452,453</w:t>
      </w:r>
      <w:r w:rsidRPr="00DB2C42">
        <w:fldChar w:fldCharType="end"/>
      </w:r>
      <w:r w:rsidRPr="00DB2C42">
        <w:t>, which contributes to systemic energy expenditure and thermoregulation</w:t>
      </w:r>
      <w:r>
        <w:t xml:space="preserve"> </w:t>
      </w:r>
      <w:r w:rsidRPr="00DB2C42">
        <w:fldChar w:fldCharType="begin"/>
      </w:r>
      <w:r w:rsidR="00BE712C">
        <w:instrText xml:space="preserve"> ADDIN ZOTERO_ITEM CSL_CITATION {"citationID":"KVP1k8QD","properties":{"formattedCitation":"\\super 454\\nosupersub{}","plainCitation":"454","noteIndex":0},"citationItems":[{"id":2987,"uris":["http://zotero.org/users/9622455/items/GGMMDCRU"],"itemData":{"id":2987,"type":"article-journal","abstract":"Obesity is a complex, multifactorial disease characterized by excessive body fat accumulation, which negatively impacts health. Its increasing prevalence has led to a global epidemic, emphasizing the urgent need for innovative and effective treatment strategies. This study aims to explore the potential of CRISPR/Cas9-mediated gene editing to enhance UCP1-dependent thermogenesis, offering a novel approach to obesity management. Uncoupling protein 1 (UCP1), primarily located in the inner mitochondrial membrane of brown adipose tissue (BAT), plays a crucial role in thermogenesis and energy expenditure. By converting stored energy into heat, UCP1 activation enhances calorie burning, helping to regulate body temperature and mitigate obesity-related health risks. Recent advancements in genome editing technologies, particularly CRISPR/Cas9, provide a precise method to modify genes involved in UCP1 expression and activity. This approach holds significant promise for sustainable obesity management by enhancing metabolic efficiency and energy expenditure. This study examines the feasibility of using CRISPR/Cas9 to target the UCP1-dependent thermogenesis pathway for obesity treatment. It explores the mechanisms of CRISPR/Cas9, the role of UCP1 in energy regulation, and potential strategies to enhance thermogenic activity. Our findings highlight the promise of CRISPR-based interventions in metabolic regulation. However, further research is necessary to optimize safety, efficacy, and regulatory considerations before translating these findings into clinical applications.","container-title":"Current Research in Biotechnology","DOI":"10.1016/j.crbiot.2025.100295","ISSN":"2590-2628","journalAbbreviation":"Current Research in Biotechnology","page":"100295","source":"ScienceDirect","title":"Targeting the UCP1-dependent thermogenesis pathway with CRISPR/Cas9: a new approach to obesity management","title-short":"Targeting the UCP1-dependent thermogenesis pathway with CRISPR/Cas9","volume":"9","author":[{"family":"Karami","given":"Esmail"},{"family":"Rostamkhani","given":"Fatemeh"},{"family":"Abdollahi","given":"Maasoume"},{"family":"Ahmadifard","given":"Mohamadreza"}],"issued":{"date-parts":[["2025",1,1]]}}}],"schema":"https://github.com/citation-style-language/schema/raw/master/csl-citation.json"} </w:instrText>
      </w:r>
      <w:r w:rsidRPr="00DB2C42">
        <w:fldChar w:fldCharType="separate"/>
      </w:r>
      <w:r w:rsidR="00BE712C" w:rsidRPr="00BE712C">
        <w:rPr>
          <w:vertAlign w:val="superscript"/>
        </w:rPr>
        <w:t>454</w:t>
      </w:r>
      <w:r w:rsidRPr="00DB2C42">
        <w:fldChar w:fldCharType="end"/>
      </w:r>
      <w:r w:rsidRPr="00DB2C42">
        <w:t>. Recently, increasing evidence from rodent and human studies suggests that activation of thermogenic fat not only increases energy expenditure but also improves glucose metabolism, as indicated by increased insulin sensitivity and glucose uptake</w:t>
      </w:r>
      <w:r>
        <w:t xml:space="preserve"> </w:t>
      </w:r>
      <w:r w:rsidRPr="00DB2C42">
        <w:fldChar w:fldCharType="begin"/>
      </w:r>
      <w:r w:rsidR="00BE712C">
        <w:instrText xml:space="preserve"> ADDIN ZOTERO_ITEM CSL_CITATION {"citationID":"ixqizEwF","properties":{"formattedCitation":"\\super 455,456\\nosupersub{}","plainCitation":"455,456","noteIndex":0},"citationItems":[{"id":2991,"uris":["http://zotero.org/users/9622455/items/V56ZTEIQ"],"itemData":{"id":2991,"type":"article-journal","abstract":"Brown adipose tissue (BAT) has been considered beneficial for metabolic health by participating in the regulation of glucose homoeostasis. The browning factors that improve glucose uptake beyond normal levels are still unknown but glucose uptake is not affected in UCP1 knockout mice. Here, we demonstrate in human white adipocytes that basal/resting glucose uptake is improved by solely elevating UCP1 protein levels. Generating human white Simpson-Golabi-Behmel syndrome (SGBS) adipocytes with a stable knockout and overexpression of UCP1, we discovered that UCP1 overexpressing adipocytes significantly improve glucose uptake by 40%. Mechanistically, this is caused by higher glycolytic flux, seen as increased oxygen consumption, extracellular acidification and lactate secretion rates. The improvements in glucose handling are comparable to white-to-brown transitions, as judged by, for the first time, directly comparing in vitro differentiated mouse brown vs white adipocytes. Although no adipogenic, metabolic and mitochondrial gene expressions were significantly altered in SGBS cells, pharmacological inhibition of GLUT1 completely abrogated differences between UCP1+ and control cells, thereby uncovering GLUT1-mediated uptake as permissive gatekeeper. Collectively, our data demonstrate that elevating UCP1 levels is sufficient to improve human white adipocytes as a glucose sink without adverse cellular effects, thus not requiring the adrenergic controlled, complex network of browning which usually hampers translational efforts., •Basal glucose uptake in human adipocytes is improved by solely elevating UCP1 levels.•Adipogenic, metabolic and mitochondrial gene expressions were not affected by UCP1 overexpression.•UCP1-driven increase in glucose uptake is mediated by GLUT1.","container-title":"Redox Biology","DOI":"10.1016/j.redox.2019.101286","ISSN":"2213-2317","journalAbbreviation":"Redox Biol","note":"PMID: 31382214\nPMCID: PMC6692062","page":"101286","source":"PubMed Central","title":"Elevated UCP1 levels are sufficient to improve glucose uptake in human white adipocytes","volume":"26","author":[{"family":"Tews","given":"D."},{"family":"Pula","given":"T."},{"family":"Funcke","given":"J.B."},{"family":"Jastroch","given":"M."},{"family":"Keuper","given":"M."},{"family":"Debatin","given":"K.M."},{"family":"Wabitsch","given":"M."},{"family":"Fischer-Posovszky","given":"P."}],"issued":{"date-parts":[["2019",7,27]]}}},{"id":2989,"uris":["http://zotero.org/users/9622455/items/CXY2NZCM"],"itemData":{"id":2989,"type":"article-journal","abstract":"Mammalian adipose tissues are broadly divided into white adipose tissue (WAT) and thermogenic fat tissue (brown adipose tissue and beige adipose tissue). Uncoupling protein 1 (UCP1) is the central protein in thermogenesis, and cells that exhibit induced UCP1 expression and appear scattered throughout WAT are called beige adipocytes, and their induction in WAT is referred to as “beiging”. Beige adipocytes can differentiate from preadipocytes or convert from mature adipocytes. UCP1 was thought to contribute to non-shivering thermogenesis; however, recent studies demonstrated the presence of UCP1-independent thermogenic mechanisms. There is evidence that thermogenic fat tissue contributes to systemic energy expenditure even in human beings. This review discusses the roles that thermogenic fat tissue plays in energy consumption and offers insight into the possibility and challenges associated with its application in the treatment of obesity and type 2 diabetes.","container-title":"Current Issues in Molecular Biology","DOI":"10.3390/cimb44070219","ISSN":"1467-3045","issue":"7","language":"en","license":"http://creativecommons.org/licenses/by/3.0/","note":"number: 7\npublisher: Multidisciplinary Digital Publishing Institute","page":"3166-3179","source":"www.mdpi.com","title":"The Role of Thermogenic Fat Tissue in Energy Consumption","volume":"44","author":[{"family":"Horino","given":"Masato"},{"family":"Ikeda","given":"Kenji"},{"family":"Yamada","given":"Tetsuya"}],"issued":{"date-parts":[["2022",7]]}}}],"schema":"https://github.com/citation-style-language/schema/raw/master/csl-citation.json"} </w:instrText>
      </w:r>
      <w:r w:rsidRPr="00DB2C42">
        <w:fldChar w:fldCharType="separate"/>
      </w:r>
      <w:r w:rsidR="00BE712C" w:rsidRPr="00BE712C">
        <w:rPr>
          <w:vertAlign w:val="superscript"/>
        </w:rPr>
        <w:t>455,456</w:t>
      </w:r>
      <w:r w:rsidRPr="00DB2C42">
        <w:fldChar w:fldCharType="end"/>
      </w:r>
      <w:r w:rsidRPr="00DB2C42">
        <w:t>.</w:t>
      </w:r>
    </w:p>
    <w:p w14:paraId="0B4C4920" w14:textId="1B601C1E" w:rsidR="0011525C" w:rsidRPr="00DB2C42" w:rsidRDefault="0011525C" w:rsidP="0011525C">
      <w:pPr>
        <w:ind w:firstLine="720"/>
        <w:jc w:val="left"/>
      </w:pPr>
      <w:r w:rsidRPr="00DB2C42">
        <w:t xml:space="preserve">Rosiglitazone </w:t>
      </w:r>
      <w:r>
        <w:t xml:space="preserve">(ROSI) </w:t>
      </w:r>
      <w:r w:rsidRPr="00DB2C42">
        <w:t>is one of the thiazolidinedione (TZD) medicines that have been used for treating type 2 diabetes mellitus</w:t>
      </w:r>
      <w:r>
        <w:t xml:space="preserve"> </w:t>
      </w:r>
      <w:r w:rsidRPr="00DB2C42">
        <w:fldChar w:fldCharType="begin"/>
      </w:r>
      <w:r w:rsidR="00BE712C">
        <w:instrText xml:space="preserve"> ADDIN ZOTERO_ITEM CSL_CITATION {"citationID":"NaXx2qEZ","properties":{"formattedCitation":"\\super 457\\nosupersub{}","plainCitation":"457","noteIndex":0},"citationItems":[{"id":2994,"uris":["http://zotero.org/users/9622455/items/ML7CAF68"],"itemData":{"id":2994,"type":"chapter","abstract":"Rosiglitazone is a medication used in the management and treatment of type 2 diabetes mellitus. It is in the thiazolidinediones class of medications. This activity reviews the indications, actions, and contraindications for rosiglitazone as a valuable agent in the management of diabetes type 2. This activity will highlight rosiglitazone requires an interprofessional team approach, including physicians, specialists, specialty-trained nurses, and pharmacists, all collaborating across disciplines to achieve optimal patient results and prevent complications.","call-number":"NBK544230","container-title":"StatPearls","event-place":"Treasure Island (FL)","language":"eng","license":"Copyright © 2025, StatPearls Publishing LLC.","note":"PMID: 31334950","publisher":"StatPearls Publishing","publisher-place":"Treasure Island (FL)","source":"PubMed","title":"Rosiglitazone","URL":"http://www.ncbi.nlm.nih.gov/books/NBK544230/","author":[{"family":"Quintanilla Rodriguez","given":"Bryan S."},{"family":"Correa","given":"Ricardo"}],"accessed":{"date-parts":[["2025",5,23]]},"issued":{"date-parts":[["2025"]]}}}],"schema":"https://github.com/citation-style-language/schema/raw/master/csl-citation.json"} </w:instrText>
      </w:r>
      <w:r w:rsidRPr="00DB2C42">
        <w:fldChar w:fldCharType="separate"/>
      </w:r>
      <w:r w:rsidR="00BE712C" w:rsidRPr="00BE712C">
        <w:rPr>
          <w:vertAlign w:val="superscript"/>
        </w:rPr>
        <w:t>457</w:t>
      </w:r>
      <w:r w:rsidRPr="00DB2C42">
        <w:fldChar w:fldCharType="end"/>
      </w:r>
      <w:r w:rsidRPr="00DB2C42">
        <w:t>. It primarily acts through the activation of the nuclear receptor peroxisome proliferator-activated receptor gamma (PPARγ), an important transcriptional regulator of lipid metabolism and adipocyte differentiation</w:t>
      </w:r>
      <w:r>
        <w:t xml:space="preserve"> </w:t>
      </w:r>
      <w:r w:rsidRPr="00DB2C42">
        <w:fldChar w:fldCharType="begin"/>
      </w:r>
      <w:r w:rsidR="00BE712C">
        <w:instrText xml:space="preserve"> ADDIN ZOTERO_ITEM CSL_CITATION {"citationID":"hP97gw8b","properties":{"formattedCitation":"\\super 458\\uc0\\u8211{}460\\nosupersub{}","plainCitation":"458–460","noteIndex":0},"citationItems":[{"id":3002,"uris":["http://zotero.org/users/9622455/items/VYC7KYCX"],"itemData":{"id":3002,"type":"article-journal","abstract":"Thiazolidinedione derivatives are antidiabetic agents that increase the insulin sensitivity of target tissues in animal models of non-insulin-dependent diabetes mellitus. In vitro, thiazolidinediones promote adipocyte differentiation of preadipocyte and mesenchymal stem cell lines; however, the molecular basis for this adipogenic effect has remained unclear. Here, we report that thiazolidinediones are potent and selective activators of peroxisome proliferator-activated receptor γ (PPARγ), a member of the nuclear receptor superfamily recently shown to function in adipogenesis. The most potent of these agents, BRL49653, binds to PPARγ with a Kd of approximately 40 nM. Treatment of pluripotent C3H10T1/2 stem cells with BRL49653 results in efficient differentiation to adipocytes. These data are the first demonstration of a high affinity PPAR ligand and provide strong evidence that PPARγ is a molecular target for the adipogenic effects of thiazolidinediones. Furthermore, these data raise the intriguing possibility that PPARγ is a target for the therapeutic actions of this class of compounds.","container-title":"Journal of Biological Chemistry","DOI":"10.1074/jbc.270.22.12953","ISSN":"0021-9258","issue":"22","journalAbbreviation":"Journal of Biological Chemistry","page":"12953-12956","source":"ScienceDirect","title":"An Antidiabetic Thiazolidinedione Is a High Affinity Ligand for Peroxisome Proliferator-activated Receptor γ (PPARγ) </w:instrText>
      </w:r>
      <w:r w:rsidR="00BE712C">
        <w:rPr>
          <w:rFonts w:ascii="Cambria Math" w:hAnsi="Cambria Math" w:cs="Cambria Math"/>
        </w:rPr>
        <w:instrText>∗</w:instrText>
      </w:r>
      <w:r w:rsidR="00BE712C">
        <w:instrText xml:space="preserve">","volume":"270","author":[{"family":"Lehmann","given":"Jürgen M."},{"family":"Moore","given":"Linda B."},{"family":"Smith-Oliver","given":"Tracey A."},{"family":"Wilkison","given":"William O."},{"family":"Willson","given":"Timothy M."},{"family":"Kliewer","given":"Steven A."}],"issued":{"date-parts":[["1995",6,2]]}}},{"id":2997,"uris":["http://zotero.org/users/9622455/items/NH7NMN3Q"],"itemData":{"id":2997,"type":"article-journal","abstract":"The most important goal in the treatment of patients with diabetes is to prevent the risk of cardiovascular disease (CVD), the first cause of mortality in these subjects. Thiazolidinediones (TZDs), a class of antidiabetic drugs, act as insulin sensitizers increasing insulin-dependent glucose disposal and reducing hepatic glucose output. TZDs including pioglitazone, rosiglitazone and troglitazone, by activating PPAR-γ have shown pleiotropic effects in reducing vascular risk factors and atherosclerosis. However, troglitazone was removed from the market due to its hepatoxicity, and rosiglitazone and pioglitazone both have particular warnings due to being associated with heart diseases. Specific genetic variations in genes involved in the pathways regulated by TDZs have demonstrated to modify the variability in treatment with these drugs, especially in their side effects. Therefore, pharmacogenomics and pharmacogenetics are an important tool in further understand intersubject variability per se but also to assess the therapeutic potential of such variability in drug individualization and therapeutic optimization.","container-title":"Pharmacogenomics","DOI":"10.2217/pgs.14.162","ISSN":"1462-2416","issue":"16","note":"publisher: Taylor &amp; Francis\n_eprint: https://doi.org/10.2217/pgs.14.162\nPMID: 25521362","page":"2063-2082","source":"Taylor and Francis+NEJM","title":"Pharmacogenomics and Pharmacogenetics of Thiazolidinediones: Role in Diabetes and Cardiovascular Risk Factors","title-short":"Pharmacogenomics and Pharmacogenetics of Thiazolidinediones","volume":"15","author":[{"family":"Della-Morte","given":"David"},{"family":"","given":"Palmirotta ,Raffaele"},{"family":"","given":"Rehni ,Ashish K"},{"family":"","given":"Pastore ,Donatella"},{"family":"","given":"Capuani ,Barbara"},{"family":"","given":"Pacifici ,Francesca"},{"family":"","given":"De Marchis ,Maria Laura"},{"family":"","given":"Dave ,Kunjan R"},{"family":"","given":"Bellia ,Alfonso"},{"family":"","given":"Fogliame ,Giuseppe"},{"family":"","given":"Ferroni ,Patrizia"},{"family":"","given":"Donadel ,Giulia"},{"family":"","given":"Cacciatore ,Francesco"},{"family":"","given":"Abete ,Pasquale"},{"family":"","given":"Dong ,Chuanhui"},{"family":"","given":"Pileggi ,Antonello"},{"family":"","given":"Roselli ,Mario"},{"family":"","given":"Ricordi ,Camillo"},{"family":"","given":"Sbraccia ,Paolo"},{"family":"","given":"Guadagni ,Fiorella"},{"family":"","given":"Rundek ,Tatjana"},{"family":"Lauro","given":"Davide","non-dropping-particle":"and"}],"issued":{"date-parts":[["2014",12,1]]}}},{"id":3000,"uris":["http://zotero.org/users/9622455/items/QEGEJRTQ"],"itemData":{"id":3000,"type":"article-journal","abstract":"Thiazolidinediones (TZD), or glitazones, represent a new generation of antidiabetic drugs that have recently been introduced in Europe. They improve insulin resistance, one of the key anomalies involved in the pathogenesis of type 2 diabetes mellitus, by activating the nuclear peroxoxisome proliferator activated receptor-γ (PPAR-γ), leading to crucial metabolic alterations in adipose tissue. Rosiglitazone and pioglitazone have been shown to be active as monotherapy, in combination therapy with metformin or sulfonylureas, and even in triple therapy. They are generally well tolerated but can induce fluid retention. Cardiac failure is a contraindication for the use of TZDs, as is the concomitant administration of insulin. Aside from their effect on glycemic control, TZDs act on several cardiovascular risk factors and may protect pancreatic β cells from apoptosis. The cardiovascular protective effect of TZDs has recently been demonstrated with the results of the PROactive study, and long-term preservation of β-cell function is currently under further investigation.","container-title":"European Journal of Internal Medicine","DOI":"10.1016/j.ejim.2006.09.007","ISSN":"0953-6205","issue":"1","journalAbbreviation":"European Journal of Internal Medicine","page":"18-25","source":"ScienceDirect","title":"Thiazolidinediones for the treatment of type 2 diabetes","volume":"18","author":[{"family":"Elte","given":"J. W. F."},{"family":"Blicklé","given":"J. F."}],"issued":{"date-parts":[["2007",1,1]]}}}],"schema":"https://github.com/citation-style-language/schema/raw/master/csl-citation.json"} </w:instrText>
      </w:r>
      <w:r w:rsidRPr="00DB2C42">
        <w:fldChar w:fldCharType="separate"/>
      </w:r>
      <w:r w:rsidR="00BE712C" w:rsidRPr="00BE712C">
        <w:rPr>
          <w:vertAlign w:val="superscript"/>
        </w:rPr>
        <w:t>458–460</w:t>
      </w:r>
      <w:r w:rsidRPr="00DB2C42">
        <w:fldChar w:fldCharType="end"/>
      </w:r>
      <w:r w:rsidRPr="00DB2C42">
        <w:t xml:space="preserve">. By activation of PPARγ, </w:t>
      </w:r>
      <w:r>
        <w:t>ROSI</w:t>
      </w:r>
      <w:r w:rsidRPr="00DB2C42">
        <w:t xml:space="preserve"> stimulates the formation of insulin-responsive adipocytes by increasing the expression of GLUT4, glucose uptake, and secretion of adiponectin, which is an adipose tissue-derived cytokine that enhances the sensitivity of the body to insulin</w:t>
      </w:r>
      <w:r>
        <w:t xml:space="preserve"> </w:t>
      </w:r>
      <w:r w:rsidRPr="00DB2C42">
        <w:fldChar w:fldCharType="begin"/>
      </w:r>
      <w:r w:rsidR="00BE712C">
        <w:instrText xml:space="preserve"> ADDIN ZOTERO_ITEM CSL_CITATION {"citationID":"XzRB2N9z","properties":{"formattedCitation":"\\super 461\\uc0\\u8211{}464\\nosupersub{}","plainCitation":"461–464","noteIndex":0},"citationItems":[{"id":3013,"uris":["http://zotero.org/users/9622455/items/WCEUUVTJ"],"itemData":{"id":3013,"type":"article-journal","abstract":"Abdominal obesity, insulin resistance and compensatory hyperinsulinaemia play a central role in the pathogenesis of the polycystic ovary syndrome (PCOS). Abdominal adipose tissue is a source of adipokines, such as adiponectin and resistin, both of which may be involved in the development of insulin resistance and chronic inflammation in PCOS. Ghrelin, an important regulatory peptide of food intake, may also play a role in metabolic disturbances related to PCOS.The aim of this study was to examine the effects of 4 months of treatment with the insulin sensitizer rosiglitazone on plasma adiponectin, resistin and ghrelin levels in overweight women with PCOS. Design: A randomised placebo-controlled study.Thirty overweight/obese women with PCOS (body mass index&amp;gt;25 kg/m2, mean age 29.1± 1.2 (s.e.m.) years) were randomly allocated to either rosiglitazone (Avandia, 4 mg twice a day) or placebo treatment. Plasma levels of adiponectin, resistin and ghrelin and their correlation to serum levels of insulin, C-peptide and steroid hormones, and insulin sensitivity (euglycaemic hyperinsulinaemic clamp) were assessed.Adiponectin and ghrelin levels correlated significantly with most metabolic markers of insulin resistance and with serum levels of DHEA and 17-hydroxyprogesterone. Plasma levels of adiponectin increased from 9.26±0.90 (s.e.m.) to 22.22±3.66 μg/ml (P&amp;lt;0.001) and those of resistin decreased from 12.57±1.63 to 9.21±0.53 ng/ml (P=0.009) at 4 months of treatment, but plasma ghrelin levels did not change.Rosiglitazone had beneficial effects on serum levels of adiponectin and resistin, suggesting that these adipocytokines may contribute to the improvement in insulin sensitivity observed during the treatment.","container-title":"European Journal of Endocrinology","DOI":"10.1530/eje.1.02331","ISSN":"0804-4643","issue":"2","journalAbbreviation":"European Journal of Endocrinology","page":"263-269","source":"Silverchair","title":"Rosiglitazone treatment increases plasma levels of adiponectin and decreases levels of resistin in overweight women with PCOS: a randomized placebo-controlled study","title-short":"Rosiglitazone treatment increases plasma levels of adiponectin and decreases levels of resistin in overweight women with PCOS","volume":"156","author":[{"family":"Majuri","given":"A"},{"family":"Santaniemi","given":"M"},{"family":"Rautio","given":"K"},{"family":"Kunnari","given":"A"},{"family":"Vartiainen","given":"J"},{"family":"Ruokonen","given":"A"},{"family":"Kesäniemi","given":"Y A"},{"family":"Tapanainen","given":"J S"},{"family":"Ukkola","given":"O"},{"family":"Morin-Papunen","given":"L"}],"issued":{"date-parts":[["2007",2,1]]}}},{"id":3004,"uris":["http://zotero.org/users/9622455/items/DG9CMRVV"],"itemData":{"id":3004,"type":"article-journal","abstract":"Insulin induces a translocation of the glucose transporter GLUT4 from intracellular storage compartments towards the cell surface in adipocytes and skeletal muscle cells, allowing the cells to take up glucose. In type 2 diabetes-associated insulin resistance, the efficiency of this process is reduced. The thiazolidinediones, widely prescribed as anti-diabetic therapy, are generally regarded as insulin-sensitizers. The aim of this study was to evaluate the effect of the thiazolidinedione rosiglitazone (BRL 49653) on GLUT4 in adipocytes. When applied during differentiation, rosiglitazone dose dependently augmented GLUT4 expression along with the formation of lipid droplets. Intriguingly, its presence during differentiation led to increases in both cell surface GLUT4 levels and insulin sensitivity of GLUT4 translocation in mature adipocytes. Treatment of fully differentiated adipocytes with rosiglitazone also led to increases in GLUT4 at the plasma membrane. Rosiglitazone similarly affected cell surface levels of the endosomal transferrin receptor, but did not alter the GLUT4 internalization rate. The augmentation in cell surface GLUT4 levels was maintained in adipocytes that were rendered insulin-resistant in vitro by a 24h insulin treatment and moreover in these cells rosiglitazone also fully restored insulin-induced GLUT4 translocation. We conclude that in adipocytes, rosiglitazone increases cell surface GLUT4 levels by increasing its endosomal recycling and restores insulin-induced GLUT4 translocation in insulin resistance. These results implicate novel modes of action on GLUT4 that are all likely to contribute to the insulin-sensitizing effect of rosiglitazone in type 2 diabetes.","container-title":"Biochemical Pharmacology","DOI":"10.1016/j.bcp.2009.12.013","ISSN":"0006-2952","issue":"9","journalAbbreviation":"Biochemical Pharmacology","page":"1300-1309","source":"ScienceDirect","title":"Rosiglitazone increases cell surface GLUT4 levels in 3T3-L1 adipocytes through an enhancement of endosomal recycling","volume":"79","author":[{"family":"Martinez","given":"Laurène"},{"family":"Berenguer","given":"Marion"},{"family":"Bruce","given":"M. Christine"},{"family":"Le Marchand-Brustel","given":"Yannick"},{"family":"Govers","given":"Roland"}],"issued":{"date-parts":[["2010",5,1]]}}},{"id":3008,"uris":["http://zotero.org/users/9622455/items/86YTHUV4"],"itemData":{"id":3008,"type":"article-journal","abstract":"&lt;p&gt;The synthetic thiazolidinedione ligands of peroxisome proliferator-activated receptor-γ (PPARγ) improve insulin sensitivity in type II diabetes and induce GLUT4 mRNA expression in fat and muscle. However, the molecular mechanisms involved are still unclear. We studied the regulatory effects of PPARγ and its ligands on &lt;i&gt;GLUT4&lt;/i&gt; gene expression in primary rat adipocytes and CHO-K1 cells cotransfected with PPARγ and the &lt;i&gt;GLUT4&lt;/i&gt; promoter reporter. PPARγ1 and PPARγ2 repressed the activity of the &lt;i&gt;GLUT4&lt;/i&gt; promoter in a dose-dependent manner. Whereas this repression was augmented by the natural ligand 15Δ-prostaglandin J&lt;sub&gt;2&lt;/sub&gt;, it was completely alleviated by rosiglitazone (Rg). Ligand binding-defective mutants PPARγ1-L468A/E471A and PPARγ2-L496A/E499A retained the repression effect, which was unaffected by Rg, whereas the PPARγ2-S112A mutant exhibited a 50% reduced capacity to repress &lt;i&gt;GLUT4&lt;/i&gt; promoter activity. The –66/+163 bp &lt;i&gt;GLUT4&lt;/i&gt; promoter region was sufficient to mediate PPARγ inhibitory effects. The PPARγ/retinoid X receptor-α heterodimer directly bound to this region, whereas binding was abolished in the presence of Rg. Thus, we show that PPARγ represses transcriptional activity of the &lt;i&gt;GLUT4&lt;/i&gt; promoter via direct and specific binding of PPARγ/retinoid X receptor-α to the &lt;i&gt;GLUT4&lt;/i&gt; promoter. This effect requires an intact Ser&lt;sup&gt;112&lt;/sup&gt; phosphorylation site on PPARγ and is completely alleviated by Rg, acting via its ligand-binding domain. These data suggest a novel mechanism by which Rg exerts its antidiabetic effects via detaching PPARγ from the &lt;i&gt;GLUT4&lt;/i&gt; gene promoter, thus leading to increased &lt;i&gt;GLUT4&lt;/i&gt; expression and enhanced insulin sensitivity.&lt;/p&gt;","container-title":"Journal of Biological Chemistry","DOI":"10.1074/jbc.M304654200","ISSN":"0021-9258, 1083-351X","issue":"33","journalAbbreviation":"Journal of Biological Chemistry","language":"English","note":"publisher: Elsevier","page":"30614-30623","source":"www.jbc.org","title":"Peroxisome Proliferator-activated Receptor-γ Represses GLUT4 Promoter Activity in Primary Adipocytes, and Rosiglitazone Alleviates This Effect *","volume":"278","author":[{"family":"Armoni","given":"Michal"},{"family":"Kritz","given":"Natalia"},{"family":"Harel","given":"Chava"},{"family":"Bar-Yoseph","given":"Fabiana"},{"family":"Chen","given":"Hui"},{"family":"Quon","given":"Michael J."},{"family":"Karnieli","given":"Eddy"}],"issued":{"date-parts":[["2003",8,15]]}}},{"id":3012,"uris":["http://zotero.org/users/9622455/items/MKM7A4ZP"],"itemData":{"id":3012,"type":"article-journal","abstract":"Rosiglitazone therapy improves insulin sensitivity and glucose uptake in patients with uncomplicated type 2 diabetes. In coronary artery disease (CAD), glucose is an important source of energy and preserved myocardial glucose uptake is essential for the viability of jeopardized myocardium. The aim was to test whether rosiglitazone changes myocardial metabolism in type 2 diabetic patients with CAD. We studied 54 patients (38 men and 16 women) with type 2 diabetes (HbA1c 7.2 + 0.9%) and CAD. Myocardial glucose uptake was measured with [18F]fluoro-2-deoxy-d-glucose positron emission tomography in ischemic (evaluated by single-photon emission tomography and coronary angiography) and nonischemic regions during euglycemic-hyperinsulinemic clamp before and after a 16-week intervention period with rosiglitazone (n = 27) or placebo (n = 27). Rosiglitazone significantly improved glycemic control (P &amp;lt; 0.0001) and whole-body insulin sensitivity (P &amp;lt; 0.0001). Rosiglitazone increased myocardial glucose uptake from 20.6 ± 11.8 to 25.5 ± 12.4 μmol · 100 g−1 · min−1 (P = 0.038 vs. baseline, P = 0.023 vs. placebo) in ischemic regions and from 21.7 ± 12.1 to 28.0 ± 12.7 μmol · 100 g−1 · min−1 (P = 0.014 vs. baseline, P = 0.003 vs. placebo) in nonischemic regions. The increase in myocardial glucose uptake was partly explained by the suppression of free fatty acid levels during clamp. Rosiglitazone therapy significantly increased insulin sensitivity and improved myocardial glucose uptake in type 2 diabetic patients with CAD. These results suggest that rosiglitazone therapy may facilitate myocardial glucose storage and utilization in these patients.","container-title":"Diabetes","DOI":"10.2337/diabetes.54.9.2787","ISSN":"0012-1797, 1939-327X","issue":"9","language":"en","note":"publisher: American Diabetes Association","page":"2787-2794","source":"Crossref","title":"Rosiglitazone Improves Myocardial Glucose Uptake in Patients With Type 2 Diabetes and Coronary Artery Disease","volume":"54","author":[{"family":"Lautamäki","given":"Riikka"},{"family":"Airaksinen","given":"K.E. Juhani"},{"family":"Seppänen","given":"Marko"},{"family":"Toikka","given":"Jyri"},{"family":"Luotolahti","given":"Matti"},{"family":"Ball","given":"Elizabeth"},{"family":"Borra","given":"Ronald"},{"family":"Härkönen","given":"Risto"},{"family":"Iozzo","given":"Patricia"},{"family":"Stewart","given":"Murray"},{"family":"Knuuti","given":"Juhani"},{"family":"Nuutila","given":"Pirjo"}],"issued":{"date-parts":[["2005",9,1]]}}}],"schema":"https://github.com/citation-style-language/schema/raw/master/csl-citation.json"} </w:instrText>
      </w:r>
      <w:r w:rsidRPr="00DB2C42">
        <w:fldChar w:fldCharType="separate"/>
      </w:r>
      <w:r w:rsidR="00BE712C" w:rsidRPr="00BE712C">
        <w:rPr>
          <w:vertAlign w:val="superscript"/>
        </w:rPr>
        <w:t>461–464</w:t>
      </w:r>
      <w:r w:rsidRPr="00DB2C42">
        <w:fldChar w:fldCharType="end"/>
      </w:r>
      <w:r w:rsidRPr="00DB2C42">
        <w:t>. ROSI decreases the production of pro-inflammatory cytokines  TNF-α and IL-6, thus decreasing inflammation in adipose tissue</w:t>
      </w:r>
      <w:r>
        <w:t xml:space="preserve"> </w:t>
      </w:r>
      <w:r w:rsidRPr="00DB2C42">
        <w:fldChar w:fldCharType="begin"/>
      </w:r>
      <w:r w:rsidR="00BE712C">
        <w:instrText xml:space="preserve"> ADDIN ZOTERO_ITEM CSL_CITATION {"citationID":"01WLEw5f","properties":{"formattedCitation":"\\super 465\\uc0\\u8211{}467\\nosupersub{}","plainCitation":"465–467","noteIndex":0},"citationItems":[{"id":3021,"uris":["http://zotero.org/users/9622455/items/WQM3KKA5"],"itemData":{"id":3021,"type":"article-journal","abstract":"IL-6 has emerged as an important cytokine upregulated in states of insulin resistance such as type 2 diabetes. We evaluated the chronic effect of IL-6 on insulin signaling in 3T3-F442A and 3T3-L1 adipocytes. First, cells responded to a chronic treatment with IL-6 by initiating an autoactivation process that increased IL-6 secretion. Second, IL-6-treated adipocytes showed a decreased protein expression of IR-β subunit and IRS-1 but also an inhibition of the insulin-induced activation of IR-β, Akt/PKB, and ERK1/2. Moreover, IL-6 suppressed the insulin-induced lipogenesis and glucose transport consistent with a diminished expression of GLUT4. IL-6-treated adipocytes failed to maintain their adipocyte phenotype as shown by the downregulation of the adipogenic markers FAS, GAPDH, aP2, PPAR-γ, and C/EBP-α. IL-6 also induced the expression of SOCS-3, a potential inhibitor of insulin signaling. Finally, the effects of IL-6 could be prevented by rosiglitazone, an insulin-sensitizing agent. Thus, IL-6 may play an important role in the set-up of insulin resistance in adipose cell.","container-title":"Biochemical and Biophysical Research Communications","DOI":"10.1016/j.bbrc.2003.10.013","ISSN":"0006-291X","issue":"2","journalAbbreviation":"Biochemical and Biophysical Research Communications","page":"372-379","source":"ScienceDirect","title":"Chronic interleukin-6 (IL-6) treatment increased IL-6 secretion and induced insulin resistance in adipocyte: prevention by rosiglitazone","title-short":"Chronic interleukin-6 (IL-6) treatment increased IL-6 secretion and induced insulin resistance in adipocyte","volume":"311","author":[{"family":"Lagathu","given":"Claire"},{"family":"Bastard","given":"Jean-Philippe"},{"family":"Auclair","given":"Martine"},{"family":"Maachi","given":"Mustapha"},{"family":"Capeau","given":"Jacqueline"},{"family":"Caron","given":"Martine"}],"issued":{"date-parts":[["2003",11,14]]}}},{"id":3017,"uris":["http://zotero.org/users/9622455/items/U6PB3XYH"],"itemData":{"id":3017,"type":"article-journal","abstract":"Obesity is associated with chronic low-grade inflammation that drives the development of metabolic diseases, including non-alcoholic fatty liver disease (NAFLD). We recently showed that white adipose tissue (WAT) constitutes an important source of inflammatory factors. Hence, interventions that attenuate WAT inflammation may reduce NAFLD development. Male LDLr−/− mice were fed a high-fat diet (HFD) for 9 weeks followed by 7 weeks of HFD with or without rosiglitazone. Effects on WAT inflammation and NAFLD development were analyzed using biochemical and (immuno)histochemical techniques, combined with gene expression analyses. Nine weeks of HFD feeding induced obesity and WAT inflammation, which progressed gradually until the end of the study. Rosiglitazone fully blocked progression of WAT inflammation and activated PPARγ significantly in WAT. Rosiglitazone intervention did not activate PPARγ in liver, but improved liver histology and counteracted the expression of genes associated with severe NAFLD in humans. Rosiglitazone reduced expression of pro-inflammatory factors in WAT (TNF-α, leptin) and increased expression of adiponectin, which was reflected in plasma. Furthermore, rosiglitazone lowered circulating levels of pro-inflammatory saturated fatty acids. Together, these observations provide a rationale for the observed indirect hepatoprotective effects and suggest that WAT represents a promising therapeutic target for the treatment of obesity-associated NAFLD.","container-title":"Scientific Reports","DOI":"10.1038/srep31542","ISSN":"2045-2322","issue":"1","journalAbbreviation":"Sci Rep","language":"en","license":"2016 The Author(s)","note":"publisher: Nature Publishing Group","page":"31542","source":"www.nature.com","title":"Reduction of obesity-associated white adipose tissue inflammation by rosiglitazone is associated with reduced non-alcoholic fatty liver disease in LDLr-deficient mice","volume":"6","author":[{"family":"Mulder","given":"Petra"},{"family":"Morrison","given":"Martine C."},{"family":"Verschuren","given":"Lars"},{"family":"Liang","given":"Wen"},{"family":"Bockel","given":"J. Hajo","non-dropping-particle":"van"},{"family":"Kooistra","given":"Teake"},{"family":"Wielinga","given":"Peter Y."},{"family":"Kleemann","given":"Robert"}],"issued":{"date-parts":[["2016",8,22]]}}},{"id":3019,"uris":["http://zotero.org/users/9622455/items/W2CJQNTH"],"itemData":{"id":3019,"type":"article-journal","abstract":"TNF-α caused insulin resistance on glucose uptake and on insulin signalling in fetal brown adipocytes. Since treatment with TNF-α activates stress kinases, including c-jun NH2 terminal kinase (JNK), and p42/p44 and p38 mitogen-activated protein kinases (MAPK), we explored the contribution of these pathways to insulin resistance by TNF-α. Rosiglitazone is used to treat Type 2 diabetes as it improves insulin sensitivity in vivo. However, its ability to ameliorate TNF-α-induced insulin resistance in brown adipocytes remains to be explored.","container-title":"Diabetologia","DOI":"10.1007/s00125-004-1503-7","ISSN":"1432-0428","issue":"9","journalAbbreviation":"Diabetologia","language":"en","page":"1615-1624","source":"Springer Link","title":"Rosiglitazone ameliorates insulin resistance in brown adipocytes of Wistar rats by impairing TNF-α induction of p38 and p42/p44 mitogen-activated protein kinases","volume":"47","author":[{"family":"Hernandez","given":"R."},{"family":"Teruel","given":"T."},{"family":"Alvaro","given":"C.","non-dropping-particle":"de"},{"family":"Lorenzo","given":"M."}],"issued":{"date-parts":[["2004",9,1]]}}}],"schema":"https://github.com/citation-style-language/schema/raw/master/csl-citation.json"} </w:instrText>
      </w:r>
      <w:r w:rsidRPr="00DB2C42">
        <w:fldChar w:fldCharType="separate"/>
      </w:r>
      <w:r w:rsidR="00BE712C" w:rsidRPr="00BE712C">
        <w:rPr>
          <w:vertAlign w:val="superscript"/>
        </w:rPr>
        <w:t>465–467</w:t>
      </w:r>
      <w:r w:rsidRPr="00DB2C42">
        <w:fldChar w:fldCharType="end"/>
      </w:r>
      <w:r w:rsidRPr="00DB2C42">
        <w:t>. ROSI has also been reported to induce browning of the white adipose tissue</w:t>
      </w:r>
      <w:r>
        <w:t xml:space="preserve"> </w:t>
      </w:r>
      <w:r w:rsidRPr="00DB2C42">
        <w:fldChar w:fldCharType="begin"/>
      </w:r>
      <w:r w:rsidR="00BE712C">
        <w:instrText xml:space="preserve"> ADDIN ZOTERO_ITEM CSL_CITATION {"citationID":"3uMejDMi","properties":{"formattedCitation":"\\super 468,469\\nosupersub{}","plainCitation":"468,469","noteIndex":0},"citationItems":[{"id":3027,"uris":["http://zotero.org/users/9622455/items/ESL7FDB6"],"itemData":{"id":3027,"type":"article-journal","container-title":"Nature Reviews Endocrinology","DOI":"10.1038/nrendo.2014.243","ISSN":"1759-5029, 1759-5037","issue":"3","journalAbbreviation":"Nat Rev Endocrinol","language":"en","license":"https://www.springernature.com/gp/researchers/text-and-data-mining","note":"publisher: Springer Science and Business Media LLC","page":"132-132","source":"Crossref","title":"PPARγ agonists and adipocyte browning—new insights","volume":"11","issued":{"date-parts":[["2015",3]]}}},{"id":4115,"uris":["http://zotero.org/users/9622455/items/T8AI5LK6"],"itemData":{"id":4115,"type":"article-journal","abstract":"&lt;p&gt;The recent insight that brown adipocytes and muscle cells share a common origin and in this respect are distinct from white adipocytes has spurred questions concerning the origin and molecular characteristics of the UCP1-expressing cells observed in classic white adipose tissue depots under certain physiological or pharmacological conditions. Examining precursors from the purest white adipose tissue depot (epididymal), we report here that chronic treatment with the peroxisome proliferator-activated receptor γ agonist rosiglitazone promotes not only the expression of PGC-1α and mitochondriogenesis in these cells but also a norepinephrine-augmentable UCP1 gene expression in a significant subset of the cells, providing these cells with a genuine thermogenic capacity. However, although functional thermogenic genes are expressed, the cells are devoid of transcripts for the novel transcription factors now associated with classic brown adipocytes (Zic1, Lhx8, Meox2, and characteristically PRDM16) or for myocyte-associated genes (myogenin and myomirs (muscle-specific microRNAs)) and retain white fat characteristics such as Hoxc9 expression. Co-culture experiments verify that the UCP1-expressing cells are not proliferating classic brown adipocytes (adipomyocytes), and these cells therefore constitute a subset of adipocytes (\"brite\" adipocytes) with a developmental origin and molecular characteristics distinguishing them as a separate class of cells.&lt;/p&gt;","container-title":"Journal of Biological Chemistry","DOI":"10.1074/jbc.M109.053942","ISSN":"0021-9258, 1083-351X","issue":"10","journalAbbreviation":"Journal of Biological Chemistry","language":"English","note":"publisher: Elsevier","page":"7153-7164","source":"www.jbc.org","title":"Chronic Peroxisome Proliferator-activated Receptor γ (PPARγ) Activation of Epididymally Derived White Adipocyte Cultures Reveals a Population of Thermogenically Competent, UCP1-containing Adipocytes Molecularly Distinct from Classic Brown Adipocytes *","volume":"285","author":[{"family":"Petrovic","given":"Natasa"},{"family":"Walden","given":"Tomas B."},{"family":"Shabalina","given":"Irina G."},{"family":"Timmons","given":"James A."},{"family":"Cannon","given":"Barbara"},{"family":"Nedergaard","given":"Jan"}],"issued":{"date-parts":[["2010",3,5]]}}}],"schema":"https://github.com/citation-style-language/schema/raw/master/csl-citation.json"} </w:instrText>
      </w:r>
      <w:r w:rsidRPr="00DB2C42">
        <w:fldChar w:fldCharType="separate"/>
      </w:r>
      <w:r w:rsidR="00BE712C" w:rsidRPr="00BE712C">
        <w:rPr>
          <w:vertAlign w:val="superscript"/>
        </w:rPr>
        <w:t>468,469</w:t>
      </w:r>
      <w:r w:rsidRPr="00DB2C42">
        <w:fldChar w:fldCharType="end"/>
      </w:r>
      <w:r w:rsidRPr="00DB2C42">
        <w:t xml:space="preserve">. Mechanistically, </w:t>
      </w:r>
      <w:r>
        <w:t>ROSI</w:t>
      </w:r>
      <w:r w:rsidRPr="00DB2C42">
        <w:t xml:space="preserve"> act</w:t>
      </w:r>
      <w:r>
        <w:t xml:space="preserve">ivates </w:t>
      </w:r>
      <w:r w:rsidRPr="00DB2C42">
        <w:t>PPARγ, which increases the expression of PGC1α, a transcriptional coactivator that enhances mitochondrial biogenesis and oxidative metabolism</w:t>
      </w:r>
      <w:r>
        <w:t xml:space="preserve"> </w:t>
      </w:r>
      <w:r w:rsidRPr="00DB2C42">
        <w:fldChar w:fldCharType="begin"/>
      </w:r>
      <w:r w:rsidR="00BE712C">
        <w:instrText xml:space="preserve"> ADDIN ZOTERO_ITEM CSL_CITATION {"citationID":"HjuIe15G","properties":{"formattedCitation":"\\super 470\\nosupersub{}","plainCitation":"470","noteIndex":0},"citationItems":[{"id":3031,"uris":["http://zotero.org/users/9622455/items/VFFX2KRN"],"itemData":{"id":3031,"type":"article-journal","container-title":"Cell","DOI":"10.1016/S0092-8674(00)81410-5","ISSN":"0092-8674, 1097-4172","issue":"6","journalAbbreviation":"Cell","language":"English","note":"publisher: Elsevier\nPMID: 9529258","page":"829-839","source":"www.cell.com","title":"A Cold-Inducible Coactivator of Nuclear Receptors Linked to Adaptive Thermogenesis","volume":"92","author":[{"family":"Puigserver","given":"Pere"},{"family":"Wu","given":"Zhidan"},{"family":"Park","given":"Cheol Won"},{"family":"Graves","given":"Reed"},{"family":"Wright","given":"Margaret"},{"family":"Spiegelman","given":"Bruce M."}],"issued":{"date-parts":[["1998",3,20]]}}}],"schema":"https://github.com/citation-style-language/schema/raw/master/csl-citation.json"} </w:instrText>
      </w:r>
      <w:r w:rsidRPr="00DB2C42">
        <w:fldChar w:fldCharType="separate"/>
      </w:r>
      <w:r w:rsidR="00BE712C" w:rsidRPr="00BE712C">
        <w:rPr>
          <w:vertAlign w:val="superscript"/>
        </w:rPr>
        <w:t>470</w:t>
      </w:r>
      <w:r w:rsidRPr="00DB2C42">
        <w:fldChar w:fldCharType="end"/>
      </w:r>
      <w:r w:rsidRPr="00DB2C42">
        <w:t xml:space="preserve">. </w:t>
      </w:r>
      <w:r w:rsidRPr="00DB2C42">
        <w:lastRenderedPageBreak/>
        <w:t xml:space="preserve">PGC1α, in collaboration with PPARγ, activates the thermogenic gene </w:t>
      </w:r>
      <w:r w:rsidRPr="00DC493F">
        <w:rPr>
          <w:i/>
          <w:iCs/>
        </w:rPr>
        <w:t>Ucp1</w:t>
      </w:r>
      <w:r w:rsidRPr="00DB2C42">
        <w:t xml:space="preserve"> to promote the browning of white adipocytes and increase mitochondrial thermogenesis</w:t>
      </w:r>
      <w:r>
        <w:t xml:space="preserve"> </w:t>
      </w:r>
      <w:r w:rsidRPr="00DB2C42">
        <w:fldChar w:fldCharType="begin"/>
      </w:r>
      <w:r w:rsidR="00BE712C">
        <w:instrText xml:space="preserve"> ADDIN ZOTERO_ITEM CSL_CITATION {"citationID":"HRL9Vpew","properties":{"formattedCitation":"\\super 471\\nosupersub{}","plainCitation":"471","noteIndex":0},"citationItems":[{"id":3028,"uris":["http://zotero.org/users/9622455/items/KLFYGJC2"],"itemData":{"id":3028,"type":"article-journal","container-title":"Cell Metabolism","DOI":"10.1016/j.cmet.2010.03.005","ISSN":"1550-4131","issue":"4","journalAbbreviation":"Cell Metabolism","language":"English","note":"publisher: Elsevier\nPMID: 20374957","page":"257-262","source":"www.cell.com","title":"Transcriptional Control of Brown Fat Development","volume":"11","author":[{"family":"Kajimura","given":"Shingo"},{"family":"Seale","given":"Patrick"},{"family":"Spiegelman","given":"Bruce M."}],"issued":{"date-parts":[["2010",4,7]]}}}],"schema":"https://github.com/citation-style-language/schema/raw/master/csl-citation.json"} </w:instrText>
      </w:r>
      <w:r w:rsidRPr="00DB2C42">
        <w:fldChar w:fldCharType="separate"/>
      </w:r>
      <w:r w:rsidR="00BE712C" w:rsidRPr="00BE712C">
        <w:rPr>
          <w:vertAlign w:val="superscript"/>
        </w:rPr>
        <w:t>471</w:t>
      </w:r>
      <w:r w:rsidRPr="00DB2C42">
        <w:fldChar w:fldCharType="end"/>
      </w:r>
      <w:r w:rsidRPr="00DB2C42">
        <w:t xml:space="preserve">. </w:t>
      </w:r>
    </w:p>
    <w:p w14:paraId="6FB77813" w14:textId="1A3A0AEC" w:rsidR="00C44849" w:rsidRPr="00C44849" w:rsidRDefault="0011525C" w:rsidP="0011525C">
      <w:pPr>
        <w:ind w:firstLine="720"/>
        <w:jc w:val="left"/>
        <w:rPr>
          <w:lang w:eastAsia="zh-CN"/>
        </w:rPr>
      </w:pPr>
      <w:r w:rsidRPr="00DB2C42">
        <w:t xml:space="preserve">In the previous chapter, we found that </w:t>
      </w:r>
      <w:r>
        <w:t>ROSI</w:t>
      </w:r>
      <w:r w:rsidRPr="00DB2C42">
        <w:t xml:space="preserve"> induced both U</w:t>
      </w:r>
      <w:r>
        <w:t>CP</w:t>
      </w:r>
      <w:r w:rsidRPr="00DB2C42">
        <w:t xml:space="preserve">1 expression and insulin-stimulated AKT phosphorylation in adipose-derived stromal cells (ADSCs) from mice. However, whether UCP1 is essential in the insulin-sensitizing effects of ROSI or is a co-induced effect through PPARγ activation is unclear. To answer this question, we created a CRISPR/Cas9-generated </w:t>
      </w:r>
      <w:r w:rsidRPr="00DC493F">
        <w:rPr>
          <w:i/>
          <w:iCs/>
        </w:rPr>
        <w:t>Ucp1</w:t>
      </w:r>
      <w:r w:rsidRPr="00DB2C42">
        <w:t xml:space="preserve"> knockout 3T3-L1 </w:t>
      </w:r>
      <w:r>
        <w:t>cell</w:t>
      </w:r>
      <w:r w:rsidRPr="00DB2C42">
        <w:t xml:space="preserve"> model to directly test the hypothesis that UCP1 is required for enhancing insulin signaling in adipocytes by ROSI.</w:t>
      </w:r>
    </w:p>
    <w:p w14:paraId="1C9167BC" w14:textId="76D5B4BB" w:rsidR="00AE6043" w:rsidRPr="00DB2C42" w:rsidRDefault="00AE6043" w:rsidP="00847BA5">
      <w:pPr>
        <w:pStyle w:val="Heading2"/>
        <w:jc w:val="left"/>
      </w:pPr>
      <w:bookmarkStart w:id="249" w:name="_Toc200810445"/>
      <w:bookmarkStart w:id="250" w:name="_Toc204848683"/>
      <w:r w:rsidRPr="00DB2C42">
        <w:t xml:space="preserve">Materials and </w:t>
      </w:r>
      <w:r w:rsidR="006E6769" w:rsidRPr="00DB2C42">
        <w:t>M</w:t>
      </w:r>
      <w:r w:rsidRPr="00DB2C42">
        <w:t>ethods</w:t>
      </w:r>
      <w:bookmarkEnd w:id="249"/>
      <w:bookmarkEnd w:id="250"/>
    </w:p>
    <w:p w14:paraId="11454B3A" w14:textId="00CBCE83" w:rsidR="00AE6043" w:rsidRPr="00DB2C42" w:rsidRDefault="00AE6043" w:rsidP="00847BA5">
      <w:pPr>
        <w:pStyle w:val="Heading3"/>
        <w:jc w:val="left"/>
      </w:pPr>
      <w:bookmarkStart w:id="251" w:name="_Toc200810446"/>
      <w:bookmarkStart w:id="252" w:name="_Toc204848684"/>
      <w:r w:rsidRPr="00DB2C42">
        <w:t>Generation of U</w:t>
      </w:r>
      <w:r w:rsidR="00E540BB">
        <w:t>cp</w:t>
      </w:r>
      <w:r w:rsidRPr="00DB2C42">
        <w:t xml:space="preserve">1 </w:t>
      </w:r>
      <w:r w:rsidR="006E6769" w:rsidRPr="00DB2C42">
        <w:t>K</w:t>
      </w:r>
      <w:r w:rsidRPr="00DB2C42">
        <w:t xml:space="preserve">nockout 3T3-L1 </w:t>
      </w:r>
      <w:r w:rsidR="006E6769" w:rsidRPr="00DB2C42">
        <w:t>P</w:t>
      </w:r>
      <w:r w:rsidRPr="00DB2C42">
        <w:t>readipocytes</w:t>
      </w:r>
      <w:bookmarkEnd w:id="251"/>
      <w:bookmarkEnd w:id="252"/>
    </w:p>
    <w:p w14:paraId="44D4C08B" w14:textId="4CA2870C" w:rsidR="00886616" w:rsidRDefault="00B74324" w:rsidP="00886616">
      <w:pPr>
        <w:ind w:firstLine="720"/>
        <w:jc w:val="left"/>
        <w:rPr>
          <w:lang w:eastAsia="zh-CN"/>
        </w:rPr>
      </w:pPr>
      <w:r w:rsidRPr="00DB2C42">
        <w:t xml:space="preserve">To investigate the role of UCP1 in insulin signaling in browning, the </w:t>
      </w:r>
      <w:r w:rsidRPr="00DC493F">
        <w:rPr>
          <w:i/>
          <w:iCs/>
        </w:rPr>
        <w:t>Ucp1</w:t>
      </w:r>
      <w:r w:rsidRPr="00DB2C42">
        <w:t xml:space="preserve"> knockout (KO) 3T3-L</w:t>
      </w:r>
      <w:r>
        <w:t>1</w:t>
      </w:r>
      <w:r w:rsidRPr="00DB2C42">
        <w:t xml:space="preserve"> cells were generated using the Clustered Regularly Interspaced Short Palindromic Repeats (CRISPR)/CRISPR-associated protein (Cas)</w:t>
      </w:r>
      <w:r>
        <w:t xml:space="preserve"> 9</w:t>
      </w:r>
      <w:r w:rsidRPr="00DB2C42">
        <w:t xml:space="preserve"> genome-editing approach. We first developed 3T3-L1 preadipocytes with stable expression of Cas-9 enzyme. Briefly, 3T3-L1 cells were seeded at ~70% confluency and transduced with lentiviral particles </w:t>
      </w:r>
      <w:r>
        <w:t>that carry</w:t>
      </w:r>
      <w:r w:rsidRPr="00DB2C42">
        <w:t xml:space="preserve"> </w:t>
      </w:r>
      <w:r w:rsidRPr="00DB2C42">
        <w:rPr>
          <w:color w:val="212121"/>
        </w:rPr>
        <w:t xml:space="preserve">the </w:t>
      </w:r>
      <w:hyperlink r:id="rId31" w:tgtFrame="_blank" w:history="1">
        <w:r w:rsidRPr="00DB2C42">
          <w:rPr>
            <w:rStyle w:val="Hyperlink"/>
            <w:rFonts w:hint="eastAsia"/>
            <w:color w:val="212121"/>
            <w:u w:val="none"/>
          </w:rPr>
          <w:t>CP-LvC9NU-09</w:t>
        </w:r>
      </w:hyperlink>
      <w:r w:rsidRPr="00DB2C42">
        <w:t xml:space="preserve"> plasmid (GeneCopoeia, Rockville, MD) in the presence of 6 µg/mL polybrene (Santa Cruz Biotechnology, Dallas, TX). The diagram of the Cas9-expressing plasmid co-expressing a GFP reporter is shown </w:t>
      </w:r>
      <w:r>
        <w:t>in</w:t>
      </w:r>
      <w:r>
        <w:rPr>
          <w:rFonts w:hint="eastAsia"/>
          <w:lang w:eastAsia="zh-CN"/>
        </w:rPr>
        <w:t xml:space="preserve"> </w:t>
      </w:r>
      <w:r w:rsidR="001F0DA6" w:rsidRPr="0012645C">
        <w:rPr>
          <w:b/>
          <w:bCs/>
        </w:rPr>
        <w:fldChar w:fldCharType="begin"/>
      </w:r>
      <w:r w:rsidR="001F0DA6" w:rsidRPr="0012645C">
        <w:rPr>
          <w:b/>
          <w:bCs/>
        </w:rPr>
        <w:instrText xml:space="preserve"> REF _Ref204595373 \h </w:instrText>
      </w:r>
      <w:r w:rsidR="0012645C">
        <w:rPr>
          <w:b/>
          <w:bCs/>
        </w:rPr>
        <w:instrText xml:space="preserve"> \* MERGEFORMAT </w:instrText>
      </w:r>
      <w:r w:rsidR="001F0DA6" w:rsidRPr="0012645C">
        <w:rPr>
          <w:b/>
          <w:bCs/>
        </w:rPr>
      </w:r>
      <w:r w:rsidR="001F0DA6" w:rsidRPr="0012645C">
        <w:rPr>
          <w:b/>
          <w:bCs/>
        </w:rPr>
        <w:fldChar w:fldCharType="separate"/>
      </w:r>
      <w:r w:rsidR="00281110" w:rsidRPr="00281110">
        <w:rPr>
          <w:b/>
          <w:bCs/>
        </w:rPr>
        <w:t xml:space="preserve">Figure </w:t>
      </w:r>
      <w:r w:rsidR="00281110" w:rsidRPr="00281110">
        <w:rPr>
          <w:b/>
          <w:bCs/>
          <w:noProof/>
        </w:rPr>
        <w:t>5.1</w:t>
      </w:r>
      <w:r w:rsidR="001F0DA6" w:rsidRPr="0012645C">
        <w:rPr>
          <w:b/>
          <w:bCs/>
        </w:rPr>
        <w:fldChar w:fldCharType="end"/>
      </w:r>
      <w:r w:rsidR="00AE6043" w:rsidRPr="00DB2C42">
        <w:t xml:space="preserve">. </w:t>
      </w:r>
      <w:r w:rsidR="00886616" w:rsidRPr="00DB2C42">
        <w:t xml:space="preserve">24 hr later, </w:t>
      </w:r>
      <w:r w:rsidR="00886616">
        <w:t xml:space="preserve">the viral particle-containing media was removed, and the </w:t>
      </w:r>
      <w:r w:rsidR="00886616" w:rsidRPr="00DB2C42">
        <w:t>cells were maintained in normal cell culture media. 48 hours later, cells were selected with 600</w:t>
      </w:r>
      <w:r w:rsidR="00886616">
        <w:t xml:space="preserve"> </w:t>
      </w:r>
      <w:r w:rsidR="00886616" w:rsidRPr="00DB2C42">
        <w:t>μg/mL G418 for about two to three weeks.</w:t>
      </w:r>
    </w:p>
    <w:p w14:paraId="0E811090" w14:textId="2B06D6CE" w:rsidR="00AE6043" w:rsidRDefault="00AE6043" w:rsidP="00847BA5">
      <w:pPr>
        <w:pStyle w:val="Heading3"/>
        <w:jc w:val="left"/>
        <w:rPr>
          <w:lang w:eastAsia="zh-CN"/>
        </w:rPr>
      </w:pPr>
      <w:bookmarkStart w:id="253" w:name="_Toc200810447"/>
      <w:bookmarkStart w:id="254" w:name="_Toc204848685"/>
      <w:r w:rsidRPr="00DB2C42">
        <w:lastRenderedPageBreak/>
        <w:t xml:space="preserve">sgRNA </w:t>
      </w:r>
      <w:r w:rsidR="006E6769" w:rsidRPr="00DB2C42">
        <w:t>D</w:t>
      </w:r>
      <w:r w:rsidRPr="00DB2C42">
        <w:t xml:space="preserve">esign and </w:t>
      </w:r>
      <w:r w:rsidR="006E6769" w:rsidRPr="00DB2C42">
        <w:t>L</w:t>
      </w:r>
      <w:r w:rsidRPr="00DB2C42">
        <w:t xml:space="preserve">entiviral </w:t>
      </w:r>
      <w:r w:rsidR="006E6769" w:rsidRPr="00DB2C42">
        <w:t>T</w:t>
      </w:r>
      <w:r w:rsidRPr="00DB2C42">
        <w:t>ransfection</w:t>
      </w:r>
      <w:bookmarkEnd w:id="253"/>
      <w:bookmarkEnd w:id="254"/>
    </w:p>
    <w:p w14:paraId="71F9ABF2" w14:textId="4A66C56C" w:rsidR="0072652D" w:rsidRPr="0072652D" w:rsidRDefault="0072652D" w:rsidP="0072652D">
      <w:pPr>
        <w:ind w:firstLine="720"/>
        <w:jc w:val="left"/>
        <w:rPr>
          <w:lang w:eastAsia="zh-CN"/>
        </w:rPr>
      </w:pPr>
      <w:r w:rsidRPr="00DB2C42">
        <w:t>Subsequently, single-guide</w:t>
      </w:r>
      <w:r>
        <w:t xml:space="preserve"> RNAs</w:t>
      </w:r>
      <w:r w:rsidRPr="00DB2C42">
        <w:t xml:space="preserve"> </w:t>
      </w:r>
      <w:r>
        <w:t>(</w:t>
      </w:r>
      <w:r w:rsidRPr="00DB2C42">
        <w:t>sgRNAs</w:t>
      </w:r>
      <w:r>
        <w:t>)</w:t>
      </w:r>
      <w:r w:rsidRPr="00DB2C42">
        <w:t xml:space="preserve"> were introduced into the stable cell line of Cas-9 generated above. We </w:t>
      </w:r>
      <w:r>
        <w:t>employed</w:t>
      </w:r>
      <w:r w:rsidRPr="00DB2C42">
        <w:t xml:space="preserve"> a tandem guide RNA-based strategy to </w:t>
      </w:r>
      <w:r>
        <w:t>enhance</w:t>
      </w:r>
      <w:r w:rsidRPr="00DB2C42">
        <w:t xml:space="preserve"> the efficiency of genome editing by deleting approximately 90 nucleotides between the two </w:t>
      </w:r>
      <w:r>
        <w:t>s</w:t>
      </w:r>
      <w:r w:rsidRPr="00DB2C42">
        <w:t>gRNAs</w:t>
      </w:r>
      <w:r>
        <w:t xml:space="preserve"> </w:t>
      </w:r>
      <w:r w:rsidRPr="00DB2C42">
        <w:fldChar w:fldCharType="begin"/>
      </w:r>
      <w:r w:rsidR="00BE712C">
        <w:instrText xml:space="preserve"> ADDIN ZOTERO_ITEM CSL_CITATION {"citationID":"Bf9pJ8Zd","properties":{"formattedCitation":"\\super 472\\nosupersub{}","plainCitation":"472","noteIndex":0},"citationItems":[{"id":4117,"uris":["http://zotero.org/users/9622455/items/JWP45QPW"],"itemData":{"id":4117,"type":"article-journal","abstract":"CRISPR/Cas9-based gene knockouts (KOs) enable precise perturbation of target gene function in human cells, which is ideally assessed in an unbiased fashion by molecular omics readouts. Typically, this requires the lengthy process of isolating KO subclones. We show here that KO subclones are phenotypically heterogenous, regardless of the guide RNA used. We present an experimental strategy that avoids subcloning and achieves fast and efficient gene silencing on cell pools, based on the synergistic combination of two guide RNAs mapping at close (40-300 bp) genomic proximity. Our strategy results in better predictable indel generation with a low allelic heterogeneity, concomitant with low or undetectable residual target protein expression, as determined by MS3 mass spectrometry proteomics. Our method is compatible with nondividing primary cells and can also be used to study essential genes. It enables the generation of high confidence omics data which solely reflect the phenotype of the target ablation.","container-title":"The CRISPR journal","DOI":"10.1089/crispr.2019.0064","ISSN":"2573-1602","issue":"2","journalAbbreviation":"CRISPR J","language":"eng","note":"PMID: 32315231\nPMCID: PMC7194318","page":"123-134","source":"PubMed","title":"A Tandem Guide RNA-Based Strategy for Efficient CRISPR Gene Editing of Cell Populations with Low Heterogeneity of Edited Alleles","volume":"3","author":[{"family":"Joberty","given":"Gérard"},{"family":"Fälth-Savitski","given":"Maria"},{"family":"Paulmann","given":"Marcel"},{"family":"Bösche","given":"Markus"},{"family":"Doce","given":"Carola"},{"family":"Cheng","given":"Aaron T."},{"family":"Drewes","given":"Gerard"},{"family":"Grandi","given":"Paola"}],"issued":{"date-parts":[["2020",4]]}}}],"schema":"https://github.com/citation-style-language/schema/raw/master/csl-citation.json"} </w:instrText>
      </w:r>
      <w:r w:rsidRPr="00DB2C42">
        <w:fldChar w:fldCharType="separate"/>
      </w:r>
      <w:r w:rsidR="00BE712C" w:rsidRPr="00BE712C">
        <w:rPr>
          <w:vertAlign w:val="superscript"/>
        </w:rPr>
        <w:t>472</w:t>
      </w:r>
      <w:r w:rsidRPr="00DB2C42">
        <w:fldChar w:fldCharType="end"/>
      </w:r>
      <w:r w:rsidRPr="00DB2C42">
        <w:t>. Two sgRNAs</w:t>
      </w:r>
      <w:r>
        <w:t xml:space="preserve"> </w:t>
      </w:r>
      <w:r w:rsidRPr="00DB2C42">
        <w:t xml:space="preserve">targeting </w:t>
      </w:r>
      <w:r w:rsidRPr="00DC493F">
        <w:rPr>
          <w:i/>
          <w:iCs/>
        </w:rPr>
        <w:t>Ucp1</w:t>
      </w:r>
      <w:r w:rsidRPr="00DB2C42">
        <w:t xml:space="preserve"> exon 1 were designed. The sequences of the two sgRNA were:</w:t>
      </w:r>
    </w:p>
    <w:p w14:paraId="2BB2B683" w14:textId="1E2D8DEA" w:rsidR="00AE6043" w:rsidRPr="00DB2C42" w:rsidRDefault="00AE6043" w:rsidP="00847BA5">
      <w:pPr>
        <w:jc w:val="left"/>
      </w:pPr>
      <w:r w:rsidRPr="00DB2C42">
        <w:t>sgRNA-a:</w:t>
      </w:r>
    </w:p>
    <w:p w14:paraId="02107731" w14:textId="54AA1576" w:rsidR="00AE6043" w:rsidRPr="00DB2C42" w:rsidRDefault="00AE6043" w:rsidP="00847BA5">
      <w:pPr>
        <w:jc w:val="left"/>
      </w:pPr>
      <w:r w:rsidRPr="00DB2C42">
        <w:t>5’-AACCCGACAACTTCCGAAGTGCAACCCACCATGGGGGTCAAGATCTTCTC-3’</w:t>
      </w:r>
      <w:r w:rsidRPr="00DB2C42">
        <w:br/>
        <w:t>sgRNA-c:</w:t>
      </w:r>
    </w:p>
    <w:p w14:paraId="4CB93DBC" w14:textId="77777777" w:rsidR="00AE6043" w:rsidRPr="00DB2C42" w:rsidRDefault="00AE6043" w:rsidP="00847BA5">
      <w:pPr>
        <w:jc w:val="left"/>
      </w:pPr>
      <w:r w:rsidRPr="00DB2C42">
        <w:t>5’-CTGCCAAAGTCCGCCTTCAGGTAGAGTTAGTGACATTGATGAGGCTTCTC-3’</w:t>
      </w:r>
    </w:p>
    <w:p w14:paraId="2E1413C6" w14:textId="56C4B05E" w:rsidR="00AE6043" w:rsidRPr="00DB2C42" w:rsidRDefault="00AE6043" w:rsidP="00CF3916">
      <w:pPr>
        <w:ind w:firstLine="720"/>
        <w:jc w:val="left"/>
        <w:rPr>
          <w:lang w:eastAsia="zh-CN"/>
        </w:rPr>
      </w:pPr>
      <w:r w:rsidRPr="00DB2C42">
        <w:t>Each sgRNA was cloned into a lentiviral expression plasmid as shown</w:t>
      </w:r>
      <w:r w:rsidR="001F0DA6">
        <w:t xml:space="preserve"> </w:t>
      </w:r>
      <w:r w:rsidR="001F0DA6" w:rsidRPr="0012645C">
        <w:t xml:space="preserve">in </w:t>
      </w:r>
      <w:r w:rsidR="001F0DA6" w:rsidRPr="0012645C">
        <w:rPr>
          <w:b/>
          <w:bCs/>
        </w:rPr>
        <w:fldChar w:fldCharType="begin"/>
      </w:r>
      <w:r w:rsidR="001F0DA6" w:rsidRPr="0012645C">
        <w:rPr>
          <w:b/>
          <w:bCs/>
        </w:rPr>
        <w:instrText xml:space="preserve"> REF _Ref200808866 \h </w:instrText>
      </w:r>
      <w:r w:rsidR="0012645C">
        <w:rPr>
          <w:b/>
          <w:bCs/>
        </w:rPr>
        <w:instrText xml:space="preserve"> \* MERGEFORMAT </w:instrText>
      </w:r>
      <w:r w:rsidR="001F0DA6" w:rsidRPr="0012645C">
        <w:rPr>
          <w:b/>
          <w:bCs/>
        </w:rPr>
      </w:r>
      <w:r w:rsidR="001F0DA6" w:rsidRPr="0012645C">
        <w:rPr>
          <w:b/>
          <w:bCs/>
        </w:rPr>
        <w:fldChar w:fldCharType="separate"/>
      </w:r>
      <w:r w:rsidR="00281110" w:rsidRPr="00281110">
        <w:rPr>
          <w:b/>
          <w:bCs/>
        </w:rPr>
        <w:t xml:space="preserve">Figure </w:t>
      </w:r>
      <w:r w:rsidR="00281110" w:rsidRPr="00281110">
        <w:rPr>
          <w:b/>
          <w:bCs/>
          <w:noProof/>
        </w:rPr>
        <w:t>5.4</w:t>
      </w:r>
      <w:r w:rsidR="001F0DA6" w:rsidRPr="0012645C">
        <w:rPr>
          <w:b/>
          <w:bCs/>
        </w:rPr>
        <w:fldChar w:fldCharType="end"/>
      </w:r>
      <w:r w:rsidR="001F0DA6">
        <w:t xml:space="preserve">. </w:t>
      </w:r>
      <w:r w:rsidR="00CF3916" w:rsidRPr="00DB2C42">
        <w:t xml:space="preserve">To introduce sgRNAs, Cas9-expressing 3T3-L1 cells were seeded at ~70% confluency and transduced with </w:t>
      </w:r>
      <w:r w:rsidR="00CF3916">
        <w:t>sgRNAs</w:t>
      </w:r>
      <w:r w:rsidR="00CF3916" w:rsidRPr="00DB2C42">
        <w:t xml:space="preserve"> in the presence of 6 µg/mL polybrene (Santa Cruz Biotechnology, Dallas, TX). 24 hours later, </w:t>
      </w:r>
      <w:r w:rsidR="00CF3916">
        <w:t xml:space="preserve">the viral particle-containing media was removed, and the </w:t>
      </w:r>
      <w:r w:rsidR="00CF3916" w:rsidRPr="00DB2C42">
        <w:t>cells were maintained in normal cell culture media. 48 hours later, cells were selected with 2 μg/mL puromycin and 400</w:t>
      </w:r>
      <w:r w:rsidR="00CF3916">
        <w:t xml:space="preserve"> </w:t>
      </w:r>
      <w:r w:rsidR="00CF3916" w:rsidRPr="00DB2C42">
        <w:t>μg/mL G418 for about one week.</w:t>
      </w:r>
      <w:r w:rsidR="00CF3916">
        <w:t xml:space="preserve"> </w:t>
      </w:r>
      <w:r w:rsidR="00CF3916" w:rsidRPr="00DB2C42">
        <w:t xml:space="preserve">These cells were </w:t>
      </w:r>
      <w:r w:rsidR="00CF3916">
        <w:t xml:space="preserve">then </w:t>
      </w:r>
      <w:r w:rsidR="00CF3916" w:rsidRPr="00DB2C42">
        <w:t xml:space="preserve">expanded and used in parallel with </w:t>
      </w:r>
      <w:r w:rsidR="00CF3916">
        <w:t xml:space="preserve">the scrambled control cells </w:t>
      </w:r>
      <w:r w:rsidR="00CF3916" w:rsidRPr="00DB2C42">
        <w:t xml:space="preserve">in </w:t>
      </w:r>
      <w:r w:rsidR="00CF3916">
        <w:t xml:space="preserve">the </w:t>
      </w:r>
      <w:r w:rsidR="00CF3916" w:rsidRPr="00DB2C42">
        <w:t>downstream experiments.</w:t>
      </w:r>
    </w:p>
    <w:p w14:paraId="53475F6E" w14:textId="0CF3B861" w:rsidR="00AE6043" w:rsidRPr="00DB2C42" w:rsidRDefault="00AE6043" w:rsidP="00847BA5">
      <w:pPr>
        <w:pStyle w:val="Heading3"/>
        <w:jc w:val="left"/>
      </w:pPr>
      <w:bookmarkStart w:id="255" w:name="_Toc200810448"/>
      <w:bookmarkStart w:id="256" w:name="_Toc204848686"/>
      <w:r w:rsidRPr="00DB2C42">
        <w:t xml:space="preserve">Generation of </w:t>
      </w:r>
      <w:r w:rsidR="006E6769" w:rsidRPr="00DB2C42">
        <w:t>S</w:t>
      </w:r>
      <w:r w:rsidRPr="00DB2C42">
        <w:t xml:space="preserve">crambled </w:t>
      </w:r>
      <w:r w:rsidR="006E6769" w:rsidRPr="00DB2C42">
        <w:t>C</w:t>
      </w:r>
      <w:r w:rsidRPr="00DB2C42">
        <w:t xml:space="preserve">ontrol </w:t>
      </w:r>
      <w:r w:rsidR="006E6769" w:rsidRPr="00DB2C42">
        <w:t>C</w:t>
      </w:r>
      <w:r w:rsidRPr="00DB2C42">
        <w:t>ells</w:t>
      </w:r>
      <w:bookmarkEnd w:id="255"/>
      <w:bookmarkEnd w:id="256"/>
    </w:p>
    <w:p w14:paraId="7424EA41" w14:textId="3CFAF032" w:rsidR="00AE6043" w:rsidRPr="00DB2C42" w:rsidRDefault="00A34F04" w:rsidP="00451795">
      <w:pPr>
        <w:ind w:firstLine="720"/>
        <w:jc w:val="left"/>
        <w:rPr>
          <w:lang w:eastAsia="zh-CN"/>
        </w:rPr>
      </w:pPr>
      <w:r>
        <w:t>The scrambled s</w:t>
      </w:r>
      <w:r w:rsidR="009B29A4">
        <w:t>h</w:t>
      </w:r>
      <w:r>
        <w:t>RNA lentiviral plasmid (Cat# CSHCTR001-LVRU6P) purchased from GeneCopoeia (Rockville, MD, USA), as shown in</w:t>
      </w:r>
      <w:r w:rsidR="00E964F2">
        <w:t xml:space="preserve"> </w:t>
      </w:r>
      <w:r w:rsidR="00E964F2" w:rsidRPr="0012645C">
        <w:rPr>
          <w:b/>
          <w:bCs/>
        </w:rPr>
        <w:fldChar w:fldCharType="begin"/>
      </w:r>
      <w:r w:rsidR="00E964F2" w:rsidRPr="0012645C">
        <w:rPr>
          <w:b/>
          <w:bCs/>
        </w:rPr>
        <w:instrText xml:space="preserve"> REF _Ref204595921 \h </w:instrText>
      </w:r>
      <w:r w:rsidR="0012645C">
        <w:rPr>
          <w:b/>
          <w:bCs/>
        </w:rPr>
        <w:instrText xml:space="preserve"> \* MERGEFORMAT </w:instrText>
      </w:r>
      <w:r w:rsidR="00E964F2" w:rsidRPr="0012645C">
        <w:rPr>
          <w:b/>
          <w:bCs/>
        </w:rPr>
      </w:r>
      <w:r w:rsidR="00E964F2" w:rsidRPr="0012645C">
        <w:rPr>
          <w:b/>
          <w:bCs/>
        </w:rPr>
        <w:fldChar w:fldCharType="separate"/>
      </w:r>
      <w:r w:rsidR="00281110" w:rsidRPr="00281110">
        <w:rPr>
          <w:b/>
          <w:bCs/>
        </w:rPr>
        <w:t xml:space="preserve">Figure </w:t>
      </w:r>
      <w:r w:rsidR="00281110" w:rsidRPr="00281110">
        <w:rPr>
          <w:b/>
          <w:bCs/>
          <w:noProof/>
        </w:rPr>
        <w:t>5.3</w:t>
      </w:r>
      <w:r w:rsidR="00E964F2" w:rsidRPr="0012645C">
        <w:rPr>
          <w:b/>
          <w:bCs/>
        </w:rPr>
        <w:fldChar w:fldCharType="end"/>
      </w:r>
      <w:r w:rsidR="006A1EBE">
        <w:t xml:space="preserve">, was transduced into stable Cas9-expressing 3T3-L1 cells under the same conditions described </w:t>
      </w:r>
      <w:r w:rsidR="006A1EBE" w:rsidRPr="00DB2C42">
        <w:t xml:space="preserve">above. Cells were </w:t>
      </w:r>
      <w:r w:rsidR="006A1EBE">
        <w:t xml:space="preserve">then </w:t>
      </w:r>
      <w:r w:rsidR="006A1EBE" w:rsidRPr="00DB2C42">
        <w:t xml:space="preserve">selected with 2 μg/mL puromycin and 400 μg/mL G418 for one week. These cells were expanded and used in parallel with </w:t>
      </w:r>
      <w:r w:rsidR="006A1EBE" w:rsidRPr="00DC493F">
        <w:rPr>
          <w:i/>
          <w:iCs/>
        </w:rPr>
        <w:t>Ucp1</w:t>
      </w:r>
      <w:r w:rsidR="006A1EBE" w:rsidRPr="00DB2C42">
        <w:t xml:space="preserve"> KO </w:t>
      </w:r>
      <w:r w:rsidR="006A1EBE">
        <w:t>cell</w:t>
      </w:r>
      <w:r w:rsidR="006A1EBE" w:rsidRPr="00DB2C42">
        <w:t xml:space="preserve">s in </w:t>
      </w:r>
      <w:r w:rsidR="006A1EBE">
        <w:t xml:space="preserve">the </w:t>
      </w:r>
      <w:r w:rsidR="006A1EBE" w:rsidRPr="00DB2C42">
        <w:t>downstream experiments.</w:t>
      </w:r>
    </w:p>
    <w:p w14:paraId="473BC403" w14:textId="77777777" w:rsidR="00AE6043" w:rsidRPr="00DB2C42" w:rsidRDefault="00AE6043" w:rsidP="00847BA5">
      <w:pPr>
        <w:jc w:val="left"/>
      </w:pPr>
      <w:r w:rsidRPr="00DB2C42">
        <w:lastRenderedPageBreak/>
        <w:t>The sequence of scrambled control:</w:t>
      </w:r>
    </w:p>
    <w:p w14:paraId="746E37ED" w14:textId="1F604B6D" w:rsidR="00AE6043" w:rsidRPr="00DB2C42" w:rsidRDefault="00AE6043" w:rsidP="00847BA5">
      <w:pPr>
        <w:jc w:val="left"/>
      </w:pPr>
      <w:r w:rsidRPr="00DB2C42">
        <w:t>5’-GATCCGNNNNNNNNNNNNNNNNNTCAAGAGNNNNNNNNNNNNNNNNNTTTTTTGGAATT-3’</w:t>
      </w:r>
    </w:p>
    <w:p w14:paraId="43646C32" w14:textId="61A027AC" w:rsidR="00AE6043" w:rsidRPr="00DB2C42" w:rsidRDefault="00F812BF" w:rsidP="00847BA5">
      <w:pPr>
        <w:pStyle w:val="Heading3"/>
        <w:jc w:val="left"/>
      </w:pPr>
      <w:bookmarkStart w:id="257" w:name="_Toc200810449"/>
      <w:bookmarkStart w:id="258" w:name="_Toc204848687"/>
      <w:r w:rsidRPr="00DB2C42">
        <w:t xml:space="preserve">Single </w:t>
      </w:r>
      <w:r w:rsidR="00AF7A99">
        <w:rPr>
          <w:lang w:eastAsia="zh-CN"/>
        </w:rPr>
        <w:t>C</w:t>
      </w:r>
      <w:r w:rsidRPr="00DB2C42">
        <w:t>ell</w:t>
      </w:r>
      <w:r w:rsidR="00AE6043" w:rsidRPr="00DB2C42">
        <w:t xml:space="preserve"> </w:t>
      </w:r>
      <w:r w:rsidR="006E6769" w:rsidRPr="00DB2C42">
        <w:t>C</w:t>
      </w:r>
      <w:r w:rsidR="00AE6043" w:rsidRPr="00DB2C42">
        <w:t xml:space="preserve">loning and </w:t>
      </w:r>
      <w:r w:rsidR="006E6769" w:rsidRPr="00DB2C42">
        <w:t>V</w:t>
      </w:r>
      <w:r w:rsidR="00AE6043" w:rsidRPr="00DB2C42">
        <w:t>alidation</w:t>
      </w:r>
      <w:bookmarkEnd w:id="257"/>
      <w:bookmarkEnd w:id="258"/>
    </w:p>
    <w:p w14:paraId="602D6CB0" w14:textId="77777777" w:rsidR="00500BC6" w:rsidRDefault="00B14008" w:rsidP="00E876F2">
      <w:pPr>
        <w:ind w:firstLine="720"/>
        <w:jc w:val="left"/>
        <w:rPr>
          <w:lang w:eastAsia="zh-CN"/>
        </w:rPr>
      </w:pPr>
      <w:r>
        <w:rPr>
          <w:lang w:eastAsia="zh-CN"/>
        </w:rPr>
        <w:t xml:space="preserve">The </w:t>
      </w:r>
      <w:r w:rsidRPr="00DB2C42">
        <w:t>sgRNA trans</w:t>
      </w:r>
      <w:r>
        <w:t>duc</w:t>
      </w:r>
      <w:r w:rsidRPr="00DB2C42">
        <w:t xml:space="preserve">ed cells were </w:t>
      </w:r>
      <w:r>
        <w:t>grown</w:t>
      </w:r>
      <w:r w:rsidRPr="00DB2C42">
        <w:t xml:space="preserve"> under both G418 and puromycin selections until </w:t>
      </w:r>
      <w:r>
        <w:t>they reached</w:t>
      </w:r>
      <w:r w:rsidRPr="00DB2C42">
        <w:t xml:space="preserve"> confluence in </w:t>
      </w:r>
      <w:r>
        <w:t xml:space="preserve">a </w:t>
      </w:r>
      <w:r w:rsidRPr="00DB2C42">
        <w:t xml:space="preserve">35 mm plate. Single-cell </w:t>
      </w:r>
      <w:r>
        <w:t>clones were</w:t>
      </w:r>
      <w:r w:rsidRPr="00DB2C42">
        <w:t xml:space="preserve"> then isolated by serial dilution in 96-well plates. Expanded clones were screened by fluorescence microscopy to confirm co-expression of Cas9 (green) and sgRNA (</w:t>
      </w:r>
      <w:r>
        <w:t>c</w:t>
      </w:r>
      <w:r w:rsidRPr="00DB2C42">
        <w:t xml:space="preserve">herry red), respectively. Approximately 40 </w:t>
      </w:r>
      <w:r>
        <w:t>single-</w:t>
      </w:r>
      <w:r w:rsidRPr="00DB2C42">
        <w:t>cell</w:t>
      </w:r>
      <w:r>
        <w:t xml:space="preserve"> clones</w:t>
      </w:r>
      <w:r w:rsidRPr="00DB2C42">
        <w:t xml:space="preserve"> were screened for their </w:t>
      </w:r>
      <w:r>
        <w:t>co-</w:t>
      </w:r>
      <w:r w:rsidRPr="00DB2C42">
        <w:t>expression of Cas-9</w:t>
      </w:r>
      <w:r>
        <w:t xml:space="preserve"> (green)</w:t>
      </w:r>
      <w:r w:rsidRPr="00DB2C42">
        <w:t xml:space="preserve"> and sgRNA</w:t>
      </w:r>
      <w:r>
        <w:t xml:space="preserve"> (c</w:t>
      </w:r>
      <w:r w:rsidRPr="00DB2C42">
        <w:t>herry</w:t>
      </w:r>
      <w:r>
        <w:t xml:space="preserve"> red)</w:t>
      </w:r>
      <w:r w:rsidRPr="00DB2C42">
        <w:t>.</w:t>
      </w:r>
      <w:r>
        <w:t xml:space="preserve"> Individual clones</w:t>
      </w:r>
      <w:r w:rsidRPr="00DB2C42">
        <w:t xml:space="preserve"> with co-expression of both green and red fluorescence were </w:t>
      </w:r>
      <w:r>
        <w:t xml:space="preserve">further expanded and </w:t>
      </w:r>
      <w:r w:rsidRPr="00DB2C42">
        <w:t xml:space="preserve">used for subsequent </w:t>
      </w:r>
      <w:r>
        <w:rPr>
          <w:rFonts w:hint="eastAsia"/>
          <w:lang w:eastAsia="zh-CN"/>
        </w:rPr>
        <w:t>i</w:t>
      </w:r>
      <w:r w:rsidRPr="00DB2C42">
        <w:t>ndel verification. Briefly, the genomic DNA was extracted</w:t>
      </w:r>
      <w:r>
        <w:t xml:space="preserve"> from the cells</w:t>
      </w:r>
      <w:r w:rsidRPr="00DB2C42">
        <w:t xml:space="preserve">, and PCR was performed using </w:t>
      </w:r>
      <w:r w:rsidRPr="00DC493F">
        <w:rPr>
          <w:i/>
          <w:iCs/>
        </w:rPr>
        <w:t>Ucp1</w:t>
      </w:r>
      <w:r w:rsidRPr="00DB2C42">
        <w:t>-specific primers (</w:t>
      </w:r>
      <w:r>
        <w:t>1259</w:t>
      </w:r>
      <w:r w:rsidRPr="00DB2C42">
        <w:t xml:space="preserve"> bp product)</w:t>
      </w:r>
      <w:r>
        <w:t>,</w:t>
      </w:r>
      <w:r w:rsidRPr="00DB2C42">
        <w:t xml:space="preserve"> as shown</w:t>
      </w:r>
      <w:r w:rsidR="00AE6043" w:rsidRPr="00DB2C42">
        <w:t xml:space="preserve"> </w:t>
      </w:r>
      <w:r w:rsidR="00455695" w:rsidRPr="00B37F6D">
        <w:rPr>
          <w:b/>
          <w:bCs/>
          <w:lang w:eastAsia="zh-CN"/>
        </w:rPr>
        <w:fldChar w:fldCharType="begin"/>
      </w:r>
      <w:r w:rsidR="00455695" w:rsidRPr="00B37F6D">
        <w:rPr>
          <w:b/>
          <w:bCs/>
          <w:lang w:eastAsia="zh-CN"/>
        </w:rPr>
        <w:instrText xml:space="preserve"> REF _Ref203552830 \h </w:instrText>
      </w:r>
      <w:r w:rsidR="00847BA5" w:rsidRPr="00B37F6D">
        <w:rPr>
          <w:b/>
          <w:bCs/>
          <w:lang w:eastAsia="zh-CN"/>
        </w:rPr>
        <w:instrText xml:space="preserve"> \* MERGEFORMAT </w:instrText>
      </w:r>
      <w:r w:rsidR="00455695" w:rsidRPr="00B37F6D">
        <w:rPr>
          <w:b/>
          <w:bCs/>
          <w:lang w:eastAsia="zh-CN"/>
        </w:rPr>
      </w:r>
      <w:r w:rsidR="00455695" w:rsidRPr="00B37F6D">
        <w:rPr>
          <w:b/>
          <w:bCs/>
          <w:lang w:eastAsia="zh-CN"/>
        </w:rPr>
        <w:fldChar w:fldCharType="separate"/>
      </w:r>
      <w:r w:rsidR="00455695" w:rsidRPr="00B37F6D">
        <w:rPr>
          <w:b/>
          <w:bCs/>
        </w:rPr>
        <w:t xml:space="preserve">Table </w:t>
      </w:r>
      <w:r w:rsidR="00455695" w:rsidRPr="00B37F6D">
        <w:rPr>
          <w:b/>
          <w:bCs/>
          <w:noProof/>
        </w:rPr>
        <w:t>2</w:t>
      </w:r>
      <w:r w:rsidR="00455695" w:rsidRPr="00B37F6D">
        <w:rPr>
          <w:b/>
          <w:bCs/>
          <w:lang w:eastAsia="zh-CN"/>
        </w:rPr>
        <w:fldChar w:fldCharType="end"/>
      </w:r>
      <w:r w:rsidR="00AE6043" w:rsidRPr="00DB2C42">
        <w:t xml:space="preserve">. </w:t>
      </w:r>
      <w:r w:rsidR="00500BC6" w:rsidRPr="00707B5D">
        <w:t xml:space="preserve">A second set of primer pairs was used to detect </w:t>
      </w:r>
      <w:r w:rsidR="00500BC6">
        <w:rPr>
          <w:rFonts w:hint="eastAsia"/>
          <w:lang w:eastAsia="zh-CN"/>
        </w:rPr>
        <w:t>i</w:t>
      </w:r>
      <w:r w:rsidR="00500BC6" w:rsidRPr="00707B5D">
        <w:t xml:space="preserve">ndel with the reverse primer designed within the cutting site of the second sgRNA to verify the absence of </w:t>
      </w:r>
      <w:r w:rsidR="00500BC6">
        <w:t xml:space="preserve">the </w:t>
      </w:r>
      <w:r w:rsidR="00500BC6" w:rsidRPr="00707B5D">
        <w:t xml:space="preserve">PCR band on the </w:t>
      </w:r>
      <w:r w:rsidR="00500BC6">
        <w:t xml:space="preserve">agarose </w:t>
      </w:r>
      <w:r w:rsidR="00500BC6" w:rsidRPr="00707B5D">
        <w:t xml:space="preserve">gel (the PCR product of intact Ucp1 is expected </w:t>
      </w:r>
      <w:r w:rsidR="00500BC6">
        <w:t>to be ~</w:t>
      </w:r>
      <w:r w:rsidR="00500BC6" w:rsidRPr="00707B5D">
        <w:t xml:space="preserve"> 496 bp).</w:t>
      </w:r>
      <w:r w:rsidR="00500BC6" w:rsidRPr="00707B5D" w:rsidDel="00707B5D">
        <w:t xml:space="preserve"> </w:t>
      </w:r>
    </w:p>
    <w:p w14:paraId="70BEA1CE" w14:textId="00FBBA01" w:rsidR="00773533" w:rsidRDefault="0013338E" w:rsidP="00E876F2">
      <w:pPr>
        <w:ind w:firstLine="720"/>
        <w:jc w:val="left"/>
      </w:pPr>
      <w:r w:rsidRPr="00DB2C42">
        <w:t xml:space="preserve">PCR amplification was performed using </w:t>
      </w:r>
      <w:r>
        <w:t xml:space="preserve">an </w:t>
      </w:r>
      <w:r w:rsidRPr="00DB2C42">
        <w:t>Eppendorf Master cycler X50 (Eppendorf North America, Enfield, CT). 12.5 µ</w:t>
      </w:r>
      <w:r>
        <w:t>l</w:t>
      </w:r>
      <w:r w:rsidRPr="00DB2C42">
        <w:t xml:space="preserve"> of PCR reaction system contained 2 μ</w:t>
      </w:r>
      <w:r>
        <w:t>l</w:t>
      </w:r>
      <w:r w:rsidRPr="00DB2C42">
        <w:t xml:space="preserve"> of crude extraction supernatant (approximately 28–36 ng of DNA), 6.25 μ</w:t>
      </w:r>
      <w:r>
        <w:t>l</w:t>
      </w:r>
      <w:r w:rsidRPr="00DB2C42">
        <w:t xml:space="preserve"> of DreamTaq 2× PCR master mix (ThermoFisher Scientific, Waltham, MA, USA), 0.25 µ</w:t>
      </w:r>
      <w:r>
        <w:t>l</w:t>
      </w:r>
      <w:r w:rsidRPr="00DB2C42">
        <w:t xml:space="preserve"> of </w:t>
      </w:r>
      <w:r>
        <w:t xml:space="preserve">each </w:t>
      </w:r>
      <w:r w:rsidRPr="00DB2C42">
        <w:t>primer</w:t>
      </w:r>
      <w:r>
        <w:t xml:space="preserve"> (</w:t>
      </w:r>
      <w:r w:rsidRPr="00DB2C42">
        <w:t>10 μM</w:t>
      </w:r>
      <w:r>
        <w:t>)</w:t>
      </w:r>
      <w:r w:rsidRPr="00DB2C42">
        <w:t xml:space="preserve"> (</w:t>
      </w:r>
      <w:r>
        <w:t xml:space="preserve">to reach </w:t>
      </w:r>
      <w:r w:rsidRPr="00DB2C42">
        <w:t>final concentration of 0.2 μ</w:t>
      </w:r>
      <w:r>
        <w:t>M</w:t>
      </w:r>
      <w:r w:rsidRPr="00DB2C42">
        <w:t>). The PCR parameters were</w:t>
      </w:r>
      <w:r>
        <w:t xml:space="preserve"> as follows</w:t>
      </w:r>
      <w:r w:rsidRPr="00DB2C42">
        <w:t xml:space="preserve">: </w:t>
      </w:r>
      <w:r>
        <w:rPr>
          <w:rFonts w:hint="eastAsia"/>
          <w:lang w:eastAsia="zh-CN"/>
        </w:rPr>
        <w:t>i</w:t>
      </w:r>
      <w:r w:rsidRPr="00DB2C42">
        <w:t xml:space="preserve">nitial denaturation at 95 °C for 3 min, followed by 31 cycles of denaturation at 95 °C for 30 s, annealing at 60 °C for 40 s, and </w:t>
      </w:r>
      <w:r w:rsidRPr="00DB2C42">
        <w:lastRenderedPageBreak/>
        <w:t xml:space="preserve">extension at 72 °C for 1 min. The final elongation step was 72 °C for 7 min. PCR products were resolved on a 1% agarose gel. A control PCR detecting the murine soluble epoxide hydrolase (sEH) gene was used to confirm DNA integrity. </w:t>
      </w:r>
      <w:r w:rsidR="00AE6043" w:rsidRPr="00DB2C42">
        <w:t xml:space="preserve">The primer of sEH is shown in </w:t>
      </w:r>
      <w:r w:rsidR="00514286" w:rsidRPr="00B37F6D">
        <w:rPr>
          <w:b/>
          <w:bCs/>
        </w:rPr>
        <w:fldChar w:fldCharType="begin"/>
      </w:r>
      <w:r w:rsidR="00514286" w:rsidRPr="00B37F6D">
        <w:rPr>
          <w:b/>
          <w:bCs/>
        </w:rPr>
        <w:instrText xml:space="preserve"> REF _Ref203552830 \h </w:instrText>
      </w:r>
      <w:r w:rsidR="00847BA5" w:rsidRPr="00B37F6D">
        <w:rPr>
          <w:b/>
          <w:bCs/>
        </w:rPr>
        <w:instrText xml:space="preserve"> \* MERGEFORMAT </w:instrText>
      </w:r>
      <w:r w:rsidR="00514286" w:rsidRPr="00B37F6D">
        <w:rPr>
          <w:b/>
          <w:bCs/>
        </w:rPr>
      </w:r>
      <w:r w:rsidR="00514286" w:rsidRPr="00B37F6D">
        <w:rPr>
          <w:b/>
          <w:bCs/>
        </w:rPr>
        <w:fldChar w:fldCharType="separate"/>
      </w:r>
      <w:r w:rsidR="00514286" w:rsidRPr="00B37F6D">
        <w:rPr>
          <w:b/>
          <w:bCs/>
        </w:rPr>
        <w:t xml:space="preserve">Table </w:t>
      </w:r>
      <w:r w:rsidR="00514286" w:rsidRPr="00B37F6D">
        <w:rPr>
          <w:b/>
          <w:bCs/>
          <w:noProof/>
        </w:rPr>
        <w:t>2</w:t>
      </w:r>
      <w:r w:rsidR="00514286" w:rsidRPr="00B37F6D">
        <w:rPr>
          <w:b/>
          <w:bCs/>
        </w:rPr>
        <w:fldChar w:fldCharType="end"/>
      </w:r>
      <w:r w:rsidR="00AE6043" w:rsidRPr="00DB2C42">
        <w:t xml:space="preserve">. </w:t>
      </w:r>
      <w:r w:rsidR="00B77762" w:rsidRPr="00DB2C42">
        <w:t xml:space="preserve">The image was captured by Bio-Rad ChemiDoc XRS+ with Image Lab image acquisition and analysis software (Image LabTM Software, Version 5.2.1, Bio-Rad, Hercules, CA, USA). Individual clones with co-expression of Cas-9 (green) and gRNAs (cherry red) and no detectable Ucp1 band were considered putative </w:t>
      </w:r>
      <w:r w:rsidR="00B77762" w:rsidRPr="00DC493F">
        <w:rPr>
          <w:i/>
          <w:iCs/>
        </w:rPr>
        <w:t>Ucp1</w:t>
      </w:r>
      <w:r w:rsidR="00B77762" w:rsidRPr="00DB2C42">
        <w:t xml:space="preserve"> knockouts.</w:t>
      </w:r>
    </w:p>
    <w:p w14:paraId="1507DF37" w14:textId="330349CB" w:rsidR="00AE6043" w:rsidRPr="006B4CB0" w:rsidRDefault="00AE6043" w:rsidP="00847BA5">
      <w:pPr>
        <w:jc w:val="left"/>
      </w:pPr>
      <w:bookmarkStart w:id="259" w:name="_Toc204848688"/>
      <w:r w:rsidRPr="00DB2C42">
        <w:rPr>
          <w:rStyle w:val="Heading3Char"/>
          <w:szCs w:val="24"/>
        </w:rPr>
        <w:t xml:space="preserve">2.5. Sanger </w:t>
      </w:r>
      <w:r w:rsidR="00CF1266">
        <w:rPr>
          <w:rStyle w:val="Heading3Char"/>
          <w:szCs w:val="24"/>
          <w:lang w:eastAsia="zh-CN"/>
        </w:rPr>
        <w:t>S</w:t>
      </w:r>
      <w:r w:rsidRPr="00DB2C42">
        <w:rPr>
          <w:rStyle w:val="Heading3Char"/>
          <w:szCs w:val="24"/>
        </w:rPr>
        <w:t>equencing</w:t>
      </w:r>
      <w:bookmarkEnd w:id="259"/>
    </w:p>
    <w:p w14:paraId="54685627" w14:textId="77777777" w:rsidR="00464370" w:rsidRPr="00DB2C42" w:rsidRDefault="00464370" w:rsidP="00464370">
      <w:pPr>
        <w:ind w:firstLine="720"/>
        <w:jc w:val="left"/>
      </w:pPr>
      <w:r w:rsidRPr="00DB2C42">
        <w:t>To confirm gene disruption at the nucleotide level, PCR products were purified using a ZymoClean</w:t>
      </w:r>
      <w:r w:rsidRPr="00DB2C42">
        <w:rPr>
          <w:vertAlign w:val="superscript"/>
        </w:rPr>
        <w:t>TM</w:t>
      </w:r>
      <w:r w:rsidRPr="00DB2C42">
        <w:t xml:space="preserve"> Gel DNA Recovery Kit (Zymo Research, Tustin, CA) and submitted for Sanger sequencing (Eurofins, Lancaster, PA). Sequences were aligned to the reference </w:t>
      </w:r>
      <w:r w:rsidRPr="00DC493F">
        <w:rPr>
          <w:i/>
          <w:iCs/>
        </w:rPr>
        <w:t>Ucp1</w:t>
      </w:r>
      <w:r w:rsidRPr="00DB2C42">
        <w:t xml:space="preserve"> locus using the Nucleotide Blast of the National Library of Medicine (https://blast.ncbi.nlm.nih.gov/Blast.cgi). Clones with Indel in </w:t>
      </w:r>
      <w:r w:rsidRPr="00DC493F">
        <w:rPr>
          <w:i/>
          <w:iCs/>
        </w:rPr>
        <w:t>Ucp1</w:t>
      </w:r>
      <w:r w:rsidRPr="00DB2C42">
        <w:t xml:space="preserve"> exon-1 on the </w:t>
      </w:r>
      <w:r w:rsidRPr="0085527E">
        <w:t>sequencing</w:t>
      </w:r>
      <w:r>
        <w:t xml:space="preserve"> </w:t>
      </w:r>
      <w:r w:rsidRPr="00DB2C42">
        <w:t xml:space="preserve">chromatogram were used to confirm the success of </w:t>
      </w:r>
      <w:r w:rsidRPr="00DC493F">
        <w:rPr>
          <w:i/>
          <w:iCs/>
        </w:rPr>
        <w:t>Ucp1</w:t>
      </w:r>
      <w:r w:rsidRPr="00DB2C42">
        <w:t xml:space="preserve"> knockout. One validated clone (Clone 8B) was selected for the subsequent experiments. </w:t>
      </w:r>
    </w:p>
    <w:p w14:paraId="42877035" w14:textId="31701EF5" w:rsidR="00AE6043" w:rsidRPr="00DB2C42" w:rsidRDefault="00AE6043" w:rsidP="00847BA5">
      <w:pPr>
        <w:pStyle w:val="Heading3"/>
        <w:jc w:val="left"/>
      </w:pPr>
      <w:bookmarkStart w:id="260" w:name="_Toc200810450"/>
      <w:bookmarkStart w:id="261" w:name="_Toc204848689"/>
      <w:r w:rsidRPr="00DB2C42">
        <w:t xml:space="preserve">Adipogenic </w:t>
      </w:r>
      <w:r w:rsidR="006E6769" w:rsidRPr="00DB2C42">
        <w:t>D</w:t>
      </w:r>
      <w:r w:rsidRPr="00DB2C42">
        <w:t>ifferentiation</w:t>
      </w:r>
      <w:bookmarkEnd w:id="260"/>
      <w:bookmarkEnd w:id="261"/>
      <w:r w:rsidRPr="00DB2C42">
        <w:t xml:space="preserve"> </w:t>
      </w:r>
    </w:p>
    <w:p w14:paraId="1AF85726" w14:textId="77777777" w:rsidR="00C54472" w:rsidRPr="00DB2C42" w:rsidRDefault="00C54472" w:rsidP="00C54472">
      <w:pPr>
        <w:ind w:firstLine="720"/>
        <w:jc w:val="left"/>
      </w:pPr>
      <w:r w:rsidRPr="00DC493F">
        <w:rPr>
          <w:i/>
          <w:iCs/>
        </w:rPr>
        <w:t>Ucp1</w:t>
      </w:r>
      <w:r w:rsidRPr="00DB2C42">
        <w:t xml:space="preserve"> </w:t>
      </w:r>
      <w:r>
        <w:t>KO</w:t>
      </w:r>
      <w:r w:rsidRPr="00DB2C42">
        <w:t xml:space="preserve"> 3T3-L1 preadipocytes (Clone 8B) and scrambled control (SCR) cells were differentiated using the protocol described in Chapter IV. Briefly, differentiation was induced with an induction medium (DMEM with 10% FBS, 5 μg/ml insulin, 1 μM Dex, 0.5 mM IBMX, 125 μM Indo, and 1 nM T3) for </w:t>
      </w:r>
      <w:r>
        <w:rPr>
          <w:rFonts w:hint="eastAsia"/>
          <w:lang w:eastAsia="zh-CN"/>
        </w:rPr>
        <w:t xml:space="preserve">3 </w:t>
      </w:r>
      <w:r w:rsidRPr="00DB2C42">
        <w:t xml:space="preserve">days followed by </w:t>
      </w:r>
      <w:r>
        <w:rPr>
          <w:rFonts w:hint="eastAsia"/>
          <w:lang w:eastAsia="zh-CN"/>
        </w:rPr>
        <w:t xml:space="preserve">4 </w:t>
      </w:r>
      <w:r w:rsidRPr="00DB2C42">
        <w:t xml:space="preserve">days in maintenance medium (DMEM with 10% FBS, 1% P/S, 5 ug/ml insulin, and 1 nM T3). During differentiation, cells were treated with either 1 μM rosiglitazone (ROSI), 0.1% DMSO (vehicle control), or no treatment (negative </w:t>
      </w:r>
      <w:r w:rsidRPr="00DB2C42">
        <w:lastRenderedPageBreak/>
        <w:t xml:space="preserve">control). On day 7, half of the cells were stimulated with 1 µM isoproterenol (ISO) for 6 hours to assess β-adrenergic responsiveness. ISO is a non-selective β-adrenergic agonist that mimics cold exposure </w:t>
      </w:r>
      <w:r w:rsidRPr="004B354A">
        <w:rPr>
          <w:i/>
        </w:rPr>
        <w:t>in vitro</w:t>
      </w:r>
      <w:r w:rsidRPr="00DB2C42">
        <w:fldChar w:fldCharType="begin"/>
      </w:r>
      <w:r>
        <w:instrText xml:space="preserve"> ADDIN ZOTERO_ITEM CSL_CITATION {"citationID":"WTzecx0N","properties":{"formattedCitation":"\\super 383\\nosupersub{}","plainCitation":"383","noteIndex":0},"citationItems":[{"id":2755,"uris":["http://zotero.org/users/9622455/items/IC94WJWK"],"itemData":{"id":2755,"type":"article-journal","abstract":"Adipose tissues are dynamic tissues that play crucial physiological roles in maintaining health and homeostasis. Although white adipose tissue and brown adipose tissue are currently considered key endocrine organs, they differ functionally and morphologically. The existence of the beige or brite adipocytes, cells displaying intermediary characteristics between white and brown adipocytes, illustrates the plastic nature of the adipose tissue. These cells are generated through white adipose tissue browning, a process associated with augmented non-shivering thermogenesis and metabolic capacity. This process involves the upregulation of the uncoupling protein 1, a molecule that uncouples the respiratory chain from Adenosine triphosphate synthesis, producing heat. β-3 adrenergic receptor system is one important mediator of white adipose tissue browning, during cold exposure. Surprisingly, hyperthermia may also induce beige activation and white adipose tissue beiging. Physical exercising copes with increased levels of specific molecules, including Beta-Aminoisobutyric acid, irisin, and Fibroblast growth factor 21 (FGF21), which induce adipose tissue browning. FGF21 is a stress-responsive hormone that interacts with beta-klotho. The central roles played by hormones in the browning process highlight the relevance of the individual lifestyle, including circadian rhythm and diet. Circadian rhythm involves the sleep–wake cycle and is regulated by melatonin, a hormone associated with UCP1 level upregulation. In contrast to the pro-inflammatory and adipose tissue disrupting effects of the western diet, specific food items, including capsaicin and n-3 polyunsaturated fatty acids, and dietary interventions such as calorie restriction and intermittent fasting, favor white adipose tissue browning and metabolic efficiency. The intestinal microbiome has also been pictured as a key factor in regulating white tissue browning, as it modulates bile acid levels, important molecules for the thermogenic program activation. During embryogenesis, in which adipose tissue formation is affected by Bone morphogenetic proteins that regulate gene expression, the stimuli herein discussed influence an orchestra of gene expression regulators, including a plethora of transcription factors, and chromatin remodeling enzymes, and non-coding RNAs. Considering the detrimental effects of adipose tissue browning and the disparities between adipose tissue characteristics in mice and humans, further efforts will benefit a better understanding of adipose tissue plasticity biology and its applicability to managing the overwhelming burden of several chronic diseases.","container-title":"Nutrition &amp; Metabolism","DOI":"10.1186/s12986-022-00694-0","ISSN":"1743-7075","issue":"1","journalAbbreviation":"Nutrition &amp; Metabolism","page":"61","source":"BioMed Central","title":"Browning of the white adipose tissue regulation: new insights into nutritional and metabolic relevance in health and diseases","title-short":"Browning of the white adipose tissue regulation","volume":"19","author":[{"family":"Machado","given":"Sabrina Azevedo"},{"family":"Pasquarelli-do-Nascimento","given":"Gabriel"},{"family":"Silva","given":"Debora Santos","non-dropping-particle":"da"},{"family":"Farias","given":"Gabriel Ribeiro"},{"family":"Oliveira Santos","given":"Igor","non-dropping-particle":"de"},{"family":"Baptista","given":"Luana Borges"},{"family":"Magalhães","given":"Kelly Grace"}],"issued":{"date-parts":[["2022",9,6]]}}}],"schema":"https://github.com/citation-style-language/schema/raw/master/csl-citation.json"} </w:instrText>
      </w:r>
      <w:r w:rsidRPr="00DB2C42">
        <w:fldChar w:fldCharType="separate"/>
      </w:r>
      <w:r w:rsidRPr="00F812BF">
        <w:rPr>
          <w:vertAlign w:val="superscript"/>
        </w:rPr>
        <w:t>383</w:t>
      </w:r>
      <w:r w:rsidRPr="00DB2C42">
        <w:fldChar w:fldCharType="end"/>
      </w:r>
      <w:r w:rsidRPr="00DB2C42">
        <w:t>.</w:t>
      </w:r>
    </w:p>
    <w:p w14:paraId="54003FC8" w14:textId="5119CA34" w:rsidR="00AE6043" w:rsidRPr="00DB2C42" w:rsidRDefault="00AE6043" w:rsidP="00847BA5">
      <w:pPr>
        <w:pStyle w:val="Heading3"/>
        <w:jc w:val="left"/>
      </w:pPr>
      <w:bookmarkStart w:id="262" w:name="_Toc200810451"/>
      <w:bookmarkStart w:id="263" w:name="_Toc204848690"/>
      <w:r w:rsidRPr="00DB2C42">
        <w:t>Semi-</w:t>
      </w:r>
      <w:r w:rsidR="00E540BB">
        <w:t>Q</w:t>
      </w:r>
      <w:r w:rsidRPr="00DB2C42">
        <w:t xml:space="preserve">uantitative </w:t>
      </w:r>
      <w:r w:rsidR="006E6769" w:rsidRPr="00DB2C42">
        <w:t>R</w:t>
      </w:r>
      <w:r w:rsidRPr="00DB2C42">
        <w:t>eal-time PCR (qRT-PCR)</w:t>
      </w:r>
      <w:bookmarkEnd w:id="262"/>
      <w:bookmarkEnd w:id="263"/>
    </w:p>
    <w:p w14:paraId="327A0F09" w14:textId="77777777" w:rsidR="00B723C7" w:rsidRPr="00DB2C42" w:rsidRDefault="00B723C7" w:rsidP="00B723C7">
      <w:pPr>
        <w:ind w:firstLine="720"/>
        <w:jc w:val="left"/>
      </w:pPr>
      <w:r w:rsidRPr="00DB2C42">
        <w:t xml:space="preserve">On day 7 of differentiation, total RNA was extracted via TRI Reagent (Molecular Research Center, Inc., Cincinnati, OH). Quantification and quality evaluation of the RNA were processed on a NanoDrop spectrophotometer (ThermoFisher Scientific, Waltham, MA). 2 µg of total RNA was reverse-transcribed to cDNA with the High-Capacity cDNA Reverse Transcription Kit (Applied Biosystems, Foster City, CA). The expression levels of </w:t>
      </w:r>
      <w:r w:rsidRPr="00DB2C42">
        <w:rPr>
          <w:i/>
          <w:iCs/>
        </w:rPr>
        <w:t>Pgc1α, Ucp1, Pparγ</w:t>
      </w:r>
      <w:r w:rsidRPr="00DB2C42">
        <w:t>, and Adiponectin were quantified using SYBR Green PCR Master Mix (Applied Biosystems, Foster City, CA) on a 7300 Real-Time PCR System (Applied Biosystems, Foster City, CA). Results are presented as folds of differences from the negative control group, while the 2^-ΔΔCt method was used to calculate the relative expression of target genes normalized by the housekeeping gene 36B4.</w:t>
      </w:r>
    </w:p>
    <w:p w14:paraId="7CB06B37" w14:textId="185FD2A6" w:rsidR="00AE6043" w:rsidRPr="00DB2C42" w:rsidRDefault="00AE6043" w:rsidP="00847BA5">
      <w:pPr>
        <w:pStyle w:val="Heading3"/>
        <w:jc w:val="left"/>
      </w:pPr>
      <w:bookmarkStart w:id="264" w:name="_Toc200810452"/>
      <w:bookmarkStart w:id="265" w:name="_Toc204848691"/>
      <w:r w:rsidRPr="00DB2C42">
        <w:t xml:space="preserve">Mitochondrial </w:t>
      </w:r>
      <w:r w:rsidR="006E6769" w:rsidRPr="00DB2C42">
        <w:t>S</w:t>
      </w:r>
      <w:r w:rsidRPr="00DB2C42">
        <w:t xml:space="preserve">tress </w:t>
      </w:r>
      <w:r w:rsidR="006E6769" w:rsidRPr="00DB2C42">
        <w:t>T</w:t>
      </w:r>
      <w:r w:rsidRPr="00DB2C42">
        <w:t xml:space="preserve">est </w:t>
      </w:r>
      <w:bookmarkEnd w:id="264"/>
      <w:bookmarkEnd w:id="265"/>
    </w:p>
    <w:p w14:paraId="32B0F8FD" w14:textId="77777777" w:rsidR="00750F46" w:rsidRPr="00DB2C42" w:rsidRDefault="00750F46" w:rsidP="00750F46">
      <w:pPr>
        <w:ind w:firstLine="720"/>
        <w:jc w:val="left"/>
      </w:pPr>
      <w:r w:rsidRPr="00DB2C42">
        <w:t>Mitochondrial respiration on differentiated adipocytes was measured using a Seahorse XFe24 Analyzer (Agilent Technologies, Santa Clara, CA). Cells were plated in 24-well microplates for three hours in a maintenance medium. The cell was washed and replaced with Seahorse XF assay medium with 10 mM glucose, 2 mM glutamine, and 1 mM sodium pyruvate. The cells were then placed in a 37°C incubator for one hour in a non-CO₂ incubator.</w:t>
      </w:r>
    </w:p>
    <w:p w14:paraId="4A4CDE85" w14:textId="78D96992" w:rsidR="00750F46" w:rsidRPr="00DB2C42" w:rsidRDefault="00750F46" w:rsidP="00750F46">
      <w:pPr>
        <w:ind w:firstLine="720"/>
        <w:jc w:val="left"/>
      </w:pPr>
      <w:r w:rsidRPr="00DB2C42">
        <w:t>Basal respiration, ATP-linked respiration, maximal respiration, and non-mitochondrial respiration were measured sequentially after adding oligomycin (1</w:t>
      </w:r>
      <w:r>
        <w:t>.5</w:t>
      </w:r>
      <w:r w:rsidRPr="00DB2C42">
        <w:t xml:space="preserve"> μM), FCCP (</w:t>
      </w:r>
      <w:r>
        <w:t>6.</w:t>
      </w:r>
      <w:r w:rsidRPr="00DB2C42">
        <w:t xml:space="preserve">5 μM), and </w:t>
      </w:r>
      <w:r w:rsidRPr="00DB2C42">
        <w:lastRenderedPageBreak/>
        <w:t>rotenone/antimycin A (</w:t>
      </w:r>
      <w:r>
        <w:t>1</w:t>
      </w:r>
      <w:r w:rsidRPr="00DB2C42">
        <w:t xml:space="preserve"> μM each). Measurement results from the experiments were exported as oxygen consumption respiration (OCR) </w:t>
      </w:r>
      <w:r>
        <w:t xml:space="preserve">over time </w:t>
      </w:r>
      <w:r w:rsidRPr="00DB2C42">
        <w:t xml:space="preserve">data and </w:t>
      </w:r>
      <w:r>
        <w:t xml:space="preserve">calculated as </w:t>
      </w:r>
      <w:r w:rsidRPr="00DB2C42">
        <w:t>OCR</w:t>
      </w:r>
      <w:r>
        <w:t>-</w:t>
      </w:r>
      <w:r w:rsidRPr="00DB2C42">
        <w:t>linked basal and maximal respiration, proton leak, and ATP-linked respiration and coupling efficiency</w:t>
      </w:r>
      <w:r>
        <w:t xml:space="preserve">, based on the manufacturer’s instructions. </w:t>
      </w:r>
    </w:p>
    <w:p w14:paraId="4C120C0B" w14:textId="5DA16783" w:rsidR="00AE6043" w:rsidRPr="00DB2C42" w:rsidRDefault="00AE6043" w:rsidP="00847BA5">
      <w:pPr>
        <w:pStyle w:val="Heading3"/>
        <w:jc w:val="left"/>
      </w:pPr>
      <w:bookmarkStart w:id="266" w:name="_Toc200810453"/>
      <w:bookmarkStart w:id="267" w:name="_Toc204848692"/>
      <w:r w:rsidRPr="00DB2C42">
        <w:t xml:space="preserve">Insulin </w:t>
      </w:r>
      <w:r w:rsidR="006E6769" w:rsidRPr="00DB2C42">
        <w:t>S</w:t>
      </w:r>
      <w:r w:rsidRPr="00DB2C42">
        <w:t xml:space="preserve">ignaling </w:t>
      </w:r>
      <w:r w:rsidR="005C55C1">
        <w:t xml:space="preserve">Study </w:t>
      </w:r>
      <w:r w:rsidRPr="00DB2C42">
        <w:t xml:space="preserve">and </w:t>
      </w:r>
      <w:r w:rsidR="006E6769" w:rsidRPr="00DB2C42">
        <w:t>W</w:t>
      </w:r>
      <w:r w:rsidRPr="00DB2C42">
        <w:t xml:space="preserve">estern </w:t>
      </w:r>
      <w:r w:rsidR="006E6769" w:rsidRPr="00DB2C42">
        <w:t>B</w:t>
      </w:r>
      <w:r w:rsidRPr="00DB2C42">
        <w:t xml:space="preserve">lot </w:t>
      </w:r>
      <w:r w:rsidR="006E6769" w:rsidRPr="00DB2C42">
        <w:t>A</w:t>
      </w:r>
      <w:r w:rsidRPr="00DB2C42">
        <w:t>nalysis</w:t>
      </w:r>
      <w:bookmarkEnd w:id="266"/>
      <w:bookmarkEnd w:id="267"/>
    </w:p>
    <w:p w14:paraId="474222B7" w14:textId="77777777" w:rsidR="005E1643" w:rsidRPr="00DB2C42" w:rsidRDefault="005E1643" w:rsidP="005E1643">
      <w:pPr>
        <w:ind w:firstLine="720"/>
        <w:jc w:val="left"/>
      </w:pPr>
      <w:r w:rsidRPr="00DB2C42">
        <w:t>At day 7 of differentiation, cells were serum starved for 15-16 h</w:t>
      </w:r>
      <w:r>
        <w:t>r</w:t>
      </w:r>
      <w:r w:rsidRPr="00DB2C42">
        <w:t xml:space="preserve"> followed by insulin </w:t>
      </w:r>
      <w:r>
        <w:t>(</w:t>
      </w:r>
      <w:r w:rsidRPr="00DB2C42">
        <w:t>50 nM</w:t>
      </w:r>
      <w:r>
        <w:t>)</w:t>
      </w:r>
      <w:r w:rsidRPr="00DB2C42">
        <w:t xml:space="preserve"> stimulation for 20 minutes at 37°C. Post-stimulation cells were lysed in RIPA buffer (Cell Signaling Technology, Danvers, MA) containing protease and phosphatase inhibitor cocktails. Protein concentration was determined using the Pierce™ BCA Protein Assay Kit (ThermoFisher Scientific). Equal amounts of protein were loaded onto SDS-PAGE gels and transferred to PVDF membranes. Membranes were blocked with 5% non-fat milk, followed by incubation with primary antibodies anti-phospho-AKT Ser473 (1:1000;</w:t>
      </w:r>
      <w:r>
        <w:t xml:space="preserve"> </w:t>
      </w:r>
      <w:r w:rsidRPr="00DB2C42">
        <w:t xml:space="preserve">Cell Signaling Technology; Cat# 4060S), anti-total AKT (1:1000; Cell Signaling Technology; Cat# 9272), anti-ERK1/2 (1:2000; Cell Signaling Technology; Cat# 4695S) </w:t>
      </w:r>
      <w:r>
        <w:t>or</w:t>
      </w:r>
      <w:r w:rsidRPr="00DB2C42">
        <w:t xml:space="preserve"> anti-ERK1/2 (1:2000; Cell Signaling Technology; Cat# 9102S) at 4°C overnight. ERK1/2 was used as a loading control. Subsequently, membranes were washed and incubated with HRP-conjugated secondary antibodies (1:4000; Cell Signaling Technology; Cat# 7074S) for 1 </w:t>
      </w:r>
      <w:r>
        <w:t>hr</w:t>
      </w:r>
      <w:r w:rsidRPr="00DB2C42">
        <w:t xml:space="preserve"> at room temperature. Protein bands were detected using the chemiluminescent substrate SuperSignal™ West Pico PLUS or </w:t>
      </w:r>
      <w:r w:rsidRPr="00DB2C42">
        <w:rPr>
          <w:color w:val="000000"/>
          <w:shd w:val="clear" w:color="auto" w:fill="FFFFFF"/>
        </w:rPr>
        <w:t xml:space="preserve">West Femto Maximum Sensitivity Substrate </w:t>
      </w:r>
      <w:r w:rsidRPr="00DB2C42">
        <w:t>(ThermoFisher Scientific</w:t>
      </w:r>
      <w:r>
        <w:rPr>
          <w:lang w:eastAsia="zh-CN"/>
        </w:rPr>
        <w:t>, Waltham, MA</w:t>
      </w:r>
      <w:r w:rsidRPr="00DB2C42">
        <w:t xml:space="preserve">) </w:t>
      </w:r>
      <w:r w:rsidRPr="00DB2C42">
        <w:rPr>
          <w:color w:val="000000"/>
          <w:shd w:val="clear" w:color="auto" w:fill="FFFFFF"/>
        </w:rPr>
        <w:t>and</w:t>
      </w:r>
      <w:r w:rsidRPr="00DB2C42">
        <w:t xml:space="preserve"> imaged with the ChemiDoc XRS+ (Bio-Rad, Hercules, CA). Band intensity was quantified using ImageJ (NIH, Bethesda, MD). AKT phosphorylation was calculated as the ratio of p-AKT to total AKT.</w:t>
      </w:r>
    </w:p>
    <w:p w14:paraId="169A7AB2" w14:textId="43778729" w:rsidR="00AE6043" w:rsidRPr="00DB2C42" w:rsidRDefault="00AE6043" w:rsidP="00847BA5">
      <w:pPr>
        <w:pStyle w:val="Heading3"/>
        <w:jc w:val="left"/>
      </w:pPr>
      <w:bookmarkStart w:id="268" w:name="_Toc200810454"/>
      <w:bookmarkStart w:id="269" w:name="_Toc204848693"/>
      <w:r w:rsidRPr="00DB2C42">
        <w:lastRenderedPageBreak/>
        <w:t xml:space="preserve">Statistical </w:t>
      </w:r>
      <w:r w:rsidR="006E6769" w:rsidRPr="00DB2C42">
        <w:t>A</w:t>
      </w:r>
      <w:r w:rsidRPr="00DB2C42">
        <w:t>nalysis</w:t>
      </w:r>
      <w:bookmarkEnd w:id="268"/>
      <w:bookmarkEnd w:id="269"/>
    </w:p>
    <w:p w14:paraId="3F61AD0C" w14:textId="2D37C1DC" w:rsidR="00AE6043" w:rsidRPr="00DB2C42" w:rsidRDefault="00706329" w:rsidP="00E876F2">
      <w:pPr>
        <w:ind w:firstLine="720"/>
        <w:jc w:val="left"/>
      </w:pPr>
      <w:r w:rsidRPr="00DB2C42">
        <w:t xml:space="preserve">Data are presented as mean ± standard error of the mean (SEM). </w:t>
      </w:r>
      <w:r w:rsidRPr="005F54A5">
        <w:t>Different statistical methods were applied as appropriate based on the experimental design and data distribution.</w:t>
      </w:r>
      <w:r>
        <w:t xml:space="preserve"> Two-way ANOVA was used for </w:t>
      </w:r>
      <w:r w:rsidR="001561A6" w:rsidRPr="001561A6">
        <w:rPr>
          <w:b/>
          <w:bCs/>
        </w:rPr>
        <w:fldChar w:fldCharType="begin"/>
      </w:r>
      <w:r w:rsidR="001561A6" w:rsidRPr="001561A6">
        <w:rPr>
          <w:b/>
          <w:bCs/>
        </w:rPr>
        <w:instrText xml:space="preserve"> REF _Ref200808972 \h  \* MERGEFORMAT </w:instrText>
      </w:r>
      <w:r w:rsidR="001561A6" w:rsidRPr="001561A6">
        <w:rPr>
          <w:b/>
          <w:bCs/>
        </w:rPr>
      </w:r>
      <w:r w:rsidR="001561A6" w:rsidRPr="001561A6">
        <w:rPr>
          <w:b/>
          <w:bCs/>
        </w:rPr>
        <w:fldChar w:fldCharType="separate"/>
      </w:r>
      <w:r w:rsidR="001561A6" w:rsidRPr="001561A6">
        <w:rPr>
          <w:b/>
          <w:bCs/>
        </w:rPr>
        <w:t xml:space="preserve">Figure </w:t>
      </w:r>
      <w:r w:rsidR="001561A6" w:rsidRPr="001561A6">
        <w:rPr>
          <w:b/>
          <w:bCs/>
          <w:noProof/>
        </w:rPr>
        <w:t>5</w:t>
      </w:r>
      <w:r w:rsidR="001561A6" w:rsidRPr="001561A6">
        <w:rPr>
          <w:b/>
          <w:bCs/>
        </w:rPr>
        <w:t>.</w:t>
      </w:r>
      <w:r w:rsidR="001561A6" w:rsidRPr="001561A6">
        <w:rPr>
          <w:b/>
          <w:bCs/>
          <w:noProof/>
        </w:rPr>
        <w:t>5</w:t>
      </w:r>
      <w:r w:rsidR="001561A6" w:rsidRPr="001561A6">
        <w:rPr>
          <w:b/>
          <w:bCs/>
        </w:rPr>
        <w:fldChar w:fldCharType="end"/>
      </w:r>
      <w:r w:rsidR="001561A6">
        <w:rPr>
          <w:b/>
          <w:bCs/>
        </w:rPr>
        <w:t xml:space="preserve"> </w:t>
      </w:r>
      <w:r w:rsidR="00E84669" w:rsidRPr="0012645C">
        <w:rPr>
          <w:b/>
          <w:bCs/>
        </w:rPr>
        <w:t>(B, C);</w:t>
      </w:r>
      <w:r w:rsidR="00E84669">
        <w:t xml:space="preserve"> </w:t>
      </w:r>
      <w:r w:rsidR="001561A6" w:rsidRPr="001561A6">
        <w:rPr>
          <w:b/>
          <w:bCs/>
        </w:rPr>
        <w:fldChar w:fldCharType="begin"/>
      </w:r>
      <w:r w:rsidR="001561A6" w:rsidRPr="001561A6">
        <w:rPr>
          <w:b/>
          <w:bCs/>
        </w:rPr>
        <w:instrText xml:space="preserve"> REF _Ref200809085 \h  \* MERGEFORMAT </w:instrText>
      </w:r>
      <w:r w:rsidR="001561A6" w:rsidRPr="001561A6">
        <w:rPr>
          <w:b/>
          <w:bCs/>
        </w:rPr>
      </w:r>
      <w:r w:rsidR="001561A6" w:rsidRPr="001561A6">
        <w:rPr>
          <w:b/>
          <w:bCs/>
        </w:rPr>
        <w:fldChar w:fldCharType="separate"/>
      </w:r>
      <w:r w:rsidR="001561A6" w:rsidRPr="001561A6">
        <w:rPr>
          <w:b/>
          <w:bCs/>
        </w:rPr>
        <w:t xml:space="preserve">Figure </w:t>
      </w:r>
      <w:r w:rsidR="001561A6" w:rsidRPr="001561A6">
        <w:rPr>
          <w:b/>
          <w:bCs/>
          <w:noProof/>
        </w:rPr>
        <w:t>5</w:t>
      </w:r>
      <w:r w:rsidR="001561A6" w:rsidRPr="001561A6">
        <w:rPr>
          <w:b/>
          <w:bCs/>
        </w:rPr>
        <w:t>.</w:t>
      </w:r>
      <w:r w:rsidR="001561A6" w:rsidRPr="001561A6">
        <w:rPr>
          <w:b/>
          <w:bCs/>
          <w:noProof/>
        </w:rPr>
        <w:t>6</w:t>
      </w:r>
      <w:r w:rsidR="001561A6" w:rsidRPr="001561A6">
        <w:rPr>
          <w:b/>
          <w:bCs/>
        </w:rPr>
        <w:fldChar w:fldCharType="end"/>
      </w:r>
      <w:r w:rsidR="00E84669" w:rsidRPr="0012645C">
        <w:rPr>
          <w:b/>
          <w:bCs/>
        </w:rPr>
        <w:t>B</w:t>
      </w:r>
      <w:r w:rsidR="000360ED" w:rsidRPr="0012645C">
        <w:rPr>
          <w:b/>
          <w:bCs/>
        </w:rPr>
        <w:t xml:space="preserve"> and</w:t>
      </w:r>
      <w:r w:rsidR="001561A6">
        <w:rPr>
          <w:b/>
          <w:bCs/>
        </w:rPr>
        <w:t xml:space="preserve"> </w:t>
      </w:r>
      <w:r w:rsidR="001561A6" w:rsidRPr="001561A6">
        <w:rPr>
          <w:b/>
          <w:bCs/>
        </w:rPr>
        <w:fldChar w:fldCharType="begin"/>
      </w:r>
      <w:r w:rsidR="001561A6" w:rsidRPr="001561A6">
        <w:rPr>
          <w:b/>
          <w:bCs/>
        </w:rPr>
        <w:instrText xml:space="preserve"> REF _Ref200809100 \h  \* MERGEFORMAT </w:instrText>
      </w:r>
      <w:r w:rsidR="001561A6" w:rsidRPr="001561A6">
        <w:rPr>
          <w:b/>
          <w:bCs/>
        </w:rPr>
      </w:r>
      <w:r w:rsidR="001561A6" w:rsidRPr="001561A6">
        <w:rPr>
          <w:b/>
          <w:bCs/>
        </w:rPr>
        <w:fldChar w:fldCharType="separate"/>
      </w:r>
      <w:r w:rsidR="001561A6" w:rsidRPr="001561A6">
        <w:rPr>
          <w:b/>
          <w:bCs/>
        </w:rPr>
        <w:t xml:space="preserve">Figure </w:t>
      </w:r>
      <w:r w:rsidR="001561A6" w:rsidRPr="001561A6">
        <w:rPr>
          <w:b/>
          <w:bCs/>
          <w:noProof/>
        </w:rPr>
        <w:t>5</w:t>
      </w:r>
      <w:r w:rsidR="001561A6" w:rsidRPr="001561A6">
        <w:rPr>
          <w:b/>
          <w:bCs/>
        </w:rPr>
        <w:t>.</w:t>
      </w:r>
      <w:r w:rsidR="001561A6" w:rsidRPr="001561A6">
        <w:rPr>
          <w:b/>
          <w:bCs/>
          <w:noProof/>
        </w:rPr>
        <w:t>7</w:t>
      </w:r>
      <w:r w:rsidR="001561A6" w:rsidRPr="001561A6">
        <w:rPr>
          <w:b/>
          <w:bCs/>
        </w:rPr>
        <w:fldChar w:fldCharType="end"/>
      </w:r>
      <w:r w:rsidR="000360ED">
        <w:t>.</w:t>
      </w:r>
      <w:r w:rsidR="00E84669">
        <w:t xml:space="preserve"> </w:t>
      </w:r>
      <w:r w:rsidR="00AE6043" w:rsidRPr="00DB2C42">
        <w:t xml:space="preserve">Student’s t-tests </w:t>
      </w:r>
      <w:r w:rsidR="005F54A5">
        <w:rPr>
          <w:rFonts w:hint="eastAsia"/>
          <w:lang w:eastAsia="zh-CN"/>
        </w:rPr>
        <w:t>were</w:t>
      </w:r>
      <w:r w:rsidR="005F54A5">
        <w:rPr>
          <w:lang w:eastAsia="zh-CN"/>
        </w:rPr>
        <w:t xml:space="preserve"> used </w:t>
      </w:r>
      <w:r w:rsidR="00855659">
        <w:t xml:space="preserve">for </w:t>
      </w:r>
      <w:r w:rsidR="001561A6" w:rsidRPr="001561A6">
        <w:rPr>
          <w:b/>
          <w:bCs/>
        </w:rPr>
        <w:fldChar w:fldCharType="begin"/>
      </w:r>
      <w:r w:rsidR="001561A6" w:rsidRPr="001561A6">
        <w:rPr>
          <w:b/>
          <w:bCs/>
        </w:rPr>
        <w:instrText xml:space="preserve"> REF _Ref200808972 \h  \* MERGEFORMAT </w:instrText>
      </w:r>
      <w:r w:rsidR="001561A6" w:rsidRPr="001561A6">
        <w:rPr>
          <w:b/>
          <w:bCs/>
        </w:rPr>
      </w:r>
      <w:r w:rsidR="001561A6" w:rsidRPr="001561A6">
        <w:rPr>
          <w:b/>
          <w:bCs/>
        </w:rPr>
        <w:fldChar w:fldCharType="separate"/>
      </w:r>
      <w:r w:rsidR="001561A6" w:rsidRPr="001561A6">
        <w:rPr>
          <w:b/>
          <w:bCs/>
        </w:rPr>
        <w:t xml:space="preserve">Figure </w:t>
      </w:r>
      <w:r w:rsidR="001561A6" w:rsidRPr="001561A6">
        <w:rPr>
          <w:b/>
          <w:bCs/>
          <w:noProof/>
        </w:rPr>
        <w:t>5</w:t>
      </w:r>
      <w:r w:rsidR="001561A6" w:rsidRPr="001561A6">
        <w:rPr>
          <w:b/>
          <w:bCs/>
        </w:rPr>
        <w:t>.</w:t>
      </w:r>
      <w:r w:rsidR="001561A6" w:rsidRPr="001561A6">
        <w:rPr>
          <w:b/>
          <w:bCs/>
          <w:noProof/>
        </w:rPr>
        <w:t>5</w:t>
      </w:r>
      <w:r w:rsidR="001561A6" w:rsidRPr="001561A6">
        <w:rPr>
          <w:b/>
          <w:bCs/>
        </w:rPr>
        <w:fldChar w:fldCharType="end"/>
      </w:r>
      <w:r w:rsidR="001561A6">
        <w:rPr>
          <w:b/>
          <w:bCs/>
        </w:rPr>
        <w:t xml:space="preserve"> </w:t>
      </w:r>
      <w:r w:rsidR="003F526C" w:rsidRPr="0012645C">
        <w:rPr>
          <w:b/>
          <w:bCs/>
        </w:rPr>
        <w:t>(</w:t>
      </w:r>
      <w:r w:rsidR="001561A6">
        <w:rPr>
          <w:b/>
          <w:bCs/>
        </w:rPr>
        <w:t>E</w:t>
      </w:r>
      <w:r w:rsidR="003F526C" w:rsidRPr="0012645C">
        <w:rPr>
          <w:b/>
          <w:bCs/>
        </w:rPr>
        <w:t>-I)</w:t>
      </w:r>
      <w:r w:rsidR="006D175F" w:rsidRPr="0012645C">
        <w:t xml:space="preserve">. </w:t>
      </w:r>
      <w:r w:rsidR="000360ED">
        <w:t xml:space="preserve">One-way ANOVA was used for </w:t>
      </w:r>
      <w:r w:rsidR="001561A6" w:rsidRPr="001561A6">
        <w:rPr>
          <w:b/>
          <w:bCs/>
        </w:rPr>
        <w:fldChar w:fldCharType="begin"/>
      </w:r>
      <w:r w:rsidR="001561A6" w:rsidRPr="001561A6">
        <w:rPr>
          <w:b/>
          <w:bCs/>
        </w:rPr>
        <w:instrText xml:space="preserve"> REF _Ref200809085 \h  \* MERGEFORMAT </w:instrText>
      </w:r>
      <w:r w:rsidR="001561A6" w:rsidRPr="001561A6">
        <w:rPr>
          <w:b/>
          <w:bCs/>
        </w:rPr>
      </w:r>
      <w:r w:rsidR="001561A6" w:rsidRPr="001561A6">
        <w:rPr>
          <w:b/>
          <w:bCs/>
        </w:rPr>
        <w:fldChar w:fldCharType="separate"/>
      </w:r>
      <w:r w:rsidR="001561A6" w:rsidRPr="001561A6">
        <w:rPr>
          <w:b/>
          <w:bCs/>
        </w:rPr>
        <w:t xml:space="preserve">Figure </w:t>
      </w:r>
      <w:r w:rsidR="001561A6" w:rsidRPr="001561A6">
        <w:rPr>
          <w:b/>
          <w:bCs/>
          <w:noProof/>
        </w:rPr>
        <w:t>5</w:t>
      </w:r>
      <w:r w:rsidR="001561A6" w:rsidRPr="001561A6">
        <w:rPr>
          <w:b/>
          <w:bCs/>
        </w:rPr>
        <w:t>.</w:t>
      </w:r>
      <w:r w:rsidR="001561A6" w:rsidRPr="001561A6">
        <w:rPr>
          <w:b/>
          <w:bCs/>
          <w:noProof/>
        </w:rPr>
        <w:t>6</w:t>
      </w:r>
      <w:r w:rsidR="001561A6" w:rsidRPr="001561A6">
        <w:rPr>
          <w:b/>
          <w:bCs/>
        </w:rPr>
        <w:fldChar w:fldCharType="end"/>
      </w:r>
      <w:r w:rsidR="00847BDB" w:rsidRPr="0012645C">
        <w:rPr>
          <w:b/>
          <w:bCs/>
        </w:rPr>
        <w:t>A</w:t>
      </w:r>
      <w:r w:rsidR="00847BDB">
        <w:t xml:space="preserve">. </w:t>
      </w:r>
      <w:r w:rsidR="00AE6043" w:rsidRPr="00DB2C42">
        <w:t>A p-value &lt; 0.05 was considered statistically significant. All statistical analyses were performed using GraphPad Prism 9 (GraphPad Software, San Diego, CA).</w:t>
      </w:r>
    </w:p>
    <w:p w14:paraId="2138698C" w14:textId="77777777" w:rsidR="00AE6043" w:rsidRPr="00DB2C42" w:rsidRDefault="00AE6043" w:rsidP="00847BA5">
      <w:pPr>
        <w:pStyle w:val="Heading2"/>
        <w:jc w:val="left"/>
      </w:pPr>
      <w:bookmarkStart w:id="270" w:name="_Toc200810455"/>
      <w:bookmarkStart w:id="271" w:name="_Toc204848694"/>
      <w:r w:rsidRPr="00DB2C42">
        <w:t>Results</w:t>
      </w:r>
      <w:bookmarkEnd w:id="270"/>
      <w:bookmarkEnd w:id="271"/>
    </w:p>
    <w:p w14:paraId="0C35DE94" w14:textId="14D16C96" w:rsidR="00AE6043" w:rsidRPr="00DB2C42" w:rsidRDefault="00AE6043" w:rsidP="00847BA5">
      <w:pPr>
        <w:pStyle w:val="Heading3"/>
        <w:jc w:val="left"/>
      </w:pPr>
      <w:bookmarkStart w:id="272" w:name="_Toc200810456"/>
      <w:bookmarkStart w:id="273" w:name="_Toc204848695"/>
      <w:r w:rsidRPr="00DB2C42">
        <w:t>Validation of U</w:t>
      </w:r>
      <w:r w:rsidR="005C55C1">
        <w:t>cp</w:t>
      </w:r>
      <w:r w:rsidRPr="00DB2C42">
        <w:t xml:space="preserve">1 </w:t>
      </w:r>
      <w:r w:rsidR="006E6769" w:rsidRPr="00DB2C42">
        <w:t>K</w:t>
      </w:r>
      <w:r w:rsidRPr="00DB2C42">
        <w:t xml:space="preserve">nockout in 3T3-L1 </w:t>
      </w:r>
      <w:r w:rsidR="006E6769" w:rsidRPr="00DB2C42">
        <w:t>C</w:t>
      </w:r>
      <w:r w:rsidRPr="00DB2C42">
        <w:t>ells</w:t>
      </w:r>
      <w:bookmarkEnd w:id="272"/>
      <w:bookmarkEnd w:id="273"/>
    </w:p>
    <w:p w14:paraId="5358BFFF" w14:textId="77777777" w:rsidR="0080222C" w:rsidRPr="00DB2C42" w:rsidRDefault="0080222C" w:rsidP="0080222C">
      <w:pPr>
        <w:ind w:firstLine="720"/>
        <w:jc w:val="left"/>
      </w:pPr>
      <w:r w:rsidRPr="00DB2C42">
        <w:t>Fluorescence microscopy confirmed co-expression of Cas9-GFP and sgRNA-</w:t>
      </w:r>
      <w:r>
        <w:t>c</w:t>
      </w:r>
      <w:r w:rsidRPr="00DB2C42">
        <w:t>herry</w:t>
      </w:r>
      <w:r>
        <w:t xml:space="preserve"> red </w:t>
      </w:r>
      <w:r w:rsidRPr="00065AD6">
        <w:t>prior to individual clone selection through serial dilution</w:t>
      </w:r>
      <w:r w:rsidRPr="00DB2C42">
        <w:t xml:space="preserve"> (</w:t>
      </w:r>
      <w:r w:rsidRPr="0012645C">
        <w:rPr>
          <w:b/>
          <w:bCs/>
        </w:rPr>
        <w:fldChar w:fldCharType="begin"/>
      </w:r>
      <w:r w:rsidRPr="0012645C">
        <w:rPr>
          <w:b/>
          <w:bCs/>
        </w:rPr>
        <w:instrText xml:space="preserve"> REF _Ref200808866 \h  \* MERGEFORMAT </w:instrText>
      </w:r>
      <w:r w:rsidRPr="0012645C">
        <w:rPr>
          <w:b/>
          <w:bCs/>
        </w:rPr>
      </w:r>
      <w:r w:rsidRPr="0012645C">
        <w:rPr>
          <w:b/>
          <w:bCs/>
        </w:rPr>
        <w:fldChar w:fldCharType="separate"/>
      </w:r>
      <w:r w:rsidRPr="002C13D1">
        <w:rPr>
          <w:b/>
          <w:bCs/>
        </w:rPr>
        <w:t xml:space="preserve">Figure </w:t>
      </w:r>
      <w:r w:rsidRPr="002C13D1">
        <w:rPr>
          <w:b/>
          <w:bCs/>
          <w:noProof/>
        </w:rPr>
        <w:t>5.4</w:t>
      </w:r>
      <w:r w:rsidRPr="0012645C">
        <w:rPr>
          <w:b/>
          <w:bCs/>
        </w:rPr>
        <w:fldChar w:fldCharType="end"/>
      </w:r>
      <w:r w:rsidRPr="0012645C">
        <w:rPr>
          <w:b/>
          <w:bCs/>
        </w:rPr>
        <w:t>A-D</w:t>
      </w:r>
      <w:r w:rsidRPr="00DB2C42">
        <w:t xml:space="preserve">). Genomic PCR demonstrated the absence of the </w:t>
      </w:r>
      <w:r w:rsidRPr="00DC493F">
        <w:rPr>
          <w:i/>
          <w:iCs/>
        </w:rPr>
        <w:t>Ucp1</w:t>
      </w:r>
      <w:r w:rsidRPr="00DB2C42">
        <w:t xml:space="preserve"> band in clone 8B, while the housekeeping gene </w:t>
      </w:r>
      <w:r w:rsidRPr="00DC493F">
        <w:rPr>
          <w:i/>
          <w:iCs/>
        </w:rPr>
        <w:t>sEH</w:t>
      </w:r>
      <w:r w:rsidRPr="00DB2C42">
        <w:t xml:space="preserve"> was consistently amplified, confirming DNA integrity (</w:t>
      </w:r>
      <w:r w:rsidRPr="0012645C">
        <w:rPr>
          <w:b/>
          <w:bCs/>
        </w:rPr>
        <w:fldChar w:fldCharType="begin"/>
      </w:r>
      <w:r w:rsidRPr="0012645C">
        <w:rPr>
          <w:b/>
          <w:bCs/>
        </w:rPr>
        <w:instrText xml:space="preserve"> REF _Ref200808866 \h  \* MERGEFORMAT </w:instrText>
      </w:r>
      <w:r w:rsidRPr="0012645C">
        <w:rPr>
          <w:b/>
          <w:bCs/>
        </w:rPr>
      </w:r>
      <w:r w:rsidRPr="0012645C">
        <w:rPr>
          <w:b/>
          <w:bCs/>
        </w:rPr>
        <w:fldChar w:fldCharType="separate"/>
      </w:r>
      <w:r w:rsidRPr="002C13D1">
        <w:rPr>
          <w:b/>
          <w:bCs/>
        </w:rPr>
        <w:t xml:space="preserve">Figure </w:t>
      </w:r>
      <w:r w:rsidRPr="002C13D1">
        <w:rPr>
          <w:b/>
          <w:bCs/>
          <w:noProof/>
        </w:rPr>
        <w:t>5.4</w:t>
      </w:r>
      <w:r w:rsidRPr="0012645C">
        <w:rPr>
          <w:b/>
          <w:bCs/>
        </w:rPr>
        <w:fldChar w:fldCharType="end"/>
      </w:r>
      <w:r w:rsidRPr="0012645C">
        <w:rPr>
          <w:b/>
          <w:bCs/>
        </w:rPr>
        <w:t>E-F</w:t>
      </w:r>
      <w:r w:rsidRPr="00DB2C42">
        <w:t xml:space="preserve">). To confirm disruption of the </w:t>
      </w:r>
      <w:r w:rsidRPr="00DC493F">
        <w:rPr>
          <w:i/>
          <w:iCs/>
        </w:rPr>
        <w:t>Ucp1</w:t>
      </w:r>
      <w:r w:rsidRPr="00DB2C42">
        <w:t xml:space="preserve"> locus, PCR amplicons were subjected to </w:t>
      </w:r>
      <w:r>
        <w:t>S</w:t>
      </w:r>
      <w:r w:rsidRPr="00DB2C42">
        <w:t>anger sequencing (</w:t>
      </w:r>
      <w:r w:rsidRPr="0012645C">
        <w:rPr>
          <w:b/>
          <w:bCs/>
        </w:rPr>
        <w:fldChar w:fldCharType="begin"/>
      </w:r>
      <w:r w:rsidRPr="0012645C">
        <w:rPr>
          <w:b/>
          <w:bCs/>
        </w:rPr>
        <w:instrText xml:space="preserve"> REF _Ref200808866 \h  \* MERGEFORMAT </w:instrText>
      </w:r>
      <w:r w:rsidRPr="0012645C">
        <w:rPr>
          <w:b/>
          <w:bCs/>
        </w:rPr>
      </w:r>
      <w:r w:rsidRPr="0012645C">
        <w:rPr>
          <w:b/>
          <w:bCs/>
        </w:rPr>
        <w:fldChar w:fldCharType="separate"/>
      </w:r>
      <w:r w:rsidRPr="002C13D1">
        <w:rPr>
          <w:b/>
          <w:bCs/>
        </w:rPr>
        <w:t xml:space="preserve">Figure </w:t>
      </w:r>
      <w:r w:rsidRPr="002C13D1">
        <w:rPr>
          <w:b/>
          <w:bCs/>
          <w:noProof/>
        </w:rPr>
        <w:t>5.4</w:t>
      </w:r>
      <w:r w:rsidRPr="0012645C">
        <w:rPr>
          <w:b/>
          <w:bCs/>
        </w:rPr>
        <w:fldChar w:fldCharType="end"/>
      </w:r>
      <w:r w:rsidRPr="0012645C">
        <w:rPr>
          <w:b/>
          <w:bCs/>
        </w:rPr>
        <w:t>G</w:t>
      </w:r>
      <w:r w:rsidRPr="00DB2C42">
        <w:t xml:space="preserve">). Sequences were aligned to the reference </w:t>
      </w:r>
      <w:r w:rsidRPr="00DC493F">
        <w:rPr>
          <w:i/>
          <w:iCs/>
        </w:rPr>
        <w:t>Ucp1</w:t>
      </w:r>
      <w:r w:rsidRPr="00DB2C42">
        <w:t xml:space="preserve"> locus using the Nucleotide BLAST tool of the National Library of Medicine. </w:t>
      </w:r>
      <w:r w:rsidRPr="004140C0">
        <w:t xml:space="preserve">We </w:t>
      </w:r>
      <w:r>
        <w:t>attempted</w:t>
      </w:r>
      <w:r w:rsidRPr="004140C0">
        <w:t xml:space="preserve"> to use flow cytometry to sort </w:t>
      </w:r>
      <w:r>
        <w:t>individual</w:t>
      </w:r>
      <w:r w:rsidRPr="004140C0">
        <w:t xml:space="preserve"> cell</w:t>
      </w:r>
      <w:r>
        <w:t>s</w:t>
      </w:r>
      <w:r w:rsidRPr="004140C0">
        <w:t xml:space="preserve"> with both green and cherry red expression into single well</w:t>
      </w:r>
      <w:r>
        <w:t>s</w:t>
      </w:r>
      <w:r w:rsidRPr="004140C0">
        <w:t xml:space="preserve"> of </w:t>
      </w:r>
      <w:r>
        <w:rPr>
          <w:rFonts w:hint="eastAsia"/>
          <w:lang w:eastAsia="zh-CN"/>
        </w:rPr>
        <w:t>a</w:t>
      </w:r>
      <w:r>
        <w:rPr>
          <w:lang w:eastAsia="zh-CN"/>
        </w:rPr>
        <w:t xml:space="preserve"> </w:t>
      </w:r>
      <w:r w:rsidRPr="004140C0">
        <w:t>96</w:t>
      </w:r>
      <w:r>
        <w:t xml:space="preserve">-wells </w:t>
      </w:r>
      <w:r w:rsidRPr="004140C0">
        <w:t>plate. However, we found that co-transfected 3T3-L1 cells</w:t>
      </w:r>
      <w:r>
        <w:t xml:space="preserve"> were</w:t>
      </w:r>
      <w:r w:rsidRPr="004140C0">
        <w:t xml:space="preserve"> </w:t>
      </w:r>
      <w:r>
        <w:t>un</w:t>
      </w:r>
      <w:r w:rsidRPr="004140C0">
        <w:t>able to survive beyond 3-4 days</w:t>
      </w:r>
      <w:r>
        <w:t xml:space="preserve"> when cultured individually</w:t>
      </w:r>
      <w:r w:rsidRPr="004140C0">
        <w:t xml:space="preserve">. We then </w:t>
      </w:r>
      <w:r>
        <w:t>adopted a</w:t>
      </w:r>
      <w:r>
        <w:rPr>
          <w:lang w:eastAsia="zh-CN"/>
        </w:rPr>
        <w:t xml:space="preserve"> </w:t>
      </w:r>
      <w:r w:rsidRPr="004140C0">
        <w:t>serial dilution approach</w:t>
      </w:r>
      <w:r>
        <w:t xml:space="preserve">. </w:t>
      </w:r>
      <w:r>
        <w:rPr>
          <w:lang w:eastAsia="zh-CN"/>
        </w:rPr>
        <w:t>H</w:t>
      </w:r>
      <w:r w:rsidRPr="000756DE">
        <w:rPr>
          <w:lang w:eastAsia="zh-CN"/>
        </w:rPr>
        <w:t xml:space="preserve">owever, in practice, the level of clonality assurance after a single round of limiting dilution remained low, likely due to </w:t>
      </w:r>
      <w:r>
        <w:rPr>
          <w:lang w:eastAsia="zh-CN"/>
        </w:rPr>
        <w:t>insufficient</w:t>
      </w:r>
      <w:r w:rsidRPr="000756DE">
        <w:rPr>
          <w:lang w:eastAsia="zh-CN"/>
        </w:rPr>
        <w:t xml:space="preserve"> cell-cell interactions and signaling required to support cell proliferation when </w:t>
      </w:r>
      <w:r>
        <w:rPr>
          <w:lang w:eastAsia="zh-CN"/>
        </w:rPr>
        <w:t xml:space="preserve">cells were </w:t>
      </w:r>
      <w:r w:rsidRPr="000756DE">
        <w:rPr>
          <w:lang w:eastAsia="zh-CN"/>
        </w:rPr>
        <w:t>cultured individually.</w:t>
      </w:r>
      <w:r w:rsidRPr="004140C0">
        <w:t xml:space="preserve"> We finally were able to establish a few mixed clones from wells with 3-4 cells </w:t>
      </w:r>
      <w:r w:rsidRPr="004140C0">
        <w:lastRenderedPageBreak/>
        <w:t xml:space="preserve">seeded. Subsequent </w:t>
      </w:r>
      <w:r>
        <w:t>S</w:t>
      </w:r>
      <w:r w:rsidRPr="004140C0">
        <w:t>anger sequencing indicated th</w:t>
      </w:r>
      <w:r>
        <w:t>at</w:t>
      </w:r>
      <w:r w:rsidRPr="004140C0">
        <w:t xml:space="preserve"> one</w:t>
      </w:r>
      <w:r>
        <w:t xml:space="preserve"> of </w:t>
      </w:r>
      <w:r w:rsidRPr="004140C0">
        <w:t xml:space="preserve">these mixed clones had the expected </w:t>
      </w:r>
      <w:r>
        <w:t>i</w:t>
      </w:r>
      <w:r w:rsidRPr="004140C0">
        <w:t>ndel at the expected loc</w:t>
      </w:r>
      <w:r>
        <w:t>us</w:t>
      </w:r>
      <w:r w:rsidRPr="004140C0">
        <w:t xml:space="preserve">. Therefore, it was used for all the subsequent experiments. </w:t>
      </w:r>
      <w:r w:rsidRPr="00DB2C42">
        <w:t>Clone 8B show</w:t>
      </w:r>
      <w:r>
        <w:t>ed</w:t>
      </w:r>
      <w:r w:rsidRPr="00DB2C42">
        <w:t xml:space="preserve"> deletion mutations in exon 1 of </w:t>
      </w:r>
      <w:r>
        <w:t xml:space="preserve">the </w:t>
      </w:r>
      <w:r w:rsidRPr="00DC493F">
        <w:rPr>
          <w:i/>
          <w:iCs/>
        </w:rPr>
        <w:t>Ucp1</w:t>
      </w:r>
      <w:r>
        <w:t xml:space="preserve"> gene</w:t>
      </w:r>
      <w:r w:rsidRPr="00DB2C42">
        <w:t>; therefore, it was considered a successful knockout cell population and used for all subsequent experiments.</w:t>
      </w:r>
    </w:p>
    <w:p w14:paraId="218A0500" w14:textId="155D4051" w:rsidR="00AE6043" w:rsidRPr="00DB2C42" w:rsidRDefault="00AE6043" w:rsidP="00847BA5">
      <w:pPr>
        <w:pStyle w:val="Heading3"/>
        <w:jc w:val="left"/>
      </w:pPr>
      <w:bookmarkStart w:id="274" w:name="_Toc200810457"/>
      <w:bookmarkStart w:id="275" w:name="_Toc204848696"/>
      <w:r w:rsidRPr="00DB2C42">
        <w:t>U</w:t>
      </w:r>
      <w:r w:rsidR="005C55C1">
        <w:t>cp</w:t>
      </w:r>
      <w:r w:rsidRPr="00DB2C42">
        <w:t>1 K</w:t>
      </w:r>
      <w:r w:rsidR="005C55C1">
        <w:t>nockout</w:t>
      </w:r>
      <w:r w:rsidRPr="00DB2C42">
        <w:t xml:space="preserve"> Affect</w:t>
      </w:r>
      <w:r w:rsidR="005C55C1">
        <w:t>ed</w:t>
      </w:r>
      <w:r w:rsidRPr="00DB2C42">
        <w:t xml:space="preserve"> Adipogenic Differentiation and Proton Leak</w:t>
      </w:r>
      <w:bookmarkEnd w:id="274"/>
      <w:bookmarkEnd w:id="275"/>
    </w:p>
    <w:p w14:paraId="4AF0FB1C" w14:textId="77777777" w:rsidR="004974DC" w:rsidRPr="00DB2C42" w:rsidRDefault="004974DC" w:rsidP="004974DC">
      <w:pPr>
        <w:ind w:firstLine="720"/>
        <w:jc w:val="left"/>
        <w:rPr>
          <w:b/>
          <w:bCs/>
        </w:rPr>
      </w:pPr>
      <w:r w:rsidRPr="00E55174">
        <w:t xml:space="preserve">To evaluate adipogenic gene expression, mRNA levels of </w:t>
      </w:r>
      <w:r w:rsidRPr="00312C85">
        <w:rPr>
          <w:i/>
          <w:iCs/>
        </w:rPr>
        <w:t>Pparγ</w:t>
      </w:r>
      <w:r w:rsidRPr="00E55174">
        <w:t xml:space="preserve"> and </w:t>
      </w:r>
      <w:r w:rsidRPr="00312C85">
        <w:rPr>
          <w:i/>
          <w:iCs/>
        </w:rPr>
        <w:t>Adipo</w:t>
      </w:r>
      <w:r>
        <w:rPr>
          <w:i/>
          <w:iCs/>
        </w:rPr>
        <w:t>Q</w:t>
      </w:r>
      <w:r w:rsidRPr="00E55174">
        <w:t xml:space="preserve"> were measured on day 7 of differentiation</w:t>
      </w:r>
      <w:r w:rsidRPr="00E55174" w:rsidDel="00E55174">
        <w:t xml:space="preserve"> </w:t>
      </w:r>
      <w:r w:rsidRPr="00DB2C42">
        <w:t xml:space="preserve">in both the </w:t>
      </w:r>
      <w:r w:rsidRPr="00DC493F">
        <w:rPr>
          <w:i/>
          <w:iCs/>
        </w:rPr>
        <w:t>Ucp1</w:t>
      </w:r>
      <w:r w:rsidRPr="00DB2C42">
        <w:t xml:space="preserve"> KO and the </w:t>
      </w:r>
      <w:r>
        <w:t>scrambled</w:t>
      </w:r>
      <w:r w:rsidRPr="00DB2C42">
        <w:t xml:space="preserve"> control </w:t>
      </w:r>
      <w:r>
        <w:t xml:space="preserve">(SCR) </w:t>
      </w:r>
      <w:r w:rsidRPr="00DB2C42">
        <w:t xml:space="preserve">cells. </w:t>
      </w:r>
      <w:r w:rsidRPr="00544B75">
        <w:t xml:space="preserve">In </w:t>
      </w:r>
      <w:r>
        <w:t xml:space="preserve">the </w:t>
      </w:r>
      <w:r w:rsidRPr="00544B75">
        <w:t xml:space="preserve">SCR cells, </w:t>
      </w:r>
      <w:r>
        <w:t>ROSI</w:t>
      </w:r>
      <w:r w:rsidRPr="00544B75">
        <w:t xml:space="preserve"> significantly increased </w:t>
      </w:r>
      <w:r w:rsidRPr="00312C85">
        <w:rPr>
          <w:i/>
          <w:iCs/>
        </w:rPr>
        <w:t>Pparγ</w:t>
      </w:r>
      <w:r>
        <w:t xml:space="preserve"> and </w:t>
      </w:r>
      <w:r w:rsidRPr="00312C85">
        <w:rPr>
          <w:i/>
          <w:iCs/>
        </w:rPr>
        <w:t>AdipoQ</w:t>
      </w:r>
      <w:r>
        <w:t xml:space="preserve"> mRNA </w:t>
      </w:r>
      <w:r w:rsidRPr="00544B75">
        <w:t xml:space="preserve">expression compared to the </w:t>
      </w:r>
      <w:r>
        <w:t>negative</w:t>
      </w:r>
      <w:r w:rsidRPr="00544B75">
        <w:t xml:space="preserve"> and DMSO groups</w:t>
      </w:r>
      <w:r>
        <w:t xml:space="preserve"> (</w:t>
      </w:r>
      <w:r w:rsidRPr="0012645C">
        <w:rPr>
          <w:b/>
          <w:bCs/>
        </w:rPr>
        <w:fldChar w:fldCharType="begin"/>
      </w:r>
      <w:r w:rsidRPr="0012645C">
        <w:rPr>
          <w:b/>
          <w:bCs/>
        </w:rPr>
        <w:instrText xml:space="preserve"> REF _Ref200808972 \h </w:instrText>
      </w:r>
      <w:r>
        <w:rPr>
          <w:b/>
          <w:bCs/>
        </w:rPr>
        <w:instrText xml:space="preserve"> \* MERGEFORMAT </w:instrText>
      </w:r>
      <w:r w:rsidRPr="0012645C">
        <w:rPr>
          <w:b/>
          <w:bCs/>
        </w:rPr>
      </w:r>
      <w:r w:rsidRPr="0012645C">
        <w:rPr>
          <w:b/>
          <w:bCs/>
        </w:rPr>
        <w:fldChar w:fldCharType="separate"/>
      </w:r>
      <w:r w:rsidRPr="00923D1C">
        <w:rPr>
          <w:b/>
          <w:bCs/>
        </w:rPr>
        <w:t xml:space="preserve">Figure </w:t>
      </w:r>
      <w:r w:rsidRPr="00923D1C">
        <w:rPr>
          <w:b/>
          <w:bCs/>
          <w:noProof/>
        </w:rPr>
        <w:t>5.5</w:t>
      </w:r>
      <w:r w:rsidRPr="0012645C">
        <w:rPr>
          <w:b/>
          <w:bCs/>
        </w:rPr>
        <w:fldChar w:fldCharType="end"/>
      </w:r>
      <w:r w:rsidRPr="0012645C">
        <w:rPr>
          <w:b/>
          <w:bCs/>
        </w:rPr>
        <w:t>B, C</w:t>
      </w:r>
      <w:r>
        <w:t>)</w:t>
      </w:r>
      <w:r w:rsidRPr="00544B75">
        <w:t xml:space="preserve">. </w:t>
      </w:r>
      <w:r>
        <w:t xml:space="preserve">In contrast, </w:t>
      </w:r>
      <w:r w:rsidRPr="00DB2C42">
        <w:t xml:space="preserve">both induction of </w:t>
      </w:r>
      <w:r w:rsidRPr="00DB2C42">
        <w:rPr>
          <w:i/>
          <w:iCs/>
        </w:rPr>
        <w:t>Pparγ</w:t>
      </w:r>
      <w:r w:rsidRPr="00DB2C42">
        <w:t xml:space="preserve"> and </w:t>
      </w:r>
      <w:r w:rsidRPr="00DB2C42">
        <w:rPr>
          <w:i/>
          <w:iCs/>
        </w:rPr>
        <w:t xml:space="preserve">Adipoq </w:t>
      </w:r>
      <w:r w:rsidRPr="00DB2C42">
        <w:t>expression by ROSI was markedly blunted</w:t>
      </w:r>
      <w:r>
        <w:t xml:space="preserve"> i</w:t>
      </w:r>
      <w:r w:rsidRPr="00DB2C42">
        <w:t xml:space="preserve">n </w:t>
      </w:r>
      <w:r w:rsidRPr="00B003B7">
        <w:rPr>
          <w:i/>
          <w:iCs/>
        </w:rPr>
        <w:t>Ucp1</w:t>
      </w:r>
      <w:r w:rsidRPr="00DB2C42">
        <w:t xml:space="preserve"> KO cells</w:t>
      </w:r>
      <w:r>
        <w:t xml:space="preserve"> (</w:t>
      </w:r>
      <w:r w:rsidRPr="0012645C">
        <w:rPr>
          <w:b/>
          <w:bCs/>
        </w:rPr>
        <w:fldChar w:fldCharType="begin"/>
      </w:r>
      <w:r w:rsidRPr="0012645C">
        <w:rPr>
          <w:b/>
          <w:bCs/>
        </w:rPr>
        <w:instrText xml:space="preserve"> REF _Ref200808972 \h </w:instrText>
      </w:r>
      <w:r>
        <w:rPr>
          <w:b/>
          <w:bCs/>
        </w:rPr>
        <w:instrText xml:space="preserve"> \* MERGEFORMAT </w:instrText>
      </w:r>
      <w:r w:rsidRPr="0012645C">
        <w:rPr>
          <w:b/>
          <w:bCs/>
        </w:rPr>
      </w:r>
      <w:r w:rsidRPr="0012645C">
        <w:rPr>
          <w:b/>
          <w:bCs/>
        </w:rPr>
        <w:fldChar w:fldCharType="separate"/>
      </w:r>
      <w:r w:rsidRPr="00923D1C">
        <w:rPr>
          <w:b/>
          <w:bCs/>
        </w:rPr>
        <w:t xml:space="preserve">Figure </w:t>
      </w:r>
      <w:r w:rsidRPr="00923D1C">
        <w:rPr>
          <w:b/>
          <w:bCs/>
          <w:noProof/>
        </w:rPr>
        <w:t>5.5</w:t>
      </w:r>
      <w:r w:rsidRPr="0012645C">
        <w:rPr>
          <w:b/>
          <w:bCs/>
        </w:rPr>
        <w:fldChar w:fldCharType="end"/>
      </w:r>
      <w:r w:rsidRPr="0012645C">
        <w:rPr>
          <w:b/>
          <w:bCs/>
        </w:rPr>
        <w:t>B, C</w:t>
      </w:r>
      <w:r>
        <w:t>)</w:t>
      </w:r>
      <w:r w:rsidRPr="00DB2C42">
        <w:t xml:space="preserve">. Although basal and maximal respiration were slightly reduced in </w:t>
      </w:r>
      <w:r w:rsidRPr="00DC493F">
        <w:rPr>
          <w:i/>
          <w:iCs/>
        </w:rPr>
        <w:t>Ucp1</w:t>
      </w:r>
      <w:r w:rsidRPr="00DB2C42">
        <w:t xml:space="preserve"> KO cells, these differences were not statistically significant (</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923D1C">
        <w:rPr>
          <w:b/>
          <w:bCs/>
        </w:rPr>
        <w:t xml:space="preserve">Figure </w:t>
      </w:r>
      <w:r w:rsidRPr="00923D1C">
        <w:rPr>
          <w:b/>
          <w:bCs/>
          <w:noProof/>
        </w:rPr>
        <w:t>5.5</w:t>
      </w:r>
      <w:r w:rsidRPr="0012645C">
        <w:rPr>
          <w:b/>
          <w:bCs/>
        </w:rPr>
        <w:fldChar w:fldCharType="end"/>
      </w:r>
      <w:r w:rsidRPr="0012645C">
        <w:rPr>
          <w:b/>
          <w:bCs/>
        </w:rPr>
        <w:t>E, F</w:t>
      </w:r>
      <w:r w:rsidRPr="00DB2C42">
        <w:t>). Notably, KO cells exhibited a significant reduction in proton leak and an increase in mitochondrial coupling efficiency, consistent with loss of UCP1-dependent uncoupling (</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923D1C">
        <w:rPr>
          <w:b/>
          <w:bCs/>
        </w:rPr>
        <w:t xml:space="preserve">Figure </w:t>
      </w:r>
      <w:r w:rsidRPr="00923D1C">
        <w:rPr>
          <w:b/>
          <w:bCs/>
          <w:noProof/>
        </w:rPr>
        <w:t>5.5</w:t>
      </w:r>
      <w:r w:rsidRPr="0012645C">
        <w:rPr>
          <w:b/>
          <w:bCs/>
        </w:rPr>
        <w:fldChar w:fldCharType="end"/>
      </w:r>
      <w:r w:rsidRPr="0012645C">
        <w:rPr>
          <w:b/>
          <w:bCs/>
        </w:rPr>
        <w:t>G, I</w:t>
      </w:r>
      <w:r w:rsidRPr="00DB2C42">
        <w:t xml:space="preserve">). In addition, ATP-linked respiration was unchanged between </w:t>
      </w:r>
      <w:r>
        <w:t xml:space="preserve">the </w:t>
      </w:r>
      <w:r w:rsidRPr="00DB2C42">
        <w:t xml:space="preserve">SCR and </w:t>
      </w:r>
      <w:r w:rsidRPr="00DC493F">
        <w:rPr>
          <w:i/>
          <w:iCs/>
        </w:rPr>
        <w:t>Ucp1</w:t>
      </w:r>
      <w:r w:rsidRPr="00DB2C42">
        <w:t xml:space="preserve"> KO cells (</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923D1C">
        <w:rPr>
          <w:b/>
          <w:bCs/>
        </w:rPr>
        <w:t xml:space="preserve">Figure </w:t>
      </w:r>
      <w:r w:rsidRPr="00923D1C">
        <w:rPr>
          <w:b/>
          <w:bCs/>
          <w:noProof/>
        </w:rPr>
        <w:t>5.5</w:t>
      </w:r>
      <w:r w:rsidRPr="0012645C">
        <w:rPr>
          <w:b/>
          <w:bCs/>
        </w:rPr>
        <w:fldChar w:fldCharType="end"/>
      </w:r>
      <w:r w:rsidRPr="0012645C">
        <w:rPr>
          <w:b/>
          <w:bCs/>
        </w:rPr>
        <w:t>H</w:t>
      </w:r>
      <w:r w:rsidRPr="00DB2C42">
        <w:t>).</w:t>
      </w:r>
    </w:p>
    <w:p w14:paraId="484BA342" w14:textId="2E76CADF" w:rsidR="00AE6043" w:rsidRPr="00DB2C42" w:rsidRDefault="00AE6043" w:rsidP="00847BA5">
      <w:pPr>
        <w:pStyle w:val="Heading3"/>
        <w:jc w:val="left"/>
      </w:pPr>
      <w:bookmarkStart w:id="276" w:name="_Toc200810458"/>
      <w:bookmarkStart w:id="277" w:name="_Toc204848697"/>
      <w:r w:rsidRPr="00DB2C42">
        <w:t>U</w:t>
      </w:r>
      <w:r w:rsidR="00CB6386">
        <w:t>cp</w:t>
      </w:r>
      <w:r w:rsidRPr="00DB2C42">
        <w:t xml:space="preserve">1 </w:t>
      </w:r>
      <w:r w:rsidR="006E6769" w:rsidRPr="00DB2C42">
        <w:t>K</w:t>
      </w:r>
      <w:r w:rsidRPr="00DB2C42">
        <w:t xml:space="preserve">nockout </w:t>
      </w:r>
      <w:r w:rsidR="006E6769" w:rsidRPr="00DB2C42">
        <w:t>A</w:t>
      </w:r>
      <w:r w:rsidRPr="00DB2C42">
        <w:t xml:space="preserve">ttenuated the </w:t>
      </w:r>
      <w:r w:rsidR="006E6769" w:rsidRPr="00DB2C42">
        <w:t>B</w:t>
      </w:r>
      <w:r w:rsidRPr="00DB2C42">
        <w:t xml:space="preserve">rowning </w:t>
      </w:r>
      <w:r w:rsidR="006E6769" w:rsidRPr="00DB2C42">
        <w:t>E</w:t>
      </w:r>
      <w:r w:rsidRPr="00DB2C42">
        <w:t xml:space="preserve">ffect by </w:t>
      </w:r>
      <w:r w:rsidR="006E6769" w:rsidRPr="00DB2C42">
        <w:t>R</w:t>
      </w:r>
      <w:r w:rsidRPr="00DB2C42">
        <w:t>osiglitazone</w:t>
      </w:r>
      <w:bookmarkEnd w:id="276"/>
      <w:bookmarkEnd w:id="277"/>
    </w:p>
    <w:p w14:paraId="6481AEA5" w14:textId="77777777" w:rsidR="0092253E" w:rsidRPr="00DB2C42" w:rsidRDefault="0092253E" w:rsidP="0092253E">
      <w:pPr>
        <w:ind w:firstLine="720"/>
        <w:jc w:val="left"/>
      </w:pPr>
      <w:r w:rsidRPr="006E0EE7">
        <w:rPr>
          <w:i/>
          <w:iCs/>
        </w:rPr>
        <w:t>Ucp1</w:t>
      </w:r>
      <w:r w:rsidRPr="006E0EE7">
        <w:t xml:space="preserve"> mRNA expression was induced by ROSI under</w:t>
      </w:r>
      <w:r w:rsidRPr="00DB2C42">
        <w:t xml:space="preserve"> </w:t>
      </w:r>
      <w:r>
        <w:t xml:space="preserve">both basal and ISO stimulations in the SCR cells. </w:t>
      </w:r>
      <w:r w:rsidRPr="00DB2C42">
        <w:t>As expected,</w:t>
      </w:r>
      <w:r>
        <w:t xml:space="preserve"> </w:t>
      </w:r>
      <w:r w:rsidRPr="00DB2C42">
        <w:rPr>
          <w:i/>
          <w:iCs/>
        </w:rPr>
        <w:t>Ucp1</w:t>
      </w:r>
      <w:r w:rsidRPr="00DB2C42">
        <w:t xml:space="preserve"> </w:t>
      </w:r>
      <w:r>
        <w:t xml:space="preserve">mRNA </w:t>
      </w:r>
      <w:r w:rsidRPr="00DB2C42">
        <w:t xml:space="preserve">expression was absent in </w:t>
      </w:r>
      <w:r>
        <w:t xml:space="preserve">the </w:t>
      </w:r>
      <w:r w:rsidRPr="00DC493F">
        <w:rPr>
          <w:i/>
          <w:iCs/>
        </w:rPr>
        <w:t>Ucp1</w:t>
      </w:r>
      <w:r w:rsidRPr="00DB2C42">
        <w:t xml:space="preserve"> KO cells</w:t>
      </w:r>
      <w:r w:rsidRPr="00DB2C42">
        <w:rPr>
          <w:i/>
          <w:iCs/>
        </w:rPr>
        <w:t xml:space="preserve"> </w:t>
      </w:r>
      <w:r w:rsidRPr="00DB2C42">
        <w:t>(</w:t>
      </w:r>
      <w:r w:rsidRPr="0012645C">
        <w:rPr>
          <w:b/>
          <w:bCs/>
        </w:rPr>
        <w:fldChar w:fldCharType="begin"/>
      </w:r>
      <w:r w:rsidRPr="0012645C">
        <w:rPr>
          <w:b/>
          <w:bCs/>
        </w:rPr>
        <w:instrText xml:space="preserve"> REF _Ref200809085 \h  \* MERGEFORMAT </w:instrText>
      </w:r>
      <w:r w:rsidRPr="0012645C">
        <w:rPr>
          <w:b/>
          <w:bCs/>
        </w:rPr>
      </w:r>
      <w:r w:rsidRPr="0012645C">
        <w:rPr>
          <w:b/>
          <w:bCs/>
        </w:rPr>
        <w:fldChar w:fldCharType="separate"/>
      </w:r>
      <w:r w:rsidRPr="002E4943">
        <w:rPr>
          <w:b/>
          <w:bCs/>
        </w:rPr>
        <w:t xml:space="preserve">Figure </w:t>
      </w:r>
      <w:r w:rsidRPr="002E4943">
        <w:rPr>
          <w:b/>
          <w:bCs/>
          <w:noProof/>
        </w:rPr>
        <w:t>5.6</w:t>
      </w:r>
      <w:r w:rsidRPr="0012645C">
        <w:rPr>
          <w:b/>
          <w:bCs/>
        </w:rPr>
        <w:fldChar w:fldCharType="end"/>
      </w:r>
      <w:r w:rsidRPr="0012645C">
        <w:rPr>
          <w:b/>
          <w:bCs/>
        </w:rPr>
        <w:t>A</w:t>
      </w:r>
      <w:r w:rsidRPr="00DB2C42">
        <w:t xml:space="preserve">). </w:t>
      </w:r>
      <w:r w:rsidRPr="00DB2C42">
        <w:rPr>
          <w:i/>
          <w:iCs/>
        </w:rPr>
        <w:t xml:space="preserve">Pgc1α </w:t>
      </w:r>
      <w:r w:rsidRPr="0075718D">
        <w:t>mRNA</w:t>
      </w:r>
      <w:r>
        <w:rPr>
          <w:i/>
          <w:iCs/>
        </w:rPr>
        <w:t xml:space="preserve"> </w:t>
      </w:r>
      <w:r w:rsidRPr="00DB2C42">
        <w:t xml:space="preserve">expression was induced by ROSI under ISO stimulation in the SCR cells, but this induction was absent in </w:t>
      </w:r>
      <w:r>
        <w:t xml:space="preserve">the </w:t>
      </w:r>
      <w:r w:rsidRPr="00DC493F">
        <w:rPr>
          <w:i/>
          <w:iCs/>
        </w:rPr>
        <w:t>Ucp1</w:t>
      </w:r>
      <w:r w:rsidRPr="00DB2C42">
        <w:t xml:space="preserve"> KO cells</w:t>
      </w:r>
      <w:r>
        <w:t xml:space="preserve">. Moreover, </w:t>
      </w:r>
      <w:r w:rsidRPr="00DB2C42">
        <w:rPr>
          <w:i/>
          <w:iCs/>
        </w:rPr>
        <w:t xml:space="preserve">Pgc1α </w:t>
      </w:r>
      <w:r w:rsidRPr="0075718D">
        <w:t>mRNA</w:t>
      </w:r>
      <w:r>
        <w:rPr>
          <w:i/>
          <w:iCs/>
        </w:rPr>
        <w:t xml:space="preserve"> </w:t>
      </w:r>
      <w:r w:rsidRPr="00DB2C42">
        <w:t xml:space="preserve">expression </w:t>
      </w:r>
      <w:r>
        <w:t xml:space="preserve">under basal conditions was lower in the Ucp1 KO cells compared to the SCR controls </w:t>
      </w:r>
      <w:r w:rsidRPr="00DB2C42">
        <w:t>(</w:t>
      </w:r>
      <w:r w:rsidRPr="0012645C">
        <w:rPr>
          <w:b/>
          <w:bCs/>
        </w:rPr>
        <w:fldChar w:fldCharType="begin"/>
      </w:r>
      <w:r w:rsidRPr="0012645C">
        <w:rPr>
          <w:b/>
          <w:bCs/>
        </w:rPr>
        <w:instrText xml:space="preserve"> REF _Ref200809085 \h  \* MERGEFORMAT </w:instrText>
      </w:r>
      <w:r w:rsidRPr="0012645C">
        <w:rPr>
          <w:b/>
          <w:bCs/>
        </w:rPr>
      </w:r>
      <w:r w:rsidRPr="0012645C">
        <w:rPr>
          <w:b/>
          <w:bCs/>
        </w:rPr>
        <w:fldChar w:fldCharType="separate"/>
      </w:r>
      <w:r w:rsidRPr="0075718D">
        <w:rPr>
          <w:b/>
          <w:bCs/>
        </w:rPr>
        <w:t xml:space="preserve">Figure </w:t>
      </w:r>
      <w:r w:rsidRPr="0075718D">
        <w:rPr>
          <w:b/>
          <w:bCs/>
          <w:noProof/>
        </w:rPr>
        <w:t>5.6</w:t>
      </w:r>
      <w:r w:rsidRPr="0012645C">
        <w:rPr>
          <w:b/>
          <w:bCs/>
        </w:rPr>
        <w:fldChar w:fldCharType="end"/>
      </w:r>
      <w:r w:rsidRPr="0012645C">
        <w:rPr>
          <w:b/>
          <w:bCs/>
        </w:rPr>
        <w:t>B</w:t>
      </w:r>
      <w:r w:rsidRPr="00DB2C42">
        <w:t>).</w:t>
      </w:r>
    </w:p>
    <w:p w14:paraId="0AA122D1" w14:textId="2ACC9F99" w:rsidR="00AE6043" w:rsidRPr="00DB2C42" w:rsidRDefault="00AE6043" w:rsidP="00847BA5">
      <w:pPr>
        <w:pStyle w:val="Heading3"/>
        <w:jc w:val="left"/>
      </w:pPr>
      <w:bookmarkStart w:id="278" w:name="_Toc200810459"/>
      <w:bookmarkStart w:id="279" w:name="_Toc204848698"/>
      <w:r w:rsidRPr="00DB2C42">
        <w:lastRenderedPageBreak/>
        <w:t xml:space="preserve">Ucp1 Knockout </w:t>
      </w:r>
      <w:r w:rsidR="00F2793E" w:rsidRPr="00DB2C42">
        <w:t>A</w:t>
      </w:r>
      <w:r w:rsidRPr="00DB2C42">
        <w:t>ttenuated Rosiglitazone-Enhanced Insulin Signaling</w:t>
      </w:r>
      <w:bookmarkEnd w:id="278"/>
      <w:bookmarkEnd w:id="279"/>
    </w:p>
    <w:p w14:paraId="5750A966" w14:textId="77777777" w:rsidR="00C93E97" w:rsidRPr="00DB2C42" w:rsidRDefault="00C93E97" w:rsidP="00C93E97">
      <w:pPr>
        <w:ind w:firstLine="720"/>
        <w:jc w:val="left"/>
        <w:rPr>
          <w:b/>
          <w:bCs/>
        </w:rPr>
      </w:pPr>
      <w:r w:rsidRPr="00DB2C42">
        <w:t xml:space="preserve">In </w:t>
      </w:r>
      <w:r>
        <w:t xml:space="preserve">the </w:t>
      </w:r>
      <w:r w:rsidRPr="00DB2C42">
        <w:t>SCR cells, ROSI significantly enhanced insulin-stimulated phosphorylation of AKT at serine 473 residue</w:t>
      </w:r>
      <w:r>
        <w:t>, indicated by both p-AKT/ERK and p-AKT/AKT levels,</w:t>
      </w:r>
      <w:r w:rsidRPr="00DB2C42">
        <w:t xml:space="preserve"> compared to both vehicle and negative controls (</w:t>
      </w:r>
      <w:r w:rsidRPr="0012645C">
        <w:rPr>
          <w:b/>
          <w:bCs/>
        </w:rPr>
        <w:fldChar w:fldCharType="begin"/>
      </w:r>
      <w:r w:rsidRPr="0012645C">
        <w:rPr>
          <w:b/>
          <w:bCs/>
        </w:rPr>
        <w:instrText xml:space="preserve"> REF _Ref200809100 \h  \* MERGEFORMAT </w:instrText>
      </w:r>
      <w:r w:rsidRPr="0012645C">
        <w:rPr>
          <w:b/>
          <w:bCs/>
        </w:rPr>
      </w:r>
      <w:r w:rsidRPr="0012645C">
        <w:rPr>
          <w:b/>
          <w:bCs/>
        </w:rPr>
        <w:fldChar w:fldCharType="separate"/>
      </w:r>
      <w:r w:rsidRPr="002E4943">
        <w:rPr>
          <w:b/>
          <w:bCs/>
        </w:rPr>
        <w:t xml:space="preserve">Figure </w:t>
      </w:r>
      <w:r w:rsidRPr="002E4943">
        <w:rPr>
          <w:b/>
          <w:bCs/>
          <w:noProof/>
        </w:rPr>
        <w:t>5.7</w:t>
      </w:r>
      <w:r w:rsidRPr="0012645C">
        <w:rPr>
          <w:b/>
          <w:bCs/>
        </w:rPr>
        <w:fldChar w:fldCharType="end"/>
      </w:r>
      <w:r w:rsidRPr="0012645C">
        <w:rPr>
          <w:b/>
          <w:bCs/>
        </w:rPr>
        <w:t>C, D</w:t>
      </w:r>
      <w:r w:rsidRPr="00DB2C42">
        <w:t xml:space="preserve">). In contrast, </w:t>
      </w:r>
      <w:r w:rsidRPr="00DC493F">
        <w:rPr>
          <w:i/>
          <w:iCs/>
        </w:rPr>
        <w:t>Ucp1</w:t>
      </w:r>
      <w:r w:rsidRPr="00DB2C42">
        <w:t xml:space="preserve"> KO cells exhibited no increase in </w:t>
      </w:r>
      <w:r>
        <w:t xml:space="preserve">insulin-stimulated </w:t>
      </w:r>
      <w:r w:rsidRPr="00DB2C42">
        <w:t xml:space="preserve">AKT </w:t>
      </w:r>
      <w:r>
        <w:t>phosphorylation</w:t>
      </w:r>
      <w:r w:rsidRPr="00DB2C42">
        <w:t xml:space="preserve"> </w:t>
      </w:r>
      <w:r>
        <w:t>in response to</w:t>
      </w:r>
      <w:r w:rsidRPr="00DB2C42">
        <w:t xml:space="preserve"> ROSI treatment, suggesting that UCP1 is required for the insulin-sensitizing effects of ROSI in this model (</w:t>
      </w:r>
      <w:r w:rsidRPr="0012645C">
        <w:rPr>
          <w:b/>
          <w:bCs/>
        </w:rPr>
        <w:fldChar w:fldCharType="begin"/>
      </w:r>
      <w:r w:rsidRPr="0012645C">
        <w:rPr>
          <w:b/>
          <w:bCs/>
        </w:rPr>
        <w:instrText xml:space="preserve"> REF _Ref200809100 \h  \* MERGEFORMAT </w:instrText>
      </w:r>
      <w:r w:rsidRPr="0012645C">
        <w:rPr>
          <w:b/>
          <w:bCs/>
        </w:rPr>
      </w:r>
      <w:r w:rsidRPr="0012645C">
        <w:rPr>
          <w:b/>
          <w:bCs/>
        </w:rPr>
        <w:fldChar w:fldCharType="separate"/>
      </w:r>
      <w:r w:rsidRPr="002E4943">
        <w:rPr>
          <w:b/>
          <w:bCs/>
        </w:rPr>
        <w:t xml:space="preserve">Figure </w:t>
      </w:r>
      <w:r w:rsidRPr="002E4943">
        <w:rPr>
          <w:b/>
          <w:bCs/>
          <w:noProof/>
        </w:rPr>
        <w:t>5.7</w:t>
      </w:r>
      <w:r w:rsidRPr="0012645C">
        <w:rPr>
          <w:b/>
          <w:bCs/>
        </w:rPr>
        <w:fldChar w:fldCharType="end"/>
      </w:r>
      <w:r>
        <w:rPr>
          <w:b/>
          <w:bCs/>
        </w:rPr>
        <w:t xml:space="preserve">C, </w:t>
      </w:r>
      <w:r w:rsidRPr="0012645C">
        <w:rPr>
          <w:b/>
          <w:bCs/>
        </w:rPr>
        <w:t>D</w:t>
      </w:r>
      <w:r w:rsidRPr="00DB2C42">
        <w:t>).</w:t>
      </w:r>
    </w:p>
    <w:p w14:paraId="2F89E330" w14:textId="77777777" w:rsidR="00AE6043" w:rsidRPr="00DB2C42" w:rsidRDefault="00AE6043" w:rsidP="00847BA5">
      <w:pPr>
        <w:pStyle w:val="Heading2"/>
        <w:jc w:val="left"/>
      </w:pPr>
      <w:bookmarkStart w:id="280" w:name="_Toc200810460"/>
      <w:bookmarkStart w:id="281" w:name="_Toc204848699"/>
      <w:r w:rsidRPr="00DB2C42">
        <w:t>Discussion</w:t>
      </w:r>
      <w:bookmarkEnd w:id="280"/>
      <w:bookmarkEnd w:id="281"/>
    </w:p>
    <w:p w14:paraId="77F583CF" w14:textId="7A9ABFC7" w:rsidR="00350CD5" w:rsidRPr="00DB2C42" w:rsidRDefault="00350CD5" w:rsidP="00350CD5">
      <w:pPr>
        <w:ind w:firstLine="720"/>
        <w:jc w:val="left"/>
      </w:pPr>
      <w:r w:rsidRPr="00DB2C42">
        <w:t>To evaluate the effects of UCP1 in adipocyte differentiation,</w:t>
      </w:r>
      <w:r>
        <w:t xml:space="preserve"> mRNA expression of</w:t>
      </w:r>
      <w:r w:rsidRPr="00DB2C42">
        <w:t xml:space="preserve"> two differentiation markers </w:t>
      </w:r>
      <w:r w:rsidRPr="00905C23">
        <w:rPr>
          <w:i/>
          <w:iCs/>
        </w:rPr>
        <w:t>Pparγ</w:t>
      </w:r>
      <w:r w:rsidRPr="006318E9">
        <w:t xml:space="preserve"> </w:t>
      </w:r>
      <w:r w:rsidRPr="00DB2C42">
        <w:t xml:space="preserve">and </w:t>
      </w:r>
      <w:r w:rsidRPr="00905C23">
        <w:rPr>
          <w:i/>
          <w:iCs/>
        </w:rPr>
        <w:t>Adipo</w:t>
      </w:r>
      <w:r>
        <w:rPr>
          <w:i/>
          <w:iCs/>
        </w:rPr>
        <w:t>Q</w:t>
      </w:r>
      <w:r w:rsidRPr="00DB2C42">
        <w:t xml:space="preserve"> w</w:t>
      </w:r>
      <w:r>
        <w:t>as</w:t>
      </w:r>
      <w:r w:rsidRPr="00DB2C42">
        <w:t xml:space="preserve"> examined. </w:t>
      </w:r>
      <w:r w:rsidRPr="00DC493F">
        <w:rPr>
          <w:i/>
          <w:iCs/>
        </w:rPr>
        <w:t>Pparγ</w:t>
      </w:r>
      <w:r w:rsidRPr="00DB2C42">
        <w:t xml:space="preserve"> is a master transcriptional regulator of adipocyte differentiation, which is necessary to drive the conversion of precursor cells into adipocytes</w:t>
      </w:r>
      <w:r>
        <w:t xml:space="preserve"> </w:t>
      </w:r>
      <w:r w:rsidRPr="00DB2C42">
        <w:fldChar w:fldCharType="begin"/>
      </w:r>
      <w:r w:rsidR="00BE712C">
        <w:instrText xml:space="preserve"> ADDIN ZOTERO_ITEM CSL_CITATION {"citationID":"gtkAVU7S","properties":{"formattedCitation":"\\super 473\\nosupersub{}","plainCitation":"473","noteIndex":0},"citationItems":[{"id":3045,"uris":["http://zotero.org/users/9622455/items/6T9H48EF"],"itemData":{"id":3045,"type":"article-journal","container-title":"Cell","DOI":"10.1016/0092-8674(94)90006-X","ISSN":"0092-8674, 1097-4172","issue":"7","journalAbbreviation":"Cell","language":"English","note":"publisher: Elsevier\nPMID: 8001151","page":"1147-1156","source":"www.cell.com","title":"Stimulation of adipogenesis in fibroblasts by PPARγ2, a lipid-activated transcription factor","volume":"79","author":[{"family":"Tontonoz","given":"Peter"},{"family":"Hu","given":"Erding"},{"family":"Spiegelman","given":"Bruce M."}],"issued":{"date-parts":[["1994",12,30]]}}}],"schema":"https://github.com/citation-style-language/schema/raw/master/csl-citation.json"} </w:instrText>
      </w:r>
      <w:r w:rsidRPr="00DB2C42">
        <w:fldChar w:fldCharType="separate"/>
      </w:r>
      <w:r w:rsidR="00BE712C" w:rsidRPr="00BE712C">
        <w:rPr>
          <w:vertAlign w:val="superscript"/>
        </w:rPr>
        <w:t>473</w:t>
      </w:r>
      <w:r w:rsidRPr="00DB2C42">
        <w:fldChar w:fldCharType="end"/>
      </w:r>
      <w:r w:rsidRPr="00DB2C42">
        <w:t>. It controls the expression of genes involved in lipid and glucose metabolism in adipocytes</w:t>
      </w:r>
      <w:r>
        <w:t xml:space="preserve"> </w:t>
      </w:r>
      <w:r w:rsidRPr="00DB2C42">
        <w:fldChar w:fldCharType="begin"/>
      </w:r>
      <w:r w:rsidR="00BE712C">
        <w:instrText xml:space="preserve"> ADDIN ZOTERO_ITEM CSL_CITATION {"citationID":"zdpWtV5y","properties":{"formattedCitation":"\\super 474\\nosupersub{}","plainCitation":"474","noteIndex":0},"citationItems":[{"id":3048,"uris":["http://zotero.org/users/9622455/items/BEU6G9NM"],"itemData":{"id":3048,"type":"article-journal","abstract":"Peroxisome proliferator-activated receptor γ (PPARγ) is a member of the nuclear receptor superfamily of ligand-dependent transcription factors which functions as a master regulator of adipocyte differentiation and metabolism. Here we review recent breakthroughs in the understanding of PPARγ gene regulation and function in a chromatin context. It is now clear that multiple transcription factors team up to induce PPARγ during adipogenesis, and that other transcription factors cooperate with PPARγ to ensure adipocyte-specific genomic binding and function. We discuss how this differs in other PPARγ-expressing cells such as macrophages, and how these genome-wide mechanisms are preserved across species despite modest conservation of specific binding sites. These emerging considerations inform our understanding of PPARγ function as well as adipocyte development and physiology.","container-title":"Trends in endocrinology and metabolism: TEM","DOI":"10.1016/j.tem.2014.04.001","ISSN":"1043-2760","issue":"6","journalAbbreviation":"Trends Endocrinol Metab","note":"PMID: 24793638\nPMCID: PMC4104504","page":"293-302","source":"PubMed Central","title":"PPARγ and the Global Map of Adipogenesis and Beyond","volume":"25","author":[{"family":"Lefterova","given":"Martina I."},{"family":"Haakonsson","given":"Anders K."},{"family":"Lazar","given":"Mitchell A."},{"family":"Mandrup","given":"Susanne"}],"issued":{"date-parts":[["2014",6]]}}}],"schema":"https://github.com/citation-style-language/schema/raw/master/csl-citation.json"} </w:instrText>
      </w:r>
      <w:r w:rsidRPr="00DB2C42">
        <w:fldChar w:fldCharType="separate"/>
      </w:r>
      <w:r w:rsidR="00BE712C" w:rsidRPr="00BE712C">
        <w:rPr>
          <w:vertAlign w:val="superscript"/>
        </w:rPr>
        <w:t>474</w:t>
      </w:r>
      <w:r w:rsidRPr="00DB2C42">
        <w:fldChar w:fldCharType="end"/>
      </w:r>
      <w:r w:rsidRPr="00DB2C42">
        <w:t>. Adipo</w:t>
      </w:r>
      <w:r>
        <w:t>Q</w:t>
      </w:r>
      <w:r w:rsidRPr="00DB2C42">
        <w:t xml:space="preserve"> is one of the most abundant adipocyte-secreted proteins and is expressed especially in mature adipocytes</w:t>
      </w:r>
      <w:r>
        <w:t xml:space="preserve"> </w:t>
      </w:r>
      <w:r w:rsidRPr="00DB2C42">
        <w:fldChar w:fldCharType="begin"/>
      </w:r>
      <w:r w:rsidR="00BE712C">
        <w:instrText xml:space="preserve"> ADDIN ZOTERO_ITEM CSL_CITATION {"citationID":"LjFI01E4","properties":{"formattedCitation":"\\super 475\\nosupersub{}","plainCitation":"475","noteIndex":0},"citationItems":[{"id":3051,"uris":["http://zotero.org/users/9622455/items/C44S5QE9"],"itemData":{"id":3051,"type":"article-journal","abstract":"Metabolic syndrome (MetS) as a collection of obesity-associated disorders is associated with inflammation, oxidative stress, pro-thrombotic state, elevated risk of developing cardiovascular disease and type 2 diabetes. Adiponectin is one of the most abundant peptide hormones derived from adipose tissue. This protein plays a major role in glucose and lipid metabolism and prevents development of vascular changes. Anti-oxidative and anti-inflammatory effects are the other features of adiponectin. Hypoadiponectinemia is associated with hypertension and pro-thrombotic state. In this review, we discuss the crucial role of adiponectin in prevention of metabolic syndrome considering its effects on the components of this syndrome. Pharmacological interventions and lifestyle modification may increase plasma adiponectin level or tissue sensitivity which seems to be a promising target for prevention and therapeutic approaches of MetS and related diseases.","container-title":"Iranian Journal of Basic Medical Sciences","ISSN":"2008-3866","issue":"5","journalAbbreviation":"Iran J Basic Med Sci","note":"PMID: 26124928\nPMCID: PMC4475650","page":"430-442","source":"PubMed Central","title":"Adiponectin: an adipokine with protective features against metabolic syndrome","title-short":"Adiponectin","volume":"18","author":[{"family":"Esfahani","given":"Maryam"},{"family":"Movahedian","given":"Ahmad"},{"family":"Baranchi","given":"Mostafa"},{"family":"Goodarzi","given":"Mohammad Taghi"}],"issued":{"date-parts":[["2015",5]]}}}],"schema":"https://github.com/citation-style-language/schema/raw/master/csl-citation.json"} </w:instrText>
      </w:r>
      <w:r w:rsidRPr="00DB2C42">
        <w:fldChar w:fldCharType="separate"/>
      </w:r>
      <w:r w:rsidR="00BE712C" w:rsidRPr="00BE712C">
        <w:rPr>
          <w:vertAlign w:val="superscript"/>
        </w:rPr>
        <w:t>475</w:t>
      </w:r>
      <w:r w:rsidRPr="00DB2C42">
        <w:fldChar w:fldCharType="end"/>
      </w:r>
      <w:r w:rsidRPr="00DB2C42">
        <w:t>. Together, the expression of</w:t>
      </w:r>
      <w:r w:rsidRPr="00DB2C42">
        <w:rPr>
          <w:i/>
          <w:iCs/>
        </w:rPr>
        <w:t xml:space="preserve"> Pparγ</w:t>
      </w:r>
      <w:r w:rsidRPr="00DB2C42">
        <w:t xml:space="preserve"> and </w:t>
      </w:r>
      <w:r w:rsidRPr="00DB2C42">
        <w:rPr>
          <w:i/>
          <w:iCs/>
        </w:rPr>
        <w:t>Adipo</w:t>
      </w:r>
      <w:r>
        <w:rPr>
          <w:i/>
          <w:iCs/>
        </w:rPr>
        <w:t>Q</w:t>
      </w:r>
      <w:r w:rsidRPr="00DB2C42">
        <w:rPr>
          <w:i/>
          <w:iCs/>
        </w:rPr>
        <w:t xml:space="preserve"> </w:t>
      </w:r>
      <w:r w:rsidRPr="00DB2C42">
        <w:t xml:space="preserve">serves as a reliable indicator of adipocyte differentiation. ROSI upregulated both </w:t>
      </w:r>
      <w:r w:rsidRPr="00DB2C42">
        <w:rPr>
          <w:i/>
          <w:iCs/>
        </w:rPr>
        <w:t xml:space="preserve">Pparγ </w:t>
      </w:r>
      <w:r w:rsidRPr="00DB2C42">
        <w:t>and</w:t>
      </w:r>
      <w:r w:rsidRPr="00DB2C42">
        <w:rPr>
          <w:i/>
          <w:iCs/>
        </w:rPr>
        <w:t xml:space="preserve"> Adipo</w:t>
      </w:r>
      <w:r>
        <w:rPr>
          <w:i/>
          <w:iCs/>
        </w:rPr>
        <w:t>Q</w:t>
      </w:r>
      <w:r w:rsidRPr="00DB2C42">
        <w:t xml:space="preserve"> expression in both scrambled and </w:t>
      </w:r>
      <w:r w:rsidRPr="00DC493F">
        <w:rPr>
          <w:i/>
          <w:iCs/>
        </w:rPr>
        <w:t>Ucp1</w:t>
      </w:r>
      <w:r w:rsidRPr="00DB2C42">
        <w:t xml:space="preserve"> KO cells, while ROSI-induced induction was markedly reduced </w:t>
      </w:r>
      <w:r>
        <w:t xml:space="preserve">in the </w:t>
      </w:r>
      <w:r w:rsidRPr="00DC493F">
        <w:rPr>
          <w:i/>
          <w:iCs/>
        </w:rPr>
        <w:t>Ucp1</w:t>
      </w:r>
      <w:r>
        <w:t xml:space="preserve"> KO cells compared to the SCR cells </w:t>
      </w:r>
      <w:r w:rsidRPr="00DB2C42">
        <w:t>(</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412D0D">
        <w:rPr>
          <w:b/>
          <w:bCs/>
        </w:rPr>
        <w:t xml:space="preserve">Figure </w:t>
      </w:r>
      <w:r w:rsidRPr="00412D0D">
        <w:rPr>
          <w:b/>
          <w:bCs/>
          <w:noProof/>
        </w:rPr>
        <w:t>5.5</w:t>
      </w:r>
      <w:r w:rsidRPr="0012645C">
        <w:rPr>
          <w:b/>
          <w:bCs/>
        </w:rPr>
        <w:fldChar w:fldCharType="end"/>
      </w:r>
      <w:r>
        <w:rPr>
          <w:b/>
          <w:bCs/>
        </w:rPr>
        <w:t>B, C</w:t>
      </w:r>
      <w:r w:rsidRPr="00DB2C42">
        <w:t>). These results demonstrate</w:t>
      </w:r>
      <w:r>
        <w:t>d</w:t>
      </w:r>
      <w:r w:rsidRPr="00DB2C42">
        <w:t xml:space="preserve"> that UCP1 is important for the full transcriptional response to </w:t>
      </w:r>
      <w:r>
        <w:t>ROSI</w:t>
      </w:r>
      <w:r w:rsidRPr="00DB2C42">
        <w:t>, especially for genes involved in adipocyte differentiation and function (</w:t>
      </w:r>
      <w:r w:rsidRPr="00312C85">
        <w:rPr>
          <w:i/>
          <w:iCs/>
        </w:rPr>
        <w:t>Pparγ</w:t>
      </w:r>
      <w:r w:rsidRPr="00DB2C42">
        <w:t xml:space="preserve"> and</w:t>
      </w:r>
      <w:r w:rsidRPr="00312C85">
        <w:rPr>
          <w:i/>
          <w:iCs/>
        </w:rPr>
        <w:t xml:space="preserve"> AdipoQ</w:t>
      </w:r>
      <w:r w:rsidRPr="00DB2C42">
        <w:t>). Without UCP1, the adipogenic effects of ROSI are markedly attenuated. Recent evidence suggests that UCP1 KO causes widespread mitochondrial dysfunction in BAT, such as reduced electron transport chain protein expression, impaired calcium buffering, and greater vulnerability to ROS-induced permeability transition</w:t>
      </w:r>
      <w:r>
        <w:t xml:space="preserve"> </w:t>
      </w:r>
      <w:r w:rsidRPr="00DB2C42">
        <w:fldChar w:fldCharType="begin"/>
      </w:r>
      <w:r w:rsidR="00BE712C">
        <w:instrText xml:space="preserve"> ADDIN ZOTERO_ITEM CSL_CITATION {"citationID":"YjPfzx3J","properties":{"formattedCitation":"\\super 476\\nosupersub{}","plainCitation":"476","noteIndex":0},"citationItems":[{"id":4138,"uris":["http://zotero.org/users/9622455/items/KJN685AJ"],"itemData":{"id":4138,"type":"article-journal","abstract":"Brown adipose tissue (BAT) mitochondria exhibit high oxidative capacity and abundant expression of both electron transport chain components and uncoupling protein 1 (UCP1). UCP1 dissipates the mitochondrial proton motive force (Δp) generated by the respiratory chain and increases thermogenesis. Here we find that in mice genetically lacking UCP1, cold-induced activation of metabolism triggers innate immune signaling and markers of cell death in BAT. Moreover, global proteomic analysis reveals that this cascade induced by UCP1 deletion is associated with a dramatic reduction in electron transport chain abundance. UCP1-deficient BAT mitochondria exhibit reduced mitochondrial calcium buffering capacity and are highly sensitive to mitochondrial permeability transition induced by reactive oxygen species (ROS) and calcium overload. This dysfunction depends on ROS production by reverse electron transport through mitochondrial complex I, and can be rescued by inhibition of electron transfer through complex I or pharmacologic depletion of ROS levels. Our findings indicate that the interscapular BAT of Ucp1 knockout mice exhibits mitochondrial disruptions that extend well beyond the deletion of UCP1 itself. This finding should be carefully considered when using this mouse model to examine the role of UCP1 in physiology.","container-title":"Proceedings of the National Academy of Sciences","DOI":"10.1073/pnas.1705406114","issue":"30","note":"publisher: Proceedings of the National Academy of Sciences","page":"7981-7986","source":"pnas.org (Atypon)","title":"UCP1 deficiency causes brown fat respiratory chain depletion and sensitizes mitochondria to calcium overload-induced dysfunction","volume":"114","author":[{"family":"Kazak","given":"Lawrence"},{"family":"Chouchani","given":"Edward T."},{"family":"Stavrovskaya","given":"Irina G."},{"family":"Lu","given":"Gina Z."},{"family":"Jedrychowski","given":"Mark P."},{"family":"Egan","given":"Daniel F."},{"family":"Kumari","given":"Manju"},{"family":"Kong","given":"Xingxing"},{"family":"Erickson","given":"Brian K."},{"family":"Szpyt","given":"John"},{"family":"Rosen","given":"Evan D."},{"family":"Murphy","given":"Michael P."},{"family":"Kristal","given":"Bruce S."},{"family":"Gygi","given":"Steven P."},{"family":"Spiegelman","given":"Bruce M."}],"issued":{"date-parts":[["2017",7,25]]}}}],"schema":"https://github.com/citation-style-language/schema/raw/master/csl-citation.json"} </w:instrText>
      </w:r>
      <w:r w:rsidRPr="00DB2C42">
        <w:fldChar w:fldCharType="separate"/>
      </w:r>
      <w:r w:rsidR="00BE712C" w:rsidRPr="00BE712C">
        <w:rPr>
          <w:vertAlign w:val="superscript"/>
        </w:rPr>
        <w:t>476</w:t>
      </w:r>
      <w:r w:rsidRPr="00DB2C42">
        <w:fldChar w:fldCharType="end"/>
      </w:r>
      <w:r w:rsidRPr="00DB2C42">
        <w:t xml:space="preserve">. These mitochondrial dysfunctions caused by UCP1 </w:t>
      </w:r>
      <w:r w:rsidRPr="00DB2C42">
        <w:lastRenderedPageBreak/>
        <w:t xml:space="preserve">KO may disrupt the transcriptional environment needed for full PPARγ activation, providing a possible explanation for the diminished ROSI-induced </w:t>
      </w:r>
      <w:r w:rsidRPr="001124CD">
        <w:rPr>
          <w:i/>
          <w:iCs/>
        </w:rPr>
        <w:t>Pparγ</w:t>
      </w:r>
      <w:r w:rsidRPr="00DB2C42">
        <w:t xml:space="preserve"> and </w:t>
      </w:r>
      <w:r w:rsidRPr="001124CD">
        <w:rPr>
          <w:i/>
          <w:iCs/>
        </w:rPr>
        <w:t>Adipo</w:t>
      </w:r>
      <w:r>
        <w:rPr>
          <w:i/>
          <w:iCs/>
        </w:rPr>
        <w:t>Q</w:t>
      </w:r>
      <w:r w:rsidRPr="00DB2C42">
        <w:t xml:space="preserve"> </w:t>
      </w:r>
      <w:r>
        <w:t xml:space="preserve">mRNA </w:t>
      </w:r>
      <w:r w:rsidRPr="00DB2C42">
        <w:t>expression observed in our study.</w:t>
      </w:r>
    </w:p>
    <w:p w14:paraId="20CEA399" w14:textId="7EBA58F2" w:rsidR="00350CD5" w:rsidRDefault="00350CD5" w:rsidP="00350CD5">
      <w:pPr>
        <w:ind w:firstLine="720"/>
        <w:jc w:val="left"/>
      </w:pPr>
      <w:r w:rsidRPr="00DB2C42">
        <w:t xml:space="preserve">To evaluate mitochondrial uncoupling and confirm the functional </w:t>
      </w:r>
      <w:r>
        <w:t>impact</w:t>
      </w:r>
      <w:r w:rsidRPr="00DB2C42">
        <w:t xml:space="preserve"> of UCP1 </w:t>
      </w:r>
      <w:r>
        <w:t>knockout</w:t>
      </w:r>
      <w:r w:rsidRPr="00DB2C42">
        <w:t xml:space="preserve">, we performed </w:t>
      </w:r>
      <w:r>
        <w:t>mitochondrial stress tests</w:t>
      </w:r>
      <w:r w:rsidRPr="00DB2C42">
        <w:t xml:space="preserve"> in </w:t>
      </w:r>
      <w:r>
        <w:t xml:space="preserve">the SCR and </w:t>
      </w:r>
      <w:r w:rsidRPr="00DC493F">
        <w:rPr>
          <w:i/>
          <w:iCs/>
        </w:rPr>
        <w:t>Ucp1</w:t>
      </w:r>
      <w:r>
        <w:t xml:space="preserve"> KO adipocytes</w:t>
      </w:r>
      <w:r w:rsidRPr="00DB2C42">
        <w:t xml:space="preserve">. Mitochondrial </w:t>
      </w:r>
      <w:r>
        <w:t>stress test results reveal</w:t>
      </w:r>
      <w:r w:rsidRPr="00DB2C42">
        <w:t xml:space="preserve"> that </w:t>
      </w:r>
      <w:r w:rsidRPr="00DC493F">
        <w:t>compared</w:t>
      </w:r>
      <w:r w:rsidRPr="00C277B3">
        <w:t xml:space="preserve"> </w:t>
      </w:r>
      <w:r w:rsidRPr="00DB2C42">
        <w:t xml:space="preserve">to </w:t>
      </w:r>
      <w:r>
        <w:t xml:space="preserve">the </w:t>
      </w:r>
      <w:r w:rsidRPr="00DB2C42">
        <w:t xml:space="preserve">scrambled controls, </w:t>
      </w:r>
      <w:r w:rsidRPr="00DC493F">
        <w:rPr>
          <w:i/>
          <w:iCs/>
        </w:rPr>
        <w:t>Ucp1</w:t>
      </w:r>
      <w:r w:rsidRPr="00DB2C42">
        <w:t xml:space="preserve"> KO 3T3-L1 adipocytes exhibited significantly reduced proton leak and increased coupling efficiency</w:t>
      </w:r>
      <w:r>
        <w:t xml:space="preserve"> </w:t>
      </w:r>
      <w:r w:rsidRPr="00DB2C42">
        <w:t>(</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D30326">
        <w:rPr>
          <w:b/>
          <w:bCs/>
        </w:rPr>
        <w:t xml:space="preserve">Figure </w:t>
      </w:r>
      <w:r w:rsidRPr="00D30326">
        <w:rPr>
          <w:b/>
          <w:bCs/>
          <w:noProof/>
        </w:rPr>
        <w:t>5.5</w:t>
      </w:r>
      <w:r w:rsidRPr="0012645C">
        <w:rPr>
          <w:b/>
          <w:bCs/>
        </w:rPr>
        <w:fldChar w:fldCharType="end"/>
      </w:r>
      <w:r>
        <w:rPr>
          <w:b/>
          <w:bCs/>
        </w:rPr>
        <w:t>G, I</w:t>
      </w:r>
      <w:r w:rsidRPr="00DB2C42">
        <w:t>). Proton leak represents oxygen consumption not coupled to ATP synthesis and is a major readout of UCP1 activity in thermogenic adipocytes</w:t>
      </w:r>
      <w:r>
        <w:t xml:space="preserve"> </w:t>
      </w:r>
      <w:r>
        <w:fldChar w:fldCharType="begin"/>
      </w:r>
      <w:r w:rsidR="00BE712C">
        <w:instrText xml:space="preserve"> ADDIN ZOTERO_ITEM CSL_CITATION {"citationID":"a1c0upsuujs","properties":{"formattedCitation":"\\super 477\\nosupersub{}","plainCitation":"477","noteIndex":0},"citationItems":[{"id":4191,"uris":["http://zotero.org/users/9622455/items/4UXIPFGB"],"itemData":{"id":4191,"type":"article-journal","container-title":"Advances in experimental medicine and biology","DOI":"10.1007/978-3-319-55330-6_20","ISSN":"0065-2598","journalAbbreviation":"Adv Exp Med Biol","note":"PMID: 28551798\nPMCID: PMC5630226","page":"359-370","source":"PubMed Central","title":"Mitochondrial Proton Leak Plays a Critical Role in Pathogenesis of Cardiovascular Diseases","volume":"982","author":[{"family":"Cheng","given":"Jiali"},{"family":"Nanayakkara","given":"Gayani"},{"family":"Shao","given":"Ying"},{"family":"Cueto","given":"Ramon"},{"family":"Wang","given":"Luqiao"},{"family":"Yang","given":"William Y."},{"family":"Tian","given":"Ye"},{"family":"Wang","given":"Hong"},{"family":"Yang","given":"Xiaofeng"}],"issued":{"date-parts":[["2017"]]}}}],"schema":"https://github.com/citation-style-language/schema/raw/master/csl-citation.json"} </w:instrText>
      </w:r>
      <w:r>
        <w:fldChar w:fldCharType="separate"/>
      </w:r>
      <w:r w:rsidR="00BE712C" w:rsidRPr="00BE712C">
        <w:rPr>
          <w:vertAlign w:val="superscript"/>
        </w:rPr>
        <w:t>477</w:t>
      </w:r>
      <w:r>
        <w:fldChar w:fldCharType="end"/>
      </w:r>
      <w:r w:rsidRPr="00DB2C42">
        <w:t xml:space="preserve">. Coupling efficiency quantifies the </w:t>
      </w:r>
      <w:r>
        <w:t>percentage</w:t>
      </w:r>
      <w:r w:rsidRPr="00DB2C42">
        <w:t xml:space="preserve"> of respiration used for ATP production</w:t>
      </w:r>
      <w:r>
        <w:t xml:space="preserve"> </w:t>
      </w:r>
      <w:r w:rsidRPr="00DB2C42">
        <w:fldChar w:fldCharType="begin"/>
      </w:r>
      <w:r w:rsidR="00BE712C">
        <w:instrText xml:space="preserve"> ADDIN ZOTERO_ITEM CSL_CITATION {"citationID":"eDJHHUts","properties":{"formattedCitation":"\\super 478\\nosupersub{}","plainCitation":"478","noteIndex":0},"citationItems":[{"id":3053,"uris":["http://zotero.org/users/9622455/items/QA8NFUHY"],"itemData":{"id":3053,"type":"article-journal","abstract":"Uncoupling proteins (UCPs) are mitochondrial transporters present in the inner membrane of mitochondria. They are found in all mammals and in plants. They belong to the family of anion mitochondrial carriers including adenine nucleotide transporters. The term “uncoupling protein” was originally used for UCP1, which is uniquely present in mitochondria of brown adipocytes, the thermogenic cells that maintain body temperature in small rodents. In these cells, UCP1 acts as a proton carrier activated by free fatty acids and creates a shunt between complexes of the respiratory chain and ATP synthase. Activation of UCP1 enhances respiration, and the uncoupling process results in a futile cycle and dissipation of oxidation energy as heat. UCP2 is ubiquitous and highly expressed in the lymphoid system, macrophages, and pancreatic islets. UCP3 is mainly expressed in skeletal muscles. In comparison to the established uncoupling and thermogenic activities of UCP1, UCP2 and UCP3 appear to be involved in the limitation of free radical levels in cells rather than in physiological uncoupling and thermogenesis. Moreover, UCP2 is a regulator of insulin secretion and UCP3 is involved in fatty acid metabolism.","container-title":"Diabetes","DOI":"10.2337/diabetes.53.2007.S130","ISSN":"0012-1797","issue":"suppl_1","journalAbbreviation":"Diabetes","page":"S130-S135","source":"Silverchair","title":"The Biology of Mitochondrial Uncoupling Proteins","volume":"53","author":[{"family":"Rousset","given":"Sophie"},{"family":"Alves-Guerra","given":"Marie-Clotilde"},{"family":"Mozo","given":"Julien"},{"family":"Miroux","given":"Bruno"},{"family":"Cassard-Doulcier","given":"Anne-Marie"},{"family":"Bouillaud","given":"Frédéric"},{"family":"Ricquier","given":"Daniel"}],"issued":{"date-parts":[["2004",2,1]]}}}],"schema":"https://github.com/citation-style-language/schema/raw/master/csl-citation.json"} </w:instrText>
      </w:r>
      <w:r w:rsidRPr="00DB2C42">
        <w:fldChar w:fldCharType="separate"/>
      </w:r>
      <w:r w:rsidR="00BE712C" w:rsidRPr="00BE712C">
        <w:rPr>
          <w:vertAlign w:val="superscript"/>
        </w:rPr>
        <w:t>478</w:t>
      </w:r>
      <w:r w:rsidRPr="00DB2C42">
        <w:fldChar w:fldCharType="end"/>
      </w:r>
      <w:r w:rsidRPr="00DB2C42">
        <w:t>. The decreased proton leak and increased coupling efficiency are consistent with the known role of UCP1 in dissipating the proton gradient to generate heat, rather than to support ATP synthesis</w:t>
      </w:r>
      <w:r w:rsidRPr="00DB2C42">
        <w:fldChar w:fldCharType="begin"/>
      </w:r>
      <w:r w:rsidR="00BE712C">
        <w:instrText xml:space="preserve"> ADDIN ZOTERO_ITEM CSL_CITATION {"citationID":"0E9bBjKb","properties":{"formattedCitation":"\\super 479\\nosupersub{}","plainCitation":"479","noteIndex":0},"citationItems":[{"id":3056,"uris":["http://zotero.org/users/9622455/items/7TM89M9C"],"itemData":{"id":3056,"type":"article-journal","abstract":"Non-shivering thermogenesis in brown adipose tissue is mediated by uncoupling protein 1 (UCP1), which provides a carefully regulated proton re-entry pathway across the mitochondrial inner membrane operating in parallel to the ATP synthase and allowing respiration, and hence thermogenesis, to be released from the constraints of respiratory control. In the 40 years since UCP1 was first described, an extensive, and frequently contradictory, literature has accumulated, focused on the acute physiological regulation of the protein by fatty acids, purine nucleotides and possible additional factors. The purpose of this review is to examine, in detail, the experimental evidence underlying these proposed mechanisms. Emphasis will be placed on the methodologies employed and their relation to the physiological constraints under which the protein functions in the intact cell. The nature of the endogenous, UCP1-independent, proton leak will also be discussed. Finally, the troubled history of the putative novel uncoupling proteins, UCP2 and UCP3, will be evaluated.","container-title":"Biochimica et Biophysica Acta (BBA) - Bioenergetics","DOI":"10.1016/j.bbabio.2021.148428","ISSN":"0005-2728","issue":"7","journalAbbreviation":"Biochimica et Biophysica Acta (BBA) - Bioenergetics","page":"148428","source":"ScienceDirect","title":"Mitochondrial proton leaks and uncoupling proteins","volume":"1862","author":[{"family":"Nicholls","given":"David G."}],"issued":{"date-parts":[["2021",7,1]]}}}],"schema":"https://github.com/citation-style-language/schema/raw/master/csl-citation.json"} </w:instrText>
      </w:r>
      <w:r w:rsidRPr="00DB2C42">
        <w:fldChar w:fldCharType="separate"/>
      </w:r>
      <w:r w:rsidR="00BE712C" w:rsidRPr="00BE712C">
        <w:rPr>
          <w:vertAlign w:val="superscript"/>
        </w:rPr>
        <w:t>479</w:t>
      </w:r>
      <w:r w:rsidRPr="00DB2C42">
        <w:fldChar w:fldCharType="end"/>
      </w:r>
      <w:r w:rsidRPr="00DB2C42">
        <w:t xml:space="preserve">. Although the differences were not statistically significant, a trend toward reduced basal and maximal respiration </w:t>
      </w:r>
      <w:r>
        <w:t xml:space="preserve">was </w:t>
      </w:r>
      <w:r w:rsidRPr="00DB2C42">
        <w:t xml:space="preserve">observed in </w:t>
      </w:r>
      <w:r>
        <w:t xml:space="preserve">the </w:t>
      </w:r>
      <w:r w:rsidRPr="00DC493F">
        <w:rPr>
          <w:i/>
          <w:iCs/>
        </w:rPr>
        <w:t>Ucp1</w:t>
      </w:r>
      <w:r w:rsidRPr="00DB2C42">
        <w:t xml:space="preserve"> KO cells (</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49159E">
        <w:rPr>
          <w:b/>
          <w:bCs/>
        </w:rPr>
        <w:t xml:space="preserve">Figure </w:t>
      </w:r>
      <w:r w:rsidRPr="0049159E">
        <w:rPr>
          <w:b/>
          <w:bCs/>
          <w:noProof/>
        </w:rPr>
        <w:t>5.5</w:t>
      </w:r>
      <w:r w:rsidRPr="0012645C">
        <w:rPr>
          <w:b/>
          <w:bCs/>
        </w:rPr>
        <w:fldChar w:fldCharType="end"/>
      </w:r>
      <w:r>
        <w:rPr>
          <w:b/>
          <w:bCs/>
        </w:rPr>
        <w:t>E, F</w:t>
      </w:r>
      <w:r w:rsidRPr="00DB2C42">
        <w:t xml:space="preserve">). </w:t>
      </w:r>
      <w:r>
        <w:t xml:space="preserve">Moreover, </w:t>
      </w:r>
      <w:r w:rsidRPr="00DB2C42">
        <w:t xml:space="preserve">ATP production was unchanged between </w:t>
      </w:r>
      <w:r>
        <w:t xml:space="preserve">the </w:t>
      </w:r>
      <w:r w:rsidRPr="00DB2C42">
        <w:t xml:space="preserve">KO and </w:t>
      </w:r>
      <w:r>
        <w:t>the SCR cell</w:t>
      </w:r>
      <w:r w:rsidRPr="00DB2C42">
        <w:t>s (</w:t>
      </w:r>
      <w:r w:rsidRPr="0012645C">
        <w:rPr>
          <w:b/>
          <w:bCs/>
        </w:rPr>
        <w:fldChar w:fldCharType="begin"/>
      </w:r>
      <w:r w:rsidRPr="0012645C">
        <w:rPr>
          <w:b/>
          <w:bCs/>
        </w:rPr>
        <w:instrText xml:space="preserve"> REF _Ref200808972 \h  \* MERGEFORMAT </w:instrText>
      </w:r>
      <w:r w:rsidRPr="0012645C">
        <w:rPr>
          <w:b/>
          <w:bCs/>
        </w:rPr>
      </w:r>
      <w:r w:rsidRPr="0012645C">
        <w:rPr>
          <w:b/>
          <w:bCs/>
        </w:rPr>
        <w:fldChar w:fldCharType="separate"/>
      </w:r>
      <w:r w:rsidRPr="0012645C">
        <w:rPr>
          <w:b/>
          <w:bCs/>
        </w:rPr>
        <w:t xml:space="preserve">Figure </w:t>
      </w:r>
      <w:r w:rsidRPr="0012645C">
        <w:rPr>
          <w:b/>
          <w:bCs/>
          <w:noProof/>
        </w:rPr>
        <w:t>5</w:t>
      </w:r>
      <w:r w:rsidRPr="0012645C">
        <w:rPr>
          <w:b/>
          <w:bCs/>
        </w:rPr>
        <w:t>.</w:t>
      </w:r>
      <w:r>
        <w:rPr>
          <w:b/>
          <w:bCs/>
          <w:noProof/>
        </w:rPr>
        <w:t>5</w:t>
      </w:r>
      <w:r w:rsidRPr="0012645C">
        <w:rPr>
          <w:b/>
          <w:bCs/>
        </w:rPr>
        <w:fldChar w:fldCharType="end"/>
      </w:r>
      <w:r>
        <w:rPr>
          <w:b/>
          <w:bCs/>
        </w:rPr>
        <w:t>H</w:t>
      </w:r>
      <w:r w:rsidRPr="00DB2C42">
        <w:t xml:space="preserve">). Together, these results </w:t>
      </w:r>
      <w:r>
        <w:t>suggest</w:t>
      </w:r>
      <w:r w:rsidRPr="00DB2C42">
        <w:t xml:space="preserve"> that </w:t>
      </w:r>
      <w:r w:rsidRPr="00DC493F">
        <w:rPr>
          <w:i/>
          <w:iCs/>
        </w:rPr>
        <w:t>Ucp1</w:t>
      </w:r>
      <w:r w:rsidRPr="00DB2C42">
        <w:t xml:space="preserve"> deletion disrupt</w:t>
      </w:r>
      <w:r>
        <w:t>s</w:t>
      </w:r>
      <w:r w:rsidRPr="00DB2C42">
        <w:t xml:space="preserve"> </w:t>
      </w:r>
      <w:r>
        <w:t>mitochondrial uncoupling</w:t>
      </w:r>
      <w:r w:rsidRPr="00DB2C42">
        <w:t xml:space="preserve"> without affecting mitochondrial ATP synthesis. </w:t>
      </w:r>
    </w:p>
    <w:p w14:paraId="3266E0C0" w14:textId="10D9A2E0" w:rsidR="00350CD5" w:rsidRPr="00DB2C42" w:rsidRDefault="00350CD5" w:rsidP="00350CD5">
      <w:pPr>
        <w:ind w:firstLine="720"/>
        <w:jc w:val="left"/>
      </w:pPr>
      <w:r>
        <w:t xml:space="preserve">Regarding the browning effect, </w:t>
      </w:r>
      <w:r w:rsidRPr="00DB2C42">
        <w:t>R</w:t>
      </w:r>
      <w:r>
        <w:t>OSI</w:t>
      </w:r>
      <w:r w:rsidRPr="00DB2C42">
        <w:t xml:space="preserve"> induced the mRNA expression of thermogenic genes in </w:t>
      </w:r>
      <w:r>
        <w:t>the SCR cells; however,</w:t>
      </w:r>
      <w:r w:rsidRPr="00DB2C42">
        <w:t xml:space="preserve"> this effect was </w:t>
      </w:r>
      <w:r>
        <w:t xml:space="preserve">either </w:t>
      </w:r>
      <w:r w:rsidRPr="00DB2C42">
        <w:t>absent</w:t>
      </w:r>
      <w:r>
        <w:t xml:space="preserve"> or attenuated</w:t>
      </w:r>
      <w:r w:rsidRPr="00DB2C42">
        <w:t xml:space="preserve"> in </w:t>
      </w:r>
      <w:r>
        <w:t xml:space="preserve">the </w:t>
      </w:r>
      <w:r w:rsidRPr="00DC493F">
        <w:rPr>
          <w:i/>
          <w:iCs/>
        </w:rPr>
        <w:t>Ucp1</w:t>
      </w:r>
      <w:r w:rsidRPr="00DB2C42">
        <w:t xml:space="preserve"> KO cells. In </w:t>
      </w:r>
      <w:r>
        <w:t>the SCR cells</w:t>
      </w:r>
      <w:r w:rsidRPr="00DB2C42">
        <w:t xml:space="preserve">, </w:t>
      </w:r>
      <w:r w:rsidRPr="000D7FFB">
        <w:rPr>
          <w:i/>
          <w:iCs/>
        </w:rPr>
        <w:t>Ucp1</w:t>
      </w:r>
      <w:r w:rsidRPr="00DB2C42">
        <w:t xml:space="preserve"> </w:t>
      </w:r>
      <w:r>
        <w:t xml:space="preserve">mRNA expression was </w:t>
      </w:r>
      <w:r w:rsidRPr="00DB2C42">
        <w:t>significantly upregulated by ROSI</w:t>
      </w:r>
      <w:r>
        <w:t xml:space="preserve"> not only under both basal conditions and</w:t>
      </w:r>
      <w:r w:rsidRPr="00DB2C42">
        <w:t xml:space="preserve"> β-adrenergic stimulation (ISO) (</w:t>
      </w:r>
      <w:r w:rsidRPr="0012645C">
        <w:rPr>
          <w:b/>
          <w:bCs/>
        </w:rPr>
        <w:fldChar w:fldCharType="begin"/>
      </w:r>
      <w:r w:rsidRPr="0012645C">
        <w:rPr>
          <w:b/>
          <w:bCs/>
        </w:rPr>
        <w:instrText xml:space="preserve"> REF _Ref200809085 \h  \* MERGEFORMAT </w:instrText>
      </w:r>
      <w:r w:rsidRPr="0012645C">
        <w:rPr>
          <w:b/>
          <w:bCs/>
        </w:rPr>
      </w:r>
      <w:r w:rsidRPr="0012645C">
        <w:rPr>
          <w:b/>
          <w:bCs/>
        </w:rPr>
        <w:fldChar w:fldCharType="separate"/>
      </w:r>
      <w:r w:rsidRPr="00115D97">
        <w:rPr>
          <w:b/>
          <w:bCs/>
        </w:rPr>
        <w:t xml:space="preserve">Figure </w:t>
      </w:r>
      <w:r w:rsidRPr="00115D97">
        <w:rPr>
          <w:b/>
          <w:bCs/>
          <w:noProof/>
        </w:rPr>
        <w:t>5.6</w:t>
      </w:r>
      <w:r w:rsidRPr="0012645C">
        <w:rPr>
          <w:b/>
          <w:bCs/>
        </w:rPr>
        <w:fldChar w:fldCharType="end"/>
      </w:r>
      <w:r>
        <w:rPr>
          <w:b/>
          <w:bCs/>
        </w:rPr>
        <w:t>A</w:t>
      </w:r>
      <w:r w:rsidRPr="00DB2C42">
        <w:t xml:space="preserve">). This is consistent with </w:t>
      </w:r>
      <w:r>
        <w:t xml:space="preserve">a </w:t>
      </w:r>
      <w:r w:rsidRPr="00DB2C42">
        <w:t xml:space="preserve">previous report that ROSI upregulated the thermogenic regulator </w:t>
      </w:r>
      <w:r w:rsidRPr="00DB2C42">
        <w:rPr>
          <w:i/>
          <w:iCs/>
        </w:rPr>
        <w:t>Ucp1</w:t>
      </w:r>
      <w:r w:rsidRPr="00DB2C42">
        <w:t xml:space="preserve"> in white adipocytes</w:t>
      </w:r>
      <w:r>
        <w:t xml:space="preserve"> </w:t>
      </w:r>
      <w:r w:rsidRPr="00DB2C42">
        <w:fldChar w:fldCharType="begin"/>
      </w:r>
      <w:r w:rsidR="00BE712C">
        <w:instrText xml:space="preserve"> ADDIN ZOTERO_ITEM CSL_CITATION {"citationID":"iFGiUygf","properties":{"formattedCitation":"\\super 480\\nosupersub{}","plainCitation":"480","noteIndex":0},"citationItems":[{"id":71,"uris":["http://zotero.org/users/9622455/items/2URBJYGV"],"itemData":{"id":71,"type":"article-journal","abstract":"The recruitment of brite (or beige) adipocytes has been advocated as a means to combat obesity, due to their ability to phenotypically resemble brown adipocytes (BA). Lineage studies indicate that brite adipocytes are formed by differentiation of precursor cells or by direct conversion of existing white adipocytes, depending on the adipose depot examined. We have systematically compared the gene expression profile and a functional output (oxygen consumption) in mouse adipocytes cultured from two contrasting depots, namely interscapular brown adipose tissue, and inguinal white adipose tissue (iWAT), following treatment with a known browning agent, the peroxisome proliferator-activated receptor (PPARγ) activator rosiglitazone. Prototypical BA readily express uncoupling protein (UCP)1, and upstream regulators including the β3-adrenoceptor and transcription factors involved in energy homeostasis. Adipocytes from inguinal WAT display maximal UCP1 expression and mitochondrial uncoupling only when treated with a combination of the PPARγ activator rosiglitazone and a β3-adrenoceptor agonist. In conclusion, brite adipocytes are fully activated only when a browning agent (rosiglitazone) and a thermogenic agent (β3-adrenoceptor agonist) are added in combination. The presence of rosiglitazone throughout the 7-day culture period partially masks the effects of β3-adrenoceptor signaling in inguinal white adipocyte cultures, whereas including rosiglitazone only for the first 3 days promotes robust β3-adrenoceptor expression and provides an improved window for detection of β3-adrenoceptor responses.","container-title":"Frontiers in Endocrinology","DOI":"10.3389/fendo.2018.00249","ISSN":"1664-2392","journalAbbreviation":"Front Endocrinol (Lausanne)","note":"PMID: 29910772\nPMCID: PMC5992408","page":"249","source":"PubMed Central","title":"Rosiglitazone and a β3-Adrenoceptor Agonist Are Both Required for Functional Browning of White Adipocytes in Culture","volume":"9","author":[{"family":"Merlin","given":"Jon"},{"family":"Sato","given":"Masaaki"},{"family":"Chia","given":"Ling Yeong"},{"family":"Fahey","given":"Richard"},{"family":"Pakzad","given":"Mohsen"},{"family":"Nowell","given":"Cameron J."},{"family":"Summers","given":"Roger J."},{"family":"Bengtsson","given":"Tore"},{"family":"Evans","given":"Bronwyn A."},{"family":"Hutchinson","given":"Dana S."}],"issued":{"date-parts":[["2018",5,30]]}}}],"schema":"https://github.com/citation-style-language/schema/raw/master/csl-citation.json"} </w:instrText>
      </w:r>
      <w:r w:rsidRPr="00DB2C42">
        <w:fldChar w:fldCharType="separate"/>
      </w:r>
      <w:r w:rsidR="00BE712C" w:rsidRPr="00BE712C">
        <w:rPr>
          <w:vertAlign w:val="superscript"/>
        </w:rPr>
        <w:t>480</w:t>
      </w:r>
      <w:r w:rsidRPr="00DB2C42">
        <w:fldChar w:fldCharType="end"/>
      </w:r>
      <w:r w:rsidRPr="00DB2C42">
        <w:t xml:space="preserve">. </w:t>
      </w:r>
      <w:r w:rsidRPr="00DB2C42">
        <w:rPr>
          <w:i/>
          <w:iCs/>
        </w:rPr>
        <w:lastRenderedPageBreak/>
        <w:t>Pgc1α</w:t>
      </w:r>
      <w:r w:rsidRPr="00DB2C42">
        <w:t xml:space="preserve"> </w:t>
      </w:r>
      <w:r>
        <w:t xml:space="preserve">mRNA </w:t>
      </w:r>
      <w:r w:rsidRPr="00DB2C42">
        <w:t xml:space="preserve">expression was also elevated by </w:t>
      </w:r>
      <w:r>
        <w:t>ROSI</w:t>
      </w:r>
      <w:r w:rsidRPr="00DB2C42">
        <w:t xml:space="preserve"> in response to ISO stimulation in </w:t>
      </w:r>
      <w:r>
        <w:t xml:space="preserve">the SCR </w:t>
      </w:r>
      <w:r w:rsidRPr="00DB2C42">
        <w:t>control cells, in line with its role as a coactivator of PPARγ and regulator of mitochondrial gene expression</w:t>
      </w:r>
      <w:r>
        <w:t xml:space="preserve"> </w:t>
      </w:r>
      <w:r>
        <w:fldChar w:fldCharType="begin"/>
      </w:r>
      <w:r w:rsidR="00BE712C">
        <w:instrText xml:space="preserve"> ADDIN ZOTERO_ITEM CSL_CITATION {"citationID":"a9prmvrebr","properties":{"formattedCitation":"\\super 481\\nosupersub{}","plainCitation":"481","noteIndex":0},"citationItems":[{"id":4188,"uris":["http://zotero.org/users/9622455/items/UNKICJ48"],"itemData":{"id":4188,"type":"article-journal","abstract":"Mitochondria play a major role in ROS production and defense during their life cycle. The transcriptional activator PGC-1α is a key player in the homeostasis of energy metabolism and is therefore closely linked to mitochondrial function. PGC-1α responds to environmental and intracellular conditions and is regulated by SIRT1/3, TFAM, and AMPK, which are also important regulators of mitochondrial biogenesis and function. In this review, we highlight the functions and regulatory mechanisms of PGC-1α within this framework, with a focus on its involvement in the mitochondrial lifecycle and ROS metabolism. As an example, we show the role of PGC-1α in ROS scavenging under inflammatory conditions. Interestingly, PGC-1α and the stress response factor NF-κB, which regulates the immune response, are reciprocally regulated. During inflammation, NF-κB reduces PGC-1α expression and activity. Low PGC-1α activity leads to the downregulation of antioxidant target genes resulting in oxidative stress. Additionally, low PGC-1α levels and concomitant oxidative stress promote NF-κB activity, which exacerbates the inflammatory response.","container-title":"Antioxidants","DOI":"10.3390/antiox12051075","ISSN":"2076-3921","issue":"5","journalAbbreviation":"Antioxidants (Basel)","note":"PMID: 37237941\nPMCID: PMC10215733","page":"1075","source":"PubMed Central","title":"PGC-1α Is a Master Regulator of Mitochondrial Lifecycle and ROS Stress Response","volume":"12","author":[{"family":"Abu Shelbayeh","given":"Othman"},{"family":"Arroum","given":"Tasnim"},{"family":"Morris","given":"Silke"},{"family":"Busch","given":"Karin B."}],"issued":{"date-parts":[["2023",5,10]]}}}],"schema":"https://github.com/citation-style-language/schema/raw/master/csl-citation.json"} </w:instrText>
      </w:r>
      <w:r>
        <w:fldChar w:fldCharType="separate"/>
      </w:r>
      <w:r w:rsidR="00BE712C" w:rsidRPr="00BE712C">
        <w:rPr>
          <w:vertAlign w:val="superscript"/>
        </w:rPr>
        <w:t>481</w:t>
      </w:r>
      <w:r>
        <w:fldChar w:fldCharType="end"/>
      </w:r>
      <w:r w:rsidRPr="00DB2C42">
        <w:t xml:space="preserve">. PGC1α is </w:t>
      </w:r>
      <w:r>
        <w:t xml:space="preserve">also </w:t>
      </w:r>
      <w:r w:rsidRPr="00DB2C42">
        <w:t>a well-known upstream regulator of UCP1</w:t>
      </w:r>
      <w:r>
        <w:t xml:space="preserve"> </w:t>
      </w:r>
      <w:r w:rsidRPr="00DB2C42">
        <w:fldChar w:fldCharType="begin"/>
      </w:r>
      <w:r>
        <w:instrText xml:space="preserve"> ADDIN ZOTERO_ITEM CSL_CITATION {"citationID":"44jiKXRn","properties":{"formattedCitation":"\\super 410\\nosupersub{}","plainCitation":"410","noteIndex":0},"citationItems":[{"id":3034,"uris":["http://zotero.org/users/9622455/items/78X5ZU7I"],"itemData":{"id":3034,"type":"article-journal","abstract":"Mitochondria play a major role in ROS production and defense during their life cycle. The transcriptional activator PGC-1α is a key player in the homeostasis of energy metabolism and is therefore closely linked to mitochondrial function. PGC-1α responds to environmental and intracellular conditions and is regulated by SIRT1/3, TFAM, and AMPK, which are also important regulators of mitochondrial biogenesis and function. In this review, we highlight the functions and regulatory mechanisms of PGC-1α within this framework, with a focus on its involvement in the mitochondrial lifecycle and ROS metabolism. As an example, we show the role of PGC-1α in ROS scavenging under inflammatory conditions. Interestingly, PGC-1α and the stress response factor NF-κB, which regulates the immune response, are reciprocally regulated. During inflammation, NF-κB reduces PGC-1α expression and activity. Low PGC-1α activity leads to the downregulation of antioxidant target genes resulting in oxidative stress. Additionally, low PGC-1α levels and concomitant oxidative stress promote NF-κB activity, which exacerbates the inflammatory response.","container-title":"Antioxidants","DOI":"10.3390/antiox12051075","ISSN":"2076-3921","issue":"5","journalAbbreviation":"Antioxidants (Basel)","note":"PMID: 37237941\nPMCID: PMC10215733","page":"1075","source":"PubMed Central","title":"PGC-1α Is a Master Regulator of Mitochondrial Lifecycle and ROS Stress Response","volume":"12","author":[{"family":"Abu Shelbayeh","given":"Othman"},{"family":"Arroum","given":"Tasnim"},{"family":"Morris","given":"Silke"},{"family":"Busch","given":"Karin B."}],"issued":{"date-parts":[["2023",5,10]]}}}],"schema":"https://github.com/citation-style-language/schema/raw/master/csl-citation.json"} </w:instrText>
      </w:r>
      <w:r w:rsidRPr="00DB2C42">
        <w:fldChar w:fldCharType="separate"/>
      </w:r>
      <w:r w:rsidRPr="000A741B">
        <w:rPr>
          <w:vertAlign w:val="superscript"/>
        </w:rPr>
        <w:t>410</w:t>
      </w:r>
      <w:r w:rsidRPr="00DB2C42">
        <w:fldChar w:fldCharType="end"/>
      </w:r>
      <w:r w:rsidRPr="00DB2C42">
        <w:t xml:space="preserve">. Both genes are often co-induced by stimuli such as cold or β-adrenergic agonists, reflecting </w:t>
      </w:r>
      <w:r>
        <w:t xml:space="preserve">the </w:t>
      </w:r>
      <w:r w:rsidRPr="00DB2C42">
        <w:t>coordinated activation of the browning program</w:t>
      </w:r>
      <w:r>
        <w:t xml:space="preserve"> </w:t>
      </w:r>
      <w:r w:rsidRPr="00DB2C42">
        <w:fldChar w:fldCharType="begin"/>
      </w:r>
      <w:r w:rsidR="00BE712C">
        <w:instrText xml:space="preserve"> ADDIN ZOTERO_ITEM CSL_CITATION {"citationID":"T4fhugEb","properties":{"formattedCitation":"\\super 482,483\\nosupersub{}","plainCitation":"482,483","noteIndex":0},"citationItems":[{"id":3040,"uris":["http://zotero.org/users/9622455/items/U7YDXFZH"],"itemData":{"id":3040,"type":"article-journal","abstract":"Promoting development and function of brown and beige fat may reduce obesity. Here, we show that fat SIRT6 expression is markedly induced by cold exposure and a b-adrenergic agonist. Deletion of SIRT6 in adipose tissue impairs the thermogenic function of brown adipocytes, causing a morphological ‘‘whitening’’ of brown fat, reduced oxygen (O2) consumption, obesity, decreased core body temperature, and cold sensitivity. Fat SIRT6-deleted mice exhibit increased blood glucose levels, severe insulin resistance, and hepatic steatosis. Moreover, SIRT6 deﬁciency inhibits the browning of white adipose tissue (WAT) following cold exposure or b3-agonist treatment. Depletion of SIRT6 expression in brown adipocytes reduces expression of thermogenic genes, causing a reduction in cellular respiration. Conversely, SIRT6 overexpression in primary fat cells stimulates the thermogenic program. Mechanistically, SIRT6 interacts with and promotes phospho-ATF2 binding to the PGC-1a gene promoter to activate its expression. The present study reveals a critical role for SIRT6 in regulating thermogenesis of fat.","container-title":"Cell Reports","DOI":"10.1016/j.celrep.2017.06.069","ISSN":"2211-1247","issue":"3","language":"en","license":"https://www.elsevier.com/tdm/userlicense/1.0/","note":"publisher: Elsevier BV","page":"641-654","source":"Crossref","title":"Cold-Inducible SIRT6 Regulates Thermogenesis of Brown and Beige Fat","volume":"20","author":[{"family":"Yao","given":"Lu"},{"family":"Cui","given":"Xiaona"},{"family":"Chen","given":"Qi"},{"family":"Yang","given":"Xiaoying"},{"family":"Fang","given":"Fude"},{"family":"Zhang","given":"Jun"},{"family":"Liu","given":"Guoqing"},{"family":"Jin","given":"Wanzhu"},{"family":"Chang","given":"Yongsheng"}],"issued":{"date-parts":[["2017",7]]}}},{"id":3038,"uris":["http://zotero.org/users/9622455/items/D3VZXVM4"],"itemData":{"id":3038,"type":"article-journal","abstract":"Uncoupling protein 1 (UCP1) mediates nonshivering thermogenesis and, upon cold exposure, is induced in brown adipose tissue (BAT) and subcutaneous white adipose tissue (iWAT). Here, by high-throughput screening using the UCP1 promoter, we identify Zfp516 as a transcriptional activator of UCP1 as well as PGC1a, thereby promoting a BAT program. Zfp516 itself is induced by cold and sympathetic stimulation through the cAMP-CREB/ATF2 pathway. Zfp516 directly binds to the proximal region of the UCP1 promoter, not to the enhancer region where other transcription factors bind, and interacts with PRDM16 to activate the UCP1 promoter. Although ablation of Zfp516 causes embryonic lethality, knockout embryos still show drastically reduced BAT mass. Overexpression of Zfp516 in adipose tissue promotes browning of iWAT even at room temperature, increasing body temperature and energy expenditure and preventing diet-induced obesity. Zfp516 may represent a future target for obesity therapeutics.","container-title":"Molecular Cell","DOI":"10.1016/j.molcel.2014.12.005","ISSN":"1097-2765","issue":"2","language":"en","license":"https://www.elsevier.com/tdm/userlicense/1.0/","note":"publisher: Elsevier BV","page":"235-246","source":"Crossref","title":"Cold-Inducible Zfp516 Activates UCP1 Transcription to Promote Browning of White Fat and Development of Brown Fat","volume":"57","author":[{"family":"Dempersmier","given":"Jon"},{"family":"Sambeat","given":"Audrey"},{"family":"Gulyaeva","given":"Olga"},{"family":"Paul","given":"Sarah M."},{"family":"Hudak","given":"Carolyn S.S."},{"family":"Raposo","given":"Helena F."},{"family":"Kwan","given":"Hiu-Yee"},{"family":"Kang","given":"Chulho"},{"family":"Wong","given":"Roger H.F."},{"family":"Sul","given":"Hei Sook"}],"issued":{"date-parts":[["2015",1]]}}}],"schema":"https://github.com/citation-style-language/schema/raw/master/csl-citation.json"} </w:instrText>
      </w:r>
      <w:r w:rsidRPr="00DB2C42">
        <w:fldChar w:fldCharType="separate"/>
      </w:r>
      <w:r w:rsidR="00BE712C" w:rsidRPr="00BE712C">
        <w:rPr>
          <w:vertAlign w:val="superscript"/>
        </w:rPr>
        <w:t>482,483</w:t>
      </w:r>
      <w:r w:rsidRPr="00DB2C42">
        <w:fldChar w:fldCharType="end"/>
      </w:r>
      <w:r w:rsidRPr="00DB2C42">
        <w:t xml:space="preserve">. However, ROSI failed to induce the </w:t>
      </w:r>
      <w:r>
        <w:t>mRNA</w:t>
      </w:r>
      <w:r w:rsidRPr="00DB2C42">
        <w:t xml:space="preserve"> expression of </w:t>
      </w:r>
      <w:r w:rsidRPr="00B42556">
        <w:rPr>
          <w:i/>
          <w:iCs/>
        </w:rPr>
        <w:t>Pgc1α</w:t>
      </w:r>
      <w:r w:rsidRPr="00DB2C42">
        <w:t xml:space="preserve"> in </w:t>
      </w:r>
      <w:r>
        <w:t xml:space="preserve">the </w:t>
      </w:r>
      <w:r w:rsidRPr="00DC493F">
        <w:rPr>
          <w:i/>
          <w:iCs/>
        </w:rPr>
        <w:t>Ucp1</w:t>
      </w:r>
      <w:r w:rsidRPr="00DB2C42">
        <w:t xml:space="preserve"> KO cells under both basal and ISO conditions</w:t>
      </w:r>
      <w:r>
        <w:t>,</w:t>
      </w:r>
      <w:r w:rsidRPr="00DB2C42">
        <w:t xml:space="preserve"> suggesting that deletion of </w:t>
      </w:r>
      <w:r w:rsidRPr="00DC493F">
        <w:rPr>
          <w:i/>
          <w:iCs/>
        </w:rPr>
        <w:t>Ucp1</w:t>
      </w:r>
      <w:r w:rsidRPr="00DB2C42">
        <w:t xml:space="preserve"> disrupts the transcriptional </w:t>
      </w:r>
      <w:r>
        <w:t xml:space="preserve">programs underlying </w:t>
      </w:r>
      <w:r w:rsidRPr="00DB2C42">
        <w:t>browning response</w:t>
      </w:r>
      <w:r>
        <w:t>s</w:t>
      </w:r>
      <w:r w:rsidRPr="00DB2C42">
        <w:t>.</w:t>
      </w:r>
    </w:p>
    <w:p w14:paraId="2FC8FA1F" w14:textId="29DD9733" w:rsidR="00350CD5" w:rsidRPr="00DB2C42" w:rsidRDefault="00350CD5" w:rsidP="00350CD5">
      <w:pPr>
        <w:ind w:firstLine="720"/>
        <w:jc w:val="left"/>
      </w:pPr>
      <w:r w:rsidRPr="00DB2C42">
        <w:t>ROSI has been shown to enhance both thermogenesis and insulin sensitivity</w:t>
      </w:r>
      <w:r>
        <w:t xml:space="preserve"> </w:t>
      </w:r>
      <w:r w:rsidRPr="00DB2C42">
        <w:fldChar w:fldCharType="begin"/>
      </w:r>
      <w:r w:rsidR="00BE712C">
        <w:instrText xml:space="preserve"> ADDIN ZOTERO_ITEM CSL_CITATION {"citationID":"OgGunoaj","properties":{"formattedCitation":"\\super 484\\uc0\\u8211{}486\\nosupersub{}","plainCitation":"484–486","noteIndex":0},"citationItems":[{"id":3067,"uris":["http://zotero.org/users/9622455/items/QGYR7FD2"],"itemData":{"id":3067,"type":"article-journal","abstract":"Brown adipose tissue (BAT) is considered an interesting target organ for the treatment of metabolic disease due to its high metabolic capacity. Non-shivering thermogenesis, once activated, can lead to enhanced partitioning and oxidation of fuels in adipose tissues, and reduce the burden of glucose and lipids on other metabolic organs such as liver, pancreas, and skeletal muscle. Sustained long-term activation of BAT may also lead to meaningful bodyweight loss. In this review, we discuss three different drug classes [the thiazolidinedione (TZD) class of PPARγ agonists, β3-adrenergic receptor agonists, and fibroblast growth factor 21 (FGF21) analogs] that have been proposed to regulate BAT and beige recruitment or activation, or both, and which have been tested in both rodent and human. The learnings from these classes suggest that restoration of functional BAT and beige mass as well as improved activation might be required to fully realize the metabolic potential of these tissues. Whether this can be achieved without the undesired cardiovascular side effects exhibited by the TZD PPARγ agonists and β3-adrenergic receptor agonists remains to be resolved.","container-title":"Frontiers in Endocrinology","DOI":"10.3389/fendo.2015.00174","ISSN":"1664-2392","journalAbbreviation":"Front. Endocrinol.","language":"en","note":"publisher: Frontiers Media SA","source":"Crossref","title":"Unlock the Thermogenic Potential of Adipose Tissue: Pharmacological Modulation and Implications for Treatment of Diabetes and Obesity","title-short":"Unlock the Thermogenic Potential of Adipose Tissue","URL":"http://journal.frontiersin.org/Article/10.3389/fendo.2015.00174/abstract","volume":"6","author":[{"family":"Peng","given":"Xiao-Rong"},{"family":"Gennemark","given":"Peter"},{"family":"O’Mahony","given":"Gavin"},{"family":"Bartesaghi","given":"Stefano"}],"accessed":{"date-parts":[["2025",5,23]]},"issued":{"date-parts":[["2015",11,19]]}}},{"id":3058,"uris":["http://zotero.org/users/9622455/items/9GLTEM2E"],"itemData":{"id":3058,"type":"article-journal","abstract":"Trans-10, cis-12 conjugated linoleic acid (10,12 CLA) is a dietary fatty acid that promotes weight loss and disproportionate fat loss. Obese mice fed a high-fat, high-sucrose (HFHS) diet containing 10,12 CLA are resistant to weight gain and contain markedly reduced subcutaneous fat and adiponectin, with a concurrent lack of improvement in insulin sensitivity despite significant weight loss. Taken together, 10,12 CLA promotes a phenotype resembling peroxisome proliferator-activated receptor (PPAR)γ antagonism. Because thiazolidinediones such as rosiglitazone (Rosi) are used clinically to improve insulin sensitivity by activating PPARγ, with particular efficacy in subcutaneous white adipose tissue, we hypothesized that Rosi would improve glucose metabolism in mice losing weight with 10,12 CLA. Obese low-density lipoprotein receptor–deficient mice were fed a HFHS control diet, or supplemented with 1% 10,12 CLA with or without Rosi (10 mg/kg) for 8 weeks. Body composition, glucose and insulin tolerance tests, tissue gene expression, and plasma lipid analyses were performed. Mice consuming 10,12 CLA with Rosi lost weight and body fat compared with control groups, but with a healthier redistribution of body fat toward more subcutaneous adipose tissue than with 10,12 CLA alone. Further, Rosi improved 10,12 CLA–mediated insulin resistance parameters and increased plasma and subcutaneous adipose tissue adiponectin levels without adverse effects on plasma or hepatic lipids. We conclude that cotreatment of mice with 10,12 CLA and Rosi promotes fat loss with a healthier fat distribution that leads to improved insulin sensitivity, suggesting that the combination treatment strategy of 10,12 CLA with Rosi could have therapeutic potential for obesity treatment., Obese mice supplemented with 10,12 CLA lose weight, without improved insulin sensitivity. Adding rosiglitazone maintains weight loss but also improves insulin sensitivity by increasing adiponectin.","container-title":"Endocrinology","DOI":"10.1210/en.2017-00213","ISSN":"0013-7227","issue":"9","journalAbbreviation":"Endocrinology","note":"PMID: 28651330\nPMCID: PMC5659669","page":"2848-2859","source":"PubMed Central","title":"Rosiglitazone Improves Insulin Resistance Mediated by 10,12 Conjugated Linoleic Acid in a Male Mouse Model of Metabolic Syndrome","volume":"158","author":[{"family":"Wang","given":"Shari"},{"family":"Goodspeed","given":"Leela"},{"family":"Turk","given":"Katherine E."},{"family":"Houston","given":"Barbara"},{"family":"Hartigh","given":"Laura J.","non-dropping-particle":"den"}],"issued":{"date-parts":[["2017",6,23]]}}},{"id":3060,"uris":["http://zotero.org/users/9622455/items/GENRVEYU"],"itemData":{"id":3060,"type":"article-journal","abstract":"Aims\nTo accommodate surplus energy, adipose tissue expands by increasing both adipose cell size (hypertrophy) and cell number (hyperplasia). Enlarged, hypertrophic adipocytes are known to have reduced insulin response and impaired glucose transport, which negatively influence whole-body glucose homeostasis. Rosiglitazone is a peroxisome proliferator-activated receptor gamma (PPARγ) agonist, known to stimulate hyperplasia and to efficiently improve insulin sensitivity. Still, a limited amount of research has investigated the effects of rosiglitazone in mature, hypertrophic adipocytes. Therefore, the objective of this study was to examine rosiglitazone's effect on insulin-stimulated glucose uptake in hypertrophic adipocytes.\nMain methods\nC57BL/6J male mice were subjected to 2 weeks of high-fat diet (HFD) followed by 1 week of HFD combined with daily administration of rosiglitazone (10 mg/kg). Adipose cell-size distribution and gene expression were analysed in intact adipose tissue, and glucose uptake, insulin response, and protein expression were examined using primary adipocytes isolated from epididymal and inguinal adipose tissue.\nKey findings\nHFD-feeding induced an accumulation of hypertrophic adipocytes, which was not affected by rosiglitazone-treatment. Still, rosiglitazone efficiently improved insulin-stimulated glucose transport without restoring insulin signaling or GLUT4 expression in similar-sized adipocytes. This improvement occurred concurrently with extracellular matrix remodelling and restored intracellular levels of targets involved in actin turnover.\nSignificance\nThese results demonstrate that rosiglitazone improves glucose transport in hypertrophic adipocytes, and highlights the importance of the cytoskeleton and extracellular matrix as potential therapeutic targets.","container-title":"Life Sciences","DOI":"10.1016/j.lfs.2022.120537","ISSN":"0024-3205","journalAbbreviation":"Life Sciences","page":"120537","source":"ScienceDirect","title":"Rosiglitazone treatment enhances intracellular actin dynamics and glucose transport in hypertrophic adipocytes","volume":"299","author":[{"family":"Fryklund","given":"Claes"},{"family":"Morén","given":"Björn"},{"family":"Neuhaus","given":"Mathis"},{"family":"Periwal","given":"Vipul"},{"family":"Stenkula","given":"Karin G."}],"issued":{"date-parts":[["2022",6,15]]}}}],"schema":"https://github.com/citation-style-language/schema/raw/master/csl-citation.json"} </w:instrText>
      </w:r>
      <w:r w:rsidRPr="00DB2C42">
        <w:fldChar w:fldCharType="separate"/>
      </w:r>
      <w:r w:rsidR="00BE712C" w:rsidRPr="00BE712C">
        <w:rPr>
          <w:vertAlign w:val="superscript"/>
        </w:rPr>
        <w:t>484–486</w:t>
      </w:r>
      <w:r w:rsidRPr="00DB2C42">
        <w:fldChar w:fldCharType="end"/>
      </w:r>
      <w:r w:rsidRPr="00DB2C42">
        <w:t xml:space="preserve">. To examine whether these two effects are mechanistically linked, we evaluated insulin signaling in </w:t>
      </w:r>
      <w:r>
        <w:t xml:space="preserve">the </w:t>
      </w:r>
      <w:r w:rsidRPr="00DC493F">
        <w:rPr>
          <w:i/>
          <w:iCs/>
        </w:rPr>
        <w:t>Ucp1</w:t>
      </w:r>
      <w:r w:rsidRPr="00DB2C42">
        <w:t xml:space="preserve"> KO </w:t>
      </w:r>
      <w:r>
        <w:t>adipocyte</w:t>
      </w:r>
      <w:r w:rsidRPr="00DB2C42">
        <w:t>s</w:t>
      </w:r>
      <w:r>
        <w:t xml:space="preserve"> compared to the SCR controls</w:t>
      </w:r>
      <w:r w:rsidRPr="00DB2C42">
        <w:t xml:space="preserve">. Phosphorylation of AKT at Ser473 was measured following acute insulin stimulation as a functional indicator of insulin </w:t>
      </w:r>
      <w:r>
        <w:t>signaling</w:t>
      </w:r>
      <w:r w:rsidRPr="00DB2C42">
        <w:t xml:space="preserve"> in adipocytes. In </w:t>
      </w:r>
      <w:r>
        <w:t xml:space="preserve">the SCR </w:t>
      </w:r>
      <w:r w:rsidRPr="00DB2C42">
        <w:t>control cells, ROSI significantly enhanced insulin-stimulated AKT phosphorylation</w:t>
      </w:r>
      <w:r>
        <w:t xml:space="preserve"> (</w:t>
      </w:r>
      <w:r w:rsidRPr="005A23BF">
        <w:rPr>
          <w:b/>
          <w:bCs/>
        </w:rPr>
        <w:fldChar w:fldCharType="begin"/>
      </w:r>
      <w:r w:rsidRPr="005A23BF">
        <w:rPr>
          <w:b/>
          <w:bCs/>
        </w:rPr>
        <w:instrText xml:space="preserve"> REF _Ref200809100 \h </w:instrText>
      </w:r>
      <w:r>
        <w:rPr>
          <w:b/>
          <w:bCs/>
        </w:rPr>
        <w:instrText xml:space="preserve"> \* MERGEFORMAT </w:instrText>
      </w:r>
      <w:r w:rsidRPr="005A23BF">
        <w:rPr>
          <w:b/>
          <w:bCs/>
        </w:rPr>
      </w:r>
      <w:r w:rsidRPr="005A23BF">
        <w:rPr>
          <w:b/>
          <w:bCs/>
        </w:rPr>
        <w:fldChar w:fldCharType="separate"/>
      </w:r>
      <w:r w:rsidRPr="005A23BF">
        <w:rPr>
          <w:b/>
          <w:bCs/>
        </w:rPr>
        <w:t xml:space="preserve">Figure </w:t>
      </w:r>
      <w:r w:rsidRPr="005A23BF">
        <w:rPr>
          <w:b/>
          <w:bCs/>
          <w:noProof/>
        </w:rPr>
        <w:t>5</w:t>
      </w:r>
      <w:r w:rsidRPr="005A23BF">
        <w:rPr>
          <w:b/>
          <w:bCs/>
        </w:rPr>
        <w:t>.</w:t>
      </w:r>
      <w:r w:rsidRPr="005A23BF">
        <w:rPr>
          <w:b/>
          <w:bCs/>
          <w:noProof/>
        </w:rPr>
        <w:t>7</w:t>
      </w:r>
      <w:r w:rsidRPr="005A23BF">
        <w:rPr>
          <w:b/>
          <w:bCs/>
        </w:rPr>
        <w:fldChar w:fldCharType="end"/>
      </w:r>
      <w:r>
        <w:t>)</w:t>
      </w:r>
      <w:r w:rsidRPr="00DB2C42">
        <w:t xml:space="preserve">, consistent with previous findings that ROSI induced glucose uptake and AKT phosphorylation in </w:t>
      </w:r>
      <w:r>
        <w:t>insulin-resistant</w:t>
      </w:r>
      <w:r w:rsidRPr="00DB2C42">
        <w:t xml:space="preserve"> 3T3L1 adipocytes</w:t>
      </w:r>
      <w:r>
        <w:t xml:space="preserve"> </w:t>
      </w:r>
      <w:r w:rsidRPr="00DB2C42">
        <w:fldChar w:fldCharType="begin"/>
      </w:r>
      <w:r w:rsidR="00BE712C">
        <w:instrText xml:space="preserve"> ADDIN ZOTERO_ITEM CSL_CITATION {"citationID":"qmUR5eeg","properties":{"formattedCitation":"\\super 487\\nosupersub{}","plainCitation":"487","noteIndex":0},"citationItems":[{"id":4120,"uris":["http://zotero.org/users/9622455/items/YZNVTHZM"],"itemData":{"id":4120,"type":"article-journal","abstract":"Pigment epithelium-derived factor (PEDF) plays an important role in insulin resistance (IR). The study aims to investigate the effect of rosiglitazone, an insulin sensitizer, on PEDF production and release both in vivo and in vitro. Male SD rats were divided into normal control group, high-fat group, and rosiglitazone group. Hyperinsulinemic euglycemic clamp was performed to evaluate insulin sensitivity. IR models of 3T3-L1 adipocytes and HepG2 cells were established by the hyperinsulinemic method. Glucose uptake was examined to validate IR of adipocytes, and phosphorylation of protein kinase B and glycogen synthesis kinase 3β were examined to validate IR of HepG2 cells. Rosiglitazone, 2-chloro-5-nitro-N-phenylbenzamide (GW9662, an inhibitor of peroxisome proliferator-activated receptor-γ), and compound C (inhibitor of AMP-activated protein kinase [AMPK]) were used for the in vitro intervention. In vivo, the high-fat group showed increased serum PEDF levels, which negatively correlated with insulin sensitivity, whereas the rosiglitazone treatment decreased the serum PEDF and down-regulated PEDF expression in fat and liver of the obese rats, concomitant with significantly enhanced insulin sensitivity. In vitro, the IR cells showed increased PEDF secretion and expression, whereas rosiglitazone lowered PEDF secretion and expression, accompanied with increased insulin sensitivity. Interestingly, combination with 2-chloro-5-nitro-N-phenylbenzamide did not influence the effect of rosiglitazone on PEDF. However, rosiglitazone stimulated AMPK phosphorylation in fat and liver of the obese rats, whereas in vitro, when combined with compound C, the effect of rosiglitazone on PEDF was abrogated. In summary, rosiglitazone inhibits the expression and secretion of PEDF in fat and liver via promoting AMPK phosphorylation rather than peroxisome proliferator-activated receptor-γ, and changes of PEDF induced by rosiglitazone are closely associated with IR improvement.","container-title":"Endocrinology","DOI":"10.1210/en.2013-1813","ISSN":"0013-7227","issue":"3","journalAbbreviation":"Endocrinology","page":"941-950","source":"Silverchair","title":"Rosiglitazone Inhibits Expression and Secretion of PEDF in Adipose Tissue and Liver of Male SD Rats Via a PPAR-γ Independent Mechanism","volume":"155","author":[{"family":"Yang","given":"Shumin"},{"family":"Luo","given":"Ting"},{"family":"Zhou","given":"Huang"},{"family":"Lv","given":"Qiong"},{"family":"Liu","given":"Lulu"},{"family":"Zhang","given":"Wenlong"},{"family":"Gao","given":"Rufei"},{"family":"Chen","given":"Shumei"},{"family":"Xia","given":"Wei"},{"family":"Luo","given":"Mei"},{"family":"Cheng","given":"Qingfeng"},{"family":"Li","given":"Qifu"}],"issued":{"date-parts":[["2014",3,1]]}}}],"schema":"https://github.com/citation-style-language/schema/raw/master/csl-citation.json"} </w:instrText>
      </w:r>
      <w:r w:rsidRPr="00DB2C42">
        <w:fldChar w:fldCharType="separate"/>
      </w:r>
      <w:r w:rsidR="00BE712C" w:rsidRPr="00BE712C">
        <w:rPr>
          <w:vertAlign w:val="superscript"/>
        </w:rPr>
        <w:t>487</w:t>
      </w:r>
      <w:r w:rsidRPr="00DB2C42">
        <w:fldChar w:fldCharType="end"/>
      </w:r>
      <w:r w:rsidRPr="00DB2C42">
        <w:t xml:space="preserve">. In contrast, </w:t>
      </w:r>
      <w:r w:rsidRPr="00DC493F">
        <w:rPr>
          <w:i/>
          <w:iCs/>
        </w:rPr>
        <w:t>Ucp1</w:t>
      </w:r>
      <w:r w:rsidRPr="00DB2C42">
        <w:t xml:space="preserve"> </w:t>
      </w:r>
      <w:r>
        <w:t>KO</w:t>
      </w:r>
      <w:r w:rsidRPr="00DB2C42">
        <w:t xml:space="preserve"> cells showed no enhancement in </w:t>
      </w:r>
      <w:r>
        <w:t xml:space="preserve">insulin-stimulated </w:t>
      </w:r>
      <w:r w:rsidRPr="00DB2C42">
        <w:t>AKT phosphorylation following ROSI treatment under the same conditions (</w:t>
      </w:r>
      <w:r w:rsidRPr="0012645C">
        <w:rPr>
          <w:b/>
          <w:bCs/>
        </w:rPr>
        <w:fldChar w:fldCharType="begin"/>
      </w:r>
      <w:r w:rsidRPr="0012645C">
        <w:rPr>
          <w:b/>
          <w:bCs/>
        </w:rPr>
        <w:instrText xml:space="preserve"> REF _Ref200809100 \h  \* MERGEFORMAT </w:instrText>
      </w:r>
      <w:r w:rsidRPr="0012645C">
        <w:rPr>
          <w:b/>
          <w:bCs/>
        </w:rPr>
      </w:r>
      <w:r w:rsidRPr="0012645C">
        <w:rPr>
          <w:b/>
          <w:bCs/>
        </w:rPr>
        <w:fldChar w:fldCharType="separate"/>
      </w:r>
      <w:r w:rsidRPr="00AE5018">
        <w:rPr>
          <w:b/>
          <w:bCs/>
        </w:rPr>
        <w:t xml:space="preserve">Figure </w:t>
      </w:r>
      <w:r w:rsidRPr="00AE5018">
        <w:rPr>
          <w:b/>
          <w:bCs/>
          <w:noProof/>
        </w:rPr>
        <w:t>5.7</w:t>
      </w:r>
      <w:r w:rsidRPr="0012645C">
        <w:rPr>
          <w:b/>
          <w:bCs/>
        </w:rPr>
        <w:fldChar w:fldCharType="end"/>
      </w:r>
      <w:r w:rsidRPr="00DB2C42">
        <w:t>).</w:t>
      </w:r>
      <w:r w:rsidRPr="009979D8">
        <w:rPr>
          <w:rFonts w:ascii="Helvetica Neue" w:hAnsi="Helvetica Neue" w:cs="Helvetica Neue"/>
          <w:color w:val="000000"/>
          <w:sz w:val="22"/>
          <w:szCs w:val="22"/>
        </w:rPr>
        <w:t xml:space="preserve"> </w:t>
      </w:r>
      <w:r w:rsidRPr="009979D8">
        <w:t>This difference suggests that ablation of UCP1 may interfere with the signaling pathway involved in ROSI's insulin-sensitizing effect in adipocytes.</w:t>
      </w:r>
    </w:p>
    <w:p w14:paraId="4C303EF8" w14:textId="4BDF496C" w:rsidR="00350CD5" w:rsidRPr="00DB2C42" w:rsidRDefault="00350CD5" w:rsidP="00350CD5">
      <w:pPr>
        <w:ind w:firstLine="720"/>
        <w:jc w:val="left"/>
      </w:pPr>
      <w:r w:rsidRPr="00DB2C42">
        <w:t xml:space="preserve">Previous </w:t>
      </w:r>
      <w:r w:rsidRPr="004B354A">
        <w:rPr>
          <w:i/>
          <w:iCs/>
        </w:rPr>
        <w:t>in vivo</w:t>
      </w:r>
      <w:r w:rsidRPr="00DB2C42">
        <w:t xml:space="preserve"> studies have also shown that activation of brown or beige adipose tissue improves systemic insulin sensitivity</w:t>
      </w:r>
      <w:r>
        <w:t xml:space="preserve"> </w:t>
      </w:r>
      <w:r w:rsidRPr="00DB2C42">
        <w:fldChar w:fldCharType="begin"/>
      </w:r>
      <w:r w:rsidR="00BE712C">
        <w:instrText xml:space="preserve"> ADDIN ZOTERO_ITEM CSL_CITATION {"citationID":"OwJC77kx","properties":{"formattedCitation":"\\super 488,489\\nosupersub{}","plainCitation":"488,489","noteIndex":0},"citationItems":[{"id":3075,"uris":["http://zotero.org/users/9622455/items/EAWW7SAI"],"itemData":{"id":3075,"type":"article-journal","abstract":"Brown adipose tissue (BAT) is known to function in the dissipation of chemical energy in response to cold or excess feeding, and also has the capacity to modulate energy balance. To test the hypothesis that BAT is fundamental to the regulation of glucose homeostasis, we transplanted BAT from male donor mice into the visceral cavity of age- and sex-matched recipient mice. By 8–12 weeks following transplantation, recipient mice had improved glucose tolerance, increased insulin sensitivity, lower body weight, decreased fat mass, and a complete reversal of high-fat diet–induced insulin resistance. Increasing the quantity of BAT transplanted into recipient mice further improved the metabolic effects of transplantation. BAT transplantation increased insulin-stimulated glucose uptake in vivo into endogenous BAT, white adipose tissue (WAT), and heart muscle but, surprisingly, not skeletal muscle. The improved metabolic profile was lost when the BAT used for transplantation was obtained from Il6–knockout mice, demonstrating that BAT-derived IL-6 is required for the profound effects of BAT transplantation on glucose homeostasis and insulin sensitivity. These findings reveal a previously under-appreciated role for BAT in glucose metabolism.","container-title":"The Journal of Clinical Investigation","DOI":"10.1172/JCI62308","ISSN":"0021-9738","issue":"1","journalAbbreviation":"J Clin Invest","note":"PMID: 23221344\nPMCID: PMC3533266","page":"215-223","source":"PubMed Central","title":"Brown adipose tissue regulates glucose homeostasis and insulin sensitivity","volume":"123","author":[{"family":"Stanford","given":"Kristin I."},{"family":"Middelbeek","given":"Roeland J.W."},{"family":"Townsend","given":"Kristy L."},{"family":"An","given":"Ding"},{"family":"Nygaard","given":"Eva B."},{"family":"Hitchcox","given":"Kristen M."},{"family":"Markan","given":"Kathleen R."},{"family":"Nakano","given":"Kazuhiro"},{"family":"Hirshman","given":"Michael F."},{"family":"Tseng","given":"Yu-Hua"},{"family":"Goodyear","given":"Laurie J."}],"issued":{"date-parts":[["2013",1,2]]}}},{"id":3068,"uris":["http://zotero.org/users/9622455/items/QH5BUKRY"],"itemData":{"id":3068,"type":"article-journal","abstract":"Obesity increases the risk of developing impaired glucose tolerance (IGT) and type 2 diabetes (T2D) after myocardial infarction (MI). Brown adipose tissue (BAT) is important to combat obesity and T2D, and increasing BAT mass by transplantation improves glucose metabolism and cardiac function. The objective of this study was to determine if BAT had a protective effect on glucose tolerance and cardiac function in high-fat diet (HFD) fed mice subjected to a mild MI.","container-title":"International Journal of Obesity","DOI":"10.1038/s41366-021-00999-9","ISSN":"1476-5497","issue":"2","journalAbbreviation":"Int J Obes","language":"en","license":"2021 The Author(s)","note":"publisher: Nature Publishing Group","page":"350-358","source":"www.nature.com","title":"Brown adipose tissue prevents glucose intolerance and cardiac remodeling in high-fat-fed mice after a mild myocardial infarction","volume":"46","author":[{"family":"Peres Valgas da Silva","given":"Carmem"},{"family":"Shettigar","given":"Vikram K."},{"family":"Baer","given":"Lisa A."},{"family":"Abay","given":"Eaman"},{"family":"Madaris","given":"Kendra L."},{"family":"Mehling","given":"Mikayla R."},{"family":"Hernandez-Saavedra","given":"Diego"},{"family":"Pinckard","given":"Kelsey M."},{"family":"Seculov","given":"Nickolai P."},{"family":"Ziolo","given":"Mark T."},{"family":"Stanford","given":"Kristin I."}],"issued":{"date-parts":[["2022",2]]}}}],"schema":"https://github.com/citation-style-language/schema/raw/master/csl-citation.json"} </w:instrText>
      </w:r>
      <w:r w:rsidRPr="00DB2C42">
        <w:fldChar w:fldCharType="separate"/>
      </w:r>
      <w:r w:rsidR="00BE712C" w:rsidRPr="00BE712C">
        <w:rPr>
          <w:vertAlign w:val="superscript"/>
        </w:rPr>
        <w:t>488,489</w:t>
      </w:r>
      <w:r w:rsidRPr="00DB2C42">
        <w:fldChar w:fldCharType="end"/>
      </w:r>
      <w:r w:rsidRPr="00DB2C42">
        <w:t xml:space="preserve">, while </w:t>
      </w:r>
      <w:r w:rsidRPr="00DC493F">
        <w:rPr>
          <w:i/>
          <w:iCs/>
        </w:rPr>
        <w:t>Ucp1</w:t>
      </w:r>
      <w:r w:rsidRPr="00DB2C42">
        <w:t xml:space="preserve"> </w:t>
      </w:r>
      <w:r>
        <w:t>KO</w:t>
      </w:r>
      <w:r w:rsidRPr="00DB2C42">
        <w:t xml:space="preserve"> mice often maintain normal or improved insulin responsiveness under certain conditions, likely due to compensatory </w:t>
      </w:r>
      <w:r>
        <w:t>mechanisms</w:t>
      </w:r>
      <w:r w:rsidRPr="00DB2C42">
        <w:t xml:space="preserve"> of elevated FGF21 and remodeling of iWAT</w:t>
      </w:r>
      <w:r>
        <w:t xml:space="preserve"> </w:t>
      </w:r>
      <w:fldSimple w:instr=" ADDIN ZOTERO_TEMP ">
        <w:r w:rsidRPr="00DB2C42">
          <w:rPr>
            <w:vertAlign w:val="superscript"/>
          </w:rPr>
          <w:t>39</w:t>
        </w:r>
      </w:fldSimple>
      <w:r w:rsidRPr="00DB2C42">
        <w:t xml:space="preserve">. In contrast, our </w:t>
      </w:r>
      <w:r w:rsidRPr="004B354A">
        <w:rPr>
          <w:i/>
          <w:iCs/>
        </w:rPr>
        <w:t>in vitro</w:t>
      </w:r>
      <w:r w:rsidRPr="00DB2C42">
        <w:t xml:space="preserve"> model </w:t>
      </w:r>
      <w:r>
        <w:lastRenderedPageBreak/>
        <w:t xml:space="preserve">enables us to examine the direct effects of </w:t>
      </w:r>
      <w:r w:rsidRPr="00DC493F">
        <w:rPr>
          <w:i/>
          <w:iCs/>
        </w:rPr>
        <w:t>Ucp1</w:t>
      </w:r>
      <w:r>
        <w:t xml:space="preserve"> KO on adipocytes in the absence of systemic regulation, providing direct evidence that UCP1 facilitates the </w:t>
      </w:r>
      <w:r w:rsidRPr="00DB2C42">
        <w:t xml:space="preserve">ROSI-induced </w:t>
      </w:r>
      <w:r>
        <w:t xml:space="preserve">enhancement in </w:t>
      </w:r>
      <w:r w:rsidRPr="00DB2C42">
        <w:t>insulin signaling in adipocytes.</w:t>
      </w:r>
    </w:p>
    <w:p w14:paraId="6377C208" w14:textId="26F90F55" w:rsidR="00AE6043" w:rsidRPr="00DB2C42" w:rsidRDefault="00350CD5" w:rsidP="00350CD5">
      <w:pPr>
        <w:ind w:firstLine="720"/>
        <w:jc w:val="left"/>
      </w:pPr>
      <w:r w:rsidRPr="00DB2C42">
        <w:t xml:space="preserve">While this study provides insight into the potential role of UCP1 in ROSI-induced enhancement of insulin signaling, several limitations should be considered when interpreting the findings. The use of 3T3-L1 cells, although well established for adipocyte studies, may not fully represent the complexity of </w:t>
      </w:r>
      <w:r w:rsidRPr="004B354A">
        <w:rPr>
          <w:i/>
          <w:iCs/>
        </w:rPr>
        <w:t>in vivo</w:t>
      </w:r>
      <w:r w:rsidRPr="00DB2C42">
        <w:t xml:space="preserve"> adipose tissue environment.</w:t>
      </w:r>
      <w:r>
        <w:t xml:space="preserve"> </w:t>
      </w:r>
      <w:r w:rsidRPr="00ED5647">
        <w:t>While CRISPR/Cas9</w:t>
      </w:r>
      <w:r>
        <w:t>-</w:t>
      </w:r>
      <w:r w:rsidRPr="00ED5647">
        <w:t xml:space="preserve">based gene knockout </w:t>
      </w:r>
      <w:r>
        <w:t>enables</w:t>
      </w:r>
      <w:r w:rsidRPr="00ED5647">
        <w:t xml:space="preserve"> precise perturbation of target gene function in cells, this requires </w:t>
      </w:r>
      <w:r>
        <w:t>a</w:t>
      </w:r>
      <w:r w:rsidRPr="00ED5647">
        <w:t xml:space="preserve"> lengthy process of isolating KO subclones</w:t>
      </w:r>
      <w:r>
        <w:t xml:space="preserve"> </w:t>
      </w:r>
      <w:r>
        <w:fldChar w:fldCharType="begin"/>
      </w:r>
      <w:r w:rsidR="00BE712C">
        <w:instrText xml:space="preserve"> ADDIN ZOTERO_ITEM CSL_CITATION {"citationID":"a10t83v09ot","properties":{"formattedCitation":"\\super 490\\nosupersub{}","plainCitation":"490","noteIndex":0},"citationItems":[{"id":4173,"uris":["http://zotero.org/users/9622455/items/BAU7TJK4"],"itemData":{"id":4173,"type":"article-journal","abstract":"CRISPR/Cas9-based gene knockouts (KOs) enable precise perturbation of target gene function in human cells, which is ideally assessed in an unbiased fashion by molecular omics readouts. Typically, this requires the lengthy process of isolating KO subclones. We show here that KO subclones are phenotypically heterogenous, regardless of the guide RNA used. We present an experimental strategy that avoids subcloning and achieves fast and efficient gene silencing on cell pools, based on the synergistic combination of two guide RNAs mapping at close (40-300 bp) genomic proximity. Our strategy results in better predictable indel generation with a low allelic heterogeneity, concomitant with low or undetectable residual target protein expression, as determined by MS3 mass spectrometry proteomics. Our method is compatible with nondividing primary cells and can also be used to study essential genes. It enables the generation of high confidence omics data which solely reflect the phenotype of the target ablation.","container-title":"The CRISPR journal","DOI":"10.1089/crispr.2019.0064","ISSN":"2573-1602","issue":"2","journalAbbreviation":"CRISPR J","language":"eng","note":"PMID: 32315231\nPMCID: PMC7194318","page":"123-134","source":"PubMed","title":"A Tandem Guide RNA-Based Strategy for Efficient CRISPR Gene Editing of Cell Populations with Low Heterogeneity of Edited Alleles","volume":"3","author":[{"family":"Joberty","given":"Gérard"},{"family":"Fälth-Savitski","given":"Maria"},{"family":"Paulmann","given":"Marcel"},{"family":"Bösche","given":"Markus"},{"family":"Doce","given":"Carola"},{"family":"Cheng","given":"Aaron T."},{"family":"Drewes","given":"Gerard"},{"family":"Grandi","given":"Paola"}],"issued":{"date-parts":[["2020",4]]}}}],"schema":"https://github.com/citation-style-language/schema/raw/master/csl-citation.json"} </w:instrText>
      </w:r>
      <w:r>
        <w:fldChar w:fldCharType="separate"/>
      </w:r>
      <w:r w:rsidR="00BE712C" w:rsidRPr="00BE712C">
        <w:rPr>
          <w:vertAlign w:val="superscript"/>
        </w:rPr>
        <w:t>490</w:t>
      </w:r>
      <w:r>
        <w:fldChar w:fldCharType="end"/>
      </w:r>
      <w:r>
        <w:t>.</w:t>
      </w:r>
      <w:r w:rsidRPr="00DB2C42">
        <w:t xml:space="preserve"> </w:t>
      </w:r>
      <w:r>
        <w:t xml:space="preserve">The use of a tandem two sgRNAs approach helped achieve our near 100% indel rate. Although clone 8B was still considered a KO clone pool, it has been reported that KO cell pools generated with the tandem gRNAs can exhibit clearly identifiable phenotypes </w:t>
      </w:r>
      <w:r>
        <w:fldChar w:fldCharType="begin"/>
      </w:r>
      <w:r w:rsidR="00BE712C">
        <w:instrText xml:space="preserve"> ADDIN ZOTERO_ITEM CSL_CITATION {"citationID":"q5ZIAu85","properties":{"formattedCitation":"\\super 490\\nosupersub{}","plainCitation":"490","noteIndex":0},"citationItems":[{"id":4173,"uris":["http://zotero.org/users/9622455/items/BAU7TJK4"],"itemData":{"id":4173,"type":"article-journal","abstract":"CRISPR/Cas9-based gene knockouts (KOs) enable precise perturbation of target gene function in human cells, which is ideally assessed in an unbiased fashion by molecular omics readouts. Typically, this requires the lengthy process of isolating KO subclones. We show here that KO subclones are phenotypically heterogenous, regardless of the guide RNA used. We present an experimental strategy that avoids subcloning and achieves fast and efficient gene silencing on cell pools, based on the synergistic combination of two guide RNAs mapping at close (40-300 bp) genomic proximity. Our strategy results in better predictable indel generation with a low allelic heterogeneity, concomitant with low or undetectable residual target protein expression, as determined by MS3 mass spectrometry proteomics. Our method is compatible with nondividing primary cells and can also be used to study essential genes. It enables the generation of high confidence omics data which solely reflect the phenotype of the target ablation.","container-title":"The CRISPR journal","DOI":"10.1089/crispr.2019.0064","ISSN":"2573-1602","issue":"2","journalAbbreviation":"CRISPR J","language":"eng","note":"PMID: 32315231\nPMCID: PMC7194318","page":"123-134","source":"PubMed","title":"A Tandem Guide RNA-Based Strategy for Efficient CRISPR Gene Editing of Cell Populations with Low Heterogeneity of Edited Alleles","volume":"3","author":[{"family":"Joberty","given":"Gérard"},{"family":"Fälth-Savitski","given":"Maria"},{"family":"Paulmann","given":"Marcel"},{"family":"Bösche","given":"Markus"},{"family":"Doce","given":"Carola"},{"family":"Cheng","given":"Aaron T."},{"family":"Drewes","given":"Gerard"},{"family":"Grandi","given":"Paola"}],"issued":{"date-parts":[["2020",4]]}}}],"schema":"https://github.com/citation-style-language/schema/raw/master/csl-citation.json"} </w:instrText>
      </w:r>
      <w:r>
        <w:fldChar w:fldCharType="separate"/>
      </w:r>
      <w:r w:rsidR="00BE712C" w:rsidRPr="00BE712C">
        <w:rPr>
          <w:vertAlign w:val="superscript"/>
        </w:rPr>
        <w:t>490</w:t>
      </w:r>
      <w:r>
        <w:fldChar w:fldCharType="end"/>
      </w:r>
      <w:r>
        <w:t xml:space="preserve">. </w:t>
      </w:r>
      <w:r w:rsidRPr="00DB2C42">
        <w:t xml:space="preserve">Additionally, although </w:t>
      </w:r>
      <w:r w:rsidRPr="00DC493F">
        <w:rPr>
          <w:i/>
          <w:iCs/>
        </w:rPr>
        <w:t>Ucp1</w:t>
      </w:r>
      <w:r w:rsidRPr="00DB2C42">
        <w:t xml:space="preserve"> knockout was confirmed at the genomic and transcript levels, this study did not assess </w:t>
      </w:r>
      <w:r>
        <w:t xml:space="preserve">any </w:t>
      </w:r>
      <w:r w:rsidRPr="00DB2C42">
        <w:t>potential off-target effects of CRISPR editing</w:t>
      </w:r>
      <w:r>
        <w:t xml:space="preserve"> </w:t>
      </w:r>
      <w:r>
        <w:fldChar w:fldCharType="begin"/>
      </w:r>
      <w:r w:rsidR="00BE712C">
        <w:instrText xml:space="preserve"> ADDIN ZOTERO_ITEM CSL_CITATION {"citationID":"a2po1vt6fo8","properties":{"formattedCitation":"\\super 491\\nosupersub{}","plainCitation":"491","noteIndex":0},"citationItems":[{"id":4176,"uris":["http://zotero.org/users/9622455/items/IK6GCBTF"],"itemData":{"id":4176,"type":"article-journal","abstract":"Gene editing stands for the methods to precisely make changes to a specific nucleic acid sequence. With the recent development of the clustered regularly interspaced short palindromic repeats (CRISPR)/Cas9 system, gene editing has become efficient, convenient and programmable, leading to promising translational studies and clinical trials for both genetic and non-genetic diseases. A major concern in the applications of the CRISPR/Cas9 system is about its off-target effects, namely the deposition of unexpected, unwanted, or even adverse alterations to the genome. To date, many methods have been developed to nominate or detect the off-target sites of CRISPR/Cas9, which laid the basis for the successful upgrades of CRISPR/Cas9 derivatives with enhanced precision. In this review, we summarize these technological advancements and discuss about the current challenges in the management of off-target effects for future gene therapy.","container-title":"Frontiers in Bioengineering and Biotechnology","DOI":"10.3389/fbioe.2023.1143157","ISSN":"2296-4185","journalAbbreviation":"Front Bioeng Biotechnol","note":"PMID: 36970624\nPMCID: PMC10034092","page":"1143157","source":"PubMed Central","title":"Off-target effects in CRISPR/Cas9 gene editing","volume":"11","author":[{"family":"Guo","given":"Congting"},{"family":"Ma","given":"Xiaoteng"},{"family":"Gao","given":"Fei"},{"family":"Guo","given":"Yuxuan"}],"issued":{"date-parts":[["2023",3,9]]}}}],"schema":"https://github.com/citation-style-language/schema/raw/master/csl-citation.json"} </w:instrText>
      </w:r>
      <w:r>
        <w:fldChar w:fldCharType="separate"/>
      </w:r>
      <w:r w:rsidR="00BE712C" w:rsidRPr="00BE712C">
        <w:rPr>
          <w:vertAlign w:val="superscript"/>
        </w:rPr>
        <w:t>491</w:t>
      </w:r>
      <w:r>
        <w:fldChar w:fldCharType="end"/>
      </w:r>
      <w:r w:rsidRPr="00DB2C42">
        <w:t xml:space="preserve">. Moreover, the functional impact of insulin signaling was only evaluated through AKT phosphorylation. Further studies are needed to determine whether other markers of insulin signaling or </w:t>
      </w:r>
      <w:r>
        <w:t xml:space="preserve">insulin-induced downstream events, such as </w:t>
      </w:r>
      <w:r w:rsidRPr="00DB2C42">
        <w:t xml:space="preserve">glucose </w:t>
      </w:r>
      <w:r>
        <w:t>uptake,</w:t>
      </w:r>
      <w:r w:rsidRPr="00DB2C42">
        <w:t xml:space="preserve"> are similarly affected. </w:t>
      </w:r>
      <w:r w:rsidR="00AE6043" w:rsidRPr="00DB2C42">
        <w:t xml:space="preserve">To evaluate the effects of UCP1 in adipocyte differentiation, two differentiation markers </w:t>
      </w:r>
      <w:r w:rsidR="00AE6043" w:rsidRPr="00905C23">
        <w:rPr>
          <w:i/>
          <w:iCs/>
        </w:rPr>
        <w:t>Pparγ</w:t>
      </w:r>
      <w:r w:rsidR="00AE6043" w:rsidRPr="006318E9">
        <w:t xml:space="preserve"> </w:t>
      </w:r>
      <w:r w:rsidR="00AE6043" w:rsidRPr="00DB2C42">
        <w:t xml:space="preserve">and </w:t>
      </w:r>
      <w:r w:rsidR="00AE6043" w:rsidRPr="00905C23">
        <w:rPr>
          <w:i/>
          <w:iCs/>
        </w:rPr>
        <w:t>Adipo</w:t>
      </w:r>
      <w:r w:rsidR="00412D0D">
        <w:rPr>
          <w:i/>
          <w:iCs/>
        </w:rPr>
        <w:t>Q</w:t>
      </w:r>
      <w:r w:rsidR="00AE6043" w:rsidRPr="00DB2C42">
        <w:t xml:space="preserve"> </w:t>
      </w:r>
      <w:r w:rsidR="006318E9">
        <w:t xml:space="preserve">mRNA levels </w:t>
      </w:r>
      <w:r w:rsidR="00AE6043" w:rsidRPr="00DB2C42">
        <w:t>were examined. Pparγ is a master transcriptional regulator of adipocyte differentiation, which is necessary to drive the conversion of precursor cells into adipocytes</w:t>
      </w:r>
      <w:r w:rsidR="000D7FFB">
        <w:t xml:space="preserve"> </w:t>
      </w:r>
      <w:r w:rsidR="00AE6043" w:rsidRPr="00DB2C42">
        <w:fldChar w:fldCharType="begin"/>
      </w:r>
      <w:r w:rsidR="00BE712C">
        <w:instrText xml:space="preserve"> ADDIN ZOTERO_ITEM CSL_CITATION {"citationID":"LEgiMbxp","properties":{"formattedCitation":"\\super 473\\nosupersub{}","plainCitation":"473","noteIndex":0},"citationItems":[{"id":3045,"uris":["http://zotero.org/users/9622455/items/6T9H48EF"],"itemData":{"id":3045,"type":"article-journal","container-title":"Cell","DOI":"10.1016/0092-8674(94)90006-X","ISSN":"0092-8674, 1097-4172","issue":"7","journalAbbreviation":"Cell","language":"English","note":"publisher: Elsevier\nPMID: 8001151","page":"1147-1156","source":"www.cell.com","title":"Stimulation of adipogenesis in fibroblasts by PPARγ2, a lipid-activated transcription factor","volume":"79","author":[{"family":"Tontonoz","given":"Peter"},{"family":"Hu","given":"Erding"},{"family":"Spiegelman","given":"Bruce M."}],"issued":{"date-parts":[["1994",12,30]]}}}],"schema":"https://github.com/citation-style-language/schema/raw/master/csl-citation.json"} </w:instrText>
      </w:r>
      <w:r w:rsidR="00AE6043" w:rsidRPr="00DB2C42">
        <w:fldChar w:fldCharType="separate"/>
      </w:r>
      <w:r w:rsidR="005128B7" w:rsidRPr="005128B7">
        <w:rPr>
          <w:vertAlign w:val="superscript"/>
        </w:rPr>
        <w:t>473</w:t>
      </w:r>
      <w:r w:rsidR="00AE6043" w:rsidRPr="00DB2C42">
        <w:fldChar w:fldCharType="end"/>
      </w:r>
      <w:r w:rsidR="00AE6043" w:rsidRPr="00DB2C42">
        <w:t>. It controls the expression of genes involved in lipid and glucose metabolism in adipocytes</w:t>
      </w:r>
      <w:r w:rsidR="000D7FFB">
        <w:t xml:space="preserve"> </w:t>
      </w:r>
      <w:r w:rsidR="00AE6043" w:rsidRPr="00DB2C42">
        <w:fldChar w:fldCharType="begin"/>
      </w:r>
      <w:r w:rsidR="00BE712C">
        <w:instrText xml:space="preserve"> ADDIN ZOTERO_ITEM CSL_CITATION {"citationID":"9lmgiELM","properties":{"formattedCitation":"\\super 474\\nosupersub{}","plainCitation":"474","noteIndex":0},"citationItems":[{"id":3048,"uris":["http://zotero.org/users/9622455/items/BEU6G9NM"],"itemData":{"id":3048,"type":"article-journal","abstract":"Peroxisome proliferator-activated receptor γ (PPARγ) is a member of the nuclear receptor superfamily of ligand-dependent transcription factors which functions as a master regulator of adipocyte differentiation and metabolism. Here we review recent breakthroughs in the understanding of PPARγ gene regulation and function in a chromatin context. It is now clear that multiple transcription factors team up to induce PPARγ during adipogenesis, and that other transcription factors cooperate with PPARγ to ensure adipocyte-specific genomic binding and function. We discuss how this differs in other PPARγ-expressing cells such as macrophages, and how these genome-wide mechanisms are preserved across species despite modest conservation of specific binding sites. These emerging considerations inform our understanding of PPARγ function as well as adipocyte development and physiology.","container-title":"Trends in endocrinology and metabolism: TEM","DOI":"10.1016/j.tem.2014.04.001","ISSN":"1043-2760","issue":"6","journalAbbreviation":"Trends Endocrinol Metab","note":"PMID: 24793638\nPMCID: PMC4104504","page":"293-302","source":"PubMed Central","title":"PPARγ and the Global Map of Adipogenesis and Beyond","volume":"25","author":[{"family":"Lefterova","given":"Martina I."},{"family":"Haakonsson","given":"Anders K."},{"family":"Lazar","given":"Mitchell A."},{"family":"Mandrup","given":"Susanne"}],"issued":{"date-parts":[["2014",6]]}}}],"schema":"https://github.com/citation-style-language/schema/raw/master/csl-citation.json"} </w:instrText>
      </w:r>
      <w:r w:rsidR="00AE6043" w:rsidRPr="00DB2C42">
        <w:fldChar w:fldCharType="separate"/>
      </w:r>
      <w:r w:rsidR="005128B7" w:rsidRPr="005128B7">
        <w:rPr>
          <w:vertAlign w:val="superscript"/>
        </w:rPr>
        <w:t>474</w:t>
      </w:r>
      <w:r w:rsidR="00AE6043" w:rsidRPr="00DB2C42">
        <w:fldChar w:fldCharType="end"/>
      </w:r>
      <w:r w:rsidR="00AE6043" w:rsidRPr="00DB2C42">
        <w:t>. Adipo</w:t>
      </w:r>
      <w:r w:rsidR="00412D0D">
        <w:t>Q</w:t>
      </w:r>
      <w:r w:rsidR="00AE6043" w:rsidRPr="00DB2C42">
        <w:t xml:space="preserve"> is one of the most abundant adipocyte-secreted proteins and is expressed especially in mature adipocytes</w:t>
      </w:r>
      <w:r w:rsidR="000D7FFB">
        <w:t xml:space="preserve"> </w:t>
      </w:r>
      <w:r w:rsidR="00AE6043" w:rsidRPr="00DB2C42">
        <w:fldChar w:fldCharType="begin"/>
      </w:r>
      <w:r w:rsidR="00BE712C">
        <w:instrText xml:space="preserve"> ADDIN ZOTERO_ITEM CSL_CITATION {"citationID":"4RxgmWhi","properties":{"formattedCitation":"\\super 475\\nosupersub{}","plainCitation":"475","noteIndex":0},"citationItems":[{"id":3051,"uris":["http://zotero.org/users/9622455/items/C44S5QE9"],"itemData":{"id":3051,"type":"article-journal","abstract":"Metabolic syndrome (MetS) as a collection of obesity-associated disorders is associated with inflammation, oxidative stress, pro-thrombotic state, elevated risk of developing cardiovascular disease and type 2 diabetes. Adiponectin is one of the most abundant peptide hormones derived from adipose tissue. This protein plays a major role in glucose and lipid metabolism and prevents development of vascular changes. Anti-oxidative and anti-inflammatory effects are the other features of adiponectin. Hypoadiponectinemia is associated with hypertension and pro-thrombotic state. In this review, we discuss the crucial role of adiponectin in prevention of metabolic syndrome considering its effects on the components of this syndrome. Pharmacological interventions and lifestyle modification may increase plasma adiponectin level or tissue sensitivity which seems to be a promising target for prevention and therapeutic approaches of MetS and related diseases.","container-title":"Iranian Journal of Basic Medical Sciences","ISSN":"2008-3866","issue":"5","journalAbbreviation":"Iran J Basic Med Sci","note":"PMID: 26124928\nPMCID: PMC4475650","page":"430-442","source":"PubMed Central","title":"Adiponectin: an adipokine with protective features against metabolic syndrome","title-short":"Adiponectin","volume":"18","author":[{"family":"Esfahani","given":"Maryam"},{"family":"Movahedian","given":"Ahmad"},{"family":"Baranchi","given":"Mostafa"},{"family":"Goodarzi","given":"Mohammad Taghi"}],"issued":{"date-parts":[["2015",5]]}}}],"schema":"https://github.com/citation-style-language/schema/raw/master/csl-citation.json"} </w:instrText>
      </w:r>
      <w:r w:rsidR="00AE6043" w:rsidRPr="00DB2C42">
        <w:fldChar w:fldCharType="separate"/>
      </w:r>
      <w:r w:rsidR="005128B7" w:rsidRPr="005128B7">
        <w:rPr>
          <w:vertAlign w:val="superscript"/>
        </w:rPr>
        <w:t>475</w:t>
      </w:r>
      <w:r w:rsidR="00AE6043" w:rsidRPr="00DB2C42">
        <w:fldChar w:fldCharType="end"/>
      </w:r>
      <w:r w:rsidR="00AE6043" w:rsidRPr="00DB2C42">
        <w:t>. Together, the expression of</w:t>
      </w:r>
      <w:r w:rsidR="00AE6043" w:rsidRPr="00DB2C42">
        <w:rPr>
          <w:i/>
          <w:iCs/>
        </w:rPr>
        <w:t xml:space="preserve"> Pparγ</w:t>
      </w:r>
      <w:r w:rsidR="00AE6043" w:rsidRPr="00DB2C42">
        <w:t xml:space="preserve"> and </w:t>
      </w:r>
      <w:r w:rsidR="00AE6043" w:rsidRPr="00DB2C42">
        <w:rPr>
          <w:i/>
          <w:iCs/>
        </w:rPr>
        <w:t>Adipo</w:t>
      </w:r>
      <w:r w:rsidR="006318E9">
        <w:rPr>
          <w:i/>
          <w:iCs/>
        </w:rPr>
        <w:t>Q</w:t>
      </w:r>
      <w:r w:rsidR="00AE6043" w:rsidRPr="00DB2C42">
        <w:rPr>
          <w:i/>
          <w:iCs/>
        </w:rPr>
        <w:t xml:space="preserve"> </w:t>
      </w:r>
      <w:r w:rsidR="00AE6043" w:rsidRPr="00DB2C42">
        <w:t xml:space="preserve">serves as a </w:t>
      </w:r>
      <w:r w:rsidR="00AE6043" w:rsidRPr="00DB2C42">
        <w:lastRenderedPageBreak/>
        <w:t xml:space="preserve">reliable indicator of adipocyte differentiation. ROSI treatment upregulated both </w:t>
      </w:r>
      <w:r w:rsidR="00AE6043" w:rsidRPr="00DB2C42">
        <w:rPr>
          <w:i/>
          <w:iCs/>
        </w:rPr>
        <w:t xml:space="preserve">Pparγ </w:t>
      </w:r>
      <w:r w:rsidR="00AE6043" w:rsidRPr="00DB2C42">
        <w:t>and</w:t>
      </w:r>
      <w:r w:rsidR="00AE6043" w:rsidRPr="00DB2C42">
        <w:rPr>
          <w:i/>
          <w:iCs/>
        </w:rPr>
        <w:t xml:space="preserve"> Adipo</w:t>
      </w:r>
      <w:r w:rsidR="006318E9">
        <w:rPr>
          <w:i/>
          <w:iCs/>
        </w:rPr>
        <w:t>Q</w:t>
      </w:r>
      <w:r w:rsidR="00AE6043" w:rsidRPr="00DB2C42">
        <w:t xml:space="preserve"> expression in both scrambled and UCP1 KO cells, while ROSI-induced induction was markedly reduced </w:t>
      </w:r>
      <w:r w:rsidR="003671B9">
        <w:t xml:space="preserve">in UCP1 KO cells </w:t>
      </w:r>
      <w:r w:rsidR="00772CB5">
        <w:t xml:space="preserve">compared </w:t>
      </w:r>
      <w:r w:rsidR="003671B9">
        <w:t xml:space="preserve">to SCR cells </w:t>
      </w:r>
      <w:r w:rsidR="00AE6043" w:rsidRPr="00DB2C42">
        <w:t>(</w:t>
      </w:r>
      <w:r w:rsidR="00AE6043" w:rsidRPr="0012645C">
        <w:rPr>
          <w:b/>
          <w:bCs/>
        </w:rPr>
        <w:fldChar w:fldCharType="begin"/>
      </w:r>
      <w:r w:rsidR="00AE6043" w:rsidRPr="0012645C">
        <w:rPr>
          <w:b/>
          <w:bCs/>
        </w:rPr>
        <w:instrText xml:space="preserve"> REF _Ref200808972 \h </w:instrText>
      </w:r>
      <w:r w:rsidR="00DB2C42" w:rsidRPr="0012645C">
        <w:rPr>
          <w:b/>
          <w:bCs/>
        </w:rPr>
        <w:instrText xml:space="preserve"> \* MERGEFORMAT </w:instrText>
      </w:r>
      <w:r w:rsidR="00AE6043" w:rsidRPr="0012645C">
        <w:rPr>
          <w:b/>
          <w:bCs/>
        </w:rPr>
      </w:r>
      <w:r w:rsidR="00AE6043" w:rsidRPr="0012645C">
        <w:rPr>
          <w:b/>
          <w:bCs/>
        </w:rPr>
        <w:fldChar w:fldCharType="separate"/>
      </w:r>
      <w:r w:rsidR="00412D0D" w:rsidRPr="00412D0D">
        <w:rPr>
          <w:b/>
          <w:bCs/>
        </w:rPr>
        <w:t xml:space="preserve">Figure </w:t>
      </w:r>
      <w:r w:rsidR="00412D0D" w:rsidRPr="00412D0D">
        <w:rPr>
          <w:b/>
          <w:bCs/>
          <w:noProof/>
        </w:rPr>
        <w:t>5.5</w:t>
      </w:r>
      <w:r w:rsidR="00AE6043" w:rsidRPr="0012645C">
        <w:rPr>
          <w:b/>
          <w:bCs/>
        </w:rPr>
        <w:fldChar w:fldCharType="end"/>
      </w:r>
      <w:r w:rsidR="00F45FB9">
        <w:rPr>
          <w:b/>
          <w:bCs/>
        </w:rPr>
        <w:t>B, C</w:t>
      </w:r>
      <w:r w:rsidR="00AE6043" w:rsidRPr="00DB2C42">
        <w:t>). These results demonstrate</w:t>
      </w:r>
      <w:r w:rsidR="004A79BA">
        <w:t>d</w:t>
      </w:r>
      <w:r w:rsidR="00AE6043" w:rsidRPr="00DB2C42">
        <w:t xml:space="preserve"> that UCP1 is important for the full transcriptional response to </w:t>
      </w:r>
      <w:r w:rsidR="004A79BA">
        <w:t>ROSI</w:t>
      </w:r>
      <w:r w:rsidR="00AE6043" w:rsidRPr="00DB2C42">
        <w:t>, especially for genes involved in adipocyte differentiation and function (</w:t>
      </w:r>
      <w:r w:rsidR="00AE6043" w:rsidRPr="00312C85">
        <w:rPr>
          <w:i/>
          <w:iCs/>
        </w:rPr>
        <w:t>Pparγ</w:t>
      </w:r>
      <w:r w:rsidR="00AE6043" w:rsidRPr="00DB2C42">
        <w:t xml:space="preserve"> and</w:t>
      </w:r>
      <w:r w:rsidR="00AE6043" w:rsidRPr="00312C85">
        <w:rPr>
          <w:i/>
          <w:iCs/>
        </w:rPr>
        <w:t xml:space="preserve"> Adipo</w:t>
      </w:r>
      <w:r w:rsidR="006318E9" w:rsidRPr="00312C85">
        <w:rPr>
          <w:i/>
          <w:iCs/>
        </w:rPr>
        <w:t>Q</w:t>
      </w:r>
      <w:r w:rsidR="00AE6043" w:rsidRPr="00DB2C42">
        <w:t>). Without UCP1, the adipogenic effects of ROSI are markedly attenuated. Recent evidence suggests that UCP1 KO causes widespread mitochondrial dysfunction in BAT, such as reduced electron transport chain protein expression, impaired calcium buffering, and greater vulnerability to ROS-induced permeability transition</w:t>
      </w:r>
      <w:r w:rsidR="000D7FFB">
        <w:t xml:space="preserve"> </w:t>
      </w:r>
      <w:r w:rsidR="00AE6043" w:rsidRPr="00DB2C42">
        <w:fldChar w:fldCharType="begin"/>
      </w:r>
      <w:r w:rsidR="00BE712C">
        <w:instrText xml:space="preserve"> ADDIN ZOTERO_ITEM CSL_CITATION {"citationID":"UsmJkGEK","properties":{"formattedCitation":"\\super 476\\nosupersub{}","plainCitation":"476","noteIndex":0},"citationItems":[{"id":4138,"uris":["http://zotero.org/users/9622455/items/KJN685AJ"],"itemData":{"id":4138,"type":"article-journal","abstract":"Brown adipose tissue (BAT) mitochondria exhibit high oxidative capacity and abundant expression of both electron transport chain components and uncoupling protein 1 (UCP1). UCP1 dissipates the mitochondrial proton motive force (Δp) generated by the respiratory chain and increases thermogenesis. Here we find that in mice genetically lacking UCP1, cold-induced activation of metabolism triggers innate immune signaling and markers of cell death in BAT. Moreover, global proteomic analysis reveals that this cascade induced by UCP1 deletion is associated with a dramatic reduction in electron transport chain abundance. UCP1-deficient BAT mitochondria exhibit reduced mitochondrial calcium buffering capacity and are highly sensitive to mitochondrial permeability transition induced by reactive oxygen species (ROS) and calcium overload. This dysfunction depends on ROS production by reverse electron transport through mitochondrial complex I, and can be rescued by inhibition of electron transfer through complex I or pharmacologic depletion of ROS levels. Our findings indicate that the interscapular BAT of Ucp1 knockout mice exhibits mitochondrial disruptions that extend well beyond the deletion of UCP1 itself. This finding should be carefully considered when using this mouse model to examine the role of UCP1 in physiology.","container-title":"Proceedings of the National Academy of Sciences","DOI":"10.1073/pnas.1705406114","issue":"30","note":"publisher: Proceedings of the National Academy of Sciences","page":"7981-7986","source":"pnas.org (Atypon)","title":"UCP1 deficiency causes brown fat respiratory chain depletion and sensitizes mitochondria to calcium overload-induced dysfunction","volume":"114","author":[{"family":"Kazak","given":"Lawrence"},{"family":"Chouchani","given":"Edward T."},{"family":"Stavrovskaya","given":"Irina G."},{"family":"Lu","given":"Gina Z."},{"family":"Jedrychowski","given":"Mark P."},{"family":"Egan","given":"Daniel F."},{"family":"Kumari","given":"Manju"},{"family":"Kong","given":"Xingxing"},{"family":"Erickson","given":"Brian K."},{"family":"Szpyt","given":"John"},{"family":"Rosen","given":"Evan D."},{"family":"Murphy","given":"Michael P."},{"family":"Kristal","given":"Bruce S."},{"family":"Gygi","given":"Steven P."},{"family":"Spiegelman","given":"Bruce M."}],"issued":{"date-parts":[["2017",7,25]]}}}],"schema":"https://github.com/citation-style-language/schema/raw/master/csl-citation.json"} </w:instrText>
      </w:r>
      <w:r w:rsidR="00AE6043" w:rsidRPr="00DB2C42">
        <w:fldChar w:fldCharType="separate"/>
      </w:r>
      <w:r w:rsidR="005128B7" w:rsidRPr="005128B7">
        <w:rPr>
          <w:vertAlign w:val="superscript"/>
        </w:rPr>
        <w:t>476</w:t>
      </w:r>
      <w:r w:rsidR="00AE6043" w:rsidRPr="00DB2C42">
        <w:fldChar w:fldCharType="end"/>
      </w:r>
      <w:r w:rsidR="00AE6043" w:rsidRPr="00DB2C42">
        <w:t xml:space="preserve">. </w:t>
      </w:r>
      <w:r w:rsidR="004C1D0D" w:rsidRPr="00DB2C42">
        <w:t>These mitochondrial dysfunctions</w:t>
      </w:r>
      <w:r w:rsidR="00AE6043" w:rsidRPr="00DB2C42">
        <w:t xml:space="preserve"> caused by UCP1 KO may disrupt the transcriptional environment needed for full PPARγ activation, providing a possible explanation for the diminished ROSI-induced </w:t>
      </w:r>
      <w:r w:rsidR="00AE6043" w:rsidRPr="001124CD">
        <w:rPr>
          <w:i/>
          <w:iCs/>
        </w:rPr>
        <w:t>Pparγ</w:t>
      </w:r>
      <w:r w:rsidR="00AE6043" w:rsidRPr="00DB2C42">
        <w:t xml:space="preserve"> and </w:t>
      </w:r>
      <w:r w:rsidR="00AE6043" w:rsidRPr="001124CD">
        <w:rPr>
          <w:i/>
          <w:iCs/>
        </w:rPr>
        <w:t>Adipo</w:t>
      </w:r>
      <w:r w:rsidR="001124CD">
        <w:rPr>
          <w:i/>
          <w:iCs/>
        </w:rPr>
        <w:t>Q</w:t>
      </w:r>
      <w:r w:rsidR="00AE6043" w:rsidRPr="00DB2C42">
        <w:t xml:space="preserve"> </w:t>
      </w:r>
      <w:r w:rsidR="001124CD">
        <w:t xml:space="preserve">mRNA </w:t>
      </w:r>
      <w:r w:rsidR="00AE6043" w:rsidRPr="00DB2C42">
        <w:t>expression observed in our study.</w:t>
      </w:r>
    </w:p>
    <w:p w14:paraId="007FF4DE" w14:textId="3BCDF6E9" w:rsidR="00AE6043" w:rsidRPr="00DB2C42" w:rsidRDefault="00AE6043" w:rsidP="00E876F2">
      <w:pPr>
        <w:ind w:firstLine="720"/>
        <w:jc w:val="left"/>
      </w:pPr>
      <w:r w:rsidRPr="00DB2C42">
        <w:t xml:space="preserve">While this study provides insight into the potential role of UCP1 in ROSI-induced enhancement of insulin signaling, several limitations should be considered when interpreting the findings. The use of 3T3-L1 cells, although well established for adipocyte studies, may not fully represent the complexity of </w:t>
      </w:r>
      <w:r w:rsidR="004B354A" w:rsidRPr="004B354A">
        <w:rPr>
          <w:i/>
          <w:iCs/>
        </w:rPr>
        <w:t>in vivo</w:t>
      </w:r>
      <w:r w:rsidRPr="00DB2C42">
        <w:t xml:space="preserve"> adipose tissue environment.</w:t>
      </w:r>
      <w:r w:rsidR="00ED5647">
        <w:t xml:space="preserve"> </w:t>
      </w:r>
      <w:r w:rsidR="00E16F2C" w:rsidRPr="00ED5647">
        <w:t>While</w:t>
      </w:r>
      <w:r w:rsidR="00ED5647" w:rsidRPr="00ED5647">
        <w:t xml:space="preserve"> CRISPR/Cas9</w:t>
      </w:r>
      <w:r w:rsidR="00C66C09">
        <w:t>-</w:t>
      </w:r>
      <w:r w:rsidR="00ED5647" w:rsidRPr="00ED5647">
        <w:t>based gene knockout enable precise perturbation of target gene function in human cells, this requires the lengthy process of isolating KO subclones</w:t>
      </w:r>
      <w:r w:rsidR="00F76F2D">
        <w:t xml:space="preserve"> </w:t>
      </w:r>
      <w:r w:rsidR="006F0004">
        <w:fldChar w:fldCharType="begin"/>
      </w:r>
      <w:r w:rsidR="00BE712C">
        <w:instrText xml:space="preserve"> ADDIN ZOTERO_ITEM CSL_CITATION {"citationID":"RgBT5SRm","properties":{"formattedCitation":"\\super 490\\nosupersub{}","plainCitation":"490","noteIndex":0},"citationItems":[{"id":4173,"uris":["http://zotero.org/users/9622455/items/BAU7TJK4"],"itemData":{"id":4173,"type":"article-journal","abstract":"CRISPR/Cas9-based gene knockouts (KOs) enable precise perturbation of target gene function in human cells, which is ideally assessed in an unbiased fashion by molecular omics readouts. Typically, this requires the lengthy process of isolating KO subclones. We show here that KO subclones are phenotypically heterogenous, regardless of the guide RNA used. We present an experimental strategy that avoids subcloning and achieves fast and efficient gene silencing on cell pools, based on the synergistic combination of two guide RNAs mapping at close (40-300 bp) genomic proximity. Our strategy results in better predictable indel generation with a low allelic heterogeneity, concomitant with low or undetectable residual target protein expression, as determined by MS3 mass spectrometry proteomics. Our method is compatible with nondividing primary cells and can also be used to study essential genes. It enables the generation of high confidence omics data which solely reflect the phenotype of the target ablation.","container-title":"The CRISPR journal","DOI":"10.1089/crispr.2019.0064","ISSN":"2573-1602","issue":"2","journalAbbreviation":"CRISPR J","language":"eng","note":"PMID: 32315231\nPMCID: PMC7194318","page":"123-134","source":"PubMed","title":"A Tandem Guide RNA-Based Strategy for Efficient CRISPR Gene Editing of Cell Populations with Low Heterogeneity of Edited Alleles","volume":"3","author":[{"family":"Joberty","given":"Gérard"},{"family":"Fälth-Savitski","given":"Maria"},{"family":"Paulmann","given":"Marcel"},{"family":"Bösche","given":"Markus"},{"family":"Doce","given":"Carola"},{"family":"Cheng","given":"Aaron T."},{"family":"Drewes","given":"Gerard"},{"family":"Grandi","given":"Paola"}],"issued":{"date-parts":[["2020",4]]}}}],"schema":"https://github.com/citation-style-language/schema/raw/master/csl-citation.json"} </w:instrText>
      </w:r>
      <w:r w:rsidR="006F0004">
        <w:fldChar w:fldCharType="separate"/>
      </w:r>
      <w:r w:rsidR="005128B7" w:rsidRPr="005128B7">
        <w:rPr>
          <w:vertAlign w:val="superscript"/>
        </w:rPr>
        <w:t>490</w:t>
      </w:r>
      <w:r w:rsidR="006F0004">
        <w:fldChar w:fldCharType="end"/>
      </w:r>
      <w:r w:rsidR="00C66C09">
        <w:t>.</w:t>
      </w:r>
      <w:r w:rsidRPr="00DB2C42">
        <w:t xml:space="preserve"> </w:t>
      </w:r>
      <w:r w:rsidR="00227838">
        <w:t xml:space="preserve">We used a tandem two sgRNAs approach which is fast and could give close to 100% of </w:t>
      </w:r>
      <w:r w:rsidR="003F236E">
        <w:t>i</w:t>
      </w:r>
      <w:r w:rsidR="00227838">
        <w:t>ndel rate. Although clone 8B was still considered a KO clone pool, it has been reported that using KO cell pools generated with the tandem gRNAs can lead to more clearly identifiable phenotypes</w:t>
      </w:r>
      <w:r w:rsidR="00F76F2D">
        <w:t xml:space="preserve"> </w:t>
      </w:r>
      <w:r w:rsidR="00F76F2D">
        <w:fldChar w:fldCharType="begin"/>
      </w:r>
      <w:r w:rsidR="00BE712C">
        <w:instrText xml:space="preserve"> ADDIN ZOTERO_ITEM CSL_CITATION {"citationID":"hTurdMFL","properties":{"formattedCitation":"\\super 490\\nosupersub{}","plainCitation":"490","noteIndex":0},"citationItems":[{"id":4173,"uris":["http://zotero.org/users/9622455/items/BAU7TJK4"],"itemData":{"id":4173,"type":"article-journal","abstract":"CRISPR/Cas9-based gene knockouts (KOs) enable precise perturbation of target gene function in human cells, which is ideally assessed in an unbiased fashion by molecular omics readouts. Typically, this requires the lengthy process of isolating KO subclones. We show here that KO subclones are phenotypically heterogenous, regardless of the guide RNA used. We present an experimental strategy that avoids subcloning and achieves fast and efficient gene silencing on cell pools, based on the synergistic combination of two guide RNAs mapping at close (40-300 bp) genomic proximity. Our strategy results in better predictable indel generation with a low allelic heterogeneity, concomitant with low or undetectable residual target protein expression, as determined by MS3 mass spectrometry proteomics. Our method is compatible with nondividing primary cells and can also be used to study essential genes. It enables the generation of high confidence omics data which solely reflect the phenotype of the target ablation.","container-title":"The CRISPR journal","DOI":"10.1089/crispr.2019.0064","ISSN":"2573-1602","issue":"2","journalAbbreviation":"CRISPR J","language":"eng","note":"PMID: 32315231\nPMCID: PMC7194318","page":"123-134","source":"PubMed","title":"A Tandem Guide RNA-Based Strategy for Efficient CRISPR Gene Editing of Cell Populations with Low Heterogeneity of Edited Alleles","volume":"3","author":[{"family":"Joberty","given":"Gérard"},{"family":"Fälth-Savitski","given":"Maria"},{"family":"Paulmann","given":"Marcel"},{"family":"Bösche","given":"Markus"},{"family":"Doce","given":"Carola"},{"family":"Cheng","given":"Aaron T."},{"family":"Drewes","given":"Gerard"},{"family":"Grandi","given":"Paola"}],"issued":{"date-parts":[["2020",4]]}}}],"schema":"https://github.com/citation-style-language/schema/raw/master/csl-citation.json"} </w:instrText>
      </w:r>
      <w:r w:rsidR="00F76F2D">
        <w:fldChar w:fldCharType="separate"/>
      </w:r>
      <w:r w:rsidR="005128B7" w:rsidRPr="005128B7">
        <w:rPr>
          <w:vertAlign w:val="superscript"/>
        </w:rPr>
        <w:t>490</w:t>
      </w:r>
      <w:r w:rsidR="00F76F2D">
        <w:fldChar w:fldCharType="end"/>
      </w:r>
      <w:r w:rsidR="00227838">
        <w:t xml:space="preserve">. </w:t>
      </w:r>
      <w:r w:rsidRPr="00DB2C42">
        <w:t xml:space="preserve">Additionally, although UCP1 knockout was confirmed at the genomic and transcript levels, this study did not assess potential off-target </w:t>
      </w:r>
      <w:r w:rsidRPr="00DB2C42">
        <w:lastRenderedPageBreak/>
        <w:t>effects of CRISPR editing</w:t>
      </w:r>
      <w:r w:rsidR="00DC0AFC">
        <w:t xml:space="preserve"> </w:t>
      </w:r>
      <w:r w:rsidR="00DC0AFC">
        <w:fldChar w:fldCharType="begin"/>
      </w:r>
      <w:r w:rsidR="00BE712C">
        <w:instrText xml:space="preserve"> ADDIN ZOTERO_ITEM CSL_CITATION {"citationID":"tQzeKnzF","properties":{"formattedCitation":"\\super 491\\nosupersub{}","plainCitation":"491","noteIndex":0},"citationItems":[{"id":4176,"uris":["http://zotero.org/users/9622455/items/IK6GCBTF"],"itemData":{"id":4176,"type":"article-journal","abstract":"Gene editing stands for the methods to precisely make changes to a specific nucleic acid sequence. With the recent development of the clustered regularly interspaced short palindromic repeats (CRISPR)/Cas9 system, gene editing has become efficient, convenient and programmable, leading to promising translational studies and clinical trials for both genetic and non-genetic diseases. A major concern in the applications of the CRISPR/Cas9 system is about its off-target effects, namely the deposition of unexpected, unwanted, or even adverse alterations to the genome. To date, many methods have been developed to nominate or detect the off-target sites of CRISPR/Cas9, which laid the basis for the successful upgrades of CRISPR/Cas9 derivatives with enhanced precision. In this review, we summarize these technological advancements and discuss about the current challenges in the management of off-target effects for future gene therapy.","container-title":"Frontiers in Bioengineering and Biotechnology","DOI":"10.3389/fbioe.2023.1143157","ISSN":"2296-4185","journalAbbreviation":"Front Bioeng Biotechnol","note":"PMID: 36970624\nPMCID: PMC10034092","page":"1143157","source":"PubMed Central","title":"Off-target effects in CRISPR/Cas9 gene editing","volume":"11","author":[{"family":"Guo","given":"Congting"},{"family":"Ma","given":"Xiaoteng"},{"family":"Gao","given":"Fei"},{"family":"Guo","given":"Yuxuan"}],"issued":{"date-parts":[["2023",3,9]]}}}],"schema":"https://github.com/citation-style-language/schema/raw/master/csl-citation.json"} </w:instrText>
      </w:r>
      <w:r w:rsidR="00DC0AFC">
        <w:fldChar w:fldCharType="separate"/>
      </w:r>
      <w:r w:rsidR="005128B7" w:rsidRPr="005128B7">
        <w:rPr>
          <w:vertAlign w:val="superscript"/>
        </w:rPr>
        <w:t>491</w:t>
      </w:r>
      <w:r w:rsidR="00DC0AFC">
        <w:fldChar w:fldCharType="end"/>
      </w:r>
      <w:r w:rsidRPr="00DB2C42">
        <w:t xml:space="preserve">. Moreover, the functional impact of insulin signaling was only evaluated through AKT phosphorylation. Further studies are needed to determine whether other markers of insulin </w:t>
      </w:r>
      <w:r w:rsidR="006B6709" w:rsidRPr="00DB2C42">
        <w:t>signaling</w:t>
      </w:r>
      <w:r w:rsidRPr="00DB2C42">
        <w:t xml:space="preserve"> or glucose metabolism are similarly affected. </w:t>
      </w:r>
    </w:p>
    <w:p w14:paraId="47E1892B" w14:textId="77777777" w:rsidR="00AE6043" w:rsidRPr="00DB2C42" w:rsidRDefault="00AE6043" w:rsidP="00847BA5">
      <w:pPr>
        <w:pStyle w:val="Heading2"/>
        <w:jc w:val="left"/>
      </w:pPr>
      <w:bookmarkStart w:id="282" w:name="_Toc200810461"/>
      <w:bookmarkStart w:id="283" w:name="_Toc204848700"/>
      <w:r w:rsidRPr="00DB2C42">
        <w:t>Conclusion</w:t>
      </w:r>
      <w:bookmarkEnd w:id="282"/>
      <w:bookmarkEnd w:id="283"/>
    </w:p>
    <w:p w14:paraId="6524AAD6" w14:textId="77777777" w:rsidR="00BE712C" w:rsidRDefault="00BE712C" w:rsidP="00BE712C">
      <w:pPr>
        <w:ind w:firstLine="720"/>
        <w:jc w:val="left"/>
      </w:pPr>
      <w:r>
        <w:t>U</w:t>
      </w:r>
      <w:r w:rsidRPr="00DB2C42">
        <w:t xml:space="preserve">sing a CRISPR-based </w:t>
      </w:r>
      <w:r w:rsidRPr="00DC493F">
        <w:rPr>
          <w:i/>
          <w:iCs/>
        </w:rPr>
        <w:t>Ucp1</w:t>
      </w:r>
      <w:r w:rsidRPr="00DB2C42">
        <w:t xml:space="preserve"> </w:t>
      </w:r>
      <w:r>
        <w:t>KO</w:t>
      </w:r>
      <w:r w:rsidRPr="00DB2C42">
        <w:t xml:space="preserve"> 3T3-L1 adipocyte model, we observed that </w:t>
      </w:r>
      <w:r>
        <w:t xml:space="preserve">compared to the SCR cells, </w:t>
      </w:r>
      <w:r w:rsidRPr="00DC493F">
        <w:rPr>
          <w:i/>
          <w:iCs/>
        </w:rPr>
        <w:t>Ucp1</w:t>
      </w:r>
      <w:r w:rsidRPr="00DB2C42">
        <w:t xml:space="preserve"> KO cells </w:t>
      </w:r>
      <w:r>
        <w:t xml:space="preserve">had attenuated adipocyte differentiation, decreased proton leak, and increased coupling efficiency. As expected, </w:t>
      </w:r>
      <w:r w:rsidRPr="00DC493F">
        <w:rPr>
          <w:i/>
          <w:iCs/>
        </w:rPr>
        <w:t>Ucp1</w:t>
      </w:r>
      <w:r>
        <w:t xml:space="preserve"> KO adipocytes had impaired ROSI-induced browning. Moreover, ROSI-induced enhancement of insulin signaling was blunt in the </w:t>
      </w:r>
      <w:r w:rsidRPr="00DC493F">
        <w:rPr>
          <w:i/>
          <w:iCs/>
        </w:rPr>
        <w:t>Ucp1</w:t>
      </w:r>
      <w:r>
        <w:t xml:space="preserve"> KO adipocytes. </w:t>
      </w:r>
      <w:r w:rsidRPr="00DB2C42">
        <w:t xml:space="preserve">These results, together with </w:t>
      </w:r>
      <w:r>
        <w:t xml:space="preserve">the </w:t>
      </w:r>
      <w:r w:rsidRPr="00DB2C42">
        <w:t>findings from adipose-derived stromal cells</w:t>
      </w:r>
      <w:r>
        <w:t xml:space="preserve"> from mice</w:t>
      </w:r>
      <w:r w:rsidRPr="00DB2C42">
        <w:t xml:space="preserve"> in Chapter </w:t>
      </w:r>
      <w:r>
        <w:t>IV</w:t>
      </w:r>
      <w:r w:rsidRPr="00DB2C42">
        <w:t xml:space="preserve">, </w:t>
      </w:r>
      <w:r>
        <w:t xml:space="preserve">strongly suggest that </w:t>
      </w:r>
      <w:r w:rsidRPr="00DB2C42">
        <w:t xml:space="preserve">UCP1 </w:t>
      </w:r>
      <w:r>
        <w:t xml:space="preserve">may </w:t>
      </w:r>
      <w:r w:rsidRPr="00DB2C42">
        <w:t xml:space="preserve">facilitate the insulin-sensitizing effect of </w:t>
      </w:r>
      <w:r>
        <w:t>ROSI</w:t>
      </w:r>
      <w:r w:rsidRPr="00DB2C42">
        <w:t xml:space="preserve"> in adipocytes. Our studies shed light on the interaction between UCP1-mediated browning and enhancement of insulin signaling by ROSI and suggest the possibility that UCP1 may contribute to ROSI’s </w:t>
      </w:r>
      <w:r>
        <w:t>beneficial</w:t>
      </w:r>
      <w:r w:rsidRPr="00DB2C42">
        <w:t xml:space="preserve"> effects in adipocytes.</w:t>
      </w:r>
    </w:p>
    <w:p w14:paraId="03D2ADD2" w14:textId="21745A8C" w:rsidR="003E0E0B" w:rsidRDefault="003350FF" w:rsidP="00847BA5">
      <w:pPr>
        <w:pStyle w:val="Heading2"/>
        <w:numPr>
          <w:ilvl w:val="0"/>
          <w:numId w:val="0"/>
        </w:numPr>
        <w:jc w:val="left"/>
      </w:pPr>
      <w:r>
        <w:br w:type="page"/>
      </w:r>
      <w:bookmarkStart w:id="284" w:name="_Toc200810463"/>
      <w:bookmarkStart w:id="285" w:name="_Toc204848701"/>
      <w:r w:rsidR="003E0E0B" w:rsidRPr="006005D8">
        <w:lastRenderedPageBreak/>
        <w:t>Appendix</w:t>
      </w:r>
      <w:bookmarkEnd w:id="284"/>
      <w:bookmarkEnd w:id="285"/>
    </w:p>
    <w:p w14:paraId="6FD7D643" w14:textId="77777777" w:rsidR="006B493F" w:rsidRDefault="00366255" w:rsidP="006B493F">
      <w:pPr>
        <w:keepNext/>
      </w:pPr>
      <w:r w:rsidRPr="00DB2C42">
        <w:rPr>
          <w:noProof/>
        </w:rPr>
        <w:drawing>
          <wp:inline distT="0" distB="0" distL="0" distR="0" wp14:anchorId="2BC106C2" wp14:editId="04AE8224">
            <wp:extent cx="5943600" cy="2578735"/>
            <wp:effectExtent l="0" t="0" r="0" b="0"/>
            <wp:docPr id="1508539636" name="Picture 15" descr="A diagram of a cell blo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39636" name="Picture 15" descr="A diagram of a cell block&#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5943600" cy="2578735"/>
                    </a:xfrm>
                    <a:prstGeom prst="rect">
                      <a:avLst/>
                    </a:prstGeom>
                  </pic:spPr>
                </pic:pic>
              </a:graphicData>
            </a:graphic>
          </wp:inline>
        </w:drawing>
      </w:r>
    </w:p>
    <w:p w14:paraId="56F96CC0" w14:textId="6E3B555A" w:rsidR="00366255" w:rsidRDefault="006B493F" w:rsidP="00546B55">
      <w:pPr>
        <w:pStyle w:val="Caption"/>
      </w:pPr>
      <w:bookmarkStart w:id="286" w:name="_Ref204595373"/>
      <w:bookmarkStart w:id="287" w:name="_Toc204847371"/>
      <w:r>
        <w:t xml:space="preserve">Figure </w:t>
      </w:r>
      <w:fldSimple w:instr=" STYLEREF 1 \s ">
        <w:r w:rsidR="00F71430">
          <w:rPr>
            <w:noProof/>
          </w:rPr>
          <w:t>5</w:t>
        </w:r>
      </w:fldSimple>
      <w:r w:rsidR="00F71430">
        <w:t>.</w:t>
      </w:r>
      <w:fldSimple w:instr=" SEQ Figure \* ARABIC \s 1 ">
        <w:r w:rsidR="00F71430">
          <w:rPr>
            <w:noProof/>
          </w:rPr>
          <w:t>1</w:t>
        </w:r>
      </w:fldSimple>
      <w:bookmarkEnd w:id="286"/>
      <w:r>
        <w:t xml:space="preserve"> Vector </w:t>
      </w:r>
      <w:r w:rsidR="002D2F66">
        <w:t>map</w:t>
      </w:r>
      <w:r>
        <w:t xml:space="preserve"> of Cas9-expressing plasmid.</w:t>
      </w:r>
      <w:bookmarkEnd w:id="287"/>
    </w:p>
    <w:p w14:paraId="5D66C026" w14:textId="6C3ACAE7" w:rsidR="00AF5F98" w:rsidRDefault="006B493F" w:rsidP="006B493F">
      <w:pPr>
        <w:rPr>
          <w:lang w:eastAsia="zh-CN"/>
        </w:rPr>
      </w:pPr>
      <w:r w:rsidRPr="006B493F">
        <w:rPr>
          <w:lang w:eastAsia="zh-CN"/>
        </w:rPr>
        <w:t>This vector is used for stable expression of Cas9 in 3T3-L1 cells.</w:t>
      </w:r>
    </w:p>
    <w:p w14:paraId="2686E4EC" w14:textId="77777777" w:rsidR="00AF5F98" w:rsidRDefault="00AF5F98">
      <w:pPr>
        <w:ind w:left="720" w:hanging="720"/>
        <w:jc w:val="left"/>
        <w:rPr>
          <w:lang w:eastAsia="zh-CN"/>
        </w:rPr>
      </w:pPr>
      <w:r>
        <w:rPr>
          <w:lang w:eastAsia="zh-CN"/>
        </w:rPr>
        <w:br w:type="page"/>
      </w:r>
    </w:p>
    <w:p w14:paraId="2E301905" w14:textId="77777777" w:rsidR="00AF5F98" w:rsidRDefault="00AF5F98" w:rsidP="00AF5F98">
      <w:pPr>
        <w:keepNext/>
      </w:pPr>
      <w:r w:rsidRPr="00DB2C42">
        <w:rPr>
          <w:noProof/>
        </w:rPr>
        <w:lastRenderedPageBreak/>
        <w:drawing>
          <wp:inline distT="0" distB="0" distL="0" distR="0" wp14:anchorId="153361E8" wp14:editId="6F3FBA99">
            <wp:extent cx="5188640" cy="2127564"/>
            <wp:effectExtent l="0" t="0" r="0" b="6350"/>
            <wp:docPr id="6484981" name="Picture 3" descr="A diagram of a complex of electrical components&#10;&#10;Description automatically generated with medium confidence">
              <a:extLst xmlns:a="http://schemas.openxmlformats.org/drawingml/2006/main">
                <a:ext uri="{FF2B5EF4-FFF2-40B4-BE49-F238E27FC236}">
                  <a16:creationId xmlns:a16="http://schemas.microsoft.com/office/drawing/2014/main" id="{806DE72F-C002-C2FD-FDA2-0478FC0BDA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complex of electrical components&#10;&#10;Description automatically generated with medium confidence">
                      <a:extLst>
                        <a:ext uri="{FF2B5EF4-FFF2-40B4-BE49-F238E27FC236}">
                          <a16:creationId xmlns:a16="http://schemas.microsoft.com/office/drawing/2014/main" id="{806DE72F-C002-C2FD-FDA2-0478FC0BDA25}"/>
                        </a:ext>
                      </a:extLst>
                    </pic:cNvPr>
                    <pic:cNvPicPr>
                      <a:picLocks noChangeAspect="1"/>
                    </pic:cNvPicPr>
                  </pic:nvPicPr>
                  <pic:blipFill>
                    <a:blip r:embed="rId33">
                      <a:extLst>
                        <a:ext uri="{28A0092B-C50C-407E-A947-70E740481C1C}">
                          <a14:useLocalDpi xmlns:a14="http://schemas.microsoft.com/office/drawing/2010/main" val="0"/>
                        </a:ext>
                      </a:extLst>
                    </a:blip>
                    <a:srcRect t="7737" b="4073"/>
                    <a:stretch/>
                  </pic:blipFill>
                  <pic:spPr>
                    <a:xfrm>
                      <a:off x="0" y="0"/>
                      <a:ext cx="5244313" cy="2150392"/>
                    </a:xfrm>
                    <a:prstGeom prst="rect">
                      <a:avLst/>
                    </a:prstGeom>
                  </pic:spPr>
                </pic:pic>
              </a:graphicData>
            </a:graphic>
          </wp:inline>
        </w:drawing>
      </w:r>
    </w:p>
    <w:p w14:paraId="59675528" w14:textId="1F69601E" w:rsidR="006B493F" w:rsidRDefault="00AF5F98" w:rsidP="00546B55">
      <w:pPr>
        <w:pStyle w:val="Caption"/>
      </w:pPr>
      <w:bookmarkStart w:id="288" w:name="_Toc204847372"/>
      <w:r>
        <w:t xml:space="preserve">Figure </w:t>
      </w:r>
      <w:fldSimple w:instr=" STYLEREF 1 \s ">
        <w:r w:rsidR="00F71430">
          <w:rPr>
            <w:noProof/>
          </w:rPr>
          <w:t>5</w:t>
        </w:r>
      </w:fldSimple>
      <w:r w:rsidR="00F71430">
        <w:t>.</w:t>
      </w:r>
      <w:fldSimple w:instr=" SEQ Figure \* ARABIC \s 1 ">
        <w:r w:rsidR="00F71430">
          <w:rPr>
            <w:noProof/>
          </w:rPr>
          <w:t>2</w:t>
        </w:r>
      </w:fldSimple>
      <w:r>
        <w:t xml:space="preserve"> Vector </w:t>
      </w:r>
      <w:r w:rsidR="002A634E">
        <w:t>map</w:t>
      </w:r>
      <w:r>
        <w:t xml:space="preserve"> for mouse </w:t>
      </w:r>
      <w:r w:rsidRPr="00A344A6">
        <w:rPr>
          <w:i/>
          <w:iCs/>
        </w:rPr>
        <w:t>U</w:t>
      </w:r>
      <w:r w:rsidR="00A344A6" w:rsidRPr="00A344A6">
        <w:rPr>
          <w:i/>
          <w:iCs/>
        </w:rPr>
        <w:t>cp</w:t>
      </w:r>
      <w:r w:rsidRPr="00A344A6">
        <w:rPr>
          <w:i/>
          <w:iCs/>
        </w:rPr>
        <w:t>1</w:t>
      </w:r>
      <w:r>
        <w:t xml:space="preserve"> sgRNA-a and c.</w:t>
      </w:r>
      <w:bookmarkEnd w:id="288"/>
    </w:p>
    <w:p w14:paraId="6546DA82" w14:textId="34CABA45" w:rsidR="00EC76F2" w:rsidRDefault="00A344A6" w:rsidP="00A344A6">
      <w:pPr>
        <w:rPr>
          <w:lang w:eastAsia="zh-CN"/>
        </w:rPr>
      </w:pPr>
      <w:r w:rsidRPr="006B493F">
        <w:rPr>
          <w:lang w:eastAsia="zh-CN"/>
        </w:rPr>
        <w:t xml:space="preserve">This vector is used for </w:t>
      </w:r>
      <w:r>
        <w:rPr>
          <w:lang w:eastAsia="zh-CN"/>
        </w:rPr>
        <w:t xml:space="preserve">generating </w:t>
      </w:r>
      <w:r w:rsidRPr="002A634E">
        <w:rPr>
          <w:i/>
          <w:iCs/>
          <w:lang w:eastAsia="zh-CN"/>
        </w:rPr>
        <w:t>U</w:t>
      </w:r>
      <w:r w:rsidR="00A66122" w:rsidRPr="002A634E">
        <w:rPr>
          <w:i/>
          <w:iCs/>
          <w:lang w:eastAsia="zh-CN"/>
        </w:rPr>
        <w:t>cp</w:t>
      </w:r>
      <w:r w:rsidRPr="002A634E">
        <w:rPr>
          <w:i/>
          <w:iCs/>
          <w:lang w:eastAsia="zh-CN"/>
        </w:rPr>
        <w:t>1</w:t>
      </w:r>
      <w:r>
        <w:rPr>
          <w:lang w:eastAsia="zh-CN"/>
        </w:rPr>
        <w:t xml:space="preserve"> Knockout</w:t>
      </w:r>
      <w:r w:rsidRPr="006B493F">
        <w:rPr>
          <w:lang w:eastAsia="zh-CN"/>
        </w:rPr>
        <w:t xml:space="preserve"> 3T3-L1 cells.</w:t>
      </w:r>
    </w:p>
    <w:p w14:paraId="4FE2E21D" w14:textId="77777777" w:rsidR="00EC76F2" w:rsidRDefault="00EC76F2">
      <w:pPr>
        <w:ind w:left="720" w:hanging="720"/>
        <w:jc w:val="left"/>
        <w:rPr>
          <w:lang w:eastAsia="zh-CN"/>
        </w:rPr>
      </w:pPr>
      <w:r>
        <w:rPr>
          <w:lang w:eastAsia="zh-CN"/>
        </w:rPr>
        <w:br w:type="page"/>
      </w:r>
    </w:p>
    <w:p w14:paraId="630F602B" w14:textId="77777777" w:rsidR="00F243B0" w:rsidRDefault="00F243B0" w:rsidP="00F243B0">
      <w:pPr>
        <w:keepNext/>
      </w:pPr>
      <w:r w:rsidRPr="00DB2C42">
        <w:rPr>
          <w:noProof/>
        </w:rPr>
        <w:lastRenderedPageBreak/>
        <w:drawing>
          <wp:inline distT="0" distB="0" distL="0" distR="0" wp14:anchorId="7C2FB625" wp14:editId="677BFCB7">
            <wp:extent cx="4474563" cy="1843312"/>
            <wp:effectExtent l="0" t="0" r="0" b="0"/>
            <wp:docPr id="108817300" name="Picture 3" descr="A diagram of a dna strand&#10;&#10;Description automatically generated">
              <a:extLst xmlns:a="http://schemas.openxmlformats.org/drawingml/2006/main">
                <a:ext uri="{FF2B5EF4-FFF2-40B4-BE49-F238E27FC236}">
                  <a16:creationId xmlns:a16="http://schemas.microsoft.com/office/drawing/2014/main" id="{E810382A-01ED-C355-2A35-ADDE8CD8F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dna strand&#10;&#10;Description automatically generated">
                      <a:extLst>
                        <a:ext uri="{FF2B5EF4-FFF2-40B4-BE49-F238E27FC236}">
                          <a16:creationId xmlns:a16="http://schemas.microsoft.com/office/drawing/2014/main" id="{E810382A-01ED-C355-2A35-ADDE8CD8F9DD}"/>
                        </a:ext>
                      </a:extLst>
                    </pic:cNvPr>
                    <pic:cNvPicPr>
                      <a:picLocks noChangeAspect="1"/>
                    </pic:cNvPicPr>
                  </pic:nvPicPr>
                  <pic:blipFill>
                    <a:blip r:embed="rId34" cstate="print">
                      <a:extLst>
                        <a:ext uri="{28A0092B-C50C-407E-A947-70E740481C1C}">
                          <a14:useLocalDpi xmlns:a14="http://schemas.microsoft.com/office/drawing/2010/main" val="0"/>
                        </a:ext>
                      </a:extLst>
                    </a:blip>
                    <a:srcRect l="5638" t="36920" r="6326"/>
                    <a:stretch/>
                  </pic:blipFill>
                  <pic:spPr>
                    <a:xfrm>
                      <a:off x="0" y="0"/>
                      <a:ext cx="4475879" cy="1843854"/>
                    </a:xfrm>
                    <a:prstGeom prst="rect">
                      <a:avLst/>
                    </a:prstGeom>
                  </pic:spPr>
                </pic:pic>
              </a:graphicData>
            </a:graphic>
          </wp:inline>
        </w:drawing>
      </w:r>
    </w:p>
    <w:p w14:paraId="77FCF9D1" w14:textId="793E3EDA" w:rsidR="00A344A6" w:rsidRDefault="00F243B0" w:rsidP="00546B55">
      <w:pPr>
        <w:pStyle w:val="Caption"/>
      </w:pPr>
      <w:bookmarkStart w:id="289" w:name="_Ref204595921"/>
      <w:bookmarkStart w:id="290" w:name="_Toc204847373"/>
      <w:r>
        <w:t xml:space="preserve">Figure </w:t>
      </w:r>
      <w:fldSimple w:instr=" STYLEREF 1 \s ">
        <w:r w:rsidR="00F71430">
          <w:rPr>
            <w:noProof/>
          </w:rPr>
          <w:t>5</w:t>
        </w:r>
      </w:fldSimple>
      <w:r w:rsidR="00F71430">
        <w:t>.</w:t>
      </w:r>
      <w:fldSimple w:instr=" SEQ Figure \* ARABIC \s 1 ">
        <w:r w:rsidR="00F71430">
          <w:rPr>
            <w:noProof/>
          </w:rPr>
          <w:t>3</w:t>
        </w:r>
      </w:fldSimple>
      <w:bookmarkEnd w:id="289"/>
      <w:r>
        <w:t xml:space="preserve"> Vector </w:t>
      </w:r>
      <w:r w:rsidR="002A634E">
        <w:t>map</w:t>
      </w:r>
      <w:r>
        <w:t xml:space="preserve"> for mouse scrambled </w:t>
      </w:r>
      <w:r w:rsidR="004F1BD3">
        <w:t xml:space="preserve">shRNA </w:t>
      </w:r>
      <w:r w:rsidR="00A66122">
        <w:t>plasmid</w:t>
      </w:r>
      <w:r>
        <w:t>.</w:t>
      </w:r>
      <w:bookmarkEnd w:id="290"/>
    </w:p>
    <w:p w14:paraId="63F92455" w14:textId="24C8B2B4" w:rsidR="00A66122" w:rsidRDefault="00A66122" w:rsidP="00A66122">
      <w:pPr>
        <w:rPr>
          <w:lang w:eastAsia="zh-CN"/>
        </w:rPr>
      </w:pPr>
      <w:r w:rsidRPr="006B493F">
        <w:rPr>
          <w:lang w:eastAsia="zh-CN"/>
        </w:rPr>
        <w:t xml:space="preserve">This vector is used for </w:t>
      </w:r>
      <w:r>
        <w:rPr>
          <w:lang w:eastAsia="zh-CN"/>
        </w:rPr>
        <w:t>generating scrambled control</w:t>
      </w:r>
      <w:r w:rsidRPr="006B493F">
        <w:rPr>
          <w:lang w:eastAsia="zh-CN"/>
        </w:rPr>
        <w:t xml:space="preserve"> 3T3-L1 cells.</w:t>
      </w:r>
      <w:r>
        <w:rPr>
          <w:lang w:eastAsia="zh-CN"/>
        </w:rPr>
        <w:t xml:space="preserve"> </w:t>
      </w:r>
    </w:p>
    <w:p w14:paraId="4462F4E1" w14:textId="517C2926" w:rsidR="003E0E0B" w:rsidRDefault="00A66122" w:rsidP="00C303CB">
      <w:pPr>
        <w:ind w:left="720" w:hanging="720"/>
        <w:jc w:val="left"/>
        <w:rPr>
          <w:lang w:eastAsia="zh-CN"/>
        </w:rPr>
      </w:pPr>
      <w:r>
        <w:rPr>
          <w:lang w:eastAsia="zh-CN"/>
        </w:rPr>
        <w:br w:type="page"/>
      </w:r>
      <w:r w:rsidR="003E0E0B">
        <w:rPr>
          <w:noProof/>
        </w:rPr>
        <w:lastRenderedPageBreak/>
        <mc:AlternateContent>
          <mc:Choice Requires="wps">
            <w:drawing>
              <wp:anchor distT="0" distB="0" distL="114300" distR="114300" simplePos="0" relativeHeight="251664384" behindDoc="0" locked="0" layoutInCell="1" allowOverlap="1" wp14:anchorId="4B94DAF5" wp14:editId="23436C9A">
                <wp:simplePos x="0" y="0"/>
                <wp:positionH relativeFrom="column">
                  <wp:posOffset>1483148</wp:posOffset>
                </wp:positionH>
                <wp:positionV relativeFrom="paragraph">
                  <wp:posOffset>2303780</wp:posOffset>
                </wp:positionV>
                <wp:extent cx="295835" cy="152400"/>
                <wp:effectExtent l="0" t="0" r="0" b="0"/>
                <wp:wrapNone/>
                <wp:docPr id="775957699" name="Rectangle 16"/>
                <wp:cNvGraphicFramePr/>
                <a:graphic xmlns:a="http://schemas.openxmlformats.org/drawingml/2006/main">
                  <a:graphicData uri="http://schemas.microsoft.com/office/word/2010/wordprocessingShape">
                    <wps:wsp>
                      <wps:cNvSpPr/>
                      <wps:spPr>
                        <a:xfrm flipV="1">
                          <a:off x="0" y="0"/>
                          <a:ext cx="295835" cy="152400"/>
                        </a:xfrm>
                        <a:prstGeom prst="rect">
                          <a:avLst/>
                        </a:prstGeom>
                        <a:solidFill>
                          <a:srgbClr val="212121"/>
                        </a:solidFill>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CAB73" id="Rectangle 16" o:spid="_x0000_s1026" style="position:absolute;margin-left:116.8pt;margin-top:181.4pt;width:23.3pt;height:1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" fillcolor="#212121" stroked="f" strokeweight="2pt"/>
            </w:pict>
          </mc:Fallback>
        </mc:AlternateContent>
      </w:r>
      <w:r w:rsidR="00EA4C54">
        <w:rPr>
          <w:noProof/>
          <w:lang w:eastAsia="zh-CN"/>
        </w:rPr>
        <w:drawing>
          <wp:inline distT="0" distB="0" distL="0" distR="0" wp14:anchorId="6A380195" wp14:editId="1F3499E7">
            <wp:extent cx="5943600" cy="3216910"/>
            <wp:effectExtent l="0" t="0" r="0" b="0"/>
            <wp:docPr id="718857984" name="Picture 5"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57984" name="Picture 5" descr="A collage of images of different color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216910"/>
                    </a:xfrm>
                    <a:prstGeom prst="rect">
                      <a:avLst/>
                    </a:prstGeom>
                  </pic:spPr>
                </pic:pic>
              </a:graphicData>
            </a:graphic>
          </wp:inline>
        </w:drawing>
      </w:r>
    </w:p>
    <w:p w14:paraId="2359404B" w14:textId="75DDADF7" w:rsidR="003E0E0B" w:rsidRDefault="003E0E0B" w:rsidP="00546B55">
      <w:pPr>
        <w:pStyle w:val="Caption"/>
      </w:pPr>
      <w:bookmarkStart w:id="291" w:name="_Ref200808866"/>
      <w:bookmarkStart w:id="292" w:name="_Toc204847374"/>
      <w:r>
        <w:t xml:space="preserve">Figure </w:t>
      </w:r>
      <w:fldSimple w:instr=" STYLEREF 1 \s ">
        <w:r w:rsidR="00F71430">
          <w:rPr>
            <w:noProof/>
          </w:rPr>
          <w:t>5</w:t>
        </w:r>
      </w:fldSimple>
      <w:r w:rsidR="00F71430">
        <w:t>.</w:t>
      </w:r>
      <w:fldSimple w:instr=" SEQ Figure \* ARABIC \s 1 ">
        <w:r w:rsidR="00F71430">
          <w:rPr>
            <w:noProof/>
          </w:rPr>
          <w:t>4</w:t>
        </w:r>
      </w:fldSimple>
      <w:bookmarkEnd w:id="291"/>
      <w:r>
        <w:t xml:space="preserve"> </w:t>
      </w:r>
      <w:r w:rsidRPr="00230E5C">
        <w:t xml:space="preserve">Validation of </w:t>
      </w:r>
      <w:r w:rsidRPr="001F1A70">
        <w:rPr>
          <w:i/>
          <w:iCs/>
        </w:rPr>
        <w:t>Ucp1</w:t>
      </w:r>
      <w:r w:rsidRPr="00230E5C">
        <w:t xml:space="preserve"> knockout in 3T3-L1 cells by fluorescence microscopy, genomic PCR, and Sanger sequencing.</w:t>
      </w:r>
      <w:bookmarkEnd w:id="292"/>
    </w:p>
    <w:p w14:paraId="50B13E15" w14:textId="77777777" w:rsidR="001F1A70" w:rsidRDefault="001F1A70" w:rsidP="001F1A70">
      <w:pPr>
        <w:spacing w:line="240" w:lineRule="auto"/>
        <w:jc w:val="left"/>
      </w:pPr>
      <w:r w:rsidRPr="006005D8">
        <w:t xml:space="preserve">(A–D) Fluorescence microscopy of </w:t>
      </w:r>
      <w:r w:rsidRPr="00DC493F">
        <w:rPr>
          <w:i/>
          <w:iCs/>
        </w:rPr>
        <w:t>Ucp1</w:t>
      </w:r>
      <w:r>
        <w:t xml:space="preserve"> KO </w:t>
      </w:r>
      <w:r w:rsidRPr="006005D8">
        <w:t xml:space="preserve">3T3-L1 cells after co-transfection with Cas9 and sgRNA. (A) </w:t>
      </w:r>
      <w:r>
        <w:t>Phase contrast</w:t>
      </w:r>
      <w:r w:rsidRPr="006005D8">
        <w:t xml:space="preserve"> image of trans</w:t>
      </w:r>
      <w:r>
        <w:t>duc</w:t>
      </w:r>
      <w:r w:rsidRPr="006005D8">
        <w:t xml:space="preserve">ed cells. (B) Green fluorescence </w:t>
      </w:r>
      <w:r>
        <w:t>showed</w:t>
      </w:r>
      <w:r w:rsidRPr="006005D8">
        <w:t xml:space="preserve"> Cas9 expression. (C) </w:t>
      </w:r>
      <w:r>
        <w:t>Cherry r</w:t>
      </w:r>
      <w:r w:rsidRPr="006005D8">
        <w:t xml:space="preserve">ed fluorescence </w:t>
      </w:r>
      <w:r>
        <w:t xml:space="preserve">showed </w:t>
      </w:r>
      <w:r w:rsidRPr="006005D8">
        <w:t>sgRNA expression. (D) The merged image show</w:t>
      </w:r>
      <w:r>
        <w:t>ed</w:t>
      </w:r>
      <w:r w:rsidRPr="006005D8">
        <w:t xml:space="preserve"> the co-expression of Cas9 and sgRNA in the same cells, confirming successful delivery of CRISPR</w:t>
      </w:r>
      <w:r>
        <w:t>/Cas9</w:t>
      </w:r>
      <w:r w:rsidRPr="006005D8">
        <w:t xml:space="preserve"> components. (E–F) Genomic PCR validation of </w:t>
      </w:r>
      <w:r w:rsidRPr="00DC493F">
        <w:rPr>
          <w:i/>
          <w:iCs/>
        </w:rPr>
        <w:t>Ucp1</w:t>
      </w:r>
      <w:r w:rsidRPr="006005D8">
        <w:t xml:space="preserve"> knockout in clonal populations. (E) PCR using </w:t>
      </w:r>
      <w:r w:rsidRPr="00DC493F">
        <w:rPr>
          <w:i/>
          <w:iCs/>
        </w:rPr>
        <w:t>Ucp1</w:t>
      </w:r>
      <w:r w:rsidRPr="006005D8">
        <w:t xml:space="preserve">-specific primers designed to amplify a 496 bp region flanking the CRISPR cut sites showed no detectable band in edited clones (8B-1, 8B-4, 8B-5, 8B-6), but a clear band for </w:t>
      </w:r>
      <w:r>
        <w:t>non-related sEH gene</w:t>
      </w:r>
      <w:r w:rsidRPr="006005D8">
        <w:t xml:space="preserve"> amplicons, indicating deletion of the target sequence. (F) PCR for</w:t>
      </w:r>
      <w:r>
        <w:t xml:space="preserve"> the</w:t>
      </w:r>
      <w:r w:rsidRPr="006005D8">
        <w:t xml:space="preserve"> </w:t>
      </w:r>
      <w:r w:rsidRPr="00DC493F">
        <w:rPr>
          <w:i/>
          <w:iCs/>
        </w:rPr>
        <w:t>sEH</w:t>
      </w:r>
      <w:r>
        <w:t xml:space="preserve"> gene</w:t>
      </w:r>
      <w:r w:rsidRPr="006005D8">
        <w:t xml:space="preserve"> served as a genomic DNA control and showed consistent amplification across all samples tested. (G) Sanger sequencing chromatogram of Clone 8B confirms the presence of insertions and/or deletions (Indels) near the expected Cas9 cut sites.</w:t>
      </w:r>
    </w:p>
    <w:p w14:paraId="6A2F0871" w14:textId="77777777" w:rsidR="003E0E0B" w:rsidRDefault="003E0E0B" w:rsidP="003E0E0B">
      <w:pPr>
        <w:spacing w:line="240" w:lineRule="auto"/>
        <w:jc w:val="left"/>
      </w:pPr>
      <w:r>
        <w:br w:type="page"/>
      </w:r>
    </w:p>
    <w:p w14:paraId="710FE64A" w14:textId="3BA9E1AC" w:rsidR="003E0E0B" w:rsidRDefault="00967FC5" w:rsidP="004A7B96">
      <w:pPr>
        <w:jc w:val="center"/>
      </w:pPr>
      <w:r>
        <w:rPr>
          <w:noProof/>
        </w:rPr>
        <w:lastRenderedPageBreak/>
        <w:drawing>
          <wp:inline distT="0" distB="0" distL="0" distR="0" wp14:anchorId="6EB23F66" wp14:editId="06D5CB20">
            <wp:extent cx="5943600" cy="3285490"/>
            <wp:effectExtent l="0" t="0" r="0" b="3810"/>
            <wp:docPr id="1464683162" name="Picture 8"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83162" name="Picture 8" descr="A screenshot of a computer scree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285490"/>
                    </a:xfrm>
                    <a:prstGeom prst="rect">
                      <a:avLst/>
                    </a:prstGeom>
                  </pic:spPr>
                </pic:pic>
              </a:graphicData>
            </a:graphic>
          </wp:inline>
        </w:drawing>
      </w:r>
    </w:p>
    <w:p w14:paraId="0A029EA5" w14:textId="5C51E7C9" w:rsidR="003E0E0B" w:rsidRDefault="003E0E0B" w:rsidP="00546B55">
      <w:pPr>
        <w:pStyle w:val="Caption"/>
      </w:pPr>
      <w:bookmarkStart w:id="293" w:name="_Ref200808972"/>
      <w:bookmarkStart w:id="294" w:name="_Toc204847375"/>
      <w:r>
        <w:t xml:space="preserve">Figure </w:t>
      </w:r>
      <w:fldSimple w:instr=" STYLEREF 1 \s ">
        <w:r w:rsidR="00F71430">
          <w:rPr>
            <w:noProof/>
          </w:rPr>
          <w:t>5</w:t>
        </w:r>
      </w:fldSimple>
      <w:r w:rsidR="00F71430">
        <w:t>.</w:t>
      </w:r>
      <w:fldSimple w:instr=" SEQ Figure \* ARABIC \s 1 ">
        <w:r w:rsidR="00F71430">
          <w:rPr>
            <w:noProof/>
          </w:rPr>
          <w:t>5</w:t>
        </w:r>
      </w:fldSimple>
      <w:bookmarkEnd w:id="293"/>
      <w:r>
        <w:t xml:space="preserve"> </w:t>
      </w:r>
      <w:r w:rsidR="00254328" w:rsidRPr="00DC493F">
        <w:rPr>
          <w:i/>
          <w:iCs/>
        </w:rPr>
        <w:t xml:space="preserve">Ucp1 </w:t>
      </w:r>
      <w:r w:rsidR="00254328" w:rsidRPr="00562D85">
        <w:t xml:space="preserve">KO </w:t>
      </w:r>
      <w:r w:rsidR="00254328">
        <w:t>affected</w:t>
      </w:r>
      <w:r w:rsidR="00254328" w:rsidRPr="00562D85">
        <w:t xml:space="preserve"> adipogenic differentiation </w:t>
      </w:r>
      <w:r w:rsidR="00254328">
        <w:t xml:space="preserve">and reduced proton leak </w:t>
      </w:r>
      <w:r w:rsidR="00254328" w:rsidRPr="00562D85">
        <w:t>in 3T3L1 adipocytes.</w:t>
      </w:r>
      <w:bookmarkEnd w:id="294"/>
    </w:p>
    <w:p w14:paraId="7346BB72" w14:textId="77777777" w:rsidR="001C3CC4" w:rsidRDefault="001C3CC4" w:rsidP="001C3CC4">
      <w:pPr>
        <w:spacing w:line="240" w:lineRule="auto"/>
        <w:jc w:val="left"/>
      </w:pPr>
      <w:r>
        <w:t>The s</w:t>
      </w:r>
      <w:r w:rsidRPr="006005D8">
        <w:t>crambled control</w:t>
      </w:r>
      <w:r>
        <w:t xml:space="preserve"> (SCR)</w:t>
      </w:r>
      <w:r w:rsidRPr="006005D8">
        <w:t xml:space="preserve"> and </w:t>
      </w:r>
      <w:r w:rsidRPr="00DC493F">
        <w:rPr>
          <w:i/>
          <w:iCs/>
        </w:rPr>
        <w:t>Ucp1</w:t>
      </w:r>
      <w:r w:rsidRPr="006005D8">
        <w:t xml:space="preserve"> </w:t>
      </w:r>
      <w:r>
        <w:t xml:space="preserve">KO </w:t>
      </w:r>
      <w:r w:rsidRPr="006005D8">
        <w:t xml:space="preserve">3T3-L1 cells were differentiated for 7 days using a brown adipogenic protocol and treated with 1 µM </w:t>
      </w:r>
      <w:r>
        <w:t xml:space="preserve">of </w:t>
      </w:r>
      <w:r w:rsidRPr="006005D8">
        <w:t xml:space="preserve">rosiglitazone (ROSI), 0.1% DMSO (vehicle), or no treatment (negative control). (A) Representative </w:t>
      </w:r>
      <w:r>
        <w:t xml:space="preserve">phase contrast </w:t>
      </w:r>
      <w:r w:rsidRPr="006005D8">
        <w:t xml:space="preserve">images on day 7 show lipid droplet accumulation </w:t>
      </w:r>
      <w:r>
        <w:t>in the two</w:t>
      </w:r>
      <w:r w:rsidRPr="006005D8">
        <w:t xml:space="preserve"> groups. Relative mRNA expression of </w:t>
      </w:r>
      <w:r w:rsidRPr="006005D8">
        <w:rPr>
          <w:lang w:val="el-GR"/>
        </w:rPr>
        <w:t>(</w:t>
      </w:r>
      <w:r w:rsidRPr="006005D8">
        <w:t xml:space="preserve">B) </w:t>
      </w:r>
      <w:r w:rsidRPr="00110855">
        <w:rPr>
          <w:i/>
          <w:iCs/>
        </w:rPr>
        <w:t>Ppar</w:t>
      </w:r>
      <w:r w:rsidRPr="00110855">
        <w:rPr>
          <w:i/>
          <w:iCs/>
          <w:lang w:val="el-GR"/>
        </w:rPr>
        <w:t>γ</w:t>
      </w:r>
      <w:r w:rsidRPr="006005D8">
        <w:t xml:space="preserve"> and</w:t>
      </w:r>
      <w:r>
        <w:t xml:space="preserve"> (C)</w:t>
      </w:r>
      <w:r w:rsidRPr="006005D8">
        <w:t xml:space="preserve"> </w:t>
      </w:r>
      <w:r w:rsidRPr="00110855">
        <w:rPr>
          <w:i/>
          <w:iCs/>
        </w:rPr>
        <w:t xml:space="preserve">Adipoq </w:t>
      </w:r>
      <w:r w:rsidRPr="006005D8">
        <w:t xml:space="preserve">was assessed. Data are presented as mean ± SEM (n=3). </w:t>
      </w:r>
      <w:r>
        <w:t>(D)-(I) B</w:t>
      </w:r>
      <w:r w:rsidRPr="006005D8">
        <w:t xml:space="preserve">oth </w:t>
      </w:r>
      <w:r>
        <w:t>S</w:t>
      </w:r>
      <w:r w:rsidRPr="006005D8">
        <w:t xml:space="preserve">CR and </w:t>
      </w:r>
      <w:r w:rsidRPr="00DC493F">
        <w:rPr>
          <w:i/>
          <w:iCs/>
        </w:rPr>
        <w:t>Ucp1</w:t>
      </w:r>
      <w:r w:rsidRPr="006005D8">
        <w:t xml:space="preserve"> KO</w:t>
      </w:r>
      <w:r>
        <w:t xml:space="preserve"> </w:t>
      </w:r>
      <w:r w:rsidRPr="006005D8">
        <w:t xml:space="preserve">3T3-L1 </w:t>
      </w:r>
      <w:r>
        <w:t>preadipocytes</w:t>
      </w:r>
      <w:r w:rsidRPr="006005D8">
        <w:t xml:space="preserve"> were first differentiated</w:t>
      </w:r>
      <w:r>
        <w:t xml:space="preserve"> for </w:t>
      </w:r>
      <w:r w:rsidRPr="006005D8">
        <w:t>7 days, then reseeded into a Seahorse XF</w:t>
      </w:r>
      <w:r>
        <w:t>e</w:t>
      </w:r>
      <w:r w:rsidRPr="006005D8">
        <w:t xml:space="preserve"> assay plate. The cells underwent real-time oxygen consumption rate (OCR) measurements for a mitochondrial stress test 3 h</w:t>
      </w:r>
      <w:r>
        <w:t>r</w:t>
      </w:r>
      <w:r w:rsidRPr="006005D8">
        <w:t xml:space="preserve"> after reseeding. Oxygen consumption rate (OCR) was measured under basal conditions and following sequential injections of oligomycin (Oligo), FCCP, and rotenone/antimycin A (R/A). (</w:t>
      </w:r>
      <w:r>
        <w:t>D</w:t>
      </w:r>
      <w:r w:rsidRPr="006005D8">
        <w:t>) OCR over time, (</w:t>
      </w:r>
      <w:r>
        <w:t>E</w:t>
      </w:r>
      <w:r w:rsidRPr="006005D8">
        <w:t>) Basal respiration, (</w:t>
      </w:r>
      <w:r>
        <w:t>F</w:t>
      </w:r>
      <w:r w:rsidRPr="006005D8">
        <w:t>) Maximal respiration, (</w:t>
      </w:r>
      <w:r>
        <w:t>G</w:t>
      </w:r>
      <w:r w:rsidRPr="006005D8">
        <w:t>) Proton leak, (</w:t>
      </w:r>
      <w:r>
        <w:t>H</w:t>
      </w:r>
      <w:r w:rsidRPr="006005D8">
        <w:t>) ATP production, and (</w:t>
      </w:r>
      <w:r>
        <w:t>I</w:t>
      </w:r>
      <w:r w:rsidRPr="006005D8">
        <w:t xml:space="preserve">) Coupling efficiency are shown. Data = mean ± SEM (n = 5). </w:t>
      </w:r>
      <w:r>
        <w:t>Two-way ANOVA was</w:t>
      </w:r>
      <w:r w:rsidRPr="006005D8">
        <w:t xml:space="preserve"> used for statistical analysis</w:t>
      </w:r>
      <w:r>
        <w:t xml:space="preserve"> in (B) and (C)</w:t>
      </w:r>
      <w:r w:rsidRPr="006005D8">
        <w:t>.</w:t>
      </w:r>
      <w:r>
        <w:t xml:space="preserve"> Student’s t-test was used for statistical analysis in (D)-(I). </w:t>
      </w:r>
      <w:r w:rsidRPr="006005D8">
        <w:t># indicates the comparison of ROSI vs. (–) within genotype and condition</w:t>
      </w:r>
      <w:r>
        <w:t xml:space="preserve"> for (B, C). Red </w:t>
      </w:r>
      <w:r w:rsidRPr="006005D8">
        <w:t>* indicates the comparison of ROSI vs. DMSO within genotype and condition</w:t>
      </w:r>
      <w:r>
        <w:t xml:space="preserve"> for (B, C)</w:t>
      </w:r>
      <w:r w:rsidRPr="006005D8">
        <w:t>.</w:t>
      </w:r>
      <w:r>
        <w:t xml:space="preserve"> Black </w:t>
      </w:r>
      <w:r w:rsidRPr="006005D8">
        <w:t>*</w:t>
      </w:r>
      <w:r>
        <w:t xml:space="preserve"> indicates the comparison of SCR vs. </w:t>
      </w:r>
      <w:r w:rsidRPr="00DC493F">
        <w:rPr>
          <w:i/>
          <w:iCs/>
        </w:rPr>
        <w:t>Ucp1</w:t>
      </w:r>
      <w:r>
        <w:t xml:space="preserve"> KO (B, C). </w:t>
      </w:r>
      <w:r w:rsidRPr="00DC493F">
        <w:t>#</w:t>
      </w:r>
      <w:r w:rsidRPr="00C57331">
        <w:t xml:space="preserve">, </w:t>
      </w:r>
      <w:r w:rsidRPr="00DC493F">
        <w:t>##</w:t>
      </w:r>
      <w:r w:rsidRPr="00C57331">
        <w:t xml:space="preserve">, </w:t>
      </w:r>
      <w:r w:rsidRPr="00DC493F">
        <w:t>###</w:t>
      </w:r>
      <w:r w:rsidRPr="00546818">
        <w:rPr>
          <w:vertAlign w:val="superscript"/>
        </w:rPr>
        <w:t xml:space="preserve"> </w:t>
      </w:r>
      <w:r w:rsidRPr="00546818">
        <w:t xml:space="preserve">indicate </w:t>
      </w:r>
      <w:r w:rsidRPr="00811BE1">
        <w:t>p &lt; 0.05, p &lt; 0.01</w:t>
      </w:r>
      <w:r>
        <w:t xml:space="preserve"> and</w:t>
      </w:r>
      <w:r w:rsidRPr="00811BE1">
        <w:t xml:space="preserve"> p &lt; 0.001</w:t>
      </w:r>
      <w:r>
        <w:t>;</w:t>
      </w:r>
      <w:r w:rsidRPr="00546818">
        <w:t xml:space="preserve"> </w:t>
      </w:r>
      <w:r w:rsidRPr="00546818">
        <w:rPr>
          <w:b/>
          <w:bCs/>
        </w:rPr>
        <w:t>*</w:t>
      </w:r>
      <w:r w:rsidRPr="00546818">
        <w:t xml:space="preserve">, </w:t>
      </w:r>
      <w:r w:rsidRPr="00546818">
        <w:rPr>
          <w:b/>
          <w:bCs/>
        </w:rPr>
        <w:t>**</w:t>
      </w:r>
      <w:r w:rsidRPr="00546818">
        <w:t xml:space="preserve">, </w:t>
      </w:r>
      <w:r w:rsidRPr="00546818">
        <w:rPr>
          <w:b/>
          <w:bCs/>
        </w:rPr>
        <w:t>***</w:t>
      </w:r>
      <w:r w:rsidRPr="00546818">
        <w:t xml:space="preserve"> indicate</w:t>
      </w:r>
      <w:r w:rsidRPr="00811BE1">
        <w:t xml:space="preserve"> p &lt; 0.05, p &lt; 0.01, </w:t>
      </w:r>
      <w:r>
        <w:t xml:space="preserve">and </w:t>
      </w:r>
      <w:r w:rsidRPr="00811BE1">
        <w:t>p &lt; 0.001</w:t>
      </w:r>
      <w:r>
        <w:t>, respectively.</w:t>
      </w:r>
    </w:p>
    <w:p w14:paraId="338EB66C" w14:textId="77777777" w:rsidR="003E0E0B" w:rsidRDefault="003E0E0B" w:rsidP="003E0E0B">
      <w:r>
        <w:br w:type="page"/>
      </w:r>
    </w:p>
    <w:p w14:paraId="04F91D7D" w14:textId="1510ED63" w:rsidR="003E0E0B" w:rsidRDefault="00D726F6" w:rsidP="003E0E0B">
      <w:pPr>
        <w:keepNext/>
      </w:pPr>
      <w:r>
        <w:rPr>
          <w:noProof/>
        </w:rPr>
        <w:lastRenderedPageBreak/>
        <w:drawing>
          <wp:inline distT="0" distB="0" distL="0" distR="0" wp14:anchorId="3FBBF64F" wp14:editId="65D12C28">
            <wp:extent cx="5943600" cy="2895600"/>
            <wp:effectExtent l="0" t="0" r="0" b="0"/>
            <wp:docPr id="818681080" name="Picture 6"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81080" name="Picture 6" descr="A screenshot of a video game&#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2895600"/>
                    </a:xfrm>
                    <a:prstGeom prst="rect">
                      <a:avLst/>
                    </a:prstGeom>
                  </pic:spPr>
                </pic:pic>
              </a:graphicData>
            </a:graphic>
          </wp:inline>
        </w:drawing>
      </w:r>
    </w:p>
    <w:p w14:paraId="63ECE620" w14:textId="0B497DC4" w:rsidR="003E0E0B" w:rsidRPr="006005D8" w:rsidRDefault="003E0E0B" w:rsidP="00546B55">
      <w:pPr>
        <w:pStyle w:val="Caption"/>
      </w:pPr>
      <w:bookmarkStart w:id="295" w:name="_Ref200809085"/>
      <w:bookmarkStart w:id="296" w:name="_Toc204847376"/>
      <w:r>
        <w:t xml:space="preserve">Figure </w:t>
      </w:r>
      <w:fldSimple w:instr=" STYLEREF 1 \s ">
        <w:r w:rsidR="00F71430">
          <w:rPr>
            <w:noProof/>
          </w:rPr>
          <w:t>5</w:t>
        </w:r>
      </w:fldSimple>
      <w:r w:rsidR="00F71430">
        <w:t>.</w:t>
      </w:r>
      <w:fldSimple w:instr=" SEQ Figure \* ARABIC \s 1 ">
        <w:r w:rsidR="00F71430">
          <w:rPr>
            <w:noProof/>
          </w:rPr>
          <w:t>6</w:t>
        </w:r>
      </w:fldSimple>
      <w:bookmarkEnd w:id="295"/>
      <w:r w:rsidRPr="00490A6C">
        <w:t xml:space="preserve"> </w:t>
      </w:r>
      <w:r w:rsidRPr="001C3CC4">
        <w:rPr>
          <w:i/>
          <w:iCs/>
        </w:rPr>
        <w:t>U</w:t>
      </w:r>
      <w:r w:rsidR="001C3CC4" w:rsidRPr="001C3CC4">
        <w:rPr>
          <w:i/>
          <w:iCs/>
        </w:rPr>
        <w:t>cp</w:t>
      </w:r>
      <w:r w:rsidRPr="001C3CC4">
        <w:rPr>
          <w:i/>
          <w:iCs/>
        </w:rPr>
        <w:t>1</w:t>
      </w:r>
      <w:r w:rsidRPr="00490A6C">
        <w:t xml:space="preserve"> KO attenuated the browning response to rosiglitazone in 3T3-L1 adipocytes.</w:t>
      </w:r>
      <w:bookmarkEnd w:id="296"/>
    </w:p>
    <w:p w14:paraId="6E625514" w14:textId="77777777" w:rsidR="002E3C92" w:rsidRPr="006005D8" w:rsidRDefault="002E3C92" w:rsidP="002E3C92">
      <w:pPr>
        <w:spacing w:line="240" w:lineRule="auto"/>
      </w:pPr>
      <w:r>
        <w:t>The s</w:t>
      </w:r>
      <w:r>
        <w:rPr>
          <w:lang w:eastAsia="zh-CN"/>
        </w:rPr>
        <w:t>crambled control</w:t>
      </w:r>
      <w:r w:rsidRPr="006005D8">
        <w:t xml:space="preserve"> and </w:t>
      </w:r>
      <w:r w:rsidRPr="00DC493F">
        <w:rPr>
          <w:i/>
          <w:iCs/>
        </w:rPr>
        <w:t>Ucp1</w:t>
      </w:r>
      <w:r w:rsidRPr="006005D8">
        <w:t xml:space="preserve"> </w:t>
      </w:r>
      <w:r>
        <w:t>KO</w:t>
      </w:r>
      <w:r w:rsidRPr="006005D8">
        <w:t xml:space="preserve"> 3T3-L1 </w:t>
      </w:r>
      <w:r>
        <w:t>preadipocytes</w:t>
      </w:r>
      <w:r w:rsidRPr="006005D8">
        <w:t xml:space="preserve"> were differentiated for 7 days using a brown adipogenic protocol and treated with 1 µM</w:t>
      </w:r>
      <w:r>
        <w:t xml:space="preserve"> of</w:t>
      </w:r>
      <w:r w:rsidRPr="006005D8">
        <w:t xml:space="preserve"> rosiglitazone (ROSI), 0.1% DMSO (vehicle</w:t>
      </w:r>
      <w:r>
        <w:t xml:space="preserve"> control</w:t>
      </w:r>
      <w:r w:rsidRPr="006005D8">
        <w:t xml:space="preserve">), or </w:t>
      </w:r>
      <w:r>
        <w:t>without</w:t>
      </w:r>
      <w:r w:rsidRPr="006005D8">
        <w:t xml:space="preserve"> treatment (negative control). Relative mRNA expression of</w:t>
      </w:r>
      <w:r>
        <w:t xml:space="preserve"> </w:t>
      </w:r>
      <w:r w:rsidRPr="006005D8">
        <w:t>(A)</w:t>
      </w:r>
      <w:r>
        <w:t xml:space="preserve"> </w:t>
      </w:r>
      <w:r w:rsidRPr="00FC0A09">
        <w:rPr>
          <w:i/>
          <w:iCs/>
        </w:rPr>
        <w:t>Ucp1</w:t>
      </w:r>
      <w:r w:rsidRPr="006005D8">
        <w:t xml:space="preserve"> </w:t>
      </w:r>
      <w:r>
        <w:t xml:space="preserve">and </w:t>
      </w:r>
      <w:r w:rsidRPr="006005D8">
        <w:rPr>
          <w:lang w:val="el-GR"/>
        </w:rPr>
        <w:t>(</w:t>
      </w:r>
      <w:r w:rsidRPr="006005D8">
        <w:t xml:space="preserve">B) </w:t>
      </w:r>
      <w:r w:rsidRPr="00FC0A09">
        <w:rPr>
          <w:i/>
          <w:iCs/>
        </w:rPr>
        <w:t>Pgc1</w:t>
      </w:r>
      <w:r w:rsidRPr="00FC0A09">
        <w:rPr>
          <w:i/>
          <w:iCs/>
          <w:lang w:val="el-GR"/>
        </w:rPr>
        <w:t>α</w:t>
      </w:r>
      <w:r w:rsidRPr="006005D8">
        <w:rPr>
          <w:lang w:val="el-GR"/>
        </w:rPr>
        <w:t xml:space="preserve"> </w:t>
      </w:r>
      <w:r w:rsidRPr="006005D8">
        <w:t xml:space="preserve">was assessed under basal or 1 µM isoproterenol (ISO) stimulation for 6 hr. Data are presented as mean ± SEM (n=3). </w:t>
      </w:r>
      <w:r>
        <w:t xml:space="preserve">One-way ANOVA was </w:t>
      </w:r>
      <w:r w:rsidRPr="006005D8">
        <w:t>used for statistical analysis</w:t>
      </w:r>
      <w:r>
        <w:t xml:space="preserve"> in (A)</w:t>
      </w:r>
      <w:r w:rsidRPr="006005D8">
        <w:t>.</w:t>
      </w:r>
      <w:r>
        <w:t xml:space="preserve"> Two-way ANOVA was used for statistical analysis in (B).</w:t>
      </w:r>
      <w:r w:rsidRPr="006005D8">
        <w:t xml:space="preserve"> </w:t>
      </w:r>
      <w:r w:rsidRPr="006F5991">
        <w:rPr>
          <w:b/>
          <w:bCs/>
        </w:rPr>
        <w:t>#</w:t>
      </w:r>
      <w:r w:rsidRPr="006005D8">
        <w:t xml:space="preserve"> indicates the comparison of ROSI vs. (–) within genotype and condition; * indicates the comparison of ROSI vs. DMSO within genotype and condition.</w:t>
      </w:r>
      <w:r w:rsidRPr="006F5991">
        <w:t xml:space="preserve"> </w:t>
      </w:r>
      <w:r w:rsidRPr="00DC493F">
        <w:t>##</w:t>
      </w:r>
      <w:r w:rsidRPr="00C57331">
        <w:t xml:space="preserve">, </w:t>
      </w:r>
      <w:r w:rsidRPr="00DC493F">
        <w:t>###</w:t>
      </w:r>
      <w:r w:rsidRPr="00546818">
        <w:rPr>
          <w:vertAlign w:val="superscript"/>
        </w:rPr>
        <w:t xml:space="preserve"> </w:t>
      </w:r>
      <w:r w:rsidRPr="00546818">
        <w:t>indicate</w:t>
      </w:r>
      <w:r w:rsidRPr="00811BE1">
        <w:t xml:space="preserve"> p &lt; 0.01</w:t>
      </w:r>
      <w:r>
        <w:t xml:space="preserve"> and</w:t>
      </w:r>
      <w:r w:rsidRPr="00811BE1">
        <w:t xml:space="preserve"> p &lt; 0.001</w:t>
      </w:r>
      <w:r>
        <w:t>;</w:t>
      </w:r>
      <w:r w:rsidRPr="00546818">
        <w:t xml:space="preserve"> </w:t>
      </w:r>
      <w:r w:rsidRPr="006005D8">
        <w:t>**</w:t>
      </w:r>
      <w:r w:rsidRPr="00546818">
        <w:t>,</w:t>
      </w:r>
      <w:r>
        <w:t xml:space="preserve"> </w:t>
      </w:r>
      <w:r w:rsidRPr="006005D8">
        <w:t>***</w:t>
      </w:r>
      <w:r w:rsidRPr="00546818">
        <w:t xml:space="preserve"> indicate</w:t>
      </w:r>
      <w:r w:rsidRPr="00811BE1">
        <w:t xml:space="preserve"> p &lt; 0.01</w:t>
      </w:r>
      <w:r>
        <w:t xml:space="preserve"> and</w:t>
      </w:r>
      <w:r w:rsidRPr="00811BE1">
        <w:t xml:space="preserve"> p &lt; 0.001</w:t>
      </w:r>
      <w:r>
        <w:t>.</w:t>
      </w:r>
    </w:p>
    <w:p w14:paraId="0812BD05" w14:textId="77777777" w:rsidR="003E0E0B" w:rsidRPr="006005D8" w:rsidRDefault="003E0E0B" w:rsidP="003E0E0B">
      <w:r>
        <w:br w:type="page"/>
      </w:r>
    </w:p>
    <w:p w14:paraId="51EA2AFA" w14:textId="217B1381" w:rsidR="003E0E0B" w:rsidRDefault="004F3667" w:rsidP="003E0E0B">
      <w:pPr>
        <w:keepNext/>
      </w:pPr>
      <w:r>
        <w:rPr>
          <w:noProof/>
        </w:rPr>
        <w:lastRenderedPageBreak/>
        <w:drawing>
          <wp:inline distT="0" distB="0" distL="0" distR="0" wp14:anchorId="5BB2D2B2" wp14:editId="075C128A">
            <wp:extent cx="5943600" cy="3724910"/>
            <wp:effectExtent l="0" t="0" r="0" b="0"/>
            <wp:docPr id="503865698"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65698" name="Picture 7" descr="A screenshot of a compute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724910"/>
                    </a:xfrm>
                    <a:prstGeom prst="rect">
                      <a:avLst/>
                    </a:prstGeom>
                  </pic:spPr>
                </pic:pic>
              </a:graphicData>
            </a:graphic>
          </wp:inline>
        </w:drawing>
      </w:r>
    </w:p>
    <w:p w14:paraId="1F7FA193" w14:textId="6FD437F0" w:rsidR="003E0E0B" w:rsidRPr="006005D8" w:rsidRDefault="003E0E0B" w:rsidP="00546B55">
      <w:pPr>
        <w:pStyle w:val="Caption"/>
      </w:pPr>
      <w:bookmarkStart w:id="297" w:name="_Ref200809100"/>
      <w:bookmarkStart w:id="298" w:name="_Toc204847377"/>
      <w:r>
        <w:t xml:space="preserve">Figure </w:t>
      </w:r>
      <w:fldSimple w:instr=" STYLEREF 1 \s ">
        <w:r w:rsidR="00F71430">
          <w:rPr>
            <w:noProof/>
          </w:rPr>
          <w:t>5</w:t>
        </w:r>
      </w:fldSimple>
      <w:r w:rsidR="00F71430">
        <w:t>.</w:t>
      </w:r>
      <w:fldSimple w:instr=" SEQ Figure \* ARABIC \s 1 ">
        <w:r w:rsidR="00F71430">
          <w:rPr>
            <w:noProof/>
          </w:rPr>
          <w:t>7</w:t>
        </w:r>
      </w:fldSimple>
      <w:bookmarkEnd w:id="297"/>
      <w:r w:rsidRPr="00510958">
        <w:rPr>
          <w:i/>
          <w:iCs/>
        </w:rPr>
        <w:t xml:space="preserve"> U</w:t>
      </w:r>
      <w:r w:rsidR="00510958" w:rsidRPr="00510958">
        <w:rPr>
          <w:i/>
          <w:iCs/>
        </w:rPr>
        <w:t>cp</w:t>
      </w:r>
      <w:r w:rsidRPr="00510958">
        <w:rPr>
          <w:i/>
          <w:iCs/>
        </w:rPr>
        <w:t>1</w:t>
      </w:r>
      <w:r w:rsidRPr="001B5180">
        <w:t xml:space="preserve"> KO attenuated the enhancement of insulin signaling by rosiglitazone in 3T3-L1 adipocytes.</w:t>
      </w:r>
      <w:bookmarkEnd w:id="298"/>
    </w:p>
    <w:p w14:paraId="3218C8CF" w14:textId="0EF19FAA" w:rsidR="003E0E0B" w:rsidRPr="004170BF" w:rsidRDefault="00C86DB8" w:rsidP="00C86DB8">
      <w:pPr>
        <w:spacing w:line="240" w:lineRule="auto"/>
        <w:jc w:val="left"/>
      </w:pPr>
      <w:r>
        <w:t>The s</w:t>
      </w:r>
      <w:r w:rsidRPr="006005D8">
        <w:t xml:space="preserve">crambled control and </w:t>
      </w:r>
      <w:r w:rsidRPr="00DC493F">
        <w:rPr>
          <w:i/>
          <w:iCs/>
        </w:rPr>
        <w:t>Ucp1</w:t>
      </w:r>
      <w:r w:rsidRPr="006005D8">
        <w:t xml:space="preserve"> KO 3T3-L1 adipocytes were differentiated for 7 days in the presence of ROSI (1 µM), 0.1% DMSO (vehicle</w:t>
      </w:r>
      <w:r>
        <w:t xml:space="preserve"> control</w:t>
      </w:r>
      <w:r w:rsidRPr="006005D8">
        <w:t xml:space="preserve">), or </w:t>
      </w:r>
      <w:r>
        <w:t>without</w:t>
      </w:r>
      <w:r w:rsidRPr="006005D8">
        <w:t xml:space="preserve"> treatment</w:t>
      </w:r>
      <w:r>
        <w:t xml:space="preserve"> (negative control)</w:t>
      </w:r>
      <w:r w:rsidRPr="006005D8">
        <w:t xml:space="preserve">. On day 7, cells were starved overnight in DMEM/high glucose without FBS. Cells were then stimulated with or without insulin </w:t>
      </w:r>
      <w:r>
        <w:t>(</w:t>
      </w:r>
      <w:r w:rsidRPr="006005D8">
        <w:t>50 nM</w:t>
      </w:r>
      <w:r>
        <w:t>)</w:t>
      </w:r>
      <w:r w:rsidRPr="006005D8">
        <w:t xml:space="preserve"> for 20 minutes, and protein lysates were collected for Western blot analysis. (A) Representative western blots showing expression of total AKT, phospho-AKT (s473), and ERK1/2 (loading control). (B) Quantification of total AKT/ERK1/2, (C) p-AKT/ERK1/2, and (D) p-AKT/total AKT presented as fold change relative to basal negative control (-) in </w:t>
      </w:r>
      <w:r>
        <w:t xml:space="preserve">the </w:t>
      </w:r>
      <w:r w:rsidRPr="006005D8">
        <w:t>SCR</w:t>
      </w:r>
      <w:r>
        <w:t xml:space="preserve"> cells</w:t>
      </w:r>
      <w:r w:rsidRPr="006005D8">
        <w:t xml:space="preserve">. Data = mean ± SEM (n = 3). </w:t>
      </w:r>
      <w:r>
        <w:t>Two-way ANOVA was</w:t>
      </w:r>
      <w:r w:rsidRPr="006005D8">
        <w:t xml:space="preserve"> used for statistical analysis. ##, ### indicate p &lt; 0.01</w:t>
      </w:r>
      <w:r>
        <w:t xml:space="preserve"> and</w:t>
      </w:r>
      <w:r w:rsidRPr="006005D8">
        <w:t xml:space="preserve"> p &lt; 0.001 compared to the negative control group (-)</w:t>
      </w:r>
      <w:r>
        <w:t xml:space="preserve">; red </w:t>
      </w:r>
      <w:r w:rsidRPr="006005D8">
        <w:t>* indicates the comparison of ROSI vs. DMSO within genotype and condition</w:t>
      </w:r>
      <w:r>
        <w:t xml:space="preserve">; black </w:t>
      </w:r>
      <w:r w:rsidRPr="006005D8">
        <w:t>* indicates</w:t>
      </w:r>
      <w:r>
        <w:t xml:space="preserve"> the comparison of SCR vs. </w:t>
      </w:r>
      <w:r w:rsidRPr="00DC493F">
        <w:rPr>
          <w:i/>
          <w:iCs/>
        </w:rPr>
        <w:t>Ucp1</w:t>
      </w:r>
      <w:r>
        <w:t xml:space="preserve"> KO.</w:t>
      </w:r>
      <w:r w:rsidRPr="006005D8">
        <w:t xml:space="preserve"> </w:t>
      </w:r>
      <w:r w:rsidRPr="00DC493F">
        <w:t>##</w:t>
      </w:r>
      <w:r w:rsidRPr="00C57331">
        <w:t xml:space="preserve">, </w:t>
      </w:r>
      <w:r w:rsidRPr="00DC493F">
        <w:t>###</w:t>
      </w:r>
      <w:r w:rsidRPr="00ED5A28">
        <w:rPr>
          <w:vertAlign w:val="superscript"/>
        </w:rPr>
        <w:t xml:space="preserve"> </w:t>
      </w:r>
      <w:r w:rsidRPr="00ED5A28">
        <w:t xml:space="preserve">indicate p &lt; 0.01 </w:t>
      </w:r>
      <w:r>
        <w:t xml:space="preserve">and </w:t>
      </w:r>
      <w:r w:rsidRPr="00ED5A28">
        <w:t>p &lt; 0.001.</w:t>
      </w:r>
      <w:r w:rsidRPr="006005D8">
        <w:t>*, **</w:t>
      </w:r>
      <w:r>
        <w:t xml:space="preserve">, </w:t>
      </w:r>
      <w:r w:rsidRPr="006005D8">
        <w:t>*** indicate p &lt; 0.05, p &lt; 0.01</w:t>
      </w:r>
      <w:r>
        <w:t xml:space="preserve">, and </w:t>
      </w:r>
      <w:r w:rsidRPr="006005D8">
        <w:t>p &lt; 0.001</w:t>
      </w:r>
      <w:r>
        <w:t xml:space="preserve">, respectively. </w:t>
      </w:r>
      <w:r w:rsidR="003E0E0B">
        <w:br w:type="page"/>
      </w:r>
    </w:p>
    <w:p w14:paraId="159E07F8" w14:textId="51791087" w:rsidR="003350FF" w:rsidRDefault="004345E7" w:rsidP="00546B55">
      <w:pPr>
        <w:pStyle w:val="Caption"/>
      </w:pPr>
      <w:bookmarkStart w:id="299" w:name="_Toc204698499"/>
      <w:r w:rsidRPr="00DB2C42">
        <w:lastRenderedPageBreak/>
        <w:t xml:space="preserve">Table </w:t>
      </w:r>
      <w:fldSimple w:instr=" SEQ Table \* ARABIC ">
        <w:r w:rsidRPr="00DB2C42">
          <w:rPr>
            <w:noProof/>
          </w:rPr>
          <w:t>1</w:t>
        </w:r>
      </w:fldSimple>
      <w:r w:rsidRPr="00DB2C42">
        <w:t>. Primer sequences for qRT-PCR using SYBR green.</w:t>
      </w:r>
      <w:bookmarkEnd w:id="299"/>
    </w:p>
    <w:tbl>
      <w:tblPr>
        <w:tblStyle w:val="TableGrid"/>
        <w:tblW w:w="5000" w:type="pct"/>
        <w:tblLook w:val="04A0" w:firstRow="1" w:lastRow="0" w:firstColumn="1" w:lastColumn="0" w:noHBand="0" w:noVBand="1"/>
      </w:tblPr>
      <w:tblGrid>
        <w:gridCol w:w="1988"/>
        <w:gridCol w:w="1494"/>
        <w:gridCol w:w="5868"/>
      </w:tblGrid>
      <w:tr w:rsidR="00AE6043" w:rsidRPr="00DB2C42" w14:paraId="343955E9"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0E23DB7D" w14:textId="77777777" w:rsidR="00AE6043" w:rsidRPr="00DB2C42" w:rsidRDefault="00AE6043" w:rsidP="004A0BEC">
            <w:pPr>
              <w:spacing w:line="240" w:lineRule="auto"/>
              <w:rPr>
                <w:i/>
                <w:iCs/>
              </w:rPr>
            </w:pPr>
            <w:r w:rsidRPr="00DB2C42">
              <w:rPr>
                <w:i/>
                <w:iCs/>
              </w:rPr>
              <w:t>36b4</w:t>
            </w:r>
          </w:p>
        </w:tc>
        <w:tc>
          <w:tcPr>
            <w:tcW w:w="799" w:type="pct"/>
            <w:tcBorders>
              <w:top w:val="single" w:sz="4" w:space="0" w:color="auto"/>
              <w:left w:val="single" w:sz="4" w:space="0" w:color="auto"/>
              <w:bottom w:val="single" w:sz="4" w:space="0" w:color="auto"/>
              <w:right w:val="single" w:sz="4" w:space="0" w:color="auto"/>
            </w:tcBorders>
            <w:hideMark/>
          </w:tcPr>
          <w:p w14:paraId="10A7F100"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hideMark/>
          </w:tcPr>
          <w:p w14:paraId="15D55562" w14:textId="77777777" w:rsidR="00AE6043" w:rsidRPr="00DB2C42" w:rsidRDefault="00AE6043" w:rsidP="004A0BEC">
            <w:pPr>
              <w:spacing w:line="240" w:lineRule="auto"/>
            </w:pPr>
            <w:r w:rsidRPr="00DB2C42">
              <w:t>GCTTCGTGTTCACCAAGGAGGA</w:t>
            </w:r>
          </w:p>
        </w:tc>
      </w:tr>
      <w:tr w:rsidR="00AE6043" w:rsidRPr="00DB2C42" w14:paraId="638128D8"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16A1A629" w14:textId="77777777" w:rsidR="00AE6043" w:rsidRPr="00DB2C42" w:rsidRDefault="00AE6043" w:rsidP="004A0BEC">
            <w:pPr>
              <w:spacing w:line="240" w:lineRule="auto"/>
              <w:rPr>
                <w:i/>
                <w:iCs/>
              </w:rPr>
            </w:pPr>
          </w:p>
        </w:tc>
        <w:tc>
          <w:tcPr>
            <w:tcW w:w="799" w:type="pct"/>
            <w:tcBorders>
              <w:top w:val="single" w:sz="4" w:space="0" w:color="auto"/>
              <w:left w:val="single" w:sz="4" w:space="0" w:color="auto"/>
              <w:bottom w:val="single" w:sz="4" w:space="0" w:color="auto"/>
              <w:right w:val="single" w:sz="4" w:space="0" w:color="auto"/>
            </w:tcBorders>
            <w:hideMark/>
          </w:tcPr>
          <w:p w14:paraId="5270368E"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hideMark/>
          </w:tcPr>
          <w:p w14:paraId="35E9C040" w14:textId="77777777" w:rsidR="00AE6043" w:rsidRPr="00DB2C42" w:rsidRDefault="00AE6043" w:rsidP="004A0BEC">
            <w:pPr>
              <w:spacing w:line="240" w:lineRule="auto"/>
            </w:pPr>
            <w:r w:rsidRPr="00DB2C42">
              <w:t>GTCCTAGACCAGTGTTCTGAGC</w:t>
            </w:r>
          </w:p>
        </w:tc>
      </w:tr>
      <w:tr w:rsidR="00AE6043" w:rsidRPr="00DB2C42" w14:paraId="54D3F8C1"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6D08DF40" w14:textId="77777777" w:rsidR="00AE6043" w:rsidRPr="00DB2C42" w:rsidRDefault="00AE6043" w:rsidP="004A0BEC">
            <w:pPr>
              <w:spacing w:line="240" w:lineRule="auto"/>
              <w:rPr>
                <w:i/>
                <w:iCs/>
              </w:rPr>
            </w:pPr>
            <w:r w:rsidRPr="00DB2C42">
              <w:rPr>
                <w:i/>
                <w:iCs/>
              </w:rPr>
              <w:t>Pgc1</w:t>
            </w:r>
            <w:r w:rsidRPr="00DB2C42">
              <w:rPr>
                <w:i/>
                <w:iCs/>
              </w:rPr>
              <w:sym w:font="Symbol" w:char="F061"/>
            </w:r>
          </w:p>
        </w:tc>
        <w:tc>
          <w:tcPr>
            <w:tcW w:w="799" w:type="pct"/>
            <w:tcBorders>
              <w:top w:val="single" w:sz="4" w:space="0" w:color="auto"/>
              <w:left w:val="single" w:sz="4" w:space="0" w:color="auto"/>
              <w:bottom w:val="single" w:sz="4" w:space="0" w:color="auto"/>
              <w:right w:val="single" w:sz="4" w:space="0" w:color="auto"/>
            </w:tcBorders>
            <w:hideMark/>
          </w:tcPr>
          <w:p w14:paraId="086992F7"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hideMark/>
          </w:tcPr>
          <w:p w14:paraId="5537B2D2" w14:textId="77777777" w:rsidR="00AE6043" w:rsidRPr="00DB2C42" w:rsidRDefault="00AE6043" w:rsidP="004A0BEC">
            <w:pPr>
              <w:spacing w:line="240" w:lineRule="auto"/>
            </w:pPr>
            <w:r w:rsidRPr="00DB2C42">
              <w:t>GAATCAAGCCACTACAGACACCG</w:t>
            </w:r>
          </w:p>
        </w:tc>
      </w:tr>
      <w:tr w:rsidR="00AE6043" w:rsidRPr="00DB2C42" w14:paraId="2E309109"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62FAF57A" w14:textId="77777777" w:rsidR="00AE6043" w:rsidRPr="00DB2C42" w:rsidRDefault="00AE6043" w:rsidP="004A0BEC">
            <w:pPr>
              <w:spacing w:line="240" w:lineRule="auto"/>
              <w:rPr>
                <w:i/>
                <w:iCs/>
              </w:rPr>
            </w:pPr>
          </w:p>
        </w:tc>
        <w:tc>
          <w:tcPr>
            <w:tcW w:w="799" w:type="pct"/>
            <w:tcBorders>
              <w:top w:val="single" w:sz="4" w:space="0" w:color="auto"/>
              <w:left w:val="single" w:sz="4" w:space="0" w:color="auto"/>
              <w:bottom w:val="single" w:sz="4" w:space="0" w:color="auto"/>
              <w:right w:val="single" w:sz="4" w:space="0" w:color="auto"/>
            </w:tcBorders>
            <w:hideMark/>
          </w:tcPr>
          <w:p w14:paraId="50A842B4"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hideMark/>
          </w:tcPr>
          <w:p w14:paraId="6213D71E" w14:textId="77777777" w:rsidR="00AE6043" w:rsidRPr="00DB2C42" w:rsidRDefault="00AE6043" w:rsidP="004A0BEC">
            <w:pPr>
              <w:spacing w:line="240" w:lineRule="auto"/>
            </w:pPr>
            <w:r w:rsidRPr="00DB2C42">
              <w:t>CATCCCTCTTGAGCCTTTCGTG</w:t>
            </w:r>
          </w:p>
        </w:tc>
      </w:tr>
      <w:tr w:rsidR="00AE6043" w:rsidRPr="00DB2C42" w14:paraId="023CC848"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1838D8C5" w14:textId="77777777" w:rsidR="00AE6043" w:rsidRPr="00DB2C42" w:rsidRDefault="00AE6043" w:rsidP="004A0BEC">
            <w:pPr>
              <w:spacing w:line="240" w:lineRule="auto"/>
              <w:rPr>
                <w:i/>
                <w:iCs/>
              </w:rPr>
            </w:pPr>
            <w:r w:rsidRPr="00DB2C42">
              <w:rPr>
                <w:i/>
                <w:iCs/>
              </w:rPr>
              <w:t>Ppar</w:t>
            </w:r>
            <w:r w:rsidRPr="00DB2C42">
              <w:rPr>
                <w:i/>
                <w:iCs/>
              </w:rPr>
              <w:sym w:font="Symbol" w:char="F067"/>
            </w:r>
          </w:p>
        </w:tc>
        <w:tc>
          <w:tcPr>
            <w:tcW w:w="799" w:type="pct"/>
            <w:tcBorders>
              <w:top w:val="single" w:sz="4" w:space="0" w:color="auto"/>
              <w:left w:val="single" w:sz="4" w:space="0" w:color="auto"/>
              <w:bottom w:val="single" w:sz="4" w:space="0" w:color="auto"/>
              <w:right w:val="single" w:sz="4" w:space="0" w:color="auto"/>
            </w:tcBorders>
            <w:hideMark/>
          </w:tcPr>
          <w:p w14:paraId="57E0B084"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hideMark/>
          </w:tcPr>
          <w:p w14:paraId="61E0A592" w14:textId="77777777" w:rsidR="00AE6043" w:rsidRPr="00DB2C42" w:rsidRDefault="00AE6043" w:rsidP="004A0BEC">
            <w:pPr>
              <w:spacing w:line="240" w:lineRule="auto"/>
            </w:pPr>
            <w:r w:rsidRPr="00DB2C42">
              <w:t>GTACTGTCGGTTTCAGAAGTGCC</w:t>
            </w:r>
          </w:p>
        </w:tc>
      </w:tr>
      <w:tr w:rsidR="00AE6043" w:rsidRPr="00DB2C42" w14:paraId="35385968"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70DC1765" w14:textId="77777777" w:rsidR="00AE6043" w:rsidRPr="00DB2C42" w:rsidRDefault="00AE6043" w:rsidP="004A0BEC">
            <w:pPr>
              <w:spacing w:line="240" w:lineRule="auto"/>
              <w:rPr>
                <w:i/>
                <w:iCs/>
              </w:rPr>
            </w:pPr>
          </w:p>
        </w:tc>
        <w:tc>
          <w:tcPr>
            <w:tcW w:w="799" w:type="pct"/>
            <w:tcBorders>
              <w:top w:val="single" w:sz="4" w:space="0" w:color="auto"/>
              <w:left w:val="single" w:sz="4" w:space="0" w:color="auto"/>
              <w:bottom w:val="single" w:sz="4" w:space="0" w:color="auto"/>
              <w:right w:val="single" w:sz="4" w:space="0" w:color="auto"/>
            </w:tcBorders>
            <w:hideMark/>
          </w:tcPr>
          <w:p w14:paraId="467A6219"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hideMark/>
          </w:tcPr>
          <w:p w14:paraId="601232EB" w14:textId="77777777" w:rsidR="00AE6043" w:rsidRPr="00DB2C42" w:rsidRDefault="00AE6043" w:rsidP="004A0BEC">
            <w:pPr>
              <w:spacing w:line="240" w:lineRule="auto"/>
            </w:pPr>
            <w:r w:rsidRPr="00DB2C42">
              <w:t>ATCTCCGCCAACAGCTTCTCCT</w:t>
            </w:r>
          </w:p>
        </w:tc>
      </w:tr>
      <w:tr w:rsidR="00AE6043" w:rsidRPr="00DB2C42" w14:paraId="34026991"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4DCAC42C" w14:textId="77777777" w:rsidR="00AE6043" w:rsidRPr="00DB2C42" w:rsidRDefault="00AE6043" w:rsidP="004A0BEC">
            <w:pPr>
              <w:spacing w:line="240" w:lineRule="auto"/>
              <w:rPr>
                <w:i/>
                <w:iCs/>
              </w:rPr>
            </w:pPr>
            <w:r w:rsidRPr="00DB2C42">
              <w:rPr>
                <w:i/>
                <w:iCs/>
              </w:rPr>
              <w:t>Ucp1</w:t>
            </w:r>
          </w:p>
        </w:tc>
        <w:tc>
          <w:tcPr>
            <w:tcW w:w="799" w:type="pct"/>
            <w:tcBorders>
              <w:top w:val="single" w:sz="4" w:space="0" w:color="auto"/>
              <w:left w:val="single" w:sz="4" w:space="0" w:color="auto"/>
              <w:bottom w:val="single" w:sz="4" w:space="0" w:color="auto"/>
              <w:right w:val="single" w:sz="4" w:space="0" w:color="auto"/>
            </w:tcBorders>
            <w:hideMark/>
          </w:tcPr>
          <w:p w14:paraId="76D49A35"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hideMark/>
          </w:tcPr>
          <w:p w14:paraId="552CD55E" w14:textId="77777777" w:rsidR="00AE6043" w:rsidRPr="00DB2C42" w:rsidRDefault="00AE6043" w:rsidP="004A0BEC">
            <w:pPr>
              <w:spacing w:line="240" w:lineRule="auto"/>
            </w:pPr>
            <w:r w:rsidRPr="00DB2C42">
              <w:t>GCTTTGCCTCACTCAGGATTGG</w:t>
            </w:r>
          </w:p>
        </w:tc>
      </w:tr>
      <w:tr w:rsidR="00AE6043" w:rsidRPr="00DB2C42" w14:paraId="59022947"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5B98A129" w14:textId="77777777" w:rsidR="00AE6043" w:rsidRPr="00DB2C42" w:rsidRDefault="00AE6043" w:rsidP="004A0BEC">
            <w:pPr>
              <w:spacing w:line="240" w:lineRule="auto"/>
              <w:rPr>
                <w:i/>
                <w:iCs/>
              </w:rPr>
            </w:pPr>
          </w:p>
        </w:tc>
        <w:tc>
          <w:tcPr>
            <w:tcW w:w="799" w:type="pct"/>
            <w:tcBorders>
              <w:top w:val="single" w:sz="4" w:space="0" w:color="auto"/>
              <w:left w:val="single" w:sz="4" w:space="0" w:color="auto"/>
              <w:bottom w:val="single" w:sz="4" w:space="0" w:color="auto"/>
              <w:right w:val="single" w:sz="4" w:space="0" w:color="auto"/>
            </w:tcBorders>
            <w:hideMark/>
          </w:tcPr>
          <w:p w14:paraId="096B98A9"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hideMark/>
          </w:tcPr>
          <w:p w14:paraId="7FCC3B0C" w14:textId="77777777" w:rsidR="00AE6043" w:rsidRPr="00DB2C42" w:rsidRDefault="00AE6043" w:rsidP="004A0BEC">
            <w:pPr>
              <w:spacing w:line="240" w:lineRule="auto"/>
            </w:pPr>
            <w:r w:rsidRPr="00DB2C42">
              <w:t>CCAATGAACACTGCCACACCTC</w:t>
            </w:r>
          </w:p>
        </w:tc>
      </w:tr>
      <w:tr w:rsidR="007C410A" w:rsidRPr="00DB2C42" w14:paraId="36AFDE45" w14:textId="77777777" w:rsidTr="00B64570">
        <w:tc>
          <w:tcPr>
            <w:tcW w:w="0" w:type="auto"/>
            <w:vMerge w:val="restart"/>
            <w:tcBorders>
              <w:top w:val="single" w:sz="4" w:space="0" w:color="auto"/>
              <w:left w:val="single" w:sz="4" w:space="0" w:color="auto"/>
              <w:right w:val="single" w:sz="4" w:space="0" w:color="auto"/>
            </w:tcBorders>
            <w:vAlign w:val="center"/>
          </w:tcPr>
          <w:p w14:paraId="70340E91" w14:textId="0BCF88DD" w:rsidR="007C410A" w:rsidRPr="00DB2C42" w:rsidRDefault="007C410A" w:rsidP="004A0BEC">
            <w:pPr>
              <w:spacing w:line="240" w:lineRule="auto"/>
              <w:rPr>
                <w:i/>
                <w:iCs/>
              </w:rPr>
            </w:pPr>
            <w:r w:rsidRPr="00DB2C42">
              <w:rPr>
                <w:i/>
                <w:iCs/>
              </w:rPr>
              <w:t>Ucp1</w:t>
            </w:r>
            <w:r>
              <w:rPr>
                <w:i/>
                <w:iCs/>
              </w:rPr>
              <w:t xml:space="preserve"> </w:t>
            </w:r>
            <w:r w:rsidRPr="00312C85">
              <w:t xml:space="preserve">(Chapter </w:t>
            </w:r>
            <w:r w:rsidR="00FE74EC" w:rsidRPr="00312C85">
              <w:t>V)</w:t>
            </w:r>
          </w:p>
        </w:tc>
        <w:tc>
          <w:tcPr>
            <w:tcW w:w="799" w:type="pct"/>
            <w:tcBorders>
              <w:top w:val="single" w:sz="4" w:space="0" w:color="auto"/>
              <w:left w:val="single" w:sz="4" w:space="0" w:color="auto"/>
              <w:bottom w:val="single" w:sz="4" w:space="0" w:color="auto"/>
              <w:right w:val="single" w:sz="4" w:space="0" w:color="auto"/>
            </w:tcBorders>
          </w:tcPr>
          <w:p w14:paraId="181FB84E" w14:textId="1F082D1D" w:rsidR="007C410A" w:rsidRPr="00DB2C42" w:rsidRDefault="00FE74EC"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tcPr>
          <w:p w14:paraId="13EE43E8" w14:textId="3421E361" w:rsidR="007C410A" w:rsidRPr="00DB2C42" w:rsidRDefault="007F7B85" w:rsidP="004A0BEC">
            <w:pPr>
              <w:spacing w:line="240" w:lineRule="auto"/>
            </w:pPr>
            <w:r w:rsidRPr="007F7B85">
              <w:t>TTTCAGCTTGCCTGGCAGAT</w:t>
            </w:r>
          </w:p>
        </w:tc>
      </w:tr>
      <w:tr w:rsidR="007C410A" w:rsidRPr="00DB2C42" w14:paraId="475A4E76" w14:textId="77777777" w:rsidTr="00B64570">
        <w:tc>
          <w:tcPr>
            <w:tcW w:w="0" w:type="auto"/>
            <w:vMerge/>
            <w:tcBorders>
              <w:left w:val="single" w:sz="4" w:space="0" w:color="auto"/>
              <w:bottom w:val="single" w:sz="4" w:space="0" w:color="auto"/>
              <w:right w:val="single" w:sz="4" w:space="0" w:color="auto"/>
            </w:tcBorders>
            <w:vAlign w:val="center"/>
          </w:tcPr>
          <w:p w14:paraId="13EEBF62" w14:textId="77777777" w:rsidR="007C410A" w:rsidRPr="00DB2C42" w:rsidRDefault="007C410A" w:rsidP="004A0BEC">
            <w:pPr>
              <w:spacing w:line="240" w:lineRule="auto"/>
              <w:rPr>
                <w:i/>
                <w:iCs/>
              </w:rPr>
            </w:pPr>
          </w:p>
        </w:tc>
        <w:tc>
          <w:tcPr>
            <w:tcW w:w="799" w:type="pct"/>
            <w:tcBorders>
              <w:top w:val="single" w:sz="4" w:space="0" w:color="auto"/>
              <w:left w:val="single" w:sz="4" w:space="0" w:color="auto"/>
              <w:bottom w:val="single" w:sz="4" w:space="0" w:color="auto"/>
              <w:right w:val="single" w:sz="4" w:space="0" w:color="auto"/>
            </w:tcBorders>
          </w:tcPr>
          <w:p w14:paraId="4930BC90" w14:textId="790B987B" w:rsidR="007C410A" w:rsidRPr="00DB2C42" w:rsidRDefault="00FE74EC"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tcPr>
          <w:p w14:paraId="6DBEAF5C" w14:textId="6DD8B525" w:rsidR="007C410A" w:rsidRPr="00DB2C42" w:rsidRDefault="007F7B85" w:rsidP="004A0BEC">
            <w:pPr>
              <w:spacing w:line="240" w:lineRule="auto"/>
            </w:pPr>
            <w:r w:rsidRPr="007F7B85">
              <w:t>AGACCGCTGTACAGTTTCGG</w:t>
            </w:r>
          </w:p>
        </w:tc>
      </w:tr>
      <w:tr w:rsidR="00AE6043" w:rsidRPr="00DB2C42" w14:paraId="1D1CE96E"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42F6749D" w14:textId="77777777" w:rsidR="00AE6043" w:rsidRPr="00DB2C42" w:rsidRDefault="00AE6043" w:rsidP="004A0BEC">
            <w:pPr>
              <w:spacing w:line="240" w:lineRule="auto"/>
              <w:rPr>
                <w:i/>
                <w:iCs/>
              </w:rPr>
            </w:pPr>
            <w:r w:rsidRPr="00DB2C42">
              <w:rPr>
                <w:i/>
                <w:iCs/>
              </w:rPr>
              <w:t>Adipoq</w:t>
            </w:r>
          </w:p>
        </w:tc>
        <w:tc>
          <w:tcPr>
            <w:tcW w:w="799" w:type="pct"/>
            <w:tcBorders>
              <w:top w:val="single" w:sz="4" w:space="0" w:color="auto"/>
              <w:left w:val="single" w:sz="4" w:space="0" w:color="auto"/>
              <w:bottom w:val="single" w:sz="4" w:space="0" w:color="auto"/>
              <w:right w:val="single" w:sz="4" w:space="0" w:color="auto"/>
            </w:tcBorders>
            <w:hideMark/>
          </w:tcPr>
          <w:p w14:paraId="03E4937D"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tcPr>
          <w:p w14:paraId="72FADDD3" w14:textId="5811EDC2" w:rsidR="00AE6043" w:rsidRPr="00DB2C42" w:rsidRDefault="009327C4" w:rsidP="004A0BEC">
            <w:pPr>
              <w:spacing w:line="240" w:lineRule="auto"/>
            </w:pPr>
            <w:r>
              <w:t>AGATGGCACTCCTGGAGAGAAG</w:t>
            </w:r>
          </w:p>
        </w:tc>
      </w:tr>
      <w:tr w:rsidR="00AE6043" w:rsidRPr="00DB2C42" w14:paraId="024E1FFC"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7933EB83" w14:textId="77777777" w:rsidR="00AE6043" w:rsidRPr="00DB2C42" w:rsidRDefault="00AE6043" w:rsidP="004A0BEC">
            <w:pPr>
              <w:spacing w:line="240" w:lineRule="auto"/>
              <w:rPr>
                <w:i/>
                <w:iCs/>
              </w:rPr>
            </w:pPr>
          </w:p>
        </w:tc>
        <w:tc>
          <w:tcPr>
            <w:tcW w:w="799" w:type="pct"/>
            <w:tcBorders>
              <w:top w:val="single" w:sz="4" w:space="0" w:color="auto"/>
              <w:left w:val="single" w:sz="4" w:space="0" w:color="auto"/>
              <w:bottom w:val="single" w:sz="4" w:space="0" w:color="auto"/>
              <w:right w:val="single" w:sz="4" w:space="0" w:color="auto"/>
            </w:tcBorders>
            <w:hideMark/>
          </w:tcPr>
          <w:p w14:paraId="57DEF687"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tcPr>
          <w:p w14:paraId="1FA46F4A" w14:textId="07FCB023" w:rsidR="00AE6043" w:rsidRPr="00DB2C42" w:rsidRDefault="009327C4" w:rsidP="004A0BEC">
            <w:pPr>
              <w:keepNext/>
              <w:spacing w:line="240" w:lineRule="auto"/>
            </w:pPr>
            <w:r>
              <w:t>ACATAAGCGGCTTCTCCAGGCT</w:t>
            </w:r>
          </w:p>
        </w:tc>
      </w:tr>
    </w:tbl>
    <w:p w14:paraId="181B0049" w14:textId="77777777" w:rsidR="00AE6043" w:rsidRDefault="00AE6043" w:rsidP="00AE6043">
      <w:pPr>
        <w:spacing w:line="240" w:lineRule="auto"/>
      </w:pPr>
      <w:r w:rsidRPr="00DB2C42">
        <w:br w:type="page"/>
      </w:r>
    </w:p>
    <w:p w14:paraId="2B8D5F85" w14:textId="28E861F0" w:rsidR="004345E7" w:rsidRPr="00DB2C42" w:rsidRDefault="004345E7" w:rsidP="00546B55">
      <w:pPr>
        <w:pStyle w:val="Caption"/>
      </w:pPr>
      <w:bookmarkStart w:id="300" w:name="_Ref203552830"/>
      <w:bookmarkStart w:id="301" w:name="_Ref203552771"/>
      <w:bookmarkStart w:id="302" w:name="_Ref203552825"/>
      <w:bookmarkStart w:id="303" w:name="_Toc204698500"/>
      <w:r w:rsidRPr="00DB2C42">
        <w:lastRenderedPageBreak/>
        <w:t xml:space="preserve">Table </w:t>
      </w:r>
      <w:fldSimple w:instr=" SEQ Table \* ARABIC ">
        <w:r w:rsidRPr="00DB2C42">
          <w:rPr>
            <w:noProof/>
          </w:rPr>
          <w:t>2</w:t>
        </w:r>
      </w:fldSimple>
      <w:bookmarkEnd w:id="300"/>
      <w:r w:rsidRPr="00DB2C42">
        <w:t xml:space="preserve">. Primer sequences for </w:t>
      </w:r>
      <w:r w:rsidR="00D94923">
        <w:t>S</w:t>
      </w:r>
      <w:r w:rsidRPr="00DB2C42">
        <w:t>anger sequencing</w:t>
      </w:r>
      <w:r>
        <w:t>, Ucp1 deletion verification, and genomic DNA quality.</w:t>
      </w:r>
      <w:bookmarkEnd w:id="301"/>
      <w:bookmarkEnd w:id="302"/>
      <w:bookmarkEnd w:id="303"/>
    </w:p>
    <w:tbl>
      <w:tblPr>
        <w:tblStyle w:val="TableGrid"/>
        <w:tblW w:w="5000" w:type="pct"/>
        <w:tblLook w:val="04A0" w:firstRow="1" w:lastRow="0" w:firstColumn="1" w:lastColumn="0" w:noHBand="0" w:noVBand="1"/>
      </w:tblPr>
      <w:tblGrid>
        <w:gridCol w:w="1988"/>
        <w:gridCol w:w="1494"/>
        <w:gridCol w:w="5868"/>
      </w:tblGrid>
      <w:tr w:rsidR="00AE6043" w:rsidRPr="00DB2C42" w14:paraId="4468640C" w14:textId="77777777" w:rsidTr="004A0BEC">
        <w:tc>
          <w:tcPr>
            <w:tcW w:w="1063" w:type="pct"/>
            <w:tcBorders>
              <w:top w:val="single" w:sz="4" w:space="0" w:color="auto"/>
              <w:left w:val="single" w:sz="4" w:space="0" w:color="auto"/>
              <w:bottom w:val="single" w:sz="4" w:space="0" w:color="auto"/>
              <w:right w:val="single" w:sz="4" w:space="0" w:color="auto"/>
            </w:tcBorders>
            <w:hideMark/>
          </w:tcPr>
          <w:p w14:paraId="5EE6BC7C" w14:textId="77777777" w:rsidR="00AE6043" w:rsidRPr="00DB2C42" w:rsidRDefault="00AE6043" w:rsidP="004A0BEC">
            <w:pPr>
              <w:spacing w:line="240" w:lineRule="auto"/>
              <w:rPr>
                <w:b/>
                <w:bCs/>
              </w:rPr>
            </w:pPr>
            <w:r w:rsidRPr="00DB2C42">
              <w:rPr>
                <w:b/>
                <w:bCs/>
              </w:rPr>
              <w:t>Gene name</w:t>
            </w:r>
          </w:p>
        </w:tc>
        <w:tc>
          <w:tcPr>
            <w:tcW w:w="3937" w:type="pct"/>
            <w:gridSpan w:val="2"/>
            <w:tcBorders>
              <w:top w:val="single" w:sz="4" w:space="0" w:color="auto"/>
              <w:left w:val="single" w:sz="4" w:space="0" w:color="auto"/>
              <w:bottom w:val="single" w:sz="4" w:space="0" w:color="auto"/>
              <w:right w:val="single" w:sz="4" w:space="0" w:color="auto"/>
            </w:tcBorders>
            <w:hideMark/>
          </w:tcPr>
          <w:p w14:paraId="54D9D90B" w14:textId="77777777" w:rsidR="00AE6043" w:rsidRPr="00DB2C42" w:rsidRDefault="00AE6043" w:rsidP="004A0BEC">
            <w:pPr>
              <w:spacing w:line="240" w:lineRule="auto"/>
              <w:rPr>
                <w:b/>
                <w:bCs/>
              </w:rPr>
            </w:pPr>
            <w:r w:rsidRPr="00DB2C42">
              <w:rPr>
                <w:b/>
                <w:bCs/>
              </w:rPr>
              <w:t>Primer sequences</w:t>
            </w:r>
          </w:p>
        </w:tc>
      </w:tr>
      <w:tr w:rsidR="00AE6043" w:rsidRPr="00DB2C42" w14:paraId="4AEE7364"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73D2ED28" w14:textId="77777777" w:rsidR="00AE6043" w:rsidRPr="00DB2C42" w:rsidRDefault="00AE6043" w:rsidP="004A0BEC">
            <w:pPr>
              <w:spacing w:line="240" w:lineRule="auto"/>
            </w:pPr>
            <w:r w:rsidRPr="00DB2C42">
              <w:t>Ucp1</w:t>
            </w:r>
          </w:p>
        </w:tc>
        <w:tc>
          <w:tcPr>
            <w:tcW w:w="799" w:type="pct"/>
            <w:tcBorders>
              <w:top w:val="single" w:sz="4" w:space="0" w:color="auto"/>
              <w:left w:val="single" w:sz="4" w:space="0" w:color="auto"/>
              <w:bottom w:val="single" w:sz="4" w:space="0" w:color="auto"/>
              <w:right w:val="single" w:sz="4" w:space="0" w:color="auto"/>
            </w:tcBorders>
            <w:hideMark/>
          </w:tcPr>
          <w:p w14:paraId="7DE11EB3"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hideMark/>
          </w:tcPr>
          <w:p w14:paraId="4063ACF1" w14:textId="77777777" w:rsidR="00AE6043" w:rsidRPr="00DB2C42" w:rsidRDefault="00AE6043" w:rsidP="004A0BEC">
            <w:pPr>
              <w:spacing w:line="240" w:lineRule="auto"/>
            </w:pPr>
            <w:r w:rsidRPr="00DB2C42">
              <w:t>ATCAGAGGTGATGTGGCCAG</w:t>
            </w:r>
          </w:p>
        </w:tc>
      </w:tr>
      <w:tr w:rsidR="00AE6043" w:rsidRPr="00DB2C42" w14:paraId="3BEDBF57"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38CD9500" w14:textId="77777777" w:rsidR="00AE6043" w:rsidRPr="00DB2C42" w:rsidRDefault="00AE6043" w:rsidP="004A0BEC">
            <w:pPr>
              <w:spacing w:line="240" w:lineRule="auto"/>
            </w:pPr>
          </w:p>
        </w:tc>
        <w:tc>
          <w:tcPr>
            <w:tcW w:w="799" w:type="pct"/>
            <w:tcBorders>
              <w:top w:val="single" w:sz="4" w:space="0" w:color="auto"/>
              <w:left w:val="single" w:sz="4" w:space="0" w:color="auto"/>
              <w:bottom w:val="single" w:sz="4" w:space="0" w:color="auto"/>
              <w:right w:val="single" w:sz="4" w:space="0" w:color="auto"/>
            </w:tcBorders>
            <w:hideMark/>
          </w:tcPr>
          <w:p w14:paraId="41D9FA64"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hideMark/>
          </w:tcPr>
          <w:p w14:paraId="62679C8D" w14:textId="77777777" w:rsidR="00AE6043" w:rsidRPr="00DB2C42" w:rsidRDefault="00AE6043" w:rsidP="004A0BEC">
            <w:pPr>
              <w:spacing w:line="240" w:lineRule="auto"/>
            </w:pPr>
            <w:r w:rsidRPr="00DB2C42">
              <w:t>ATCTGCCAGGCAAGCTGAAA</w:t>
            </w:r>
          </w:p>
        </w:tc>
      </w:tr>
      <w:tr w:rsidR="00AE6043" w:rsidRPr="00DB2C42" w14:paraId="7921B650" w14:textId="77777777" w:rsidTr="004A0BEC">
        <w:tc>
          <w:tcPr>
            <w:tcW w:w="1063" w:type="pct"/>
            <w:vMerge w:val="restart"/>
            <w:tcBorders>
              <w:top w:val="single" w:sz="4" w:space="0" w:color="auto"/>
              <w:left w:val="single" w:sz="4" w:space="0" w:color="auto"/>
              <w:bottom w:val="single" w:sz="4" w:space="0" w:color="auto"/>
              <w:right w:val="single" w:sz="4" w:space="0" w:color="auto"/>
            </w:tcBorders>
            <w:hideMark/>
          </w:tcPr>
          <w:p w14:paraId="2AD23896" w14:textId="77777777" w:rsidR="00AE6043" w:rsidRPr="00DB2C42" w:rsidRDefault="00AE6043" w:rsidP="004A0BEC">
            <w:pPr>
              <w:spacing w:line="240" w:lineRule="auto"/>
            </w:pPr>
            <w:r w:rsidRPr="00DB2C42">
              <w:t>sEH</w:t>
            </w:r>
          </w:p>
        </w:tc>
        <w:tc>
          <w:tcPr>
            <w:tcW w:w="799" w:type="pct"/>
            <w:tcBorders>
              <w:top w:val="single" w:sz="4" w:space="0" w:color="auto"/>
              <w:left w:val="single" w:sz="4" w:space="0" w:color="auto"/>
              <w:bottom w:val="single" w:sz="4" w:space="0" w:color="auto"/>
              <w:right w:val="single" w:sz="4" w:space="0" w:color="auto"/>
            </w:tcBorders>
            <w:hideMark/>
          </w:tcPr>
          <w:p w14:paraId="5DD18D02" w14:textId="77777777" w:rsidR="00AE6043" w:rsidRPr="00DB2C42" w:rsidRDefault="00AE6043" w:rsidP="004A0BEC">
            <w:pPr>
              <w:spacing w:line="240" w:lineRule="auto"/>
            </w:pPr>
            <w:r w:rsidRPr="00DB2C42">
              <w:t>Forward</w:t>
            </w:r>
          </w:p>
        </w:tc>
        <w:tc>
          <w:tcPr>
            <w:tcW w:w="3138" w:type="pct"/>
            <w:tcBorders>
              <w:top w:val="single" w:sz="4" w:space="0" w:color="auto"/>
              <w:left w:val="single" w:sz="4" w:space="0" w:color="auto"/>
              <w:bottom w:val="single" w:sz="4" w:space="0" w:color="auto"/>
              <w:right w:val="single" w:sz="4" w:space="0" w:color="auto"/>
            </w:tcBorders>
            <w:hideMark/>
          </w:tcPr>
          <w:p w14:paraId="4B1B809C" w14:textId="77777777" w:rsidR="00AE6043" w:rsidRPr="00DB2C42" w:rsidRDefault="00AE6043" w:rsidP="004A0BEC">
            <w:pPr>
              <w:spacing w:line="240" w:lineRule="auto"/>
            </w:pPr>
            <w:r w:rsidRPr="00DB2C42">
              <w:t>TGGCACGACCCTAATCTTAGGTTC</w:t>
            </w:r>
          </w:p>
        </w:tc>
      </w:tr>
      <w:tr w:rsidR="00AE6043" w:rsidRPr="00DB2C42" w14:paraId="5A25FFEA" w14:textId="77777777" w:rsidTr="004A0BEC">
        <w:tc>
          <w:tcPr>
            <w:tcW w:w="0" w:type="auto"/>
            <w:vMerge/>
            <w:tcBorders>
              <w:top w:val="single" w:sz="4" w:space="0" w:color="auto"/>
              <w:left w:val="single" w:sz="4" w:space="0" w:color="auto"/>
              <w:bottom w:val="single" w:sz="4" w:space="0" w:color="auto"/>
              <w:right w:val="single" w:sz="4" w:space="0" w:color="auto"/>
            </w:tcBorders>
            <w:vAlign w:val="center"/>
            <w:hideMark/>
          </w:tcPr>
          <w:p w14:paraId="1D5C0C82" w14:textId="77777777" w:rsidR="00AE6043" w:rsidRPr="00DB2C42" w:rsidRDefault="00AE6043" w:rsidP="004A0BEC">
            <w:pPr>
              <w:spacing w:line="240" w:lineRule="auto"/>
            </w:pPr>
          </w:p>
        </w:tc>
        <w:tc>
          <w:tcPr>
            <w:tcW w:w="799" w:type="pct"/>
            <w:tcBorders>
              <w:top w:val="single" w:sz="4" w:space="0" w:color="auto"/>
              <w:left w:val="single" w:sz="4" w:space="0" w:color="auto"/>
              <w:bottom w:val="single" w:sz="4" w:space="0" w:color="auto"/>
              <w:right w:val="single" w:sz="4" w:space="0" w:color="auto"/>
            </w:tcBorders>
            <w:hideMark/>
          </w:tcPr>
          <w:p w14:paraId="6F588B00" w14:textId="77777777" w:rsidR="00AE6043" w:rsidRPr="00DB2C42" w:rsidRDefault="00AE6043" w:rsidP="004A0BEC">
            <w:pPr>
              <w:spacing w:line="240" w:lineRule="auto"/>
            </w:pPr>
            <w:r w:rsidRPr="00DB2C42">
              <w:t>Reverse</w:t>
            </w:r>
          </w:p>
        </w:tc>
        <w:tc>
          <w:tcPr>
            <w:tcW w:w="3138" w:type="pct"/>
            <w:tcBorders>
              <w:top w:val="single" w:sz="4" w:space="0" w:color="auto"/>
              <w:left w:val="single" w:sz="4" w:space="0" w:color="auto"/>
              <w:bottom w:val="single" w:sz="4" w:space="0" w:color="auto"/>
              <w:right w:val="single" w:sz="4" w:space="0" w:color="auto"/>
            </w:tcBorders>
            <w:hideMark/>
          </w:tcPr>
          <w:p w14:paraId="32D96C8C" w14:textId="77777777" w:rsidR="00AE6043" w:rsidRPr="00DB2C42" w:rsidRDefault="00AE6043" w:rsidP="004A0BEC">
            <w:pPr>
              <w:keepNext/>
              <w:spacing w:line="240" w:lineRule="auto"/>
            </w:pPr>
            <w:r w:rsidRPr="00DB2C42">
              <w:t>TGCACGCTGGCATTTTAACACCAG</w:t>
            </w:r>
          </w:p>
        </w:tc>
      </w:tr>
    </w:tbl>
    <w:p w14:paraId="1ABA39C1" w14:textId="33D8ED3B" w:rsidR="00AE6043" w:rsidRPr="00DB2C42" w:rsidRDefault="00AE6043" w:rsidP="0085704D">
      <w:pPr>
        <w:spacing w:line="240" w:lineRule="auto"/>
      </w:pPr>
      <w:r w:rsidRPr="00DB2C42">
        <w:br w:type="page"/>
      </w:r>
    </w:p>
    <w:p w14:paraId="7546630C" w14:textId="17AAA670" w:rsidR="00AE6043" w:rsidRPr="00DB2C42" w:rsidRDefault="00AE6043" w:rsidP="00F37087">
      <w:pPr>
        <w:pStyle w:val="Heading1"/>
      </w:pPr>
      <w:bookmarkStart w:id="304" w:name="_Toc200810464"/>
      <w:bookmarkStart w:id="305" w:name="_Toc204848702"/>
      <w:r w:rsidRPr="00DB2C42">
        <w:lastRenderedPageBreak/>
        <w:t>CH</w:t>
      </w:r>
      <w:r w:rsidR="004D26E3" w:rsidRPr="00DB2C42">
        <w:t>APTER</w:t>
      </w:r>
      <w:r w:rsidRPr="00DB2C42">
        <w:t xml:space="preserve"> VI CONCLUSION</w:t>
      </w:r>
      <w:bookmarkEnd w:id="304"/>
      <w:r w:rsidR="00F57521">
        <w:t xml:space="preserve"> AND FUTURE DIRECTIONS</w:t>
      </w:r>
      <w:bookmarkEnd w:id="305"/>
    </w:p>
    <w:p w14:paraId="2852BD92" w14:textId="77777777" w:rsidR="00AE6043" w:rsidRPr="00DB2C42" w:rsidRDefault="00AE6043" w:rsidP="00F37087">
      <w:pPr>
        <w:pStyle w:val="Heading1"/>
      </w:pPr>
      <w:r w:rsidRPr="00DB2C42">
        <w:br w:type="page"/>
      </w:r>
      <w:bookmarkStart w:id="306" w:name="_Toc289175845"/>
    </w:p>
    <w:p w14:paraId="093F4769" w14:textId="77777777" w:rsidR="00AE6043" w:rsidRPr="00DB2C42" w:rsidRDefault="00AE6043" w:rsidP="00847BA5">
      <w:pPr>
        <w:pStyle w:val="Heading2"/>
        <w:jc w:val="left"/>
      </w:pPr>
      <w:bookmarkStart w:id="307" w:name="_Toc200810465"/>
      <w:bookmarkStart w:id="308" w:name="_Toc204848703"/>
      <w:r w:rsidRPr="00DB2C42">
        <w:lastRenderedPageBreak/>
        <w:t>Conclusion</w:t>
      </w:r>
      <w:bookmarkEnd w:id="307"/>
      <w:bookmarkEnd w:id="308"/>
    </w:p>
    <w:p w14:paraId="5BA3318D" w14:textId="70C4B010" w:rsidR="00AE6043" w:rsidRPr="00DB2C42" w:rsidRDefault="00AE6043" w:rsidP="00E876F2">
      <w:pPr>
        <w:ind w:firstLine="720"/>
        <w:jc w:val="left"/>
      </w:pPr>
      <w:r w:rsidRPr="00DB2C42">
        <w:t xml:space="preserve">Three interrelated research projects advance our understanding of thermogenic dysfunction in obesity, the therapeutic potential of resveratrol </w:t>
      </w:r>
      <w:r w:rsidR="0093141E">
        <w:t xml:space="preserve">(RES) </w:t>
      </w:r>
      <w:r w:rsidRPr="00DB2C42">
        <w:t>in browning and insulin sensitization, and the role of UCP1-mediated browning in adipocyte insulin sensitivity.</w:t>
      </w:r>
    </w:p>
    <w:p w14:paraId="1EB0E716" w14:textId="610A7AD4" w:rsidR="00AE6043" w:rsidRPr="00DB2C42" w:rsidRDefault="00AE6043" w:rsidP="00847BA5">
      <w:pPr>
        <w:jc w:val="left"/>
      </w:pPr>
      <w:r w:rsidRPr="00DB2C42">
        <w:t>Chapter III focuses on the physiological and molecular thermogenic phenotype of leptin receptor-deficient (</w:t>
      </w:r>
      <w:r w:rsidRPr="00DB2C42">
        <w:rPr>
          <w:i/>
          <w:iCs/>
        </w:rPr>
        <w:t>db/db</w:t>
      </w:r>
      <w:r w:rsidRPr="00DB2C42">
        <w:t xml:space="preserve">) mice in comparison to wild-type controls. It was found that </w:t>
      </w:r>
      <w:r w:rsidRPr="00DB2C42">
        <w:rPr>
          <w:i/>
          <w:iCs/>
        </w:rPr>
        <w:t>db/db</w:t>
      </w:r>
      <w:r w:rsidRPr="00DB2C42">
        <w:t xml:space="preserve"> mice have impaired thermogenesis, as evidenced by lower core body temperatures during cold exposure, reduced metabolic efficiency, and decreased expression of thermogenic proteins (PGC1α and UCP1) in both BAT and sWAT. Notably, although obesity abolished sex differences in weight, female </w:t>
      </w:r>
      <w:r w:rsidRPr="00DB2C42">
        <w:rPr>
          <w:i/>
          <w:iCs/>
        </w:rPr>
        <w:t>db/db</w:t>
      </w:r>
      <w:r w:rsidRPr="00DB2C42">
        <w:t xml:space="preserve"> mice had greater cold intolerance and increased sWAT accumulation compared to males. These differences, however, did not appear to be linked to differences in PGC1 and UCP1 protein expression, as there do not appear to be significant differences in those protein </w:t>
      </w:r>
      <w:r w:rsidR="00035FDD">
        <w:t>expressions</w:t>
      </w:r>
      <w:r w:rsidR="00035FDD" w:rsidRPr="00DB2C42">
        <w:t xml:space="preserve"> </w:t>
      </w:r>
      <w:r w:rsidRPr="00DB2C42">
        <w:t xml:space="preserve">between female and male </w:t>
      </w:r>
      <w:r w:rsidRPr="00DB2C42">
        <w:rPr>
          <w:i/>
          <w:iCs/>
        </w:rPr>
        <w:t>db/db</w:t>
      </w:r>
      <w:r w:rsidRPr="00DB2C42">
        <w:t xml:space="preserve"> mice. These findings </w:t>
      </w:r>
      <w:r w:rsidR="00035FDD">
        <w:t>suggest</w:t>
      </w:r>
      <w:r w:rsidR="00035FDD" w:rsidRPr="00DB2C42">
        <w:t xml:space="preserve"> </w:t>
      </w:r>
      <w:r w:rsidRPr="00DB2C42">
        <w:t xml:space="preserve">that </w:t>
      </w:r>
      <w:r w:rsidRPr="00DB2C42">
        <w:rPr>
          <w:i/>
          <w:iCs/>
        </w:rPr>
        <w:t>db/db</w:t>
      </w:r>
      <w:r w:rsidRPr="00DB2C42">
        <w:t xml:space="preserve"> mice possess systemic defect</w:t>
      </w:r>
      <w:r w:rsidR="008B2E3C">
        <w:t>s</w:t>
      </w:r>
      <w:r w:rsidRPr="00DB2C42">
        <w:t xml:space="preserve"> in thermogenesis and highlight sex-specific vulnerability in cold defense mechanisms </w:t>
      </w:r>
      <w:r w:rsidR="00144934">
        <w:t>in</w:t>
      </w:r>
      <w:r w:rsidR="00035FDD">
        <w:t xml:space="preserve"> these mice</w:t>
      </w:r>
      <w:r w:rsidRPr="00DB2C42">
        <w:t>.</w:t>
      </w:r>
    </w:p>
    <w:p w14:paraId="039DE9F3" w14:textId="6059B56C" w:rsidR="00AE6043" w:rsidRPr="00DB2C42" w:rsidRDefault="00AE6043" w:rsidP="00E876F2">
      <w:pPr>
        <w:ind w:firstLine="720"/>
        <w:jc w:val="left"/>
      </w:pPr>
      <w:r w:rsidRPr="00DB2C42">
        <w:t xml:space="preserve">Chapter IV focuses on the browning capacity and insulin sensitizing effect of </w:t>
      </w:r>
      <w:r w:rsidR="00716F1C">
        <w:t xml:space="preserve">the </w:t>
      </w:r>
      <w:r w:rsidRPr="00DB2C42">
        <w:t xml:space="preserve">ADSCs isolated from the sWAT of </w:t>
      </w:r>
      <w:r w:rsidRPr="00DB2C42">
        <w:rPr>
          <w:i/>
          <w:iCs/>
        </w:rPr>
        <w:t>db/db</w:t>
      </w:r>
      <w:r w:rsidRPr="00DB2C42">
        <w:t xml:space="preserve"> and WT mice in response to</w:t>
      </w:r>
      <w:r w:rsidR="00744AE4">
        <w:t xml:space="preserve"> </w:t>
      </w:r>
      <w:r w:rsidRPr="00DB2C42">
        <w:t xml:space="preserve">RES or ROSI. </w:t>
      </w:r>
      <w:r w:rsidR="001E16E3">
        <w:t xml:space="preserve">Similar to ROSI, </w:t>
      </w:r>
      <w:r w:rsidRPr="00DB2C42">
        <w:t xml:space="preserve">RES significantly upregulated </w:t>
      </w:r>
      <w:r w:rsidR="001E16E3">
        <w:t>the mRNA levels of thermogenic genes (</w:t>
      </w:r>
      <w:r w:rsidR="001E16E3" w:rsidRPr="00D63EA6">
        <w:rPr>
          <w:i/>
          <w:iCs/>
        </w:rPr>
        <w:t>Ucp1</w:t>
      </w:r>
      <w:r w:rsidR="00DA15C5">
        <w:t xml:space="preserve"> and </w:t>
      </w:r>
      <w:r w:rsidR="001E16E3" w:rsidRPr="00D63EA6">
        <w:rPr>
          <w:i/>
          <w:iCs/>
        </w:rPr>
        <w:t>Pgc1α</w:t>
      </w:r>
      <w:r w:rsidR="001E16E3">
        <w:t xml:space="preserve">) in </w:t>
      </w:r>
      <w:r w:rsidR="002D460E">
        <w:t xml:space="preserve">the </w:t>
      </w:r>
      <w:r w:rsidRPr="00DB2C42">
        <w:t>ADSCs from both lean and diabetic mice</w:t>
      </w:r>
      <w:r w:rsidR="000E5346">
        <w:t>,</w:t>
      </w:r>
      <w:r w:rsidRPr="00DB2C42">
        <w:t xml:space="preserve"> regardless of sex. RES </w:t>
      </w:r>
      <w:r w:rsidR="00D417EE">
        <w:t xml:space="preserve">also </w:t>
      </w:r>
      <w:r w:rsidR="00CA743F">
        <w:t>enhanced mitochondrial proton leak</w:t>
      </w:r>
      <w:r w:rsidR="007D06C1">
        <w:t>,</w:t>
      </w:r>
      <w:r w:rsidR="00CA743F">
        <w:t xml:space="preserve"> decreased coupling </w:t>
      </w:r>
      <w:r w:rsidR="007D06C1">
        <w:t xml:space="preserve">efficiency, and </w:t>
      </w:r>
      <w:r w:rsidRPr="00DB2C42">
        <w:t>improved insulin-induced AKT phosphorylation, although the level</w:t>
      </w:r>
      <w:r w:rsidR="007D06C1">
        <w:t>s</w:t>
      </w:r>
      <w:r w:rsidRPr="00DB2C42">
        <w:t xml:space="preserve"> of improvement differed by</w:t>
      </w:r>
      <w:r w:rsidR="007D06C1">
        <w:t xml:space="preserve"> diabetic status and sex</w:t>
      </w:r>
      <w:r w:rsidRPr="00DB2C42">
        <w:t xml:space="preserve">. Together, these data suggest that although </w:t>
      </w:r>
      <w:r w:rsidR="00AD68FF">
        <w:t>diabetic mice exhibit thermogenic impairment</w:t>
      </w:r>
      <w:r w:rsidRPr="00DB2C42">
        <w:t xml:space="preserve">, their ADSCs remain </w:t>
      </w:r>
      <w:r w:rsidRPr="00DB2C42">
        <w:lastRenderedPageBreak/>
        <w:t xml:space="preserve">responsive to browning stimuli, and that </w:t>
      </w:r>
      <w:r w:rsidR="00FC2B3B">
        <w:t>RES</w:t>
      </w:r>
      <w:r w:rsidR="00FC2B3B" w:rsidRPr="00DB2C42">
        <w:t xml:space="preserve"> </w:t>
      </w:r>
      <w:r w:rsidRPr="00DB2C42">
        <w:t xml:space="preserve">acts as both a browning agent and an insulin sensitizer. Furthermore, this study </w:t>
      </w:r>
      <w:r w:rsidR="008B0388" w:rsidRPr="00DB2C42">
        <w:t>demonstrates sexually</w:t>
      </w:r>
      <w:r w:rsidRPr="00DB2C42">
        <w:t xml:space="preserve"> dimorphic responsiveness to RES in diabetic ADSCs.</w:t>
      </w:r>
    </w:p>
    <w:p w14:paraId="5C24B02B" w14:textId="31A89991" w:rsidR="00AE6043" w:rsidRPr="00DB2C42" w:rsidRDefault="00AE6043" w:rsidP="00E876F2">
      <w:pPr>
        <w:ind w:firstLine="720"/>
        <w:jc w:val="left"/>
      </w:pPr>
      <w:r w:rsidRPr="00DB2C42">
        <w:t xml:space="preserve">Chapter V aims to determine the functional contribution of UCP1-mediated browning to the insulin-sensitizing effects of ROSI. Using a CRISPR-generated </w:t>
      </w:r>
      <w:r w:rsidRPr="00646C87">
        <w:rPr>
          <w:i/>
          <w:iCs/>
        </w:rPr>
        <w:t>U</w:t>
      </w:r>
      <w:r w:rsidR="00646C87" w:rsidRPr="00646C87">
        <w:rPr>
          <w:i/>
          <w:iCs/>
        </w:rPr>
        <w:t>cp1</w:t>
      </w:r>
      <w:r w:rsidRPr="00DB2C42">
        <w:t xml:space="preserve"> KO 3T3-L1 adipocyte model, we demonstrated that 3T3-L1 </w:t>
      </w:r>
      <w:r w:rsidR="002B374F">
        <w:t xml:space="preserve">cells </w:t>
      </w:r>
      <w:r w:rsidRPr="00DB2C42">
        <w:t xml:space="preserve">with </w:t>
      </w:r>
      <w:r w:rsidRPr="00646C87">
        <w:rPr>
          <w:i/>
          <w:iCs/>
        </w:rPr>
        <w:t>U</w:t>
      </w:r>
      <w:r w:rsidR="00646C87" w:rsidRPr="00646C87">
        <w:rPr>
          <w:i/>
          <w:iCs/>
        </w:rPr>
        <w:t>cp</w:t>
      </w:r>
      <w:r w:rsidRPr="00646C87">
        <w:rPr>
          <w:i/>
          <w:iCs/>
        </w:rPr>
        <w:t>1</w:t>
      </w:r>
      <w:r w:rsidRPr="00DB2C42">
        <w:t xml:space="preserve"> KO show attenuated adipogenic differentiation</w:t>
      </w:r>
      <w:r w:rsidR="00B654C2">
        <w:t>,</w:t>
      </w:r>
      <w:r w:rsidR="004A18B7">
        <w:t xml:space="preserve"> decreased mitochondrial proton leak and increased coupling efficiency,</w:t>
      </w:r>
      <w:r w:rsidRPr="00DB2C42">
        <w:t xml:space="preserve"> and no enhancement of insulin-stimulated AKT phosphorylation by ROSI. Our work highlights the extent to which UCP1 contributes to the metabolic benefits of pharmacological browning and underscores the</w:t>
      </w:r>
      <w:r w:rsidR="002D45EB">
        <w:t xml:space="preserve"> requirement of </w:t>
      </w:r>
      <w:r w:rsidRPr="00DB2C42">
        <w:t>UCP</w:t>
      </w:r>
      <w:r w:rsidR="002D45EB">
        <w:t xml:space="preserve">1 </w:t>
      </w:r>
      <w:r w:rsidRPr="00DB2C42">
        <w:t>functionality in developing adipose-targeted insulin sensitizers.</w:t>
      </w:r>
    </w:p>
    <w:p w14:paraId="11425E87" w14:textId="3E4296CF" w:rsidR="00AE6043" w:rsidRPr="00DB2C42" w:rsidRDefault="00AE6043" w:rsidP="00E876F2">
      <w:pPr>
        <w:ind w:firstLine="720"/>
        <w:jc w:val="left"/>
      </w:pPr>
      <w:r w:rsidRPr="00DB2C42">
        <w:t xml:space="preserve">In summary, this dissertation demonstrates that thermogenic deficiencies in </w:t>
      </w:r>
      <w:r w:rsidRPr="00DB2C42">
        <w:rPr>
          <w:i/>
          <w:iCs/>
        </w:rPr>
        <w:t>db/db</w:t>
      </w:r>
      <w:r w:rsidRPr="00DB2C42">
        <w:t xml:space="preserve"> mice are deep at the physiological and molecular levels, although they are not entirely irreparable. Both </w:t>
      </w:r>
      <w:r w:rsidR="005660B9">
        <w:t>ROSI</w:t>
      </w:r>
      <w:r w:rsidR="005660B9" w:rsidRPr="00DB2C42">
        <w:t xml:space="preserve"> </w:t>
      </w:r>
      <w:r w:rsidRPr="00DB2C42">
        <w:t xml:space="preserve">and </w:t>
      </w:r>
      <w:r w:rsidR="005660B9">
        <w:t>RES</w:t>
      </w:r>
      <w:r w:rsidR="005660B9" w:rsidRPr="00DB2C42">
        <w:t xml:space="preserve"> </w:t>
      </w:r>
      <w:r w:rsidRPr="00DB2C42">
        <w:t xml:space="preserve">can induce browning and improve insulin signaling in </w:t>
      </w:r>
      <w:r w:rsidR="00943404">
        <w:t xml:space="preserve">the </w:t>
      </w:r>
      <w:r w:rsidRPr="00DB2C42">
        <w:t>diabetic stromal cells. Importantly, UCP1 plays an important role in mediating these effects, and its absence compromises the insulin</w:t>
      </w:r>
      <w:r w:rsidR="0004190C">
        <w:t>-</w:t>
      </w:r>
      <w:r w:rsidRPr="00DB2C42">
        <w:t xml:space="preserve">sensitizing effect of ROSI. These findings offer new insights into sex-specific thermogenic regulation, highlight </w:t>
      </w:r>
      <w:r w:rsidR="00943404">
        <w:t>RES</w:t>
      </w:r>
      <w:r w:rsidR="00943404" w:rsidRPr="00DB2C42">
        <w:t xml:space="preserve"> </w:t>
      </w:r>
      <w:r w:rsidRPr="00DB2C42">
        <w:t xml:space="preserve">as a </w:t>
      </w:r>
      <w:r w:rsidR="008A5E6B">
        <w:t>potential</w:t>
      </w:r>
      <w:r w:rsidR="008A5E6B" w:rsidRPr="00DB2C42">
        <w:t xml:space="preserve"> </w:t>
      </w:r>
      <w:r w:rsidRPr="00DB2C42">
        <w:t xml:space="preserve">candidate for metabolic therapy, and clarify the functional significance of UCP1 in </w:t>
      </w:r>
      <w:r w:rsidR="0004190C">
        <w:t xml:space="preserve">mediating insulin-sensitizing effects in </w:t>
      </w:r>
      <w:r w:rsidRPr="00DB2C42">
        <w:t>adipocyte</w:t>
      </w:r>
      <w:r w:rsidR="000E20C8">
        <w:t>s</w:t>
      </w:r>
      <w:r w:rsidRPr="00DB2C42">
        <w:t>.</w:t>
      </w:r>
    </w:p>
    <w:p w14:paraId="3A311F16" w14:textId="72603754" w:rsidR="00AE6043" w:rsidRPr="00DB2C42" w:rsidRDefault="00AE6043" w:rsidP="00847BA5">
      <w:pPr>
        <w:pStyle w:val="Heading2"/>
        <w:jc w:val="left"/>
      </w:pPr>
      <w:bookmarkStart w:id="309" w:name="_Toc200810466"/>
      <w:bookmarkStart w:id="310" w:name="_Toc204848704"/>
      <w:r w:rsidRPr="00DB2C42">
        <w:t xml:space="preserve">Significance of </w:t>
      </w:r>
      <w:r w:rsidR="00BA4D3D">
        <w:t xml:space="preserve">the </w:t>
      </w:r>
      <w:bookmarkEnd w:id="309"/>
      <w:bookmarkEnd w:id="310"/>
      <w:r w:rsidR="00BA4D3D" w:rsidRPr="00DB2C42">
        <w:t>Stud</w:t>
      </w:r>
      <w:r w:rsidR="00BA4D3D">
        <w:t>ies</w:t>
      </w:r>
    </w:p>
    <w:p w14:paraId="67872CE2" w14:textId="54587C7C" w:rsidR="00AE6043" w:rsidRPr="00DB2C42" w:rsidRDefault="00AE6043" w:rsidP="00E876F2">
      <w:pPr>
        <w:ind w:firstLine="720"/>
        <w:jc w:val="left"/>
      </w:pPr>
      <w:r w:rsidRPr="00DB2C42">
        <w:t xml:space="preserve">This dissertation contributes to the understanding of thermogenesis, adipocyte function, and insulin action in the context of obesity and T2DM. Through the study of </w:t>
      </w:r>
      <w:r w:rsidRPr="00DB2C42">
        <w:rPr>
          <w:i/>
          <w:iCs/>
        </w:rPr>
        <w:t>db/db</w:t>
      </w:r>
      <w:r w:rsidRPr="00DB2C42">
        <w:t xml:space="preserve"> mice, this </w:t>
      </w:r>
      <w:r w:rsidRPr="00DB2C42">
        <w:lastRenderedPageBreak/>
        <w:t xml:space="preserve">work provides a comprehensive physiological and molecular </w:t>
      </w:r>
      <w:r w:rsidR="00BC2962" w:rsidRPr="00DB2C42">
        <w:t>profil</w:t>
      </w:r>
      <w:r w:rsidR="00BC2962">
        <w:t>ing</w:t>
      </w:r>
      <w:r w:rsidR="00BC2962" w:rsidRPr="00DB2C42">
        <w:t xml:space="preserve"> </w:t>
      </w:r>
      <w:r w:rsidRPr="00DB2C42">
        <w:t xml:space="preserve">of thermogenic deficiency, identifies sex-specific vulnerabilities in cold tolerance, and demonstrates that </w:t>
      </w:r>
      <w:r w:rsidR="002C4071">
        <w:t xml:space="preserve">the </w:t>
      </w:r>
      <w:r w:rsidRPr="00DB2C42">
        <w:t xml:space="preserve">ADSCs retain the potential to undergo functional browning even in diabetic conditions. In </w:t>
      </w:r>
      <w:r w:rsidR="00CA2ADA">
        <w:t xml:space="preserve">the </w:t>
      </w:r>
      <w:r w:rsidRPr="00DB2C42">
        <w:t xml:space="preserve">ADSCs from diabetic mice, </w:t>
      </w:r>
      <w:r w:rsidR="00451103">
        <w:t xml:space="preserve">RES </w:t>
      </w:r>
      <w:r w:rsidRPr="00DB2C42">
        <w:t xml:space="preserve">also induced browning and insulin sensitization, indicating </w:t>
      </w:r>
      <w:r w:rsidR="00CE17DC">
        <w:t xml:space="preserve">its </w:t>
      </w:r>
      <w:r w:rsidRPr="00DB2C42">
        <w:t xml:space="preserve">therapeutic </w:t>
      </w:r>
      <w:r w:rsidR="00CE17DC">
        <w:t>potential</w:t>
      </w:r>
      <w:r w:rsidRPr="00DB2C42">
        <w:t xml:space="preserve"> in </w:t>
      </w:r>
      <w:r w:rsidR="00CE17DC">
        <w:t xml:space="preserve">a </w:t>
      </w:r>
      <w:r w:rsidRPr="00DB2C42">
        <w:t xml:space="preserve">metabolically compromised context. Furthermore, ROSI's insulin-sensitizing effects are dependent on UCP1 in adipocytes, providing direct evidence that mitochondrial uncoupling contributes to </w:t>
      </w:r>
      <w:r w:rsidR="002E5D20">
        <w:t>ROSI’s insulin</w:t>
      </w:r>
      <w:r w:rsidR="000B2837">
        <w:t>-</w:t>
      </w:r>
      <w:r w:rsidR="002E5D20">
        <w:t>sensiti</w:t>
      </w:r>
      <w:r w:rsidR="000B2837">
        <w:t xml:space="preserve">zing effects in </w:t>
      </w:r>
      <w:r w:rsidRPr="00DB2C42">
        <w:t>adipocyte</w:t>
      </w:r>
      <w:r w:rsidR="000B2837">
        <w:t>s</w:t>
      </w:r>
      <w:r w:rsidRPr="00DB2C42">
        <w:t xml:space="preserve">. Collectively, these studies highlight the potential </w:t>
      </w:r>
      <w:r w:rsidR="009A5313">
        <w:t>of browning</w:t>
      </w:r>
      <w:r w:rsidR="009A5313" w:rsidRPr="00DB2C42">
        <w:t xml:space="preserve"> </w:t>
      </w:r>
      <w:r w:rsidRPr="00DB2C42">
        <w:t>adipo</w:t>
      </w:r>
      <w:r w:rsidR="009A5313">
        <w:t>cytes as</w:t>
      </w:r>
      <w:r w:rsidR="009A5313" w:rsidRPr="00DB2C42">
        <w:t xml:space="preserve"> </w:t>
      </w:r>
      <w:r w:rsidRPr="00DB2C42">
        <w:t xml:space="preserve">therapeutic approaches to obesity and T2DM, while emphasizing the need to consider biological sex, </w:t>
      </w:r>
      <w:r w:rsidR="009E2677">
        <w:t>diabetic status</w:t>
      </w:r>
      <w:r w:rsidR="00D624AE">
        <w:t>,</w:t>
      </w:r>
      <w:r w:rsidRPr="00DB2C42">
        <w:t xml:space="preserve"> and thermogenic function</w:t>
      </w:r>
      <w:r w:rsidR="009E2677">
        <w:t xml:space="preserve"> of the host.</w:t>
      </w:r>
    </w:p>
    <w:p w14:paraId="47D1B6CA" w14:textId="7F1CC30B" w:rsidR="00AE6043" w:rsidRPr="00DB2C42" w:rsidRDefault="00AE6043" w:rsidP="00847BA5">
      <w:pPr>
        <w:pStyle w:val="Heading2"/>
        <w:jc w:val="left"/>
      </w:pPr>
      <w:bookmarkStart w:id="311" w:name="_Toc200810467"/>
      <w:bookmarkStart w:id="312" w:name="_Toc204848705"/>
      <w:r w:rsidRPr="00DB2C42">
        <w:t xml:space="preserve">Limitations and </w:t>
      </w:r>
      <w:r w:rsidR="007939E3" w:rsidRPr="00DB2C42">
        <w:t>F</w:t>
      </w:r>
      <w:r w:rsidRPr="00DB2C42">
        <w:t xml:space="preserve">uture </w:t>
      </w:r>
      <w:r w:rsidR="007939E3" w:rsidRPr="00DB2C42">
        <w:t>D</w:t>
      </w:r>
      <w:r w:rsidRPr="00DB2C42">
        <w:t>irections</w:t>
      </w:r>
      <w:bookmarkEnd w:id="311"/>
      <w:bookmarkEnd w:id="312"/>
    </w:p>
    <w:p w14:paraId="535E314F" w14:textId="692D39CD" w:rsidR="00AE6043" w:rsidRPr="00DB2C42" w:rsidRDefault="00AE6043" w:rsidP="00E876F2">
      <w:pPr>
        <w:ind w:firstLine="720"/>
        <w:jc w:val="left"/>
      </w:pPr>
      <w:r w:rsidRPr="00DB2C42">
        <w:t xml:space="preserve">While the findings presented in this dissertation provide important advances in understanding adipose tissue thermogenesis and insulin sensitivity, several limitations </w:t>
      </w:r>
      <w:r w:rsidR="00EC686E">
        <w:t xml:space="preserve">need to </w:t>
      </w:r>
      <w:r w:rsidRPr="00DB2C42">
        <w:t xml:space="preserve">be acknowledged. First, although </w:t>
      </w:r>
      <w:r w:rsidRPr="00DB2C42">
        <w:rPr>
          <w:i/>
          <w:iCs/>
        </w:rPr>
        <w:t>db/db</w:t>
      </w:r>
      <w:r w:rsidRPr="00DB2C42">
        <w:t xml:space="preserve"> mice serve as a well-established genetic model for obesity and T2DM, the complete absence of leptin signaling in these animals may not fully replicate the complexity of human </w:t>
      </w:r>
      <w:r w:rsidR="002D70AC">
        <w:t>obesity and T2DM</w:t>
      </w:r>
      <w:r w:rsidRPr="00DB2C42">
        <w:t xml:space="preserve">. Thus, future studies </w:t>
      </w:r>
      <w:r w:rsidR="00352E6E">
        <w:t>are needed to confirm</w:t>
      </w:r>
      <w:r w:rsidRPr="00DB2C42">
        <w:t xml:space="preserve"> key findings using alternative models, such as diet-induced obesity or leptin-resistant mice. In addition, although sex differences were a central focus of the research, we did not assess hormone levels or the activity of the sympathetic nervous system, both of which likely influence the sex-specific thermogenic responses. Future studies should evaluate these variables using hormonal assays and neuroanatomical analyses to determine whether they contribute to the observed sex-specific thermogenic responses. In the CRISPR-based UCP1 knockout model, challenges arose from </w:t>
      </w:r>
      <w:r w:rsidRPr="00DB2C42">
        <w:lastRenderedPageBreak/>
        <w:t xml:space="preserve">technical difficulties </w:t>
      </w:r>
      <w:r w:rsidR="00A660E5">
        <w:t>in</w:t>
      </w:r>
      <w:r w:rsidRPr="00DB2C42">
        <w:t xml:space="preserve"> clonal selection. Specifically, the difficulty in obtaining a stable </w:t>
      </w:r>
      <w:r w:rsidR="000A65AF">
        <w:t>single-cell</w:t>
      </w:r>
      <w:r w:rsidRPr="00DB2C42">
        <w:t xml:space="preserve"> clone and the observed batch-to-batch variability posed risks of </w:t>
      </w:r>
      <w:r w:rsidR="006A7A60" w:rsidRPr="00DB2C42">
        <w:t>confounding.</w:t>
      </w:r>
      <w:r w:rsidRPr="00DB2C42">
        <w:t xml:space="preserve"> Moreover, while phosphorylated AKT signaling is a reliable readout of insulin signaling, more comprehensive profiling of other downstream insulin-responsive processes, such as GLUT4 translocation and glucose uptake, would yield a more thorough evaluation of functional insulin sensitivity. Collectively, these approaches will enhance our understanding </w:t>
      </w:r>
      <w:r w:rsidR="00EF2204">
        <w:t xml:space="preserve">of </w:t>
      </w:r>
      <w:r w:rsidR="00C4274E">
        <w:t xml:space="preserve">the relationship between </w:t>
      </w:r>
      <w:r w:rsidRPr="00DB2C42">
        <w:t>adipose tissue plasticity and metabolic health</w:t>
      </w:r>
      <w:r w:rsidR="00C4274E">
        <w:t>,</w:t>
      </w:r>
      <w:r w:rsidRPr="00DB2C42">
        <w:t xml:space="preserve"> and facilitate the development of </w:t>
      </w:r>
      <w:r w:rsidR="00EF2204">
        <w:t xml:space="preserve">novel and effective </w:t>
      </w:r>
      <w:r w:rsidRPr="00DB2C42">
        <w:t xml:space="preserve">therapies for obesity and </w:t>
      </w:r>
      <w:r w:rsidR="00EF2204">
        <w:t>T2DM</w:t>
      </w:r>
      <w:r w:rsidRPr="00DB2C42">
        <w:t>.</w:t>
      </w:r>
    </w:p>
    <w:p w14:paraId="5F9679F1" w14:textId="77777777" w:rsidR="00AE6043" w:rsidRDefault="00AE6043" w:rsidP="00847BA5">
      <w:pPr>
        <w:jc w:val="left"/>
      </w:pPr>
      <w:r w:rsidRPr="00DB2C42">
        <w:br w:type="page"/>
      </w:r>
    </w:p>
    <w:p w14:paraId="0DBFF180" w14:textId="6B5D25C9" w:rsidR="00B00C5E" w:rsidRDefault="00B00C5E" w:rsidP="00CA4E6F">
      <w:pPr>
        <w:pStyle w:val="Heading2"/>
        <w:numPr>
          <w:ilvl w:val="0"/>
          <w:numId w:val="0"/>
        </w:numPr>
      </w:pPr>
      <w:bookmarkStart w:id="313" w:name="_Toc204848706"/>
      <w:r>
        <w:lastRenderedPageBreak/>
        <w:t>Reference</w:t>
      </w:r>
      <w:r w:rsidR="004345E7">
        <w:t>s</w:t>
      </w:r>
      <w:bookmarkEnd w:id="313"/>
    </w:p>
    <w:p w14:paraId="7F73E4C5" w14:textId="77777777" w:rsidR="00BE712C" w:rsidRPr="00BE712C" w:rsidRDefault="00B81AFB" w:rsidP="009906F2">
      <w:pPr>
        <w:pStyle w:val="Bibliography"/>
        <w:spacing w:after="0"/>
        <w:ind w:left="0" w:firstLine="0"/>
        <w:jc w:val="left"/>
      </w:pPr>
      <w:r>
        <w:rPr>
          <w:lang w:eastAsia="zh-CN"/>
        </w:rPr>
        <w:fldChar w:fldCharType="begin"/>
      </w:r>
      <w:r w:rsidR="00BE712C">
        <w:rPr>
          <w:lang w:eastAsia="zh-CN"/>
        </w:rPr>
        <w:instrText xml:space="preserve"> ADDIN ZOTERO_BIBL {"uncited":[],"omitted":[],"custom":[]} CSL_BIBLIOGRAPHY </w:instrText>
      </w:r>
      <w:r>
        <w:rPr>
          <w:lang w:eastAsia="zh-CN"/>
        </w:rPr>
        <w:fldChar w:fldCharType="separate"/>
      </w:r>
      <w:r w:rsidR="00BE712C" w:rsidRPr="00BE712C">
        <w:t>1.</w:t>
      </w:r>
      <w:r w:rsidR="00BE712C" w:rsidRPr="00BE712C">
        <w:tab/>
        <w:t xml:space="preserve">Balasundaram P, Daley SF. Public Health Considerations Regarding Obesity. In: </w:t>
      </w:r>
      <w:r w:rsidR="00BE712C" w:rsidRPr="00BE712C">
        <w:rPr>
          <w:i/>
          <w:iCs/>
        </w:rPr>
        <w:t>StatPearls</w:t>
      </w:r>
      <w:r w:rsidR="00BE712C" w:rsidRPr="00BE712C">
        <w:t>. StatPearls Publishing; 2025. Accessed June 12, 2025. http://www.ncbi.nlm.nih.gov/books/NBK572122/</w:t>
      </w:r>
    </w:p>
    <w:p w14:paraId="1C1C62FD" w14:textId="77777777" w:rsidR="00BE712C" w:rsidRPr="00BE712C" w:rsidRDefault="00BE712C" w:rsidP="009906F2">
      <w:pPr>
        <w:pStyle w:val="Bibliography"/>
        <w:spacing w:after="0"/>
        <w:ind w:left="0" w:firstLine="0"/>
        <w:jc w:val="left"/>
      </w:pPr>
      <w:r w:rsidRPr="00BE712C">
        <w:t>2.</w:t>
      </w:r>
      <w:r w:rsidRPr="00BE712C">
        <w:tab/>
        <w:t xml:space="preserve">Yang M, Liu S, Zhang C. The Related Metabolic Diseases and Treatments of Obesity. </w:t>
      </w:r>
      <w:r w:rsidRPr="00BE712C">
        <w:rPr>
          <w:i/>
          <w:iCs/>
        </w:rPr>
        <w:t>Healthcare</w:t>
      </w:r>
      <w:r w:rsidRPr="00BE712C">
        <w:t>. 2022;10(9):1616. doi:10.3390/healthcare10091616</w:t>
      </w:r>
    </w:p>
    <w:p w14:paraId="080E536A" w14:textId="77777777" w:rsidR="00BE712C" w:rsidRPr="00BE712C" w:rsidRDefault="00BE712C" w:rsidP="009906F2">
      <w:pPr>
        <w:pStyle w:val="Bibliography"/>
        <w:spacing w:after="0"/>
        <w:ind w:left="0" w:firstLine="0"/>
        <w:jc w:val="left"/>
      </w:pPr>
      <w:r w:rsidRPr="00BE712C">
        <w:t>3.</w:t>
      </w:r>
      <w:r w:rsidRPr="00BE712C">
        <w:tab/>
        <w:t xml:space="preserve">Panuganti KK, Nguyen M, Kshirsagar RK. Obesity. In: </w:t>
      </w:r>
      <w:r w:rsidRPr="00BE712C">
        <w:rPr>
          <w:i/>
          <w:iCs/>
        </w:rPr>
        <w:t>StatPearls</w:t>
      </w:r>
      <w:r w:rsidRPr="00BE712C">
        <w:t>. StatPearls Publishing; 2025. Accessed June 12, 2025. http://www.ncbi.nlm.nih.gov/books/NBK459357/</w:t>
      </w:r>
    </w:p>
    <w:p w14:paraId="28A2B245" w14:textId="77777777" w:rsidR="00BE712C" w:rsidRPr="00BE712C" w:rsidRDefault="00BE712C" w:rsidP="009906F2">
      <w:pPr>
        <w:pStyle w:val="Bibliography"/>
        <w:spacing w:after="0"/>
        <w:ind w:left="0" w:firstLine="0"/>
        <w:jc w:val="left"/>
      </w:pPr>
      <w:r w:rsidRPr="00BE712C">
        <w:t>4.</w:t>
      </w:r>
      <w:r w:rsidRPr="00BE712C">
        <w:tab/>
        <w:t xml:space="preserve">Richard AJ, White U, Elks CM, Stephens JM. Adipose Tissue: Physiology to Metabolic Dysfunction. In: Feingold KR, Ahmed SF, Anawalt B, et al., eds. </w:t>
      </w:r>
      <w:r w:rsidRPr="00BE712C">
        <w:rPr>
          <w:i/>
          <w:iCs/>
        </w:rPr>
        <w:t>Endotext</w:t>
      </w:r>
      <w:r w:rsidRPr="00BE712C">
        <w:t>. MDText.com, Inc.; 2000. Accessed June 12, 2025. http://www.ncbi.nlm.nih.gov/books/NBK555602/</w:t>
      </w:r>
    </w:p>
    <w:p w14:paraId="049DD3B7" w14:textId="77777777" w:rsidR="00BE712C" w:rsidRPr="00BE712C" w:rsidRDefault="00BE712C" w:rsidP="009906F2">
      <w:pPr>
        <w:pStyle w:val="Bibliography"/>
        <w:spacing w:after="0"/>
        <w:ind w:left="0" w:firstLine="0"/>
        <w:jc w:val="left"/>
      </w:pPr>
      <w:r w:rsidRPr="00BE712C">
        <w:t>5.</w:t>
      </w:r>
      <w:r w:rsidRPr="00BE712C">
        <w:tab/>
        <w:t xml:space="preserve">Choe SS, Huh JY, Hwang IJ, Kim JI, Kim JB. Adipose Tissue Remodeling: Its Role in Energy Metabolism and Metabolic Disorders. </w:t>
      </w:r>
      <w:r w:rsidRPr="00BE712C">
        <w:rPr>
          <w:i/>
          <w:iCs/>
        </w:rPr>
        <w:t>Front Endocrinol</w:t>
      </w:r>
      <w:r w:rsidRPr="00BE712C">
        <w:t>. 2016;7. doi:10.3389/fendo.2016.00030</w:t>
      </w:r>
    </w:p>
    <w:p w14:paraId="35CFD45F" w14:textId="77777777" w:rsidR="00BE712C" w:rsidRPr="00BE712C" w:rsidRDefault="00BE712C" w:rsidP="009906F2">
      <w:pPr>
        <w:pStyle w:val="Bibliography"/>
        <w:spacing w:after="0"/>
        <w:ind w:left="0" w:firstLine="0"/>
        <w:jc w:val="left"/>
      </w:pPr>
      <w:r w:rsidRPr="00BE712C">
        <w:t>6.</w:t>
      </w:r>
      <w:r w:rsidRPr="00BE712C">
        <w:tab/>
        <w:t xml:space="preserve">Saito M, Okamatsu-Ogura Y. Thermogenic Brown Fat in Humans: Implications in Energy Homeostasis, Obesity and Metabolic Disorders. </w:t>
      </w:r>
      <w:r w:rsidRPr="00BE712C">
        <w:rPr>
          <w:i/>
          <w:iCs/>
        </w:rPr>
        <w:t>World J Mens Health</w:t>
      </w:r>
      <w:r w:rsidRPr="00BE712C">
        <w:t>. 2023;41(3):489-507. doi:10.5534/wjmh.220224</w:t>
      </w:r>
    </w:p>
    <w:p w14:paraId="0112FF88" w14:textId="77777777" w:rsidR="00BE712C" w:rsidRPr="00BE712C" w:rsidRDefault="00BE712C" w:rsidP="009906F2">
      <w:pPr>
        <w:pStyle w:val="Bibliography"/>
        <w:spacing w:after="0"/>
        <w:ind w:left="0" w:firstLine="0"/>
        <w:jc w:val="left"/>
      </w:pPr>
      <w:r w:rsidRPr="00BE712C">
        <w:t>7.</w:t>
      </w:r>
      <w:r w:rsidRPr="00BE712C">
        <w:tab/>
        <w:t xml:space="preserve">Fedorenko A, Lishko PV, Kirichok Y. Mechanism of Fatty-Acid-Dependent UCP1 Uncoupling in Brown Fat Mitochondria. </w:t>
      </w:r>
      <w:r w:rsidRPr="00BE712C">
        <w:rPr>
          <w:i/>
          <w:iCs/>
        </w:rPr>
        <w:t>Cell</w:t>
      </w:r>
      <w:r w:rsidRPr="00BE712C">
        <w:t>. 2012;151(2):400-413. doi:10.1016/j.cell.2012.09.010</w:t>
      </w:r>
    </w:p>
    <w:p w14:paraId="50E1AEAA" w14:textId="77777777" w:rsidR="00BE712C" w:rsidRPr="00BE712C" w:rsidRDefault="00BE712C" w:rsidP="009906F2">
      <w:pPr>
        <w:pStyle w:val="Bibliography"/>
        <w:spacing w:after="0"/>
        <w:ind w:left="0" w:firstLine="0"/>
        <w:jc w:val="left"/>
      </w:pPr>
      <w:r w:rsidRPr="00BE712C">
        <w:t>8.</w:t>
      </w:r>
      <w:r w:rsidRPr="00BE712C">
        <w:tab/>
        <w:t xml:space="preserve">Townsend KL, Tseng YH. Brown Fat Fuel Utilization and Thermogenesis. </w:t>
      </w:r>
      <w:r w:rsidRPr="00BE712C">
        <w:rPr>
          <w:i/>
          <w:iCs/>
        </w:rPr>
        <w:t>Trends Endocrinol Metab</w:t>
      </w:r>
      <w:r w:rsidRPr="00BE712C">
        <w:t>. 2014;25(4):168-177. doi:10.1016/j.tem.2013.12.004</w:t>
      </w:r>
    </w:p>
    <w:p w14:paraId="7CF69AAE" w14:textId="77777777" w:rsidR="00BE712C" w:rsidRPr="00BE712C" w:rsidRDefault="00BE712C" w:rsidP="009906F2">
      <w:pPr>
        <w:pStyle w:val="Bibliography"/>
        <w:spacing w:after="0"/>
        <w:ind w:left="0" w:firstLine="0"/>
        <w:jc w:val="left"/>
      </w:pPr>
      <w:r w:rsidRPr="00BE712C">
        <w:lastRenderedPageBreak/>
        <w:t>9.</w:t>
      </w:r>
      <w:r w:rsidRPr="00BE712C">
        <w:tab/>
        <w:t xml:space="preserve">Wu J, Boström P, Sparks LM, et al. Beige Adipocytes are a Distinct Type of Thermogenic Fat Cell in Mouse and Human. </w:t>
      </w:r>
      <w:r w:rsidRPr="00BE712C">
        <w:rPr>
          <w:i/>
          <w:iCs/>
        </w:rPr>
        <w:t>Cell</w:t>
      </w:r>
      <w:r w:rsidRPr="00BE712C">
        <w:t>. 2012;150(2):366-376. doi:10.1016/j.cell.2012.05.016</w:t>
      </w:r>
    </w:p>
    <w:p w14:paraId="1B98F23C" w14:textId="77777777" w:rsidR="00BE712C" w:rsidRPr="00BE712C" w:rsidRDefault="00BE712C" w:rsidP="009906F2">
      <w:pPr>
        <w:pStyle w:val="Bibliography"/>
        <w:spacing w:after="0"/>
        <w:ind w:left="0" w:firstLine="0"/>
        <w:jc w:val="left"/>
      </w:pPr>
      <w:r w:rsidRPr="00BE712C">
        <w:t>10.</w:t>
      </w:r>
      <w:r w:rsidRPr="00BE712C">
        <w:tab/>
        <w:t xml:space="preserve">Liu X, Zhang Z, Song Y, Xie H, Dong M. An update on brown adipose tissue and obesity intervention: Function, regulation and therapeutic implications. </w:t>
      </w:r>
      <w:r w:rsidRPr="00BE712C">
        <w:rPr>
          <w:i/>
          <w:iCs/>
        </w:rPr>
        <w:t>Front Endocrinol (Lausanne)</w:t>
      </w:r>
      <w:r w:rsidRPr="00BE712C">
        <w:t>. 2023;13:1065263. doi:10.3389/fendo.2022.1065263</w:t>
      </w:r>
    </w:p>
    <w:p w14:paraId="5591A65C" w14:textId="77777777" w:rsidR="00BE712C" w:rsidRPr="00BE712C" w:rsidRDefault="00BE712C" w:rsidP="009906F2">
      <w:pPr>
        <w:pStyle w:val="Bibliography"/>
        <w:spacing w:after="0"/>
        <w:ind w:left="0" w:firstLine="0"/>
        <w:jc w:val="left"/>
      </w:pPr>
      <w:r w:rsidRPr="00BE712C">
        <w:t>11.</w:t>
      </w:r>
      <w:r w:rsidRPr="00BE712C">
        <w:tab/>
        <w:t xml:space="preserve">Cohen P, Kajimura S. The cellular and functional complexity of thermogenic fat. </w:t>
      </w:r>
      <w:r w:rsidRPr="00BE712C">
        <w:rPr>
          <w:i/>
          <w:iCs/>
        </w:rPr>
        <w:t>Nat Rev Mol Cell Biol</w:t>
      </w:r>
      <w:r w:rsidRPr="00BE712C">
        <w:t>. 2021;22(6):393-409. doi:10.1038/s41580-021-00350-0</w:t>
      </w:r>
    </w:p>
    <w:p w14:paraId="4FA80AF6" w14:textId="77777777" w:rsidR="00BE712C" w:rsidRPr="00BE712C" w:rsidRDefault="00BE712C" w:rsidP="009906F2">
      <w:pPr>
        <w:pStyle w:val="Bibliography"/>
        <w:spacing w:after="0"/>
        <w:ind w:left="0" w:firstLine="0"/>
        <w:jc w:val="left"/>
      </w:pPr>
      <w:r w:rsidRPr="00BE712C">
        <w:t>12.</w:t>
      </w:r>
      <w:r w:rsidRPr="00BE712C">
        <w:tab/>
        <w:t xml:space="preserve">Singh AM, Zhang L, Avery J, et al. Human beige adipocytes for drug discovery and cell therapy in metabolic diseases. </w:t>
      </w:r>
      <w:r w:rsidRPr="00BE712C">
        <w:rPr>
          <w:i/>
          <w:iCs/>
        </w:rPr>
        <w:t>Nat Commun</w:t>
      </w:r>
      <w:r w:rsidRPr="00BE712C">
        <w:t>. 2020;11(1):2758. doi:10.1038/s41467-020-16340-3</w:t>
      </w:r>
    </w:p>
    <w:p w14:paraId="7CB95CA6" w14:textId="77777777" w:rsidR="00BE712C" w:rsidRPr="00BE712C" w:rsidRDefault="00BE712C" w:rsidP="009906F2">
      <w:pPr>
        <w:pStyle w:val="Bibliography"/>
        <w:spacing w:after="0"/>
        <w:ind w:left="0" w:firstLine="0"/>
        <w:jc w:val="left"/>
      </w:pPr>
      <w:r w:rsidRPr="00BE712C">
        <w:t>13.</w:t>
      </w:r>
      <w:r w:rsidRPr="00BE712C">
        <w:tab/>
        <w:t xml:space="preserve">Navarro-Perez J, Carobbio S. Adipose tissue-derived stem cells, </w:t>
      </w:r>
      <w:r w:rsidRPr="00BE712C">
        <w:rPr>
          <w:i/>
          <w:iCs/>
        </w:rPr>
        <w:t>in vivo</w:t>
      </w:r>
      <w:r w:rsidRPr="00BE712C">
        <w:t xml:space="preserve"> and </w:t>
      </w:r>
      <w:r w:rsidRPr="00BE712C">
        <w:rPr>
          <w:i/>
          <w:iCs/>
        </w:rPr>
        <w:t>in vitro</w:t>
      </w:r>
      <w:r w:rsidRPr="00BE712C">
        <w:t xml:space="preserve"> models for metabolic diseases. </w:t>
      </w:r>
      <w:r w:rsidRPr="00BE712C">
        <w:rPr>
          <w:i/>
          <w:iCs/>
        </w:rPr>
        <w:t>Biochemical Pharmacology</w:t>
      </w:r>
      <w:r w:rsidRPr="00BE712C">
        <w:t>. 2024;222:116108. doi:10.1016/j.bcp.2024.116108</w:t>
      </w:r>
    </w:p>
    <w:p w14:paraId="6E2451F9" w14:textId="77777777" w:rsidR="00BE712C" w:rsidRPr="00BE712C" w:rsidRDefault="00BE712C" w:rsidP="009906F2">
      <w:pPr>
        <w:pStyle w:val="Bibliography"/>
        <w:spacing w:after="0"/>
        <w:ind w:left="0" w:firstLine="0"/>
        <w:jc w:val="left"/>
      </w:pPr>
      <w:r w:rsidRPr="00BE712C">
        <w:t>14.</w:t>
      </w:r>
      <w:r w:rsidRPr="00BE712C">
        <w:tab/>
        <w:t xml:space="preserve">Soccio RE, Chen ER, Lazar MA. Thiazolidinediones and the Promise of Insulin Sensitization in Type 2 Diabetes. </w:t>
      </w:r>
      <w:r w:rsidRPr="00BE712C">
        <w:rPr>
          <w:i/>
          <w:iCs/>
        </w:rPr>
        <w:t>Cell Metabolism</w:t>
      </w:r>
      <w:r w:rsidRPr="00BE712C">
        <w:t>. 2014;20(4):573-591. doi:10.1016/j.cmet.2014.08.005</w:t>
      </w:r>
    </w:p>
    <w:p w14:paraId="0269BF76" w14:textId="77777777" w:rsidR="00BE712C" w:rsidRPr="00BE712C" w:rsidRDefault="00BE712C" w:rsidP="009906F2">
      <w:pPr>
        <w:pStyle w:val="Bibliography"/>
        <w:spacing w:after="0"/>
        <w:ind w:left="0" w:firstLine="0"/>
        <w:jc w:val="left"/>
      </w:pPr>
      <w:r w:rsidRPr="00BE712C">
        <w:t>15.</w:t>
      </w:r>
      <w:r w:rsidRPr="00BE712C">
        <w:tab/>
        <w:t xml:space="preserve">Bartesaghi S, Hallen S, Huang L, et al. Thermogenic Activity of UCP1 in Human White Fat-Derived Beige Adipocytes. </w:t>
      </w:r>
      <w:r w:rsidRPr="00BE712C">
        <w:rPr>
          <w:i/>
          <w:iCs/>
        </w:rPr>
        <w:t>Molecular Endocrinology</w:t>
      </w:r>
      <w:r w:rsidRPr="00BE712C">
        <w:t>. 2015;29(1):130-139. doi:10.1210/me.2014-1295</w:t>
      </w:r>
    </w:p>
    <w:p w14:paraId="2DE2CB0A" w14:textId="77777777" w:rsidR="00BE712C" w:rsidRPr="00BE712C" w:rsidRDefault="00BE712C" w:rsidP="009906F2">
      <w:pPr>
        <w:pStyle w:val="Bibliography"/>
        <w:spacing w:after="0"/>
        <w:ind w:left="0" w:firstLine="0"/>
        <w:jc w:val="left"/>
      </w:pPr>
      <w:r w:rsidRPr="00BE712C">
        <w:t>16.</w:t>
      </w:r>
      <w:r w:rsidRPr="00BE712C">
        <w:tab/>
        <w:t xml:space="preserve">Farhan M, Rizvi A. The Pharmacological Properties of Red Grape Polyphenol Resveratrol: Clinical Trials and Obstacles in Drug Development. </w:t>
      </w:r>
      <w:r w:rsidRPr="00BE712C">
        <w:rPr>
          <w:i/>
          <w:iCs/>
        </w:rPr>
        <w:t>Nutrients</w:t>
      </w:r>
      <w:r w:rsidRPr="00BE712C">
        <w:t>. 2023;15(20):4486. doi:10.3390/nu15204486</w:t>
      </w:r>
    </w:p>
    <w:p w14:paraId="709408D0" w14:textId="77777777" w:rsidR="00BE712C" w:rsidRPr="00BE712C" w:rsidRDefault="00BE712C" w:rsidP="009906F2">
      <w:pPr>
        <w:pStyle w:val="Bibliography"/>
        <w:spacing w:after="0"/>
        <w:ind w:left="0" w:firstLine="0"/>
        <w:jc w:val="left"/>
      </w:pPr>
      <w:r w:rsidRPr="00BE712C">
        <w:lastRenderedPageBreak/>
        <w:t>17.</w:t>
      </w:r>
      <w:r w:rsidRPr="00BE712C">
        <w:tab/>
        <w:t xml:space="preserve">Zhang X, Li X, Fang H, et al. Flavonoids as inducers of white adipose tissue browning and thermogenesis: signalling pathways and molecular triggers. </w:t>
      </w:r>
      <w:r w:rsidRPr="00BE712C">
        <w:rPr>
          <w:i/>
          <w:iCs/>
        </w:rPr>
        <w:t>Nutr Metab (Lond)</w:t>
      </w:r>
      <w:r w:rsidRPr="00BE712C">
        <w:t>. 2019;16:47. doi:10.1186/s12986-019-0370-7</w:t>
      </w:r>
    </w:p>
    <w:p w14:paraId="7A22FDA8" w14:textId="77777777" w:rsidR="00BE712C" w:rsidRPr="00BE712C" w:rsidRDefault="00BE712C" w:rsidP="009906F2">
      <w:pPr>
        <w:pStyle w:val="Bibliography"/>
        <w:spacing w:after="0"/>
        <w:ind w:left="0" w:firstLine="0"/>
        <w:jc w:val="left"/>
      </w:pPr>
      <w:r w:rsidRPr="00BE712C">
        <w:t>18.</w:t>
      </w:r>
      <w:r w:rsidRPr="00BE712C">
        <w:tab/>
        <w:t xml:space="preserve">Gregg EW, Shaw JE. Global Health Effects of Overweight and Obesity. </w:t>
      </w:r>
      <w:r w:rsidRPr="00BE712C">
        <w:rPr>
          <w:i/>
          <w:iCs/>
        </w:rPr>
        <w:t>New England Journal of Medicine</w:t>
      </w:r>
      <w:r w:rsidRPr="00BE712C">
        <w:t>. 2017;377(1):80-81. doi:10.1056/NEJMe1706095</w:t>
      </w:r>
    </w:p>
    <w:p w14:paraId="2B6A1E07" w14:textId="77777777" w:rsidR="00BE712C" w:rsidRPr="00BE712C" w:rsidRDefault="00BE712C" w:rsidP="009906F2">
      <w:pPr>
        <w:pStyle w:val="Bibliography"/>
        <w:spacing w:after="0"/>
        <w:ind w:left="0" w:firstLine="0"/>
        <w:jc w:val="left"/>
      </w:pPr>
      <w:r w:rsidRPr="00BE712C">
        <w:t>19.</w:t>
      </w:r>
      <w:r w:rsidRPr="00BE712C">
        <w:tab/>
        <w:t xml:space="preserve">Eknoyan G. Adolphe Quetelet (1796–1874)—the average man and indices of obesity. </w:t>
      </w:r>
      <w:r w:rsidRPr="00BE712C">
        <w:rPr>
          <w:i/>
          <w:iCs/>
        </w:rPr>
        <w:t>Nephrology Dialysis Transplantation</w:t>
      </w:r>
      <w:r w:rsidRPr="00BE712C">
        <w:t>. 2008;23(1):47-51. doi:10.1093/ndt/gfm517</w:t>
      </w:r>
    </w:p>
    <w:p w14:paraId="210EC019" w14:textId="77777777" w:rsidR="00BE712C" w:rsidRPr="00BE712C" w:rsidRDefault="00BE712C" w:rsidP="009906F2">
      <w:pPr>
        <w:pStyle w:val="Bibliography"/>
        <w:spacing w:after="0"/>
        <w:ind w:left="0" w:firstLine="0"/>
        <w:jc w:val="left"/>
      </w:pPr>
      <w:r w:rsidRPr="00BE712C">
        <w:t>20.</w:t>
      </w:r>
      <w:r w:rsidRPr="00BE712C">
        <w:tab/>
        <w:t xml:space="preserve">Whitlock EP, Williams SB, Gold R, Smith PR, Shipman SA. Screening and Interventions for Childhood Overweight: A Summary of Evidence for the US Preventive Services Task Force. </w:t>
      </w:r>
      <w:r w:rsidRPr="00BE712C">
        <w:rPr>
          <w:i/>
          <w:iCs/>
        </w:rPr>
        <w:t>Pediatrics</w:t>
      </w:r>
      <w:r w:rsidRPr="00BE712C">
        <w:t>. 2005;116(1):e125-e144. doi:10.1542/peds.2005-0242</w:t>
      </w:r>
    </w:p>
    <w:p w14:paraId="4DEC327B" w14:textId="77777777" w:rsidR="00BE712C" w:rsidRPr="00BE712C" w:rsidRDefault="00BE712C" w:rsidP="009906F2">
      <w:pPr>
        <w:pStyle w:val="Bibliography"/>
        <w:spacing w:after="0"/>
        <w:ind w:left="0" w:firstLine="0"/>
        <w:jc w:val="left"/>
      </w:pPr>
      <w:r w:rsidRPr="00BE712C">
        <w:t>21.</w:t>
      </w:r>
      <w:r w:rsidRPr="00BE712C">
        <w:tab/>
        <w:t xml:space="preserve">Lingvay I, Cohen RV, Roux CW le, Sumithran P. Obesity in adults. </w:t>
      </w:r>
      <w:r w:rsidRPr="00BE712C">
        <w:rPr>
          <w:i/>
          <w:iCs/>
        </w:rPr>
        <w:t>The Lancet</w:t>
      </w:r>
      <w:r w:rsidRPr="00BE712C">
        <w:t>. 2024;404(10456):972-987. doi:10.1016/S0140-6736(24)01210-8</w:t>
      </w:r>
    </w:p>
    <w:p w14:paraId="795989BF" w14:textId="77777777" w:rsidR="00BE712C" w:rsidRPr="00BE712C" w:rsidRDefault="00BE712C" w:rsidP="009906F2">
      <w:pPr>
        <w:pStyle w:val="Bibliography"/>
        <w:spacing w:after="0"/>
        <w:ind w:left="0" w:firstLine="0"/>
        <w:jc w:val="left"/>
      </w:pPr>
      <w:r w:rsidRPr="00BE712C">
        <w:t>22.</w:t>
      </w:r>
      <w:r w:rsidRPr="00BE712C">
        <w:tab/>
        <w:t xml:space="preserve">McLaughlin T, Abbasi F, Cheal K, Chu J, Lamendola C, Reaven G. Use of Metabolic Markers To Identify Overweight Individuals Who Are Insulin Resistant. </w:t>
      </w:r>
      <w:r w:rsidRPr="00BE712C">
        <w:rPr>
          <w:i/>
          <w:iCs/>
        </w:rPr>
        <w:t>Ann Intern Med</w:t>
      </w:r>
      <w:r w:rsidRPr="00BE712C">
        <w:t>. 2003;139(10):802-809. doi:10.7326/0003-4819-139-10-200311180-00007</w:t>
      </w:r>
    </w:p>
    <w:p w14:paraId="7B066842" w14:textId="77777777" w:rsidR="00BE712C" w:rsidRPr="00BE712C" w:rsidRDefault="00BE712C" w:rsidP="009906F2">
      <w:pPr>
        <w:pStyle w:val="Bibliography"/>
        <w:spacing w:after="0"/>
        <w:ind w:left="0" w:firstLine="0"/>
        <w:jc w:val="left"/>
      </w:pPr>
      <w:r w:rsidRPr="00BE712C">
        <w:t>23.</w:t>
      </w:r>
      <w:r w:rsidRPr="00BE712C">
        <w:tab/>
        <w:t xml:space="preserve">Chait A, den Hartigh LJ. Adipose Tissue Distribution, Inflammation and Its Metabolic Consequences, Including Diabetes and Cardiovascular Disease. </w:t>
      </w:r>
      <w:r w:rsidRPr="00BE712C">
        <w:rPr>
          <w:i/>
          <w:iCs/>
        </w:rPr>
        <w:t>Front Cardiovasc Med</w:t>
      </w:r>
      <w:r w:rsidRPr="00BE712C">
        <w:t>. 2020;7. doi:10.3389/fcvm.2020.00022</w:t>
      </w:r>
    </w:p>
    <w:p w14:paraId="3FDAA031" w14:textId="77777777" w:rsidR="00BE712C" w:rsidRPr="00BE712C" w:rsidRDefault="00BE712C" w:rsidP="009906F2">
      <w:pPr>
        <w:pStyle w:val="Bibliography"/>
        <w:spacing w:after="0"/>
        <w:ind w:left="0" w:firstLine="0"/>
        <w:jc w:val="left"/>
      </w:pPr>
      <w:r w:rsidRPr="00BE712C">
        <w:t>24.</w:t>
      </w:r>
      <w:r w:rsidRPr="00BE712C">
        <w:tab/>
        <w:t>Obesity and overweight. Accessed May 28, 2025. https://www.who.int/news-room/fact-sheets/detail/obesity-and-overweight</w:t>
      </w:r>
    </w:p>
    <w:p w14:paraId="41404726" w14:textId="77777777" w:rsidR="00BE712C" w:rsidRPr="00BE712C" w:rsidRDefault="00BE712C" w:rsidP="009906F2">
      <w:pPr>
        <w:pStyle w:val="Bibliography"/>
        <w:spacing w:after="0"/>
        <w:ind w:left="0" w:firstLine="0"/>
        <w:jc w:val="left"/>
      </w:pPr>
      <w:r w:rsidRPr="00BE712C">
        <w:t>25.</w:t>
      </w:r>
      <w:r w:rsidRPr="00BE712C">
        <w:tab/>
        <w:t xml:space="preserve">Ng M, Gakidou E, Lo J, et al. Global, regional, and national prevalence of adult overweight and obesity, 1990–2021, with forecasts to 2050: a forecasting study for the Global Burden of </w:t>
      </w:r>
      <w:r w:rsidRPr="00BE712C">
        <w:lastRenderedPageBreak/>
        <w:t xml:space="preserve">Disease Study 2021. </w:t>
      </w:r>
      <w:r w:rsidRPr="00BE712C">
        <w:rPr>
          <w:i/>
          <w:iCs/>
        </w:rPr>
        <w:t>The Lancet</w:t>
      </w:r>
      <w:r w:rsidRPr="00BE712C">
        <w:t>. 2025;405(10481):813-838. doi:10.1016/S0140-6736(25)00355-1</w:t>
      </w:r>
    </w:p>
    <w:p w14:paraId="59F6645B" w14:textId="77777777" w:rsidR="00BE712C" w:rsidRPr="00BE712C" w:rsidRDefault="00BE712C" w:rsidP="009906F2">
      <w:pPr>
        <w:pStyle w:val="Bibliography"/>
        <w:spacing w:after="0"/>
        <w:ind w:left="0" w:firstLine="0"/>
        <w:jc w:val="left"/>
      </w:pPr>
      <w:r w:rsidRPr="00BE712C">
        <w:t>26.</w:t>
      </w:r>
      <w:r w:rsidRPr="00BE712C">
        <w:tab/>
        <w:t xml:space="preserve">Ford ND, Patel SA, Narayan KMV. Obesity in Low- and Middle-Income Countries: Burden, Drivers, and Emerging Challenges. </w:t>
      </w:r>
      <w:r w:rsidRPr="00BE712C">
        <w:rPr>
          <w:i/>
          <w:iCs/>
        </w:rPr>
        <w:t>Annu Rev Public Health</w:t>
      </w:r>
      <w:r w:rsidRPr="00BE712C">
        <w:t>. 2017;38(1):145-164. doi:10.1146/annurev-publhealth-031816-044604</w:t>
      </w:r>
    </w:p>
    <w:p w14:paraId="5C74D1F2" w14:textId="77777777" w:rsidR="00BE712C" w:rsidRPr="00BE712C" w:rsidRDefault="00BE712C" w:rsidP="009906F2">
      <w:pPr>
        <w:pStyle w:val="Bibliography"/>
        <w:spacing w:after="0"/>
        <w:ind w:left="0" w:firstLine="0"/>
        <w:jc w:val="left"/>
      </w:pPr>
      <w:r w:rsidRPr="00BE712C">
        <w:t>27.</w:t>
      </w:r>
      <w:r w:rsidRPr="00BE712C">
        <w:tab/>
        <w:t xml:space="preserve">Tirthani E, Said MS, Rehman A. Genetics and Obesity. In: </w:t>
      </w:r>
      <w:r w:rsidRPr="00BE712C">
        <w:rPr>
          <w:i/>
          <w:iCs/>
        </w:rPr>
        <w:t>StatPearls</w:t>
      </w:r>
      <w:r w:rsidRPr="00BE712C">
        <w:t>. StatPearls Publishing; 2025. Accessed June 11, 2025. http://www.ncbi.nlm.nih.gov/books/NBK573068/</w:t>
      </w:r>
    </w:p>
    <w:p w14:paraId="08A7176B" w14:textId="77777777" w:rsidR="00BE712C" w:rsidRPr="00BE712C" w:rsidRDefault="00BE712C" w:rsidP="009906F2">
      <w:pPr>
        <w:pStyle w:val="Bibliography"/>
        <w:spacing w:after="0"/>
        <w:ind w:left="0" w:firstLine="0"/>
        <w:jc w:val="left"/>
      </w:pPr>
      <w:r w:rsidRPr="00BE712C">
        <w:t>28.</w:t>
      </w:r>
      <w:r w:rsidRPr="00BE712C">
        <w:tab/>
        <w:t xml:space="preserve">Chung WK. An Overview of Mongenic and Syndromic Obesities in Humans. </w:t>
      </w:r>
      <w:r w:rsidRPr="00BE712C">
        <w:rPr>
          <w:i/>
          <w:iCs/>
        </w:rPr>
        <w:t>Pediatr Blood Cancer</w:t>
      </w:r>
      <w:r w:rsidRPr="00BE712C">
        <w:t>. 2012;58(1):122-128. doi:10.1002/pbc.23372</w:t>
      </w:r>
    </w:p>
    <w:p w14:paraId="0D3A29EF" w14:textId="77777777" w:rsidR="00BE712C" w:rsidRPr="00BE712C" w:rsidRDefault="00BE712C" w:rsidP="009906F2">
      <w:pPr>
        <w:pStyle w:val="Bibliography"/>
        <w:spacing w:after="0"/>
        <w:ind w:left="0" w:firstLine="0"/>
        <w:jc w:val="left"/>
      </w:pPr>
      <w:r w:rsidRPr="00BE712C">
        <w:t>29.</w:t>
      </w:r>
      <w:r w:rsidRPr="00BE712C">
        <w:tab/>
        <w:t xml:space="preserve">Saeed S, Bonnefond A, Manzoor J, et al. Genetic variants in LEP, LEPR, and MC4R explain 30% of severe obesity in children from a consanguineous population. </w:t>
      </w:r>
      <w:r w:rsidRPr="00BE712C">
        <w:rPr>
          <w:i/>
          <w:iCs/>
        </w:rPr>
        <w:t>Obesity</w:t>
      </w:r>
      <w:r w:rsidRPr="00BE712C">
        <w:t>. 2015;23(8):1687-1695. doi:10.1002/oby.21142</w:t>
      </w:r>
    </w:p>
    <w:p w14:paraId="0B6762EF" w14:textId="77777777" w:rsidR="00BE712C" w:rsidRPr="00BE712C" w:rsidRDefault="00BE712C" w:rsidP="009906F2">
      <w:pPr>
        <w:pStyle w:val="Bibliography"/>
        <w:spacing w:after="0"/>
        <w:ind w:left="0" w:firstLine="0"/>
        <w:jc w:val="left"/>
      </w:pPr>
      <w:r w:rsidRPr="00BE712C">
        <w:t>30.</w:t>
      </w:r>
      <w:r w:rsidRPr="00BE712C">
        <w:tab/>
        <w:t xml:space="preserve">Chaves C, Kay T, Anselmo J. Early onset obesity due to a mutation in the human leptin receptor gene. </w:t>
      </w:r>
      <w:r w:rsidRPr="00BE712C">
        <w:rPr>
          <w:i/>
          <w:iCs/>
        </w:rPr>
        <w:t>Endocrinol Diabetes Metab Case Rep</w:t>
      </w:r>
      <w:r w:rsidRPr="00BE712C">
        <w:t>. 2022;2022:21-0124. doi:10.1530/EDM-21-0124</w:t>
      </w:r>
    </w:p>
    <w:p w14:paraId="184B2BA4" w14:textId="77777777" w:rsidR="00BE712C" w:rsidRPr="00BE712C" w:rsidRDefault="00BE712C" w:rsidP="009906F2">
      <w:pPr>
        <w:pStyle w:val="Bibliography"/>
        <w:spacing w:after="0"/>
        <w:ind w:left="0" w:firstLine="0"/>
        <w:jc w:val="left"/>
      </w:pPr>
      <w:r w:rsidRPr="00BE712C">
        <w:t>31.</w:t>
      </w:r>
      <w:r w:rsidRPr="00BE712C">
        <w:tab/>
        <w:t xml:space="preserve">Hinney A, Hebebrand J. Polygenic Obesity in Humans. </w:t>
      </w:r>
      <w:r w:rsidRPr="00BE712C">
        <w:rPr>
          <w:i/>
          <w:iCs/>
        </w:rPr>
        <w:t>Obes Facts</w:t>
      </w:r>
      <w:r w:rsidRPr="00BE712C">
        <w:t>. 2008;1(1):35-42. doi:10.1159/000113935</w:t>
      </w:r>
    </w:p>
    <w:p w14:paraId="16D5EAA1" w14:textId="77777777" w:rsidR="00BE712C" w:rsidRPr="00BE712C" w:rsidRDefault="00BE712C" w:rsidP="009906F2">
      <w:pPr>
        <w:pStyle w:val="Bibliography"/>
        <w:spacing w:after="0"/>
        <w:ind w:left="0" w:firstLine="0"/>
        <w:jc w:val="left"/>
      </w:pPr>
      <w:r w:rsidRPr="00BE712C">
        <w:t>32.</w:t>
      </w:r>
      <w:r w:rsidRPr="00BE712C">
        <w:tab/>
        <w:t xml:space="preserve">Hinney A, Nguyen TT, Scherag A, et al. Genome Wide Association (GWA) Study for Early Onset Extreme Obesity Supports the Role of Fat Mass and Obesity Associated Gene (FTO) Variants. </w:t>
      </w:r>
      <w:r w:rsidRPr="00BE712C">
        <w:rPr>
          <w:i/>
          <w:iCs/>
        </w:rPr>
        <w:t>PLOS ONE</w:t>
      </w:r>
      <w:r w:rsidRPr="00BE712C">
        <w:t>. 2007;2(12):e1361. doi:10.1371/journal.pone.0001361</w:t>
      </w:r>
    </w:p>
    <w:p w14:paraId="2796D0DF" w14:textId="77777777" w:rsidR="00BE712C" w:rsidRPr="00BE712C" w:rsidRDefault="00BE712C" w:rsidP="009906F2">
      <w:pPr>
        <w:pStyle w:val="Bibliography"/>
        <w:spacing w:after="0"/>
        <w:ind w:left="0" w:firstLine="0"/>
        <w:jc w:val="left"/>
      </w:pPr>
      <w:r w:rsidRPr="00BE712C">
        <w:lastRenderedPageBreak/>
        <w:t>33.</w:t>
      </w:r>
      <w:r w:rsidRPr="00BE712C">
        <w:tab/>
        <w:t xml:space="preserve">Grant SFA, Li M, Bradfield JP, et al. Association Analysis of the FTO Gene with Obesity in Children of Caucasian and African Ancestry Reveals a Common Tagging SNP. </w:t>
      </w:r>
      <w:r w:rsidRPr="00BE712C">
        <w:rPr>
          <w:i/>
          <w:iCs/>
        </w:rPr>
        <w:t>PLOS ONE</w:t>
      </w:r>
      <w:r w:rsidRPr="00BE712C">
        <w:t>. 2008;3(3):e1746. doi:10.1371/journal.pone.0001746</w:t>
      </w:r>
    </w:p>
    <w:p w14:paraId="5FD7BF32" w14:textId="77777777" w:rsidR="00BE712C" w:rsidRPr="00BE712C" w:rsidRDefault="00BE712C" w:rsidP="009906F2">
      <w:pPr>
        <w:pStyle w:val="Bibliography"/>
        <w:spacing w:after="0"/>
        <w:ind w:left="0" w:firstLine="0"/>
        <w:jc w:val="left"/>
      </w:pPr>
      <w:r w:rsidRPr="00BE712C">
        <w:t>34.</w:t>
      </w:r>
      <w:r w:rsidRPr="00BE712C">
        <w:tab/>
        <w:t xml:space="preserve">Thorleifsson G, Walters GB, Gudbjartsson DF, et al. Genome-wide association yields new sequence variants at seven loci that associate with measures of obesity. </w:t>
      </w:r>
      <w:r w:rsidRPr="00BE712C">
        <w:rPr>
          <w:i/>
          <w:iCs/>
        </w:rPr>
        <w:t>Nat Genet</w:t>
      </w:r>
      <w:r w:rsidRPr="00BE712C">
        <w:t>. 2009;41(1):18-24. doi:10.1038/ng.274</w:t>
      </w:r>
    </w:p>
    <w:p w14:paraId="72CEC63D" w14:textId="77777777" w:rsidR="00BE712C" w:rsidRPr="00BE712C" w:rsidRDefault="00BE712C" w:rsidP="009906F2">
      <w:pPr>
        <w:pStyle w:val="Bibliography"/>
        <w:spacing w:after="0"/>
        <w:ind w:left="0" w:firstLine="0"/>
        <w:jc w:val="left"/>
      </w:pPr>
      <w:r w:rsidRPr="00BE712C">
        <w:t>35.</w:t>
      </w:r>
      <w:r w:rsidRPr="00BE712C">
        <w:tab/>
        <w:t xml:space="preserve">Gunay-Aygun M, Cassidy SB, Nicholls RD. Prader–Willi and Other Syndromes Associated with Obesity and Mental Retardation. </w:t>
      </w:r>
      <w:r w:rsidRPr="00BE712C">
        <w:rPr>
          <w:i/>
          <w:iCs/>
        </w:rPr>
        <w:t>Behav Genet</w:t>
      </w:r>
      <w:r w:rsidRPr="00BE712C">
        <w:t>. 1997;27(4):307-324. doi:10.1023/A:1025683829856</w:t>
      </w:r>
    </w:p>
    <w:p w14:paraId="019813A4" w14:textId="77777777" w:rsidR="00BE712C" w:rsidRPr="00BE712C" w:rsidRDefault="00BE712C" w:rsidP="009906F2">
      <w:pPr>
        <w:pStyle w:val="Bibliography"/>
        <w:spacing w:after="0"/>
        <w:ind w:left="0" w:firstLine="0"/>
        <w:jc w:val="left"/>
      </w:pPr>
      <w:r w:rsidRPr="00BE712C">
        <w:t>36.</w:t>
      </w:r>
      <w:r w:rsidRPr="00BE712C">
        <w:tab/>
        <w:t xml:space="preserve">Mahmoud AM. An Overview of Epigenetics in Obesity: The Role of Lifestyle and Therapeutic Interventions. </w:t>
      </w:r>
      <w:r w:rsidRPr="00BE712C">
        <w:rPr>
          <w:i/>
          <w:iCs/>
        </w:rPr>
        <w:t>Int J Mol Sci</w:t>
      </w:r>
      <w:r w:rsidRPr="00BE712C">
        <w:t>. 2022;23(3):1341. doi:10.3390/ijms23031341</w:t>
      </w:r>
    </w:p>
    <w:p w14:paraId="42362942" w14:textId="77777777" w:rsidR="00BE712C" w:rsidRPr="00BE712C" w:rsidRDefault="00BE712C" w:rsidP="009906F2">
      <w:pPr>
        <w:pStyle w:val="Bibliography"/>
        <w:spacing w:after="0"/>
        <w:ind w:left="0" w:firstLine="0"/>
        <w:jc w:val="left"/>
      </w:pPr>
      <w:r w:rsidRPr="00BE712C">
        <w:t>37.</w:t>
      </w:r>
      <w:r w:rsidRPr="00BE712C">
        <w:tab/>
        <w:t xml:space="preserve">Wu YL, Lin ZJ, Li CC, et al. Epigenetic regulation in metabolic diseases: mechanisms and advances in clinical study. </w:t>
      </w:r>
      <w:r w:rsidRPr="00BE712C">
        <w:rPr>
          <w:i/>
          <w:iCs/>
        </w:rPr>
        <w:t>Sig Transduct Target Ther</w:t>
      </w:r>
      <w:r w:rsidRPr="00BE712C">
        <w:t>. 2023;8(1):1-27. doi:10.1038/s41392-023-01333-7</w:t>
      </w:r>
    </w:p>
    <w:p w14:paraId="32D9A909" w14:textId="77777777" w:rsidR="00BE712C" w:rsidRPr="00BE712C" w:rsidRDefault="00BE712C" w:rsidP="009906F2">
      <w:pPr>
        <w:pStyle w:val="Bibliography"/>
        <w:spacing w:after="0"/>
        <w:ind w:left="0" w:firstLine="0"/>
        <w:jc w:val="left"/>
      </w:pPr>
      <w:r w:rsidRPr="00BE712C">
        <w:t>38.</w:t>
      </w:r>
      <w:r w:rsidRPr="00BE712C">
        <w:tab/>
        <w:t xml:space="preserve">Mantzorou M, Papandreou D, Pavlidou E, et al. Maternal Gestational Diabetes Is Associated with High Risk of Childhood Overweight and Obesity: A Cross-Sectional Study in Pre-School Children Aged 2–5 Years. </w:t>
      </w:r>
      <w:r w:rsidRPr="00BE712C">
        <w:rPr>
          <w:i/>
          <w:iCs/>
        </w:rPr>
        <w:t>Medicina (Kaunas)</w:t>
      </w:r>
      <w:r w:rsidRPr="00BE712C">
        <w:t>. 2023;59(3):455. doi:10.3390/medicina59030455</w:t>
      </w:r>
    </w:p>
    <w:p w14:paraId="63369E53" w14:textId="77777777" w:rsidR="00BE712C" w:rsidRPr="00BE712C" w:rsidRDefault="00BE712C" w:rsidP="009906F2">
      <w:pPr>
        <w:pStyle w:val="Bibliography"/>
        <w:spacing w:after="0"/>
        <w:ind w:left="0" w:firstLine="0"/>
        <w:jc w:val="left"/>
      </w:pPr>
      <w:r w:rsidRPr="00BE712C">
        <w:t>39.</w:t>
      </w:r>
      <w:r w:rsidRPr="00BE712C">
        <w:tab/>
        <w:t xml:space="preserve">Bao W, Michels KB, Tobias DK, et al. Parental smoking during pregnancy and the risk of gestational diabetes in the daughter. </w:t>
      </w:r>
      <w:r w:rsidRPr="00BE712C">
        <w:rPr>
          <w:i/>
          <w:iCs/>
        </w:rPr>
        <w:t>Int J Epidemiol</w:t>
      </w:r>
      <w:r w:rsidRPr="00BE712C">
        <w:t>. 2016;45(1):160-169. doi:10.1093/ije/dyv334</w:t>
      </w:r>
    </w:p>
    <w:p w14:paraId="4164D11C" w14:textId="77777777" w:rsidR="00BE712C" w:rsidRPr="00BE712C" w:rsidRDefault="00BE712C" w:rsidP="009906F2">
      <w:pPr>
        <w:pStyle w:val="Bibliography"/>
        <w:spacing w:after="0"/>
        <w:ind w:left="0" w:firstLine="0"/>
        <w:jc w:val="left"/>
      </w:pPr>
      <w:r w:rsidRPr="00BE712C">
        <w:lastRenderedPageBreak/>
        <w:t>40.</w:t>
      </w:r>
      <w:r w:rsidRPr="00BE712C">
        <w:tab/>
        <w:t xml:space="preserve">Taveras EM, Rifas-Shiman SL, Oken E, Gunderson EP, Gillman MW. Short Sleep Duration in Infancy and Risk of Childhood Overweight. </w:t>
      </w:r>
      <w:r w:rsidRPr="00BE712C">
        <w:rPr>
          <w:i/>
          <w:iCs/>
        </w:rPr>
        <w:t>Archives of Pediatrics &amp; Adolescent Medicine</w:t>
      </w:r>
      <w:r w:rsidRPr="00BE712C">
        <w:t>. 2008;162(4):305-311. doi:10.1001/archpedi.162.4.305</w:t>
      </w:r>
    </w:p>
    <w:p w14:paraId="53B6FBC8" w14:textId="77777777" w:rsidR="00BE712C" w:rsidRPr="00BE712C" w:rsidRDefault="00BE712C" w:rsidP="009906F2">
      <w:pPr>
        <w:pStyle w:val="Bibliography"/>
        <w:spacing w:after="0"/>
        <w:ind w:left="0" w:firstLine="0"/>
        <w:jc w:val="left"/>
      </w:pPr>
      <w:r w:rsidRPr="00BE712C">
        <w:t>41.</w:t>
      </w:r>
      <w:r w:rsidRPr="00BE712C">
        <w:tab/>
        <w:t xml:space="preserve">Woo Baidal JA, Locks LM, Cheng ER, Blake-Lamb TL, Perkins ME, Taveras EM. Risk Factors for Childhood Obesity in the First 1,000 Days: A Systematic Review. </w:t>
      </w:r>
      <w:r w:rsidRPr="00BE712C">
        <w:rPr>
          <w:i/>
          <w:iCs/>
        </w:rPr>
        <w:t>Am J Prev Med</w:t>
      </w:r>
      <w:r w:rsidRPr="00BE712C">
        <w:t>. 2016;50(6):761-779. doi:10.1016/j.amepre.2015.11.012</w:t>
      </w:r>
    </w:p>
    <w:p w14:paraId="2DE614FA" w14:textId="77777777" w:rsidR="00BE712C" w:rsidRPr="00BE712C" w:rsidRDefault="00BE712C" w:rsidP="009906F2">
      <w:pPr>
        <w:pStyle w:val="Bibliography"/>
        <w:spacing w:after="0"/>
        <w:ind w:left="0" w:firstLine="0"/>
        <w:jc w:val="left"/>
      </w:pPr>
      <w:r w:rsidRPr="00BE712C">
        <w:t>42.</w:t>
      </w:r>
      <w:r w:rsidRPr="00BE712C">
        <w:tab/>
        <w:t xml:space="preserve">Reilly JJ, Armstrong J, Dorosty AR, et al. Early life risk factors for obesity in childhood: cohort study. </w:t>
      </w:r>
      <w:r w:rsidRPr="00BE712C">
        <w:rPr>
          <w:i/>
          <w:iCs/>
        </w:rPr>
        <w:t>BMJ</w:t>
      </w:r>
      <w:r w:rsidRPr="00BE712C">
        <w:t>. 2005;330(7504):1357. doi:10.1136/bmj.38470.670903.E0</w:t>
      </w:r>
    </w:p>
    <w:p w14:paraId="6EBF952E" w14:textId="77777777" w:rsidR="00BE712C" w:rsidRPr="00BE712C" w:rsidRDefault="00BE712C" w:rsidP="009906F2">
      <w:pPr>
        <w:pStyle w:val="Bibliography"/>
        <w:spacing w:after="0"/>
        <w:ind w:left="0" w:firstLine="0"/>
        <w:jc w:val="left"/>
      </w:pPr>
      <w:r w:rsidRPr="00BE712C">
        <w:t>43.</w:t>
      </w:r>
      <w:r w:rsidRPr="00BE712C">
        <w:tab/>
        <w:t xml:space="preserve">Young BE, Johnson SL, Krebs NF. Biological Determinants Linking Infant Weight Gain and Child Obesity: Current Knowledge and Future Directions. </w:t>
      </w:r>
      <w:r w:rsidRPr="00BE712C">
        <w:rPr>
          <w:i/>
          <w:iCs/>
        </w:rPr>
        <w:t>Advances in Nutrition</w:t>
      </w:r>
      <w:r w:rsidRPr="00BE712C">
        <w:t>. 2012;3(5):675-686. doi:10.3945/an.112.002238</w:t>
      </w:r>
    </w:p>
    <w:p w14:paraId="46CB0829" w14:textId="77777777" w:rsidR="00BE712C" w:rsidRPr="00BE712C" w:rsidRDefault="00BE712C" w:rsidP="009906F2">
      <w:pPr>
        <w:pStyle w:val="Bibliography"/>
        <w:spacing w:after="0"/>
        <w:ind w:left="0" w:firstLine="0"/>
        <w:jc w:val="left"/>
      </w:pPr>
      <w:r w:rsidRPr="00BE712C">
        <w:t>44.</w:t>
      </w:r>
      <w:r w:rsidRPr="00BE712C">
        <w:tab/>
        <w:t xml:space="preserve">Leitzmann M. Physical activity, sedentary behaviour, and obesity. In: Romieu I, Dossus L, Willett WC, eds. </w:t>
      </w:r>
      <w:r w:rsidRPr="00BE712C">
        <w:rPr>
          <w:i/>
          <w:iCs/>
        </w:rPr>
        <w:t>Energy Balance and Obesity</w:t>
      </w:r>
      <w:r w:rsidRPr="00BE712C">
        <w:t>. IARC Working Group Reports. International Agency for Research on Cancer; 2017. Accessed June 11, 2025. http://www.ncbi.nlm.nih.gov/books/NBK565813/</w:t>
      </w:r>
    </w:p>
    <w:p w14:paraId="7604EFDF" w14:textId="77777777" w:rsidR="00BE712C" w:rsidRPr="00BE712C" w:rsidRDefault="00BE712C" w:rsidP="009906F2">
      <w:pPr>
        <w:pStyle w:val="Bibliography"/>
        <w:spacing w:after="0"/>
        <w:ind w:left="0" w:firstLine="0"/>
        <w:jc w:val="left"/>
      </w:pPr>
      <w:r w:rsidRPr="00BE712C">
        <w:t>45.</w:t>
      </w:r>
      <w:r w:rsidRPr="00BE712C">
        <w:tab/>
        <w:t xml:space="preserve">Moschonis G, Trakman GL. Overweight and Obesity: The Interplay of Eating Habits and Physical Activity. </w:t>
      </w:r>
      <w:r w:rsidRPr="00BE712C">
        <w:rPr>
          <w:i/>
          <w:iCs/>
        </w:rPr>
        <w:t>Nutrients</w:t>
      </w:r>
      <w:r w:rsidRPr="00BE712C">
        <w:t>. 2023;15(13):2896. doi:10.3390/nu15132896</w:t>
      </w:r>
    </w:p>
    <w:p w14:paraId="36733C31" w14:textId="77777777" w:rsidR="00BE712C" w:rsidRPr="00BE712C" w:rsidRDefault="00BE712C" w:rsidP="009906F2">
      <w:pPr>
        <w:pStyle w:val="Bibliography"/>
        <w:spacing w:after="0"/>
        <w:ind w:left="0" w:firstLine="0"/>
        <w:jc w:val="left"/>
      </w:pPr>
      <w:r w:rsidRPr="00BE712C">
        <w:t>46.</w:t>
      </w:r>
      <w:r w:rsidRPr="00BE712C">
        <w:tab/>
        <w:t xml:space="preserve">Verhavert Y, De Martelaer K, Van Hoof E, Van Der Linden E, Zinzen E, Deliens T. The Association between Energy Balance-Related Behavior and Burn-Out in Adults: A Systematic Review. </w:t>
      </w:r>
      <w:r w:rsidRPr="00BE712C">
        <w:rPr>
          <w:i/>
          <w:iCs/>
        </w:rPr>
        <w:t>Nutrients</w:t>
      </w:r>
      <w:r w:rsidRPr="00BE712C">
        <w:t>. 2020;12(2):397. doi:10.3390/nu12020397</w:t>
      </w:r>
    </w:p>
    <w:p w14:paraId="7DD8F924" w14:textId="77777777" w:rsidR="00BE712C" w:rsidRPr="00BE712C" w:rsidRDefault="00BE712C" w:rsidP="009906F2">
      <w:pPr>
        <w:pStyle w:val="Bibliography"/>
        <w:spacing w:after="0"/>
        <w:ind w:left="0" w:firstLine="0"/>
        <w:jc w:val="left"/>
      </w:pPr>
      <w:r w:rsidRPr="00BE712C">
        <w:lastRenderedPageBreak/>
        <w:t>47.</w:t>
      </w:r>
      <w:r w:rsidRPr="00BE712C">
        <w:tab/>
        <w:t xml:space="preserve">Wilkin LD, Cheryl A, Haddock BL. Energy expenditure comparison between walking and running in average fitness individuals. </w:t>
      </w:r>
      <w:r w:rsidRPr="00BE712C">
        <w:rPr>
          <w:i/>
          <w:iCs/>
        </w:rPr>
        <w:t>J Strength Cond Res</w:t>
      </w:r>
      <w:r w:rsidRPr="00BE712C">
        <w:t>. 2012;26(4):1039-1044. doi:10.1519/JSC.0b013e31822e592c</w:t>
      </w:r>
    </w:p>
    <w:p w14:paraId="07DAD603" w14:textId="77777777" w:rsidR="00BE712C" w:rsidRPr="00BE712C" w:rsidRDefault="00BE712C" w:rsidP="009906F2">
      <w:pPr>
        <w:pStyle w:val="Bibliography"/>
        <w:spacing w:after="0"/>
        <w:ind w:left="0" w:firstLine="0"/>
        <w:jc w:val="left"/>
      </w:pPr>
      <w:r w:rsidRPr="00BE712C">
        <w:t>48.</w:t>
      </w:r>
      <w:r w:rsidRPr="00BE712C">
        <w:tab/>
        <w:t xml:space="preserve">Wilke NA, Sheldahl LM, Dougherty SM, Hanna RD, Nickele GA, Tristani FE. Energy expenditure during household tasks in women with coronary artery disease. </w:t>
      </w:r>
      <w:r w:rsidRPr="00BE712C">
        <w:rPr>
          <w:i/>
          <w:iCs/>
        </w:rPr>
        <w:t>Am J Cardiol</w:t>
      </w:r>
      <w:r w:rsidRPr="00BE712C">
        <w:t>. 1995;75(10):670-674. doi:10.1016/S0002-9149(99)80651-1</w:t>
      </w:r>
    </w:p>
    <w:p w14:paraId="7150F559" w14:textId="77777777" w:rsidR="00BE712C" w:rsidRPr="00BE712C" w:rsidRDefault="00BE712C" w:rsidP="009906F2">
      <w:pPr>
        <w:pStyle w:val="Bibliography"/>
        <w:spacing w:after="0"/>
        <w:ind w:left="0" w:firstLine="0"/>
        <w:jc w:val="left"/>
      </w:pPr>
      <w:r w:rsidRPr="00BE712C">
        <w:t>49.</w:t>
      </w:r>
      <w:r w:rsidRPr="00BE712C">
        <w:tab/>
        <w:t xml:space="preserve">Tsochantaridou A, Sergentanis TN, Grammatikopoulou MG, Merakou K, Vassilakou T, Kornarou E. Food Advertisement and Dietary Choices in Adolescents: An Overview of Recent Studies. </w:t>
      </w:r>
      <w:r w:rsidRPr="00BE712C">
        <w:rPr>
          <w:i/>
          <w:iCs/>
        </w:rPr>
        <w:t>Children (Basel)</w:t>
      </w:r>
      <w:r w:rsidRPr="00BE712C">
        <w:t>. 2023;10(3):442. doi:10.3390/children10030442</w:t>
      </w:r>
    </w:p>
    <w:p w14:paraId="49E14361" w14:textId="77777777" w:rsidR="00BE712C" w:rsidRPr="00BE712C" w:rsidRDefault="00BE712C" w:rsidP="009906F2">
      <w:pPr>
        <w:pStyle w:val="Bibliography"/>
        <w:spacing w:after="0"/>
        <w:ind w:left="0" w:firstLine="0"/>
        <w:jc w:val="left"/>
      </w:pPr>
      <w:r w:rsidRPr="00BE712C">
        <w:t>50.</w:t>
      </w:r>
      <w:r w:rsidRPr="00BE712C">
        <w:tab/>
        <w:t xml:space="preserve">MOHAMMADBEIGI A, ASGARIAN A, MOSHIR E, et al. Fast food consumption and overweight/obesity prevalence in students and its association with general and abdominal obesity. </w:t>
      </w:r>
      <w:r w:rsidRPr="00BE712C">
        <w:rPr>
          <w:i/>
          <w:iCs/>
        </w:rPr>
        <w:t>J Prev Med Hyg</w:t>
      </w:r>
      <w:r w:rsidRPr="00BE712C">
        <w:t>. 2018;59(3):E236-E240. doi:10.15167/2421-4248/jpmh2018.59.3.830</w:t>
      </w:r>
    </w:p>
    <w:p w14:paraId="61E2B761" w14:textId="77777777" w:rsidR="00BE712C" w:rsidRPr="00BE712C" w:rsidRDefault="00BE712C" w:rsidP="009906F2">
      <w:pPr>
        <w:pStyle w:val="Bibliography"/>
        <w:spacing w:after="0"/>
        <w:ind w:left="0" w:firstLine="0"/>
        <w:jc w:val="left"/>
      </w:pPr>
      <w:r w:rsidRPr="00BE712C">
        <w:t>51.</w:t>
      </w:r>
      <w:r w:rsidRPr="00BE712C">
        <w:tab/>
        <w:t xml:space="preserve">Adnan D, Trinh J, Bishehsari F. Inconsistent eating time is associated with obesity: A prospective study. </w:t>
      </w:r>
      <w:r w:rsidRPr="00BE712C">
        <w:rPr>
          <w:i/>
          <w:iCs/>
        </w:rPr>
        <w:t>EXCLI J</w:t>
      </w:r>
      <w:r w:rsidRPr="00BE712C">
        <w:t>. 2022;21:300-306. doi:10.17179/excli2021-4324</w:t>
      </w:r>
    </w:p>
    <w:p w14:paraId="51A1E798" w14:textId="77777777" w:rsidR="00BE712C" w:rsidRPr="00BE712C" w:rsidRDefault="00BE712C" w:rsidP="009906F2">
      <w:pPr>
        <w:pStyle w:val="Bibliography"/>
        <w:spacing w:after="0"/>
        <w:ind w:left="0" w:firstLine="0"/>
        <w:jc w:val="left"/>
      </w:pPr>
      <w:r w:rsidRPr="00BE712C">
        <w:t>52.</w:t>
      </w:r>
      <w:r w:rsidRPr="00BE712C">
        <w:tab/>
        <w:t xml:space="preserve">Kim MS, Shim I, Fahed AC, et al. Association of genetic risk, lifestyle, and their interaction with obesity and obesity-related morbidities. </w:t>
      </w:r>
      <w:r w:rsidRPr="00BE712C">
        <w:rPr>
          <w:i/>
          <w:iCs/>
        </w:rPr>
        <w:t>Cell Metabolism</w:t>
      </w:r>
      <w:r w:rsidRPr="00BE712C">
        <w:t>. 2024;36(7):1494-1503.e3. doi:10.1016/j.cmet.2024.06.004</w:t>
      </w:r>
    </w:p>
    <w:p w14:paraId="4B3E8683" w14:textId="77777777" w:rsidR="00BE712C" w:rsidRPr="00BE712C" w:rsidRDefault="00BE712C" w:rsidP="009906F2">
      <w:pPr>
        <w:pStyle w:val="Bibliography"/>
        <w:spacing w:after="0"/>
        <w:ind w:left="0" w:firstLine="0"/>
        <w:jc w:val="left"/>
      </w:pPr>
      <w:r w:rsidRPr="00BE712C">
        <w:t>53.</w:t>
      </w:r>
      <w:r w:rsidRPr="00BE712C">
        <w:tab/>
        <w:t xml:space="preserve">Segal Y, Gunturu S. Psychological Issues Associated With Obesity. In: </w:t>
      </w:r>
      <w:r w:rsidRPr="00BE712C">
        <w:rPr>
          <w:i/>
          <w:iCs/>
        </w:rPr>
        <w:t>StatPearls</w:t>
      </w:r>
      <w:r w:rsidRPr="00BE712C">
        <w:t>. StatPearls Publishing; 2025. Accessed June 11, 2025. http://www.ncbi.nlm.nih.gov/books/NBK603747/</w:t>
      </w:r>
    </w:p>
    <w:p w14:paraId="38BB36B1" w14:textId="77777777" w:rsidR="00BE712C" w:rsidRPr="00BE712C" w:rsidRDefault="00BE712C" w:rsidP="009906F2">
      <w:pPr>
        <w:pStyle w:val="Bibliography"/>
        <w:spacing w:after="0"/>
        <w:ind w:left="0" w:firstLine="0"/>
        <w:jc w:val="left"/>
      </w:pPr>
      <w:r w:rsidRPr="00BE712C">
        <w:t>54.</w:t>
      </w:r>
      <w:r w:rsidRPr="00BE712C">
        <w:tab/>
        <w:t xml:space="preserve">Barber TM, Hanson P, Weickert MO, Franks S. Obesity and Polycystic Ovary Syndrome: Implications for Pathogenesis and Novel Management Strategies. </w:t>
      </w:r>
      <w:r w:rsidRPr="00BE712C">
        <w:rPr>
          <w:i/>
          <w:iCs/>
        </w:rPr>
        <w:t>Clin Med Insights Reprod Health</w:t>
      </w:r>
      <w:r w:rsidRPr="00BE712C">
        <w:t>. 2019;13:1179558119874042. doi:10.1177/1179558119874042</w:t>
      </w:r>
    </w:p>
    <w:p w14:paraId="012DFBBF" w14:textId="77777777" w:rsidR="00BE712C" w:rsidRPr="00BE712C" w:rsidRDefault="00BE712C" w:rsidP="009906F2">
      <w:pPr>
        <w:pStyle w:val="Bibliography"/>
        <w:spacing w:after="0"/>
        <w:ind w:left="0" w:firstLine="0"/>
        <w:jc w:val="left"/>
      </w:pPr>
      <w:r w:rsidRPr="00BE712C">
        <w:lastRenderedPageBreak/>
        <w:t>55.</w:t>
      </w:r>
      <w:r w:rsidRPr="00BE712C">
        <w:tab/>
        <w:t xml:space="preserve">Sanyal D, Raychaudhuri M. Hypothyroidism and obesity: An intriguing link. </w:t>
      </w:r>
      <w:r w:rsidRPr="00BE712C">
        <w:rPr>
          <w:i/>
          <w:iCs/>
        </w:rPr>
        <w:t>Indian J Endocrinol Metab</w:t>
      </w:r>
      <w:r w:rsidRPr="00BE712C">
        <w:t>. 2016;20(4):554-557. doi:10.4103/2230-8210.183454</w:t>
      </w:r>
    </w:p>
    <w:p w14:paraId="5C1F80E3" w14:textId="77777777" w:rsidR="00BE712C" w:rsidRPr="00BE712C" w:rsidRDefault="00BE712C" w:rsidP="009906F2">
      <w:pPr>
        <w:pStyle w:val="Bibliography"/>
        <w:spacing w:after="0"/>
        <w:ind w:left="0" w:firstLine="0"/>
        <w:jc w:val="left"/>
      </w:pPr>
      <w:r w:rsidRPr="00BE712C">
        <w:t>56.</w:t>
      </w:r>
      <w:r w:rsidRPr="00BE712C">
        <w:tab/>
        <w:t xml:space="preserve">Dayabandara M, Hanwella R, Ratnatunga S, Seneviratne S, Suraweera C, de Silva VA. Antipsychotic-associated weight gain: management strategies and impact on treatment adherence. </w:t>
      </w:r>
      <w:r w:rsidRPr="00BE712C">
        <w:rPr>
          <w:i/>
          <w:iCs/>
        </w:rPr>
        <w:t>Neuropsychiatr Dis Treat</w:t>
      </w:r>
      <w:r w:rsidRPr="00BE712C">
        <w:t>. 2017;13:2231-2241. doi:10.2147/NDT.S113099</w:t>
      </w:r>
    </w:p>
    <w:p w14:paraId="3FA06EA4" w14:textId="77777777" w:rsidR="00BE712C" w:rsidRPr="00BE712C" w:rsidRDefault="00BE712C" w:rsidP="009906F2">
      <w:pPr>
        <w:pStyle w:val="Bibliography"/>
        <w:spacing w:after="0"/>
        <w:ind w:left="0" w:firstLine="0"/>
        <w:jc w:val="left"/>
      </w:pPr>
      <w:r w:rsidRPr="00BE712C">
        <w:t>57.</w:t>
      </w:r>
      <w:r w:rsidRPr="00BE712C">
        <w:tab/>
        <w:t xml:space="preserve">Petimar J, Young JG, Yu H, et al. Medication-Induced Weight Change Across Common Antidepressant Treatments. </w:t>
      </w:r>
      <w:r w:rsidRPr="00BE712C">
        <w:rPr>
          <w:i/>
          <w:iCs/>
        </w:rPr>
        <w:t>Ann Intern Med</w:t>
      </w:r>
      <w:r w:rsidRPr="00BE712C">
        <w:t>. 2024;177(8):993-1003. doi:10.7326/M23-2742</w:t>
      </w:r>
    </w:p>
    <w:p w14:paraId="08C15748" w14:textId="77777777" w:rsidR="00BE712C" w:rsidRPr="00BE712C" w:rsidRDefault="00BE712C" w:rsidP="009906F2">
      <w:pPr>
        <w:pStyle w:val="Bibliography"/>
        <w:spacing w:after="0"/>
        <w:ind w:left="0" w:firstLine="0"/>
        <w:jc w:val="left"/>
      </w:pPr>
      <w:r w:rsidRPr="00BE712C">
        <w:t>58.</w:t>
      </w:r>
      <w:r w:rsidRPr="00BE712C">
        <w:tab/>
        <w:t xml:space="preserve">Rogers CC, Alloway RR, Buell JF, et al. Body Weight Alterations Under Early Corticosteroid Withdrawal and Chronic Corticosteroid Therapy with Modern Immunosuppression. </w:t>
      </w:r>
      <w:r w:rsidRPr="00BE712C">
        <w:rPr>
          <w:i/>
          <w:iCs/>
        </w:rPr>
        <w:t>Transplantation</w:t>
      </w:r>
      <w:r w:rsidRPr="00BE712C">
        <w:t>. 2005;80(1):26. doi:10.1097/01.TP.0000164290.17030.BC</w:t>
      </w:r>
    </w:p>
    <w:p w14:paraId="7C3E267E" w14:textId="77777777" w:rsidR="00BE712C" w:rsidRPr="00BE712C" w:rsidRDefault="00BE712C" w:rsidP="009906F2">
      <w:pPr>
        <w:pStyle w:val="Bibliography"/>
        <w:spacing w:after="0"/>
        <w:ind w:left="0" w:firstLine="0"/>
        <w:jc w:val="left"/>
      </w:pPr>
      <w:r w:rsidRPr="00BE712C">
        <w:t>59.</w:t>
      </w:r>
      <w:r w:rsidRPr="00BE712C">
        <w:tab/>
        <w:t xml:space="preserve">Bremner JD, Moazzami K, Wittbrodt MT, et al. Diet, Stress and Mental Health. </w:t>
      </w:r>
      <w:r w:rsidRPr="00BE712C">
        <w:rPr>
          <w:i/>
          <w:iCs/>
        </w:rPr>
        <w:t>Nutrients</w:t>
      </w:r>
      <w:r w:rsidRPr="00BE712C">
        <w:t>. 2020;12(8):2428. doi:10.3390/nu12082428</w:t>
      </w:r>
    </w:p>
    <w:p w14:paraId="77579898" w14:textId="77777777" w:rsidR="00BE712C" w:rsidRPr="00BE712C" w:rsidRDefault="00BE712C" w:rsidP="009906F2">
      <w:pPr>
        <w:pStyle w:val="Bibliography"/>
        <w:spacing w:after="0"/>
        <w:ind w:left="0" w:firstLine="0"/>
        <w:jc w:val="left"/>
      </w:pPr>
      <w:r w:rsidRPr="00BE712C">
        <w:t>60.</w:t>
      </w:r>
      <w:r w:rsidRPr="00BE712C">
        <w:tab/>
        <w:t xml:space="preserve">Selvaraj R, Selvamani TY, Zahra A, et al. Association Between Dietary Habits and Depression: A Systematic Review. </w:t>
      </w:r>
      <w:r w:rsidRPr="00BE712C">
        <w:rPr>
          <w:i/>
          <w:iCs/>
        </w:rPr>
        <w:t>Cureus</w:t>
      </w:r>
      <w:r w:rsidRPr="00BE712C">
        <w:t>. 14(12):e32359. doi:10.7759/cureus.32359</w:t>
      </w:r>
    </w:p>
    <w:p w14:paraId="768603EA" w14:textId="77777777" w:rsidR="00BE712C" w:rsidRPr="00BE712C" w:rsidRDefault="00BE712C" w:rsidP="009906F2">
      <w:pPr>
        <w:pStyle w:val="Bibliography"/>
        <w:spacing w:after="0"/>
        <w:ind w:left="0" w:firstLine="0"/>
        <w:jc w:val="left"/>
      </w:pPr>
      <w:r w:rsidRPr="00BE712C">
        <w:t>61.</w:t>
      </w:r>
      <w:r w:rsidRPr="00BE712C">
        <w:tab/>
        <w:t xml:space="preserve">Pechey R, Monsivais P. Socioeconomic inequalities in the healthiness of food choices: Exploring the contributions of food expenditures. </w:t>
      </w:r>
      <w:r w:rsidRPr="00BE712C">
        <w:rPr>
          <w:i/>
          <w:iCs/>
        </w:rPr>
        <w:t>Prev Med</w:t>
      </w:r>
      <w:r w:rsidRPr="00BE712C">
        <w:t>. 2016;88:203-209. doi:10.1016/j.ypmed.2016.04.012</w:t>
      </w:r>
    </w:p>
    <w:p w14:paraId="0E511C3A" w14:textId="77777777" w:rsidR="00BE712C" w:rsidRPr="00BE712C" w:rsidRDefault="00BE712C" w:rsidP="009906F2">
      <w:pPr>
        <w:pStyle w:val="Bibliography"/>
        <w:spacing w:after="0"/>
        <w:ind w:left="0" w:firstLine="0"/>
        <w:jc w:val="left"/>
      </w:pPr>
      <w:r w:rsidRPr="00BE712C">
        <w:t>62.</w:t>
      </w:r>
      <w:r w:rsidRPr="00BE712C">
        <w:tab/>
        <w:t xml:space="preserve">Oliver G, Wardle J, Gibson EL. Stress and Food Choice: A Laboratory Study. </w:t>
      </w:r>
      <w:r w:rsidRPr="00BE712C">
        <w:rPr>
          <w:i/>
          <w:iCs/>
        </w:rPr>
        <w:t>Biopsychosocial Science and Medicine</w:t>
      </w:r>
      <w:r w:rsidRPr="00BE712C">
        <w:t>. 2000;62(6):853.</w:t>
      </w:r>
    </w:p>
    <w:p w14:paraId="58B4860E" w14:textId="77777777" w:rsidR="00BE712C" w:rsidRPr="00BE712C" w:rsidRDefault="00BE712C" w:rsidP="009906F2">
      <w:pPr>
        <w:pStyle w:val="Bibliography"/>
        <w:spacing w:after="0"/>
        <w:ind w:left="0" w:firstLine="0"/>
        <w:jc w:val="left"/>
      </w:pPr>
      <w:r w:rsidRPr="00BE712C">
        <w:t>63.</w:t>
      </w:r>
      <w:r w:rsidRPr="00BE712C">
        <w:tab/>
        <w:t xml:space="preserve">Epel E, Lapidus R, McEwen B, Brownell K. Stress may add bite to appetite in women: a laboratory study of stress-induced cortisol and eating behavior. </w:t>
      </w:r>
      <w:r w:rsidRPr="00BE712C">
        <w:rPr>
          <w:i/>
          <w:iCs/>
        </w:rPr>
        <w:t>Psychoneuroendocrinology</w:t>
      </w:r>
      <w:r w:rsidRPr="00BE712C">
        <w:t>. 2001;26(1):37-49. doi:10.1016/S0306-4530(00)00035-4</w:t>
      </w:r>
    </w:p>
    <w:p w14:paraId="2087AEA4" w14:textId="77777777" w:rsidR="00BE712C" w:rsidRPr="00BE712C" w:rsidRDefault="00BE712C" w:rsidP="009906F2">
      <w:pPr>
        <w:pStyle w:val="Bibliography"/>
        <w:spacing w:after="0"/>
        <w:ind w:left="0" w:firstLine="0"/>
        <w:jc w:val="left"/>
      </w:pPr>
      <w:r w:rsidRPr="00BE712C">
        <w:lastRenderedPageBreak/>
        <w:t>64.</w:t>
      </w:r>
      <w:r w:rsidRPr="00BE712C">
        <w:tab/>
        <w:t xml:space="preserve">Zellner DA, Loaiza S, Gonzalez Z, et al. Food selection changes under stress. </w:t>
      </w:r>
      <w:r w:rsidRPr="00BE712C">
        <w:rPr>
          <w:i/>
          <w:iCs/>
        </w:rPr>
        <w:t>Physiology &amp; Behavior</w:t>
      </w:r>
      <w:r w:rsidRPr="00BE712C">
        <w:t>. 2006;87(4):789-793. doi:10.1016/j.physbeh.2006.01.014</w:t>
      </w:r>
    </w:p>
    <w:p w14:paraId="10437E1B" w14:textId="77777777" w:rsidR="00BE712C" w:rsidRPr="00BE712C" w:rsidRDefault="00BE712C" w:rsidP="009906F2">
      <w:pPr>
        <w:pStyle w:val="Bibliography"/>
        <w:spacing w:after="0"/>
        <w:ind w:left="0" w:firstLine="0"/>
        <w:jc w:val="left"/>
      </w:pPr>
      <w:r w:rsidRPr="00BE712C">
        <w:t>65.</w:t>
      </w:r>
      <w:r w:rsidRPr="00BE712C">
        <w:tab/>
        <w:t xml:space="preserve">Carvajal-Aldaz D, Cucalon G, Ordonez C. Food insecurity as a risk factor for obesity: A review. </w:t>
      </w:r>
      <w:r w:rsidRPr="00BE712C">
        <w:rPr>
          <w:i/>
          <w:iCs/>
        </w:rPr>
        <w:t>Front Nutr</w:t>
      </w:r>
      <w:r w:rsidRPr="00BE712C">
        <w:t>. 2022;9:1012734. doi:10.3389/fnut.2022.1012734</w:t>
      </w:r>
    </w:p>
    <w:p w14:paraId="084991F3" w14:textId="77777777" w:rsidR="00BE712C" w:rsidRPr="00BE712C" w:rsidRDefault="00BE712C" w:rsidP="009906F2">
      <w:pPr>
        <w:pStyle w:val="Bibliography"/>
        <w:spacing w:after="0"/>
        <w:ind w:left="0" w:firstLine="0"/>
        <w:jc w:val="left"/>
      </w:pPr>
      <w:r w:rsidRPr="00BE712C">
        <w:t>66.</w:t>
      </w:r>
      <w:r w:rsidRPr="00BE712C">
        <w:tab/>
        <w:t>Fujisaka S, Watanabe Y, Tobe K. The gut microbiome: a core regulator of metabolism. Published online March 1, 2023. doi:10.1530/JOE-22-0111</w:t>
      </w:r>
    </w:p>
    <w:p w14:paraId="0970DD57" w14:textId="77777777" w:rsidR="00BE712C" w:rsidRPr="00BE712C" w:rsidRDefault="00BE712C" w:rsidP="009906F2">
      <w:pPr>
        <w:pStyle w:val="Bibliography"/>
        <w:spacing w:after="0"/>
        <w:ind w:left="0" w:firstLine="0"/>
        <w:jc w:val="left"/>
      </w:pPr>
      <w:r w:rsidRPr="00BE712C">
        <w:t>67.</w:t>
      </w:r>
      <w:r w:rsidRPr="00BE712C">
        <w:tab/>
        <w:t xml:space="preserve">Turnbaugh PJ, Ley RE, Mahowald MA, Magrini V, Mardis ER, Gordon JI. An obesity-associated gut microbiome with increased capacity for energy harvest. </w:t>
      </w:r>
      <w:r w:rsidRPr="00BE712C">
        <w:rPr>
          <w:i/>
          <w:iCs/>
        </w:rPr>
        <w:t>Nature</w:t>
      </w:r>
      <w:r w:rsidRPr="00BE712C">
        <w:t>. 2006;444(7122):1027-1031. doi:10.1038/nature05414</w:t>
      </w:r>
    </w:p>
    <w:p w14:paraId="49E7FFB6" w14:textId="77777777" w:rsidR="00BE712C" w:rsidRPr="00BE712C" w:rsidRDefault="00BE712C" w:rsidP="009906F2">
      <w:pPr>
        <w:pStyle w:val="Bibliography"/>
        <w:spacing w:after="0"/>
        <w:ind w:left="0" w:firstLine="0"/>
        <w:jc w:val="left"/>
      </w:pPr>
      <w:r w:rsidRPr="00BE712C">
        <w:t>68.</w:t>
      </w:r>
      <w:r w:rsidRPr="00BE712C">
        <w:tab/>
        <w:t xml:space="preserve">Bäckhed F, Ding H, Wang T, et al. The gut microbiota as an environmental factor that regulates fat storage. </w:t>
      </w:r>
      <w:r w:rsidRPr="00BE712C">
        <w:rPr>
          <w:i/>
          <w:iCs/>
        </w:rPr>
        <w:t>Proceedings of the National Academy of Sciences</w:t>
      </w:r>
      <w:r w:rsidRPr="00BE712C">
        <w:t>. 2004;101(44):15718-15723. doi:10.1073/pnas.0407076101</w:t>
      </w:r>
    </w:p>
    <w:p w14:paraId="6449D04B" w14:textId="77777777" w:rsidR="00BE712C" w:rsidRPr="00BE712C" w:rsidRDefault="00BE712C" w:rsidP="009906F2">
      <w:pPr>
        <w:pStyle w:val="Bibliography"/>
        <w:spacing w:after="0"/>
        <w:ind w:left="0" w:firstLine="0"/>
        <w:jc w:val="left"/>
      </w:pPr>
      <w:r w:rsidRPr="00BE712C">
        <w:t>69.</w:t>
      </w:r>
      <w:r w:rsidRPr="00BE712C">
        <w:tab/>
        <w:t xml:space="preserve">Tolhurst G, Heffron H, Lam YS, et al. Short-Chain Fatty Acids Stimulate Glucagon-Like Peptide-1 Secretion via the G-Protein–Coupled Receptor FFAR2. </w:t>
      </w:r>
      <w:r w:rsidRPr="00BE712C">
        <w:rPr>
          <w:i/>
          <w:iCs/>
        </w:rPr>
        <w:t>Diabetes</w:t>
      </w:r>
      <w:r w:rsidRPr="00BE712C">
        <w:t>. 2012;61(2):364-371. doi:10.2337/db11-1019</w:t>
      </w:r>
    </w:p>
    <w:p w14:paraId="7EC8ABA7" w14:textId="77777777" w:rsidR="00BE712C" w:rsidRPr="00BE712C" w:rsidRDefault="00BE712C" w:rsidP="009906F2">
      <w:pPr>
        <w:pStyle w:val="Bibliography"/>
        <w:spacing w:after="0"/>
        <w:ind w:left="0" w:firstLine="0"/>
        <w:jc w:val="left"/>
      </w:pPr>
      <w:r w:rsidRPr="00BE712C">
        <w:t>70.</w:t>
      </w:r>
      <w:r w:rsidRPr="00BE712C">
        <w:tab/>
        <w:t xml:space="preserve">Psichas A, Sleeth ML, Murphy KG, et al. The short chain fatty acid propionate stimulates GLP-1 and PYY secretion via free fatty acid receptor 2 in rodents. </w:t>
      </w:r>
      <w:r w:rsidRPr="00BE712C">
        <w:rPr>
          <w:i/>
          <w:iCs/>
        </w:rPr>
        <w:t>Int J Obes</w:t>
      </w:r>
      <w:r w:rsidRPr="00BE712C">
        <w:t>. 2015;39(3):424-429. doi:10.1038/ijo.2014.153</w:t>
      </w:r>
    </w:p>
    <w:p w14:paraId="736E20C6" w14:textId="77777777" w:rsidR="00BE712C" w:rsidRPr="00BE712C" w:rsidRDefault="00BE712C" w:rsidP="009906F2">
      <w:pPr>
        <w:pStyle w:val="Bibliography"/>
        <w:spacing w:after="0"/>
        <w:ind w:left="0" w:firstLine="0"/>
        <w:jc w:val="left"/>
      </w:pPr>
      <w:r w:rsidRPr="00BE712C">
        <w:t>71.</w:t>
      </w:r>
      <w:r w:rsidRPr="00BE712C">
        <w:tab/>
        <w:t xml:space="preserve">Cani PD, Amar J, Iglesias MA, et al. Metabolic Endotoxemia Initiates Obesity and Insulin Resistance. </w:t>
      </w:r>
      <w:r w:rsidRPr="00BE712C">
        <w:rPr>
          <w:i/>
          <w:iCs/>
        </w:rPr>
        <w:t>Diabetes</w:t>
      </w:r>
      <w:r w:rsidRPr="00BE712C">
        <w:t>. 2007;56(7):1761-1772. doi:10.2337/db06-1491</w:t>
      </w:r>
    </w:p>
    <w:p w14:paraId="62EC368D" w14:textId="77777777" w:rsidR="00BE712C" w:rsidRPr="00BE712C" w:rsidRDefault="00BE712C" w:rsidP="009906F2">
      <w:pPr>
        <w:pStyle w:val="Bibliography"/>
        <w:spacing w:after="0"/>
        <w:ind w:left="0" w:firstLine="0"/>
        <w:jc w:val="left"/>
      </w:pPr>
      <w:r w:rsidRPr="00BE712C">
        <w:t>72.</w:t>
      </w:r>
      <w:r w:rsidRPr="00BE712C">
        <w:tab/>
        <w:t xml:space="preserve">Jaskulak M, Zimowska M, Rolbiecka M, Zorena K. Understanding the role of endocrine disrupting chemicals as environmental obesogens in the obesity epidemic: A comprehensive </w:t>
      </w:r>
      <w:r w:rsidRPr="00BE712C">
        <w:lastRenderedPageBreak/>
        <w:t xml:space="preserve">overview of epidemiological studies between 2014 and 2024. </w:t>
      </w:r>
      <w:r w:rsidRPr="00BE712C">
        <w:rPr>
          <w:i/>
          <w:iCs/>
        </w:rPr>
        <w:t>Ecotoxicology and Environmental Safety</w:t>
      </w:r>
      <w:r w:rsidRPr="00BE712C">
        <w:t>. 2025;299:118401. doi:10.1016/j.ecoenv.2025.118401</w:t>
      </w:r>
    </w:p>
    <w:p w14:paraId="1AF5AB59" w14:textId="77777777" w:rsidR="00BE712C" w:rsidRPr="00BE712C" w:rsidRDefault="00BE712C" w:rsidP="009906F2">
      <w:pPr>
        <w:pStyle w:val="Bibliography"/>
        <w:spacing w:after="0"/>
        <w:ind w:left="0" w:firstLine="0"/>
        <w:jc w:val="left"/>
      </w:pPr>
      <w:r w:rsidRPr="00BE712C">
        <w:t>73.</w:t>
      </w:r>
      <w:r w:rsidRPr="00BE712C">
        <w:tab/>
        <w:t xml:space="preserve">Egusquiza RJ, Blumberg B. Environmental Obesogens and Their Impact on Susceptibility to Obesity: New Mechanisms and Chemicals. </w:t>
      </w:r>
      <w:r w:rsidRPr="00BE712C">
        <w:rPr>
          <w:i/>
          <w:iCs/>
        </w:rPr>
        <w:t>Endocrinology</w:t>
      </w:r>
      <w:r w:rsidRPr="00BE712C">
        <w:t>. 2020;161(3):bqaa024. doi:10.1210/endocr/bqaa024</w:t>
      </w:r>
    </w:p>
    <w:p w14:paraId="5DBB2CED" w14:textId="77777777" w:rsidR="00BE712C" w:rsidRPr="00BE712C" w:rsidRDefault="00BE712C" w:rsidP="009906F2">
      <w:pPr>
        <w:pStyle w:val="Bibliography"/>
        <w:spacing w:after="0"/>
        <w:ind w:left="0" w:firstLine="0"/>
        <w:jc w:val="left"/>
      </w:pPr>
      <w:r w:rsidRPr="00BE712C">
        <w:t>74.</w:t>
      </w:r>
      <w:r w:rsidRPr="00BE712C">
        <w:tab/>
        <w:t xml:space="preserve">Grün F, Blumberg B. Minireview: The Case for Obesogens. </w:t>
      </w:r>
      <w:r w:rsidRPr="00BE712C">
        <w:rPr>
          <w:i/>
          <w:iCs/>
        </w:rPr>
        <w:t>Mol Endocrinol</w:t>
      </w:r>
      <w:r w:rsidRPr="00BE712C">
        <w:t>. 2009;23(8):1127-1134. doi:10.1210/me.2008-0485</w:t>
      </w:r>
    </w:p>
    <w:p w14:paraId="70B777C1" w14:textId="77777777" w:rsidR="00BE712C" w:rsidRPr="00BE712C" w:rsidRDefault="00BE712C" w:rsidP="009906F2">
      <w:pPr>
        <w:pStyle w:val="Bibliography"/>
        <w:spacing w:after="0"/>
        <w:ind w:left="0" w:firstLine="0"/>
        <w:jc w:val="left"/>
      </w:pPr>
      <w:r w:rsidRPr="00BE712C">
        <w:t>75.</w:t>
      </w:r>
      <w:r w:rsidRPr="00BE712C">
        <w:tab/>
        <w:t xml:space="preserve">Griffin MD, Pereira SR, DeBari MK, Abbott RD. Mechanisms of action, chemical characteristics, and model systems of obesogens. </w:t>
      </w:r>
      <w:r w:rsidRPr="00BE712C">
        <w:rPr>
          <w:i/>
          <w:iCs/>
        </w:rPr>
        <w:t>BMC Biomed Eng</w:t>
      </w:r>
      <w:r w:rsidRPr="00BE712C">
        <w:t>. 2020;2:6. doi:10.1186/s42490-020-00040-6</w:t>
      </w:r>
    </w:p>
    <w:p w14:paraId="497A2A63" w14:textId="77777777" w:rsidR="00BE712C" w:rsidRPr="00BE712C" w:rsidRDefault="00BE712C" w:rsidP="009906F2">
      <w:pPr>
        <w:pStyle w:val="Bibliography"/>
        <w:spacing w:after="0"/>
        <w:ind w:left="0" w:firstLine="0"/>
        <w:jc w:val="left"/>
      </w:pPr>
      <w:r w:rsidRPr="00BE712C">
        <w:t>76.</w:t>
      </w:r>
      <w:r w:rsidRPr="00BE712C">
        <w:tab/>
        <w:t xml:space="preserve">Naomi R, Yazid MD, Bahari H, et al. Bisphenol A (BPA) Leading to Obesity and Cardiovascular Complications: A Compilation of Current In Vivo Study. </w:t>
      </w:r>
      <w:r w:rsidRPr="00BE712C">
        <w:rPr>
          <w:i/>
          <w:iCs/>
        </w:rPr>
        <w:t>Int J Mol Sci</w:t>
      </w:r>
      <w:r w:rsidRPr="00BE712C">
        <w:t>. 2022;23(6):2969. doi:10.3390/ijms23062969</w:t>
      </w:r>
    </w:p>
    <w:p w14:paraId="6EB8FACB" w14:textId="77777777" w:rsidR="00BE712C" w:rsidRPr="00BE712C" w:rsidRDefault="00BE712C" w:rsidP="009906F2">
      <w:pPr>
        <w:pStyle w:val="Bibliography"/>
        <w:spacing w:after="0"/>
        <w:ind w:left="0" w:firstLine="0"/>
        <w:jc w:val="left"/>
      </w:pPr>
      <w:r w:rsidRPr="00BE712C">
        <w:t>77.</w:t>
      </w:r>
      <w:r w:rsidRPr="00BE712C">
        <w:tab/>
        <w:t xml:space="preserve">Gharipour M, Craig JM, Stephenson G. Epigenetic programming of obesity in early life through modulation of the kynurenine pathway. </w:t>
      </w:r>
      <w:r w:rsidRPr="00BE712C">
        <w:rPr>
          <w:i/>
          <w:iCs/>
        </w:rPr>
        <w:t>Int J Obes (Lond)</w:t>
      </w:r>
      <w:r w:rsidRPr="00BE712C">
        <w:t>. 2025;49(1):49-53. doi:10.1038/s41366-024-01647-8</w:t>
      </w:r>
    </w:p>
    <w:p w14:paraId="497A2DFD" w14:textId="77777777" w:rsidR="00BE712C" w:rsidRPr="00BE712C" w:rsidRDefault="00BE712C" w:rsidP="009906F2">
      <w:pPr>
        <w:pStyle w:val="Bibliography"/>
        <w:spacing w:after="0"/>
        <w:ind w:left="0" w:firstLine="0"/>
        <w:jc w:val="left"/>
      </w:pPr>
      <w:r w:rsidRPr="00BE712C">
        <w:t>78.</w:t>
      </w:r>
      <w:r w:rsidRPr="00BE712C">
        <w:tab/>
        <w:t xml:space="preserve">Alvarado-Cruz I, Alegría-Torres JA, Montes-Castro N, Jiménez-Garza O, Quintanilla-Vega B. Environmental Epigenetic Changes, as Risk Factors for the Development of Diseases in Children: A Systematic Review. </w:t>
      </w:r>
      <w:r w:rsidRPr="00BE712C">
        <w:rPr>
          <w:i/>
          <w:iCs/>
        </w:rPr>
        <w:t>Ann Glob Health</w:t>
      </w:r>
      <w:r w:rsidRPr="00BE712C">
        <w:t>. 84(2):212-224. doi:10.29024/aogh.909</w:t>
      </w:r>
    </w:p>
    <w:p w14:paraId="6F4320A5" w14:textId="77777777" w:rsidR="00BE712C" w:rsidRPr="00BE712C" w:rsidRDefault="00BE712C" w:rsidP="009906F2">
      <w:pPr>
        <w:pStyle w:val="Bibliography"/>
        <w:spacing w:after="0"/>
        <w:ind w:left="0" w:firstLine="0"/>
        <w:jc w:val="left"/>
      </w:pPr>
      <w:r w:rsidRPr="00BE712C">
        <w:t>79.</w:t>
      </w:r>
      <w:r w:rsidRPr="00BE712C">
        <w:tab/>
        <w:t xml:space="preserve">Li S, Chen M, Li Y, Tollefsbol TO. Prenatal epigenetics diets play protective roles against environmental pollution. </w:t>
      </w:r>
      <w:r w:rsidRPr="00BE712C">
        <w:rPr>
          <w:i/>
          <w:iCs/>
        </w:rPr>
        <w:t>Clin Epigenetics</w:t>
      </w:r>
      <w:r w:rsidRPr="00BE712C">
        <w:t>. 2019;11:82. doi:10.1186/s13148-019-0659-4</w:t>
      </w:r>
    </w:p>
    <w:p w14:paraId="7D483CB2" w14:textId="77777777" w:rsidR="00BE712C" w:rsidRPr="00BE712C" w:rsidRDefault="00BE712C" w:rsidP="009906F2">
      <w:pPr>
        <w:pStyle w:val="Bibliography"/>
        <w:spacing w:after="0"/>
        <w:ind w:left="0" w:firstLine="0"/>
        <w:jc w:val="left"/>
      </w:pPr>
      <w:r w:rsidRPr="00BE712C">
        <w:lastRenderedPageBreak/>
        <w:t>80.</w:t>
      </w:r>
      <w:r w:rsidRPr="00BE712C">
        <w:tab/>
        <w:t xml:space="preserve">Heindel JJ, Lustig RH, Howard S, Corkey BE. Obesogens: a unifying theory for the global rise in obesity. </w:t>
      </w:r>
      <w:r w:rsidRPr="00BE712C">
        <w:rPr>
          <w:i/>
          <w:iCs/>
        </w:rPr>
        <w:t>Int J Obes</w:t>
      </w:r>
      <w:r w:rsidRPr="00BE712C">
        <w:t>. 2024;48(4):449-460. doi:10.1038/s41366-024-01460-3</w:t>
      </w:r>
    </w:p>
    <w:p w14:paraId="574D6216" w14:textId="77777777" w:rsidR="00BE712C" w:rsidRPr="00BE712C" w:rsidRDefault="00BE712C" w:rsidP="009906F2">
      <w:pPr>
        <w:pStyle w:val="Bibliography"/>
        <w:spacing w:after="0"/>
        <w:ind w:left="0" w:firstLine="0"/>
        <w:jc w:val="left"/>
      </w:pPr>
      <w:r w:rsidRPr="00BE712C">
        <w:t>81.</w:t>
      </w:r>
      <w:r w:rsidRPr="00BE712C">
        <w:tab/>
        <w:t xml:space="preserve">Han SJ, Lee SH. Nontraditional Risk Factors for Obesity in Modern Society. </w:t>
      </w:r>
      <w:r w:rsidRPr="00BE712C">
        <w:rPr>
          <w:i/>
          <w:iCs/>
        </w:rPr>
        <w:t>Journal of Obesity &amp; Metabolic Syndrome</w:t>
      </w:r>
      <w:r w:rsidRPr="00BE712C">
        <w:t>. 2021;30(2):93-103. doi:10.7570/jomes21004</w:t>
      </w:r>
    </w:p>
    <w:p w14:paraId="4EB8D5B6" w14:textId="77777777" w:rsidR="00BE712C" w:rsidRPr="00BE712C" w:rsidRDefault="00BE712C" w:rsidP="009906F2">
      <w:pPr>
        <w:pStyle w:val="Bibliography"/>
        <w:spacing w:after="0"/>
        <w:ind w:left="0" w:firstLine="0"/>
        <w:jc w:val="left"/>
      </w:pPr>
      <w:r w:rsidRPr="00BE712C">
        <w:t>82.</w:t>
      </w:r>
      <w:r w:rsidRPr="00BE712C">
        <w:tab/>
        <w:t xml:space="preserve">Shah A, Davarci O, Chaftari P, Avenatti E. Obesity as a Disease: A Primer on Clinical and Physiological Insights. </w:t>
      </w:r>
      <w:r w:rsidRPr="00BE712C">
        <w:rPr>
          <w:i/>
          <w:iCs/>
        </w:rPr>
        <w:t>Methodist Debakey Cardiovasc J</w:t>
      </w:r>
      <w:r w:rsidRPr="00BE712C">
        <w:t>. 21(2):4-13. doi:10.14797/mdcvj.1515</w:t>
      </w:r>
    </w:p>
    <w:p w14:paraId="23EB7A4A" w14:textId="77777777" w:rsidR="00BE712C" w:rsidRPr="00BE712C" w:rsidRDefault="00BE712C" w:rsidP="009906F2">
      <w:pPr>
        <w:pStyle w:val="Bibliography"/>
        <w:spacing w:after="0"/>
        <w:ind w:left="0" w:firstLine="0"/>
        <w:jc w:val="left"/>
      </w:pPr>
      <w:r w:rsidRPr="00BE712C">
        <w:t>83.</w:t>
      </w:r>
      <w:r w:rsidRPr="00BE712C">
        <w:tab/>
        <w:t xml:space="preserve">Chandrasekaran P, Weiskirchen R. The Role of Obesity in Type 2 Diabetes Mellitus—An Overview. </w:t>
      </w:r>
      <w:r w:rsidRPr="00BE712C">
        <w:rPr>
          <w:i/>
          <w:iCs/>
        </w:rPr>
        <w:t>International Journal of Molecular Sciences</w:t>
      </w:r>
      <w:r w:rsidRPr="00BE712C">
        <w:t>. 2024;25(3):1882. doi:10.3390/ijms25031882</w:t>
      </w:r>
    </w:p>
    <w:p w14:paraId="1BBF3430" w14:textId="77777777" w:rsidR="00BE712C" w:rsidRPr="00BE712C" w:rsidRDefault="00BE712C" w:rsidP="009906F2">
      <w:pPr>
        <w:pStyle w:val="Bibliography"/>
        <w:spacing w:after="0"/>
        <w:ind w:left="0" w:firstLine="0"/>
        <w:jc w:val="left"/>
      </w:pPr>
      <w:r w:rsidRPr="00BE712C">
        <w:t>84.</w:t>
      </w:r>
      <w:r w:rsidRPr="00BE712C">
        <w:tab/>
        <w:t xml:space="preserve">Adolph TE, Grander C, Grabherr F, Tilg H. Adipokines and Non-Alcoholic Fatty Liver Disease: Multiple Interactions. </w:t>
      </w:r>
      <w:r w:rsidRPr="00BE712C">
        <w:rPr>
          <w:i/>
          <w:iCs/>
        </w:rPr>
        <w:t>Int J Mol Sci</w:t>
      </w:r>
      <w:r w:rsidRPr="00BE712C">
        <w:t>. 2017;18(8):1649. doi:10.3390/ijms18081649</w:t>
      </w:r>
    </w:p>
    <w:p w14:paraId="1141DDF9" w14:textId="77777777" w:rsidR="00BE712C" w:rsidRPr="00BE712C" w:rsidRDefault="00BE712C" w:rsidP="009906F2">
      <w:pPr>
        <w:pStyle w:val="Bibliography"/>
        <w:spacing w:after="0"/>
        <w:ind w:left="0" w:firstLine="0"/>
        <w:jc w:val="left"/>
      </w:pPr>
      <w:r w:rsidRPr="00BE712C">
        <w:t>85.</w:t>
      </w:r>
      <w:r w:rsidRPr="00BE712C">
        <w:tab/>
        <w:t xml:space="preserve">Battineni G, Sagaro GG, Chintalapudi N, Amenta F, Tomassoni D, Tayebati SK. Impact of Obesity-Induced Inflammation on Cardiovascular Diseases (CVD). </w:t>
      </w:r>
      <w:r w:rsidRPr="00BE712C">
        <w:rPr>
          <w:i/>
          <w:iCs/>
        </w:rPr>
        <w:t>International Journal of Molecular Sciences</w:t>
      </w:r>
      <w:r w:rsidRPr="00BE712C">
        <w:t>. 2021;22(9):4798. doi:10.3390/ijms22094798</w:t>
      </w:r>
    </w:p>
    <w:p w14:paraId="26ED4657" w14:textId="77777777" w:rsidR="00BE712C" w:rsidRPr="00BE712C" w:rsidRDefault="00BE712C" w:rsidP="009906F2">
      <w:pPr>
        <w:pStyle w:val="Bibliography"/>
        <w:spacing w:after="0"/>
        <w:ind w:left="0" w:firstLine="0"/>
        <w:jc w:val="left"/>
      </w:pPr>
      <w:r w:rsidRPr="00BE712C">
        <w:t>86.</w:t>
      </w:r>
      <w:r w:rsidRPr="00BE712C">
        <w:tab/>
        <w:t xml:space="preserve">Fuster JJ, Ouchi N, Gokce N, Walsh K. Obesity-induced Changes in Adipose Tissue Microenvironment and Their Impact on Cardiovascular Disease. </w:t>
      </w:r>
      <w:r w:rsidRPr="00BE712C">
        <w:rPr>
          <w:i/>
          <w:iCs/>
        </w:rPr>
        <w:t>Circ Res</w:t>
      </w:r>
      <w:r w:rsidRPr="00BE712C">
        <w:t>. 2016;118(11):1786-1807. doi:10.1161/CIRCRESAHA.115.306885</w:t>
      </w:r>
    </w:p>
    <w:p w14:paraId="77B049E0" w14:textId="77777777" w:rsidR="00BE712C" w:rsidRPr="00BE712C" w:rsidRDefault="00BE712C" w:rsidP="009906F2">
      <w:pPr>
        <w:pStyle w:val="Bibliography"/>
        <w:spacing w:after="0"/>
        <w:ind w:left="0" w:firstLine="0"/>
        <w:jc w:val="left"/>
      </w:pPr>
      <w:r w:rsidRPr="00BE712C">
        <w:t>87.</w:t>
      </w:r>
      <w:r w:rsidRPr="00BE712C">
        <w:tab/>
        <w:t xml:space="preserve">Stasi A, Cosola C, Caggiano G, et al. Obesity-Related Chronic Kidney Disease: Principal Mechanisms and New Approaches in Nutritional Management. </w:t>
      </w:r>
      <w:r w:rsidRPr="00BE712C">
        <w:rPr>
          <w:i/>
          <w:iCs/>
        </w:rPr>
        <w:t>Front Nutr</w:t>
      </w:r>
      <w:r w:rsidRPr="00BE712C">
        <w:t>. 2022;9:925619. doi:10.3389/fnut.2022.925619</w:t>
      </w:r>
    </w:p>
    <w:p w14:paraId="410F0126" w14:textId="77777777" w:rsidR="00BE712C" w:rsidRPr="00BE712C" w:rsidRDefault="00BE712C" w:rsidP="009906F2">
      <w:pPr>
        <w:pStyle w:val="Bibliography"/>
        <w:spacing w:after="0"/>
        <w:ind w:left="0" w:firstLine="0"/>
        <w:jc w:val="left"/>
      </w:pPr>
      <w:r w:rsidRPr="00BE712C">
        <w:lastRenderedPageBreak/>
        <w:t>88.</w:t>
      </w:r>
      <w:r w:rsidRPr="00BE712C">
        <w:tab/>
        <w:t xml:space="preserve">Stenvinkel P, Chertow GM, Devarajan P, et al. Chronic Inflammation in Chronic Kidney Disease Progression: Role of Nrf2. </w:t>
      </w:r>
      <w:r w:rsidRPr="00BE712C">
        <w:rPr>
          <w:i/>
          <w:iCs/>
        </w:rPr>
        <w:t>Kidney Int Rep</w:t>
      </w:r>
      <w:r w:rsidRPr="00BE712C">
        <w:t>. 2021;6(7):1775-1787. doi:10.1016/j.ekir.2021.04.023</w:t>
      </w:r>
    </w:p>
    <w:p w14:paraId="77ABE27F" w14:textId="77777777" w:rsidR="00BE712C" w:rsidRPr="00BE712C" w:rsidRDefault="00BE712C" w:rsidP="009906F2">
      <w:pPr>
        <w:pStyle w:val="Bibliography"/>
        <w:spacing w:after="0"/>
        <w:ind w:left="0" w:firstLine="0"/>
        <w:jc w:val="left"/>
      </w:pPr>
      <w:r w:rsidRPr="00BE712C">
        <w:t>89.</w:t>
      </w:r>
      <w:r w:rsidRPr="00BE712C">
        <w:tab/>
        <w:t xml:space="preserve">Iyengar NM, Gucalp A, Dannenberg AJ, Hudis CA. Obesity and Cancer Mechanisms: Tumor Microenvironment and Inflammation. </w:t>
      </w:r>
      <w:r w:rsidRPr="00BE712C">
        <w:rPr>
          <w:i/>
          <w:iCs/>
        </w:rPr>
        <w:t>J Clin Oncol</w:t>
      </w:r>
      <w:r w:rsidRPr="00BE712C">
        <w:t>. 2016;34(35):4270-4276. doi:10.1200/JCO.2016.67.4283</w:t>
      </w:r>
    </w:p>
    <w:p w14:paraId="181D1E39" w14:textId="77777777" w:rsidR="00BE712C" w:rsidRPr="00BE712C" w:rsidRDefault="00BE712C" w:rsidP="009906F2">
      <w:pPr>
        <w:pStyle w:val="Bibliography"/>
        <w:spacing w:after="0"/>
        <w:ind w:left="0" w:firstLine="0"/>
        <w:jc w:val="left"/>
      </w:pPr>
      <w:r w:rsidRPr="00BE712C">
        <w:t>90.</w:t>
      </w:r>
      <w:r w:rsidRPr="00BE712C">
        <w:tab/>
        <w:t xml:space="preserve">Doerstling SS, O’Flanagan CH, Hursting SD. Obesity and Cancer Metabolism: A Perspective on Interacting Tumor–Intrinsic and Extrinsic Factors. </w:t>
      </w:r>
      <w:r w:rsidRPr="00BE712C">
        <w:rPr>
          <w:i/>
          <w:iCs/>
        </w:rPr>
        <w:t>Front Oncol</w:t>
      </w:r>
      <w:r w:rsidRPr="00BE712C">
        <w:t>. 2017;7:216. doi:10.3389/fonc.2017.00216</w:t>
      </w:r>
    </w:p>
    <w:p w14:paraId="301D1C64" w14:textId="77777777" w:rsidR="00BE712C" w:rsidRPr="00BE712C" w:rsidRDefault="00BE712C" w:rsidP="009906F2">
      <w:pPr>
        <w:pStyle w:val="Bibliography"/>
        <w:spacing w:after="0"/>
        <w:ind w:left="0" w:firstLine="0"/>
        <w:jc w:val="left"/>
      </w:pPr>
      <w:r w:rsidRPr="00BE712C">
        <w:t>91.</w:t>
      </w:r>
      <w:r w:rsidRPr="00BE712C">
        <w:tab/>
        <w:t xml:space="preserve">Kolb R, Zhang W. Obesity and Breast Cancer: A Case of Inflamed Adipose Tissue. </w:t>
      </w:r>
      <w:r w:rsidRPr="00BE712C">
        <w:rPr>
          <w:i/>
          <w:iCs/>
        </w:rPr>
        <w:t>Cancers (Basel)</w:t>
      </w:r>
      <w:r w:rsidRPr="00BE712C">
        <w:t>. 2020;12(6):1686. doi:10.3390/cancers12061686</w:t>
      </w:r>
    </w:p>
    <w:p w14:paraId="67D6FE32" w14:textId="77777777" w:rsidR="00BE712C" w:rsidRPr="00BE712C" w:rsidRDefault="00BE712C" w:rsidP="009906F2">
      <w:pPr>
        <w:pStyle w:val="Bibliography"/>
        <w:spacing w:after="0"/>
        <w:ind w:left="0" w:firstLine="0"/>
        <w:jc w:val="left"/>
      </w:pPr>
      <w:r w:rsidRPr="00BE712C">
        <w:t>92.</w:t>
      </w:r>
      <w:r w:rsidRPr="00BE712C">
        <w:tab/>
        <w:t xml:space="preserve">Inaishi J, Saisho Y. Beta-Cell Mass in Obesity and Type 2 Diabetes, and Its Relation to Pancreas Fat: A Mini-Review. </w:t>
      </w:r>
      <w:r w:rsidRPr="00BE712C">
        <w:rPr>
          <w:i/>
          <w:iCs/>
        </w:rPr>
        <w:t>Nutrients</w:t>
      </w:r>
      <w:r w:rsidRPr="00BE712C">
        <w:t>. 2020;12(12):3846. doi:10.3390/nu12123846</w:t>
      </w:r>
    </w:p>
    <w:p w14:paraId="3DE2A426" w14:textId="77777777" w:rsidR="00BE712C" w:rsidRPr="00BE712C" w:rsidRDefault="00BE712C" w:rsidP="009906F2">
      <w:pPr>
        <w:pStyle w:val="Bibliography"/>
        <w:spacing w:after="0"/>
        <w:ind w:left="0" w:firstLine="0"/>
        <w:jc w:val="left"/>
      </w:pPr>
      <w:r w:rsidRPr="00BE712C">
        <w:t>93.</w:t>
      </w:r>
      <w:r w:rsidRPr="00BE712C">
        <w:tab/>
        <w:t xml:space="preserve">Ruze R, Liu T, Zou X, et al. Obesity and type 2 diabetes mellitus: connections in epidemiology, pathogenesis, and treatments. </w:t>
      </w:r>
      <w:r w:rsidRPr="00BE712C">
        <w:rPr>
          <w:i/>
          <w:iCs/>
        </w:rPr>
        <w:t>Front Endocrinol (Lausanne)</w:t>
      </w:r>
      <w:r w:rsidRPr="00BE712C">
        <w:t>. 2023;14:1161521. doi:10.3389/fendo.2023.1161521</w:t>
      </w:r>
    </w:p>
    <w:p w14:paraId="3AC0136E" w14:textId="77777777" w:rsidR="00BE712C" w:rsidRPr="00BE712C" w:rsidRDefault="00BE712C" w:rsidP="009906F2">
      <w:pPr>
        <w:pStyle w:val="Bibliography"/>
        <w:spacing w:after="0"/>
        <w:ind w:left="0" w:firstLine="0"/>
        <w:jc w:val="left"/>
      </w:pPr>
      <w:r w:rsidRPr="00BE712C">
        <w:t>94.</w:t>
      </w:r>
      <w:r w:rsidRPr="00BE712C">
        <w:tab/>
        <w:t xml:space="preserve">Kim K yong, Kim HY, Kim JH, et al. Tumor necrosis factor-α and interleukin-1β increases CTRP1 expression in adipose tissue. </w:t>
      </w:r>
      <w:r w:rsidRPr="00BE712C">
        <w:rPr>
          <w:i/>
          <w:iCs/>
        </w:rPr>
        <w:t>FEBS Letters</w:t>
      </w:r>
      <w:r w:rsidRPr="00BE712C">
        <w:t>. 2006;580(16):3953-3960. doi:10.1016/j.febslet.2006.06.034</w:t>
      </w:r>
    </w:p>
    <w:p w14:paraId="75B643B1" w14:textId="77777777" w:rsidR="00BE712C" w:rsidRPr="00BE712C" w:rsidRDefault="00BE712C" w:rsidP="009906F2">
      <w:pPr>
        <w:pStyle w:val="Bibliography"/>
        <w:spacing w:after="0"/>
        <w:ind w:left="0" w:firstLine="0"/>
        <w:jc w:val="left"/>
      </w:pPr>
      <w:r w:rsidRPr="00BE712C">
        <w:t>95.</w:t>
      </w:r>
      <w:r w:rsidRPr="00BE712C">
        <w:tab/>
        <w:t xml:space="preserve">Hildebrandt X, Ibrahim M, Peltzer N. Cell death and inflammation during obesity: “Know my methods, WAT(son).” </w:t>
      </w:r>
      <w:r w:rsidRPr="00BE712C">
        <w:rPr>
          <w:i/>
          <w:iCs/>
        </w:rPr>
        <w:t>Cell Death Differ</w:t>
      </w:r>
      <w:r w:rsidRPr="00BE712C">
        <w:t>. 2023;30(2):279-292. doi:10.1038/s41418-022-01062-4</w:t>
      </w:r>
    </w:p>
    <w:p w14:paraId="6C4FCA3F" w14:textId="77777777" w:rsidR="00BE712C" w:rsidRPr="00BE712C" w:rsidRDefault="00BE712C" w:rsidP="009906F2">
      <w:pPr>
        <w:pStyle w:val="Bibliography"/>
        <w:spacing w:after="0"/>
        <w:ind w:left="0" w:firstLine="0"/>
        <w:jc w:val="left"/>
      </w:pPr>
      <w:r w:rsidRPr="00BE712C">
        <w:lastRenderedPageBreak/>
        <w:t>96.</w:t>
      </w:r>
      <w:r w:rsidRPr="00BE712C">
        <w:tab/>
        <w:t xml:space="preserve">Aguirre V, Werner ED, Giraud J, Lee YH, Shoelson SE, White MF. Phosphorylation of Ser307 in Insulin Receptor Substrate-1 Blocks Interactions with the Insulin Receptor and Inhibits Insulin Action *. </w:t>
      </w:r>
      <w:r w:rsidRPr="00BE712C">
        <w:rPr>
          <w:i/>
          <w:iCs/>
        </w:rPr>
        <w:t>Journal of Biological Chemistry</w:t>
      </w:r>
      <w:r w:rsidRPr="00BE712C">
        <w:t>. 2002;277(2):1531-1537. doi:10.1074/jbc.M101521200</w:t>
      </w:r>
    </w:p>
    <w:p w14:paraId="4C0EB0EC" w14:textId="77777777" w:rsidR="00BE712C" w:rsidRPr="00BE712C" w:rsidRDefault="00BE712C" w:rsidP="009906F2">
      <w:pPr>
        <w:pStyle w:val="Bibliography"/>
        <w:spacing w:after="0"/>
        <w:ind w:left="0" w:firstLine="0"/>
        <w:jc w:val="left"/>
      </w:pPr>
      <w:r w:rsidRPr="00BE712C">
        <w:t>97.</w:t>
      </w:r>
      <w:r w:rsidRPr="00BE712C">
        <w:tab/>
        <w:t xml:space="preserve">Lee YH, Giraud J, Davis RJ, White MF. c-Jun N-terminal Kinase (JNK) Mediates Feedback Inhibition of the Insulin Signaling Cascade *. </w:t>
      </w:r>
      <w:r w:rsidRPr="00BE712C">
        <w:rPr>
          <w:i/>
          <w:iCs/>
        </w:rPr>
        <w:t>Journal of Biological Chemistry</w:t>
      </w:r>
      <w:r w:rsidRPr="00BE712C">
        <w:t>. 2003;278(5):2896-2902. doi:10.1074/jbc.M208359200</w:t>
      </w:r>
    </w:p>
    <w:p w14:paraId="6AA62613" w14:textId="77777777" w:rsidR="00BE712C" w:rsidRPr="00BE712C" w:rsidRDefault="00BE712C" w:rsidP="009906F2">
      <w:pPr>
        <w:pStyle w:val="Bibliography"/>
        <w:spacing w:after="0"/>
        <w:ind w:left="0" w:firstLine="0"/>
        <w:jc w:val="left"/>
      </w:pPr>
      <w:r w:rsidRPr="00BE712C">
        <w:t>98.</w:t>
      </w:r>
      <w:r w:rsidRPr="00BE712C">
        <w:tab/>
        <w:t xml:space="preserve">Emanuelli B, Peraldi P, Filloux C, et al. SOCS-3 Inhibits Insulin Signaling and Is Up-regulated in Response to Tumor Necrosis Factor-α in the Adipose Tissue of Obese Mice *. </w:t>
      </w:r>
      <w:r w:rsidRPr="00BE712C">
        <w:rPr>
          <w:i/>
          <w:iCs/>
        </w:rPr>
        <w:t>Journal of Biological Chemistry</w:t>
      </w:r>
      <w:r w:rsidRPr="00BE712C">
        <w:t>. 2001;276(51):47944-47949. doi:10.1074/jbc.M104602200</w:t>
      </w:r>
    </w:p>
    <w:p w14:paraId="030F86AA" w14:textId="77777777" w:rsidR="00BE712C" w:rsidRPr="00BE712C" w:rsidRDefault="00BE712C" w:rsidP="009906F2">
      <w:pPr>
        <w:pStyle w:val="Bibliography"/>
        <w:spacing w:after="0"/>
        <w:ind w:left="0" w:firstLine="0"/>
        <w:jc w:val="left"/>
      </w:pPr>
      <w:r w:rsidRPr="00BE712C">
        <w:t>99.</w:t>
      </w:r>
      <w:r w:rsidRPr="00BE712C">
        <w:tab/>
        <w:t xml:space="preserve">Ueki K, Kondo ,Tatsuya, and Kahn CR. Suppressor of Cytokine Signaling 1 (SOCS-1) and SOCS-3 Cause Insulin Resistance through Inhibition of Tyrosine Phosphorylation of Insulin Receptor Substrate Proteins by Discrete Mechanisms. </w:t>
      </w:r>
      <w:r w:rsidRPr="00BE712C">
        <w:rPr>
          <w:i/>
          <w:iCs/>
        </w:rPr>
        <w:t>Molecular and Cellular Biology</w:t>
      </w:r>
      <w:r w:rsidRPr="00BE712C">
        <w:t>. 2004;24(12):5434-5446. doi:10.1128/MCB.24.12.5434-5446.2004</w:t>
      </w:r>
    </w:p>
    <w:p w14:paraId="05ADE07B" w14:textId="77777777" w:rsidR="00BE712C" w:rsidRPr="00BE712C" w:rsidRDefault="00BE712C" w:rsidP="009906F2">
      <w:pPr>
        <w:pStyle w:val="Bibliography"/>
        <w:spacing w:after="0"/>
        <w:ind w:left="0" w:firstLine="0"/>
        <w:jc w:val="left"/>
      </w:pPr>
      <w:r w:rsidRPr="00BE712C">
        <w:t>100.</w:t>
      </w:r>
      <w:r w:rsidRPr="00BE712C">
        <w:tab/>
        <w:t xml:space="preserve">Blüher M. Adipose tissue dysfunction contributes to obesity related metabolic diseases. </w:t>
      </w:r>
      <w:r w:rsidRPr="00BE712C">
        <w:rPr>
          <w:i/>
          <w:iCs/>
        </w:rPr>
        <w:t>Best Practice &amp; Research Clinical Endocrinology &amp; Metabolism</w:t>
      </w:r>
      <w:r w:rsidRPr="00BE712C">
        <w:t>. 2013;27(2):163-177. doi:10.1016/j.beem.2013.02.005</w:t>
      </w:r>
    </w:p>
    <w:p w14:paraId="7A89956A" w14:textId="77777777" w:rsidR="00BE712C" w:rsidRPr="00BE712C" w:rsidRDefault="00BE712C" w:rsidP="009906F2">
      <w:pPr>
        <w:pStyle w:val="Bibliography"/>
        <w:spacing w:after="0"/>
        <w:ind w:left="0" w:firstLine="0"/>
        <w:jc w:val="left"/>
      </w:pPr>
      <w:r w:rsidRPr="00BE712C">
        <w:t>101.</w:t>
      </w:r>
      <w:r w:rsidRPr="00BE712C">
        <w:tab/>
        <w:t xml:space="preserve">Chadt A, Scherneck S, Joost HG, Al-Hasani H. Molecular links between Obesity and Diabetes: “Diabesity.” In: Feingold KR, Ahmed SF, Anawalt B, et al., eds. </w:t>
      </w:r>
      <w:r w:rsidRPr="00BE712C">
        <w:rPr>
          <w:i/>
          <w:iCs/>
        </w:rPr>
        <w:t>Endotext</w:t>
      </w:r>
      <w:r w:rsidRPr="00BE712C">
        <w:t>. MDText.com, Inc.; 2000. Accessed June 11, 2025. http://www.ncbi.nlm.nih.gov/books/NBK279051/</w:t>
      </w:r>
    </w:p>
    <w:p w14:paraId="0B360654" w14:textId="77777777" w:rsidR="00BE712C" w:rsidRPr="00BE712C" w:rsidRDefault="00BE712C" w:rsidP="009906F2">
      <w:pPr>
        <w:pStyle w:val="Bibliography"/>
        <w:spacing w:after="0"/>
        <w:ind w:left="0" w:firstLine="0"/>
        <w:jc w:val="left"/>
      </w:pPr>
      <w:r w:rsidRPr="00BE712C">
        <w:lastRenderedPageBreak/>
        <w:t>102.</w:t>
      </w:r>
      <w:r w:rsidRPr="00BE712C">
        <w:tab/>
        <w:t xml:space="preserve">Pagliassotti MJ, Kim PY, Estrada AL, Stewart CM, Gentile CL. Endoplasmic Reticulum Stress in Obesity and Obesity-Related Disorders: An Expanded View. </w:t>
      </w:r>
      <w:r w:rsidRPr="00BE712C">
        <w:rPr>
          <w:i/>
          <w:iCs/>
        </w:rPr>
        <w:t>Metabolism</w:t>
      </w:r>
      <w:r w:rsidRPr="00BE712C">
        <w:t>. 2016;65(9):1238-1246. doi:10.1016/j.metabol.2016.05.002</w:t>
      </w:r>
    </w:p>
    <w:p w14:paraId="329D6E67" w14:textId="77777777" w:rsidR="00BE712C" w:rsidRPr="00BE712C" w:rsidRDefault="00BE712C" w:rsidP="009906F2">
      <w:pPr>
        <w:pStyle w:val="Bibliography"/>
        <w:spacing w:after="0"/>
        <w:ind w:left="0" w:firstLine="0"/>
        <w:jc w:val="left"/>
      </w:pPr>
      <w:r w:rsidRPr="00BE712C">
        <w:t>103.</w:t>
      </w:r>
      <w:r w:rsidRPr="00BE712C">
        <w:tab/>
        <w:t xml:space="preserve">Rains JL, Jain SK. OXIDATIVE STRESS, INSULIN SIGNALING AND DIABETES. </w:t>
      </w:r>
      <w:r w:rsidRPr="00BE712C">
        <w:rPr>
          <w:i/>
          <w:iCs/>
        </w:rPr>
        <w:t>Free Radic Biol Med</w:t>
      </w:r>
      <w:r w:rsidRPr="00BE712C">
        <w:t>. 2011;50(5):567-575. doi:10.1016/j.freeradbiomed.2010.12.006</w:t>
      </w:r>
    </w:p>
    <w:p w14:paraId="5CA12D7F" w14:textId="77777777" w:rsidR="00BE712C" w:rsidRPr="00BE712C" w:rsidRDefault="00BE712C" w:rsidP="009906F2">
      <w:pPr>
        <w:pStyle w:val="Bibliography"/>
        <w:spacing w:after="0"/>
        <w:ind w:left="0" w:firstLine="0"/>
        <w:jc w:val="left"/>
      </w:pPr>
      <w:r w:rsidRPr="00BE712C">
        <w:t>104.</w:t>
      </w:r>
      <w:r w:rsidRPr="00BE712C">
        <w:tab/>
        <w:t xml:space="preserve">Xia W, Veeragandham P, Cao Y, et al. Obesity causes mitochondrial fragmentation and dysfunction in white adipocytes due to RalA activation. </w:t>
      </w:r>
      <w:r w:rsidRPr="00BE712C">
        <w:rPr>
          <w:i/>
          <w:iCs/>
        </w:rPr>
        <w:t>Nat Metab</w:t>
      </w:r>
      <w:r w:rsidRPr="00BE712C">
        <w:t>. 2024;6(2):273-289. doi:10.1038/s42255-024-00978-0</w:t>
      </w:r>
    </w:p>
    <w:p w14:paraId="2E5B574D" w14:textId="77777777" w:rsidR="00BE712C" w:rsidRPr="00BE712C" w:rsidRDefault="00BE712C" w:rsidP="009906F2">
      <w:pPr>
        <w:pStyle w:val="Bibliography"/>
        <w:spacing w:after="0"/>
        <w:ind w:left="0" w:firstLine="0"/>
        <w:jc w:val="left"/>
      </w:pPr>
      <w:r w:rsidRPr="00BE712C">
        <w:t>105.</w:t>
      </w:r>
      <w:r w:rsidRPr="00BE712C">
        <w:tab/>
        <w:t xml:space="preserve">Nono Nankam PA, Nguelefack TB, Goedecke JH, Blüher M. Contribution of Adipose Tissue Oxidative Stress to Obesity-Associated Diabetes Risk and Ethnic Differences: Focus on Women of African Ancestry. </w:t>
      </w:r>
      <w:r w:rsidRPr="00BE712C">
        <w:rPr>
          <w:i/>
          <w:iCs/>
        </w:rPr>
        <w:t>Antioxidants (Basel)</w:t>
      </w:r>
      <w:r w:rsidRPr="00BE712C">
        <w:t>. 2021;10(4):622. doi:10.3390/antiox10040622</w:t>
      </w:r>
    </w:p>
    <w:p w14:paraId="0130E99C" w14:textId="77777777" w:rsidR="00BE712C" w:rsidRPr="00BE712C" w:rsidRDefault="00BE712C" w:rsidP="009906F2">
      <w:pPr>
        <w:pStyle w:val="Bibliography"/>
        <w:spacing w:after="0"/>
        <w:ind w:left="0" w:firstLine="0"/>
        <w:jc w:val="left"/>
      </w:pPr>
      <w:r w:rsidRPr="00BE712C">
        <w:t>106.</w:t>
      </w:r>
      <w:r w:rsidRPr="00BE712C">
        <w:tab/>
        <w:t xml:space="preserve">Cunha DA, Hekerman P, Ladrière L, et al. Initiation and execution of lipotoxic ER stress in pancreatic β-cells. </w:t>
      </w:r>
      <w:r w:rsidRPr="00BE712C">
        <w:rPr>
          <w:i/>
          <w:iCs/>
        </w:rPr>
        <w:t>Journal of Cell Science</w:t>
      </w:r>
      <w:r w:rsidRPr="00BE712C">
        <w:t>. 2008;121(14):2308-2318. doi:10.1242/jcs.026062</w:t>
      </w:r>
    </w:p>
    <w:p w14:paraId="4C7EC7D5" w14:textId="77777777" w:rsidR="00BE712C" w:rsidRPr="00BE712C" w:rsidRDefault="00BE712C" w:rsidP="009906F2">
      <w:pPr>
        <w:pStyle w:val="Bibliography"/>
        <w:spacing w:after="0"/>
        <w:ind w:left="0" w:firstLine="0"/>
        <w:jc w:val="left"/>
      </w:pPr>
      <w:r w:rsidRPr="00BE712C">
        <w:t>107.</w:t>
      </w:r>
      <w:r w:rsidRPr="00BE712C">
        <w:tab/>
        <w:t xml:space="preserve">Cnop M, Igoillo-Esteve M, Cunha DA, Ladrière L, Eizirik DL. An update on lipotoxic endoplasmic reticulum stress in pancreatic β-cells. </w:t>
      </w:r>
      <w:r w:rsidRPr="00BE712C">
        <w:rPr>
          <w:i/>
          <w:iCs/>
        </w:rPr>
        <w:t>Biochemical Society Transactions</w:t>
      </w:r>
      <w:r w:rsidRPr="00BE712C">
        <w:t>. 2008;36(5):909-915. doi:10.1042/BST0360909</w:t>
      </w:r>
    </w:p>
    <w:p w14:paraId="36C51F21" w14:textId="77777777" w:rsidR="00BE712C" w:rsidRPr="00BE712C" w:rsidRDefault="00BE712C" w:rsidP="009906F2">
      <w:pPr>
        <w:pStyle w:val="Bibliography"/>
        <w:spacing w:after="0"/>
        <w:ind w:left="0" w:firstLine="0"/>
        <w:jc w:val="left"/>
      </w:pPr>
      <w:r w:rsidRPr="00BE712C">
        <w:t>108.</w:t>
      </w:r>
      <w:r w:rsidRPr="00BE712C">
        <w:tab/>
        <w:t xml:space="preserve">Vilas-Boas EA, Almeida DC, Roma LP, Ortis F, Carpinelli AR. Lipotoxicity and β-Cell Failure in Type 2 Diabetes: Oxidative Stress Linked to NADPH Oxidase and ER Stress. </w:t>
      </w:r>
      <w:r w:rsidRPr="00BE712C">
        <w:rPr>
          <w:i/>
          <w:iCs/>
        </w:rPr>
        <w:t>Cells</w:t>
      </w:r>
      <w:r w:rsidRPr="00BE712C">
        <w:t>. 2021;10(12):3328. doi:10.3390/cells10123328</w:t>
      </w:r>
    </w:p>
    <w:p w14:paraId="434817BE" w14:textId="77777777" w:rsidR="00BE712C" w:rsidRPr="00BE712C" w:rsidRDefault="00BE712C" w:rsidP="009906F2">
      <w:pPr>
        <w:pStyle w:val="Bibliography"/>
        <w:spacing w:after="0"/>
        <w:ind w:left="0" w:firstLine="0"/>
        <w:jc w:val="left"/>
      </w:pPr>
      <w:r w:rsidRPr="00BE712C">
        <w:t>109.</w:t>
      </w:r>
      <w:r w:rsidRPr="00BE712C">
        <w:tab/>
        <w:t xml:space="preserve">Yousef H, Khandoker AH, Feng SF, Helf C, Jelinek HF. Inflammation, oxidative stress and mitochondrial dysfunction in the progression of type II diabetes mellitus with coexisting hypertension. </w:t>
      </w:r>
      <w:r w:rsidRPr="00BE712C">
        <w:rPr>
          <w:i/>
          <w:iCs/>
        </w:rPr>
        <w:t>Front Endocrinol</w:t>
      </w:r>
      <w:r w:rsidRPr="00BE712C">
        <w:t>. 2023;14. doi:10.3389/fendo.2023.1173402</w:t>
      </w:r>
    </w:p>
    <w:p w14:paraId="3FC3BD4C" w14:textId="77777777" w:rsidR="00BE712C" w:rsidRPr="00BE712C" w:rsidRDefault="00BE712C" w:rsidP="009906F2">
      <w:pPr>
        <w:pStyle w:val="Bibliography"/>
        <w:spacing w:after="0"/>
        <w:ind w:left="0" w:firstLine="0"/>
        <w:jc w:val="left"/>
      </w:pPr>
      <w:r w:rsidRPr="00BE712C">
        <w:lastRenderedPageBreak/>
        <w:t>110.</w:t>
      </w:r>
      <w:r w:rsidRPr="00BE712C">
        <w:tab/>
        <w:t xml:space="preserve">Shi H, Seeley RJ, Clegg DJ. Sexual Differences in the Control of Energy Homeostasis. </w:t>
      </w:r>
      <w:r w:rsidRPr="00BE712C">
        <w:rPr>
          <w:i/>
          <w:iCs/>
        </w:rPr>
        <w:t>Front Neuroendocrinol</w:t>
      </w:r>
      <w:r w:rsidRPr="00BE712C">
        <w:t>. 2009;30(3):396-404. doi:10.1016/j.yfrne.2009.03.004</w:t>
      </w:r>
    </w:p>
    <w:p w14:paraId="5341EE51" w14:textId="77777777" w:rsidR="00BE712C" w:rsidRPr="00BE712C" w:rsidRDefault="00BE712C" w:rsidP="009906F2">
      <w:pPr>
        <w:pStyle w:val="Bibliography"/>
        <w:spacing w:after="0"/>
        <w:ind w:left="0" w:firstLine="0"/>
        <w:jc w:val="left"/>
      </w:pPr>
      <w:r w:rsidRPr="00BE712C">
        <w:t>111.</w:t>
      </w:r>
      <w:r w:rsidRPr="00BE712C">
        <w:tab/>
        <w:t xml:space="preserve">Blaak E. Gender differences in fat metabolism. </w:t>
      </w:r>
      <w:r w:rsidRPr="00BE712C">
        <w:rPr>
          <w:i/>
          <w:iCs/>
        </w:rPr>
        <w:t>Current Opinion in Clinical Nutrition &amp; Metabolic Care</w:t>
      </w:r>
      <w:r w:rsidRPr="00BE712C">
        <w:t>. 2001;4(6):499.</w:t>
      </w:r>
    </w:p>
    <w:p w14:paraId="23606DDF" w14:textId="77777777" w:rsidR="00BE712C" w:rsidRPr="00BE712C" w:rsidRDefault="00BE712C" w:rsidP="009906F2">
      <w:pPr>
        <w:pStyle w:val="Bibliography"/>
        <w:spacing w:after="0"/>
        <w:ind w:left="0" w:firstLine="0"/>
        <w:jc w:val="left"/>
      </w:pPr>
      <w:r w:rsidRPr="00BE712C">
        <w:t>112.</w:t>
      </w:r>
      <w:r w:rsidRPr="00BE712C">
        <w:tab/>
        <w:t xml:space="preserve">Frank AP, de Souza Santos R, Palmer BF, Clegg DJ. Determinants of body fat distribution in humans may provide insight about obesity-related health risks. </w:t>
      </w:r>
      <w:r w:rsidRPr="00BE712C">
        <w:rPr>
          <w:i/>
          <w:iCs/>
        </w:rPr>
        <w:t>J Lipid Res</w:t>
      </w:r>
      <w:r w:rsidRPr="00BE712C">
        <w:t>. 2019;60(10):1710-1719. doi:10.1194/jlr.R086975</w:t>
      </w:r>
    </w:p>
    <w:p w14:paraId="4563D2B0" w14:textId="77777777" w:rsidR="00BE712C" w:rsidRPr="00BE712C" w:rsidRDefault="00BE712C" w:rsidP="009906F2">
      <w:pPr>
        <w:pStyle w:val="Bibliography"/>
        <w:spacing w:after="0"/>
        <w:ind w:left="0" w:firstLine="0"/>
        <w:jc w:val="left"/>
      </w:pPr>
      <w:r w:rsidRPr="00BE712C">
        <w:t>113.</w:t>
      </w:r>
      <w:r w:rsidRPr="00BE712C">
        <w:tab/>
        <w:t xml:space="preserve">Lumish HS, O’Reilly M, Reilly MP. Sex Differences in Genomic Drivers of Adipose Distribution and Related Cardiometabolic Disorders. </w:t>
      </w:r>
      <w:r w:rsidRPr="00BE712C">
        <w:rPr>
          <w:i/>
          <w:iCs/>
        </w:rPr>
        <w:t>Arteriosclerosis, Thrombosis, and Vascular Biology</w:t>
      </w:r>
      <w:r w:rsidRPr="00BE712C">
        <w:t>. 2020;40(1):45-60. doi:10.1161/ATVBAHA.119.313154</w:t>
      </w:r>
    </w:p>
    <w:p w14:paraId="21967924" w14:textId="77777777" w:rsidR="00BE712C" w:rsidRPr="00BE712C" w:rsidRDefault="00BE712C" w:rsidP="009906F2">
      <w:pPr>
        <w:pStyle w:val="Bibliography"/>
        <w:spacing w:after="0"/>
        <w:ind w:left="0" w:firstLine="0"/>
        <w:jc w:val="left"/>
      </w:pPr>
      <w:r w:rsidRPr="00BE712C">
        <w:t>114.</w:t>
      </w:r>
      <w:r w:rsidRPr="00BE712C">
        <w:tab/>
        <w:t xml:space="preserve">Perreault L, Lavely JM, Kittelson JM, Horton TJ. Gender Differences in Lipoprotein Lipase Activity after Acute Exercise. </w:t>
      </w:r>
      <w:r w:rsidRPr="00BE712C">
        <w:rPr>
          <w:i/>
          <w:iCs/>
        </w:rPr>
        <w:t>Obesity Research</w:t>
      </w:r>
      <w:r w:rsidRPr="00BE712C">
        <w:t>. 2004;12(2):241-249. doi:10.1038/oby.2004.31</w:t>
      </w:r>
    </w:p>
    <w:p w14:paraId="24B20D55" w14:textId="77777777" w:rsidR="00BE712C" w:rsidRPr="00BE712C" w:rsidRDefault="00BE712C" w:rsidP="009906F2">
      <w:pPr>
        <w:pStyle w:val="Bibliography"/>
        <w:spacing w:after="0"/>
        <w:ind w:left="0" w:firstLine="0"/>
        <w:jc w:val="left"/>
      </w:pPr>
      <w:r w:rsidRPr="00BE712C">
        <w:t>115.</w:t>
      </w:r>
      <w:r w:rsidRPr="00BE712C">
        <w:tab/>
        <w:t xml:space="preserve">Kotani K, Tokunaga K, Fujioka S, et al. Sexual dimorphism of age-related changes in whole-body fat distribution in the obese. </w:t>
      </w:r>
      <w:r w:rsidRPr="00BE712C">
        <w:rPr>
          <w:i/>
          <w:iCs/>
        </w:rPr>
        <w:t>Int J Obes Relat Metab Disord</w:t>
      </w:r>
      <w:r w:rsidRPr="00BE712C">
        <w:t>. 1994;18(4):207-202.</w:t>
      </w:r>
    </w:p>
    <w:p w14:paraId="5DB632A5" w14:textId="77777777" w:rsidR="00BE712C" w:rsidRPr="00BE712C" w:rsidRDefault="00BE712C" w:rsidP="009906F2">
      <w:pPr>
        <w:pStyle w:val="Bibliography"/>
        <w:spacing w:after="0"/>
        <w:ind w:left="0" w:firstLine="0"/>
        <w:jc w:val="left"/>
      </w:pPr>
      <w:r w:rsidRPr="00BE712C">
        <w:t>116.</w:t>
      </w:r>
      <w:r w:rsidRPr="00BE712C">
        <w:tab/>
        <w:t xml:space="preserve">Dua A, Hennes MI, Hoffmann RG, et al. Leptin: A Significant Indicator of Total Body Fat but Not of Visceral Fat and Insulin Insensitivity in African-American Women. </w:t>
      </w:r>
      <w:r w:rsidRPr="00BE712C">
        <w:rPr>
          <w:i/>
          <w:iCs/>
        </w:rPr>
        <w:t>Diabetes</w:t>
      </w:r>
      <w:r w:rsidRPr="00BE712C">
        <w:t>. 1996;45(11):1635-1637. doi:10.2337/diab.45.11.1635</w:t>
      </w:r>
    </w:p>
    <w:p w14:paraId="31C1C9B2" w14:textId="77777777" w:rsidR="00BE712C" w:rsidRPr="00BE712C" w:rsidRDefault="00BE712C" w:rsidP="009906F2">
      <w:pPr>
        <w:pStyle w:val="Bibliography"/>
        <w:spacing w:after="0"/>
        <w:ind w:left="0" w:firstLine="0"/>
        <w:jc w:val="left"/>
      </w:pPr>
      <w:r w:rsidRPr="00BE712C">
        <w:t>117.</w:t>
      </w:r>
      <w:r w:rsidRPr="00BE712C">
        <w:tab/>
        <w:t xml:space="preserve">Havel PJ, Kasim-Karakas S, Mueller W, Johnson PR, Gingerich RL, Stern JS. Relationship of plasma leptin to plasma insulin and adiposity in normal weight and overweight women: effects of dietary fat content and sustained weight loss. </w:t>
      </w:r>
      <w:r w:rsidRPr="00BE712C">
        <w:rPr>
          <w:i/>
          <w:iCs/>
        </w:rPr>
        <w:t>The Journal of Clinical Endocrinology &amp; Metabolism</w:t>
      </w:r>
      <w:r w:rsidRPr="00BE712C">
        <w:t>. 1996;81(12):4406-4413. doi:10.1210/jcem.81.12.8954050</w:t>
      </w:r>
    </w:p>
    <w:p w14:paraId="72637EC3" w14:textId="77777777" w:rsidR="00BE712C" w:rsidRPr="00BE712C" w:rsidRDefault="00BE712C" w:rsidP="009906F2">
      <w:pPr>
        <w:pStyle w:val="Bibliography"/>
        <w:spacing w:after="0"/>
        <w:ind w:left="0" w:firstLine="0"/>
        <w:jc w:val="left"/>
      </w:pPr>
      <w:r w:rsidRPr="00BE712C">
        <w:lastRenderedPageBreak/>
        <w:t>118.</w:t>
      </w:r>
      <w:r w:rsidRPr="00BE712C">
        <w:tab/>
        <w:t xml:space="preserve">Nauli AM, Matin S. Why Do Men Accumulate Abdominal Visceral Fat? </w:t>
      </w:r>
      <w:r w:rsidRPr="00BE712C">
        <w:rPr>
          <w:i/>
          <w:iCs/>
        </w:rPr>
        <w:t>Front Physiol</w:t>
      </w:r>
      <w:r w:rsidRPr="00BE712C">
        <w:t>. 2019;10:1486. doi:10.3389/fphys.2019.01486</w:t>
      </w:r>
    </w:p>
    <w:p w14:paraId="6E02FB85" w14:textId="77777777" w:rsidR="00BE712C" w:rsidRPr="00BE712C" w:rsidRDefault="00BE712C" w:rsidP="009906F2">
      <w:pPr>
        <w:pStyle w:val="Bibliography"/>
        <w:spacing w:after="0"/>
        <w:ind w:left="0" w:firstLine="0"/>
        <w:jc w:val="left"/>
      </w:pPr>
      <w:r w:rsidRPr="00BE712C">
        <w:t>119.</w:t>
      </w:r>
      <w:r w:rsidRPr="00BE712C">
        <w:tab/>
        <w:t xml:space="preserve">Park BS, Yang HR, Kang H, et al. α2-Adrenergic Receptors in Hypothalamic Dopaminergic Neurons: Impact on Food Intake and Energy Expenditure. </w:t>
      </w:r>
      <w:r w:rsidRPr="00BE712C">
        <w:rPr>
          <w:i/>
          <w:iCs/>
        </w:rPr>
        <w:t>International Journal of Molecular Sciences</w:t>
      </w:r>
      <w:r w:rsidRPr="00BE712C">
        <w:t>. 2025;26(8):3590. doi:10.3390/ijms26083590</w:t>
      </w:r>
    </w:p>
    <w:p w14:paraId="037800C0" w14:textId="77777777" w:rsidR="00BE712C" w:rsidRPr="00BE712C" w:rsidRDefault="00BE712C" w:rsidP="009906F2">
      <w:pPr>
        <w:pStyle w:val="Bibliography"/>
        <w:spacing w:after="0"/>
        <w:ind w:left="0" w:firstLine="0"/>
        <w:jc w:val="left"/>
      </w:pPr>
      <w:r w:rsidRPr="00BE712C">
        <w:t>120.</w:t>
      </w:r>
      <w:r w:rsidRPr="00BE712C">
        <w:tab/>
        <w:t xml:space="preserve">Pedersen SB, Kristensen K, Hermann PA, Katzenellenbogen JA, Richelsen B. Estrogen Controls Lipolysis by Up-Regulating α2A-Adrenergic Receptors Directly in Human Adipose Tissue through the Estrogen Receptor α. Implications for the Female Fat Distribution. </w:t>
      </w:r>
      <w:r w:rsidRPr="00BE712C">
        <w:rPr>
          <w:i/>
          <w:iCs/>
        </w:rPr>
        <w:t>The Journal of Clinical Endocrinology &amp; Metabolism</w:t>
      </w:r>
      <w:r w:rsidRPr="00BE712C">
        <w:t>. 2004;89(4):1869-1878. doi:10.1210/jc.2003-031327</w:t>
      </w:r>
    </w:p>
    <w:p w14:paraId="2DC17ABA" w14:textId="77777777" w:rsidR="00BE712C" w:rsidRPr="00BE712C" w:rsidRDefault="00BE712C" w:rsidP="009906F2">
      <w:pPr>
        <w:pStyle w:val="Bibliography"/>
        <w:spacing w:after="0"/>
        <w:ind w:left="0" w:firstLine="0"/>
        <w:jc w:val="left"/>
      </w:pPr>
      <w:r w:rsidRPr="00BE712C">
        <w:t>121.</w:t>
      </w:r>
      <w:r w:rsidRPr="00BE712C">
        <w:tab/>
        <w:t xml:space="preserve">Palmer BF, Clegg DJ. The sexual dimorphism of obesity. </w:t>
      </w:r>
      <w:r w:rsidRPr="00BE712C">
        <w:rPr>
          <w:i/>
          <w:iCs/>
        </w:rPr>
        <w:t>Molecular and Cellular Endocrinology</w:t>
      </w:r>
      <w:r w:rsidRPr="00BE712C">
        <w:t>. 2015;402:113-119. doi:10.1016/j.mce.2014.11.029</w:t>
      </w:r>
    </w:p>
    <w:p w14:paraId="728DF527" w14:textId="77777777" w:rsidR="00BE712C" w:rsidRPr="00BE712C" w:rsidRDefault="00BE712C" w:rsidP="009906F2">
      <w:pPr>
        <w:pStyle w:val="Bibliography"/>
        <w:spacing w:after="0"/>
        <w:ind w:left="0" w:firstLine="0"/>
        <w:jc w:val="left"/>
      </w:pPr>
      <w:r w:rsidRPr="00BE712C">
        <w:t>122.</w:t>
      </w:r>
      <w:r w:rsidRPr="00BE712C">
        <w:tab/>
        <w:t xml:space="preserve">Garenc C, Pérusse L, Chagnon YC, et al. The Alpha2-Adrenergic Receptor Gene and Body Fat Content and Distribution: The HERITAGE Family Study. </w:t>
      </w:r>
      <w:r w:rsidRPr="00BE712C">
        <w:rPr>
          <w:i/>
          <w:iCs/>
        </w:rPr>
        <w:t>Mol Med</w:t>
      </w:r>
      <w:r w:rsidRPr="00BE712C">
        <w:t>. 2002;8(2):88-94. doi:10.1007/BF03402078</w:t>
      </w:r>
    </w:p>
    <w:p w14:paraId="4B02D33A" w14:textId="77777777" w:rsidR="00BE712C" w:rsidRPr="00BE712C" w:rsidRDefault="00BE712C" w:rsidP="009906F2">
      <w:pPr>
        <w:pStyle w:val="Bibliography"/>
        <w:spacing w:after="0"/>
        <w:ind w:left="0" w:firstLine="0"/>
        <w:jc w:val="left"/>
      </w:pPr>
      <w:r w:rsidRPr="00BE712C">
        <w:t>123.</w:t>
      </w:r>
      <w:r w:rsidRPr="00BE712C">
        <w:tab/>
        <w:t xml:space="preserve">Kaikaew K, Grefhorst A, Visser JA. Sex Differences in Brown Adipose Tissue Function: Sex Hormones, Glucocorticoids, and Their Crosstalk. </w:t>
      </w:r>
      <w:r w:rsidRPr="00BE712C">
        <w:rPr>
          <w:i/>
          <w:iCs/>
        </w:rPr>
        <w:t>Front Endocrinol (Lausanne)</w:t>
      </w:r>
      <w:r w:rsidRPr="00BE712C">
        <w:t>. 2021;12:652444. doi:10.3389/fendo.2021.652444</w:t>
      </w:r>
    </w:p>
    <w:p w14:paraId="466E2DDD" w14:textId="77777777" w:rsidR="00BE712C" w:rsidRPr="00BE712C" w:rsidRDefault="00BE712C" w:rsidP="009906F2">
      <w:pPr>
        <w:pStyle w:val="Bibliography"/>
        <w:spacing w:after="0"/>
        <w:ind w:left="0" w:firstLine="0"/>
        <w:jc w:val="left"/>
      </w:pPr>
      <w:r w:rsidRPr="00BE712C">
        <w:t>124.</w:t>
      </w:r>
      <w:r w:rsidRPr="00BE712C">
        <w:tab/>
        <w:t xml:space="preserve">Kuryłowicz A. Estrogens in Adipose Tissue Physiology and Obesity-Related Dysfunction. </w:t>
      </w:r>
      <w:r w:rsidRPr="00BE712C">
        <w:rPr>
          <w:i/>
          <w:iCs/>
        </w:rPr>
        <w:t>Biomedicines</w:t>
      </w:r>
      <w:r w:rsidRPr="00BE712C">
        <w:t>. 2023;11(3):690. doi:10.3390/biomedicines11030690</w:t>
      </w:r>
    </w:p>
    <w:p w14:paraId="0BE2504E" w14:textId="77777777" w:rsidR="00BE712C" w:rsidRPr="00BE712C" w:rsidRDefault="00BE712C" w:rsidP="009906F2">
      <w:pPr>
        <w:pStyle w:val="Bibliography"/>
        <w:spacing w:after="0"/>
        <w:ind w:left="0" w:firstLine="0"/>
        <w:jc w:val="left"/>
      </w:pPr>
      <w:r w:rsidRPr="00BE712C">
        <w:lastRenderedPageBreak/>
        <w:t>125.</w:t>
      </w:r>
      <w:r w:rsidRPr="00BE712C">
        <w:tab/>
        <w:t xml:space="preserve">Tao Z, Zheng LD, Smith C, et al. Estradiol signaling mediates gender difference in visceral adiposity via autophagy. </w:t>
      </w:r>
      <w:r w:rsidRPr="00BE712C">
        <w:rPr>
          <w:i/>
          <w:iCs/>
        </w:rPr>
        <w:t>Cell Death Dis</w:t>
      </w:r>
      <w:r w:rsidRPr="00BE712C">
        <w:t>. 2018;9(3):1-13. doi:10.1038/s41419-018-0372-9</w:t>
      </w:r>
    </w:p>
    <w:p w14:paraId="042F6BB9" w14:textId="77777777" w:rsidR="00BE712C" w:rsidRPr="00BE712C" w:rsidRDefault="00BE712C" w:rsidP="009906F2">
      <w:pPr>
        <w:pStyle w:val="Bibliography"/>
        <w:spacing w:after="0"/>
        <w:ind w:left="0" w:firstLine="0"/>
        <w:jc w:val="left"/>
      </w:pPr>
      <w:r w:rsidRPr="00BE712C">
        <w:t>126.</w:t>
      </w:r>
      <w:r w:rsidRPr="00BE712C">
        <w:tab/>
        <w:t xml:space="preserve">Martínez de Morentin PB, González-García I, Martins L, et al. Estradiol Regulates Brown Adipose Tissue Thermogenesis via Hypothalamic AMPK. </w:t>
      </w:r>
      <w:r w:rsidRPr="00BE712C">
        <w:rPr>
          <w:i/>
          <w:iCs/>
        </w:rPr>
        <w:t>Cell Metab</w:t>
      </w:r>
      <w:r w:rsidRPr="00BE712C">
        <w:t>. 2014;20(1):41-53. doi:10.1016/j.cmet.2014.03.031</w:t>
      </w:r>
    </w:p>
    <w:p w14:paraId="2A445234" w14:textId="77777777" w:rsidR="00BE712C" w:rsidRPr="00BE712C" w:rsidRDefault="00BE712C" w:rsidP="009906F2">
      <w:pPr>
        <w:pStyle w:val="Bibliography"/>
        <w:spacing w:after="0"/>
        <w:ind w:left="0" w:firstLine="0"/>
        <w:jc w:val="left"/>
      </w:pPr>
      <w:r w:rsidRPr="00BE712C">
        <w:t>127.</w:t>
      </w:r>
      <w:r w:rsidRPr="00BE712C">
        <w:tab/>
        <w:t xml:space="preserve">Yu IC, Lin HY, Sparks JD, Yeh S, Chang C. Androgen Receptor Roles in Insulin Resistance and Obesity in Males: The Linkage of Androgen-Deprivation Therapy to Metabolic Syndrome. </w:t>
      </w:r>
      <w:r w:rsidRPr="00BE712C">
        <w:rPr>
          <w:i/>
          <w:iCs/>
        </w:rPr>
        <w:t>Diabetes</w:t>
      </w:r>
      <w:r w:rsidRPr="00BE712C">
        <w:t>. 2014;63(10):3180-3188. doi:10.2337/db13-1505</w:t>
      </w:r>
    </w:p>
    <w:p w14:paraId="1A125EFF" w14:textId="77777777" w:rsidR="00BE712C" w:rsidRPr="00BE712C" w:rsidRDefault="00BE712C" w:rsidP="009906F2">
      <w:pPr>
        <w:pStyle w:val="Bibliography"/>
        <w:spacing w:after="0"/>
        <w:ind w:left="0" w:firstLine="0"/>
        <w:jc w:val="left"/>
      </w:pPr>
      <w:r w:rsidRPr="00BE712C">
        <w:t>128.</w:t>
      </w:r>
      <w:r w:rsidRPr="00BE712C">
        <w:tab/>
        <w:t xml:space="preserve">Gangitano E, Scannapieco F, Lubrano C, Gnessi L. Metabolic Syndrome, Hepatic Steatosis and Testosterone: A Matter of Sex. </w:t>
      </w:r>
      <w:r w:rsidRPr="00BE712C">
        <w:rPr>
          <w:i/>
          <w:iCs/>
        </w:rPr>
        <w:t>Livers</w:t>
      </w:r>
      <w:r w:rsidRPr="00BE712C">
        <w:t>. 2024;4(4):534-549. doi:10.3390/livers4040038</w:t>
      </w:r>
    </w:p>
    <w:p w14:paraId="4DD328C3" w14:textId="77777777" w:rsidR="00BE712C" w:rsidRPr="00BE712C" w:rsidRDefault="00BE712C" w:rsidP="009906F2">
      <w:pPr>
        <w:pStyle w:val="Bibliography"/>
        <w:spacing w:after="0"/>
        <w:ind w:left="0" w:firstLine="0"/>
        <w:jc w:val="left"/>
      </w:pPr>
      <w:r w:rsidRPr="00BE712C">
        <w:t>129.</w:t>
      </w:r>
      <w:r w:rsidRPr="00BE712C">
        <w:tab/>
        <w:t xml:space="preserve">Frederiksen L, Højlund K, Hougaard DM, et al. Testosterone therapy decreases subcutaneous fat and adiponectin in aging men. </w:t>
      </w:r>
      <w:r w:rsidRPr="00BE712C">
        <w:rPr>
          <w:i/>
          <w:iCs/>
        </w:rPr>
        <w:t>European Journal of Endocrinology</w:t>
      </w:r>
      <w:r w:rsidRPr="00BE712C">
        <w:t>. 2012;166(3):469-476. doi:10.1530/EJE-11-0565</w:t>
      </w:r>
    </w:p>
    <w:p w14:paraId="38CFAFA9" w14:textId="77777777" w:rsidR="00BE712C" w:rsidRPr="00BE712C" w:rsidRDefault="00BE712C" w:rsidP="009906F2">
      <w:pPr>
        <w:pStyle w:val="Bibliography"/>
        <w:spacing w:after="0"/>
        <w:ind w:left="0" w:firstLine="0"/>
        <w:jc w:val="left"/>
      </w:pPr>
      <w:r w:rsidRPr="00BE712C">
        <w:t>130.</w:t>
      </w:r>
      <w:r w:rsidRPr="00BE712C">
        <w:tab/>
        <w:t xml:space="preserve">Pulit SL, Karaderi T, Lindgren CM. Sexual dimorphisms in genetic loci linked to body fat distribution. </w:t>
      </w:r>
      <w:r w:rsidRPr="00BE712C">
        <w:rPr>
          <w:i/>
          <w:iCs/>
        </w:rPr>
        <w:t>Bioscience Reports</w:t>
      </w:r>
      <w:r w:rsidRPr="00BE712C">
        <w:t>. 2017;37(1):BSR20160184. doi:10.1042/BSR20160184</w:t>
      </w:r>
    </w:p>
    <w:p w14:paraId="1292B2AD" w14:textId="77777777" w:rsidR="00BE712C" w:rsidRPr="00BE712C" w:rsidRDefault="00BE712C" w:rsidP="009906F2">
      <w:pPr>
        <w:pStyle w:val="Bibliography"/>
        <w:spacing w:after="0"/>
        <w:ind w:left="0" w:firstLine="0"/>
        <w:jc w:val="left"/>
      </w:pPr>
      <w:r w:rsidRPr="00BE712C">
        <w:t>131.</w:t>
      </w:r>
      <w:r w:rsidRPr="00BE712C">
        <w:tab/>
        <w:t xml:space="preserve">Bernabeu E, Canela-Xandri O, Rawlik K, Talenti A, Prendergast J, Tenesa A. Sex differences in genetic architecture in the UK Biobank. </w:t>
      </w:r>
      <w:r w:rsidRPr="00BE712C">
        <w:rPr>
          <w:i/>
          <w:iCs/>
        </w:rPr>
        <w:t>Nat Genet</w:t>
      </w:r>
      <w:r w:rsidRPr="00BE712C">
        <w:t>. 2021;53(9):1283-1289. doi:10.1038/s41588-021-00912-0</w:t>
      </w:r>
    </w:p>
    <w:p w14:paraId="20DD46E1" w14:textId="77777777" w:rsidR="00BE712C" w:rsidRPr="00BE712C" w:rsidRDefault="00BE712C" w:rsidP="009906F2">
      <w:pPr>
        <w:pStyle w:val="Bibliography"/>
        <w:spacing w:after="0"/>
        <w:ind w:left="0" w:firstLine="0"/>
        <w:jc w:val="left"/>
      </w:pPr>
      <w:r w:rsidRPr="00BE712C">
        <w:t>132.</w:t>
      </w:r>
      <w:r w:rsidRPr="00BE712C">
        <w:tab/>
        <w:t xml:space="preserve">Cheung OKW, Cheng ASL. Gender Differences in Adipocyte Metabolism and Liver Cancer Progression. </w:t>
      </w:r>
      <w:r w:rsidRPr="00BE712C">
        <w:rPr>
          <w:i/>
          <w:iCs/>
        </w:rPr>
        <w:t>Front Genet</w:t>
      </w:r>
      <w:r w:rsidRPr="00BE712C">
        <w:t>. 2016;7. doi:10.3389/fgene.2016.00168</w:t>
      </w:r>
    </w:p>
    <w:p w14:paraId="63F4E9C5" w14:textId="77777777" w:rsidR="00BE712C" w:rsidRPr="00BE712C" w:rsidRDefault="00BE712C" w:rsidP="009906F2">
      <w:pPr>
        <w:pStyle w:val="Bibliography"/>
        <w:spacing w:after="0"/>
        <w:ind w:left="0" w:firstLine="0"/>
        <w:jc w:val="left"/>
      </w:pPr>
      <w:r w:rsidRPr="00BE712C">
        <w:lastRenderedPageBreak/>
        <w:t>133.</w:t>
      </w:r>
      <w:r w:rsidRPr="00BE712C">
        <w:tab/>
        <w:t xml:space="preserve">Picó C, Palou M, Pomar CA, Rodríguez AM, Palou A. Leptin as a key regulator of the adipose organ. </w:t>
      </w:r>
      <w:r w:rsidRPr="00BE712C">
        <w:rPr>
          <w:i/>
          <w:iCs/>
        </w:rPr>
        <w:t>Rev Endocr Metab Disord</w:t>
      </w:r>
      <w:r w:rsidRPr="00BE712C">
        <w:t>. 2022;23(1):13-30. doi:10.1007/s11154-021-09687-5</w:t>
      </w:r>
    </w:p>
    <w:p w14:paraId="45B92812" w14:textId="77777777" w:rsidR="00BE712C" w:rsidRPr="00BE712C" w:rsidRDefault="00BE712C" w:rsidP="009906F2">
      <w:pPr>
        <w:pStyle w:val="Bibliography"/>
        <w:spacing w:after="0"/>
        <w:ind w:left="0" w:firstLine="0"/>
        <w:jc w:val="left"/>
      </w:pPr>
      <w:r w:rsidRPr="00BE712C">
        <w:t>134.</w:t>
      </w:r>
      <w:r w:rsidRPr="00BE712C">
        <w:tab/>
        <w:t xml:space="preserve">Roemmich JN, Clark PA, Berr SS, et al. Gender differences in leptin levels during puberty are  related to the subcutaneous fat depot and sex steroids. </w:t>
      </w:r>
      <w:r w:rsidRPr="00BE712C">
        <w:rPr>
          <w:i/>
          <w:iCs/>
        </w:rPr>
        <w:t>American Journal of Physiology-Endocrinology and Metabolism</w:t>
      </w:r>
      <w:r w:rsidRPr="00BE712C">
        <w:t>. 1998;275(3):E543-E551. doi:10.1152/ajpendo.1998.275.3.E543</w:t>
      </w:r>
    </w:p>
    <w:p w14:paraId="6B431DE4" w14:textId="77777777" w:rsidR="00BE712C" w:rsidRPr="00BE712C" w:rsidRDefault="00BE712C" w:rsidP="009906F2">
      <w:pPr>
        <w:pStyle w:val="Bibliography"/>
        <w:spacing w:after="0"/>
        <w:ind w:left="0" w:firstLine="0"/>
        <w:jc w:val="left"/>
      </w:pPr>
      <w:r w:rsidRPr="00BE712C">
        <w:t>135.</w:t>
      </w:r>
      <w:r w:rsidRPr="00BE712C">
        <w:tab/>
        <w:t xml:space="preserve">Hellström L, Wahrenberg H, Hruska K, Reynisdottir S, Arner P. Mechanisms behind gender differences in circulating leptin levels. </w:t>
      </w:r>
      <w:r w:rsidRPr="00BE712C">
        <w:rPr>
          <w:i/>
          <w:iCs/>
        </w:rPr>
        <w:t>Journal of Internal Medicine</w:t>
      </w:r>
      <w:r w:rsidRPr="00BE712C">
        <w:t>. 2000;247(4):457-462. doi:10.1046/j.1365-2796.2000.00678.x</w:t>
      </w:r>
    </w:p>
    <w:p w14:paraId="08DEAE7D" w14:textId="77777777" w:rsidR="00BE712C" w:rsidRPr="00BE712C" w:rsidRDefault="00BE712C" w:rsidP="009906F2">
      <w:pPr>
        <w:pStyle w:val="Bibliography"/>
        <w:spacing w:after="0"/>
        <w:ind w:left="0" w:firstLine="0"/>
        <w:jc w:val="left"/>
      </w:pPr>
      <w:r w:rsidRPr="00BE712C">
        <w:t>136.</w:t>
      </w:r>
      <w:r w:rsidRPr="00BE712C">
        <w:tab/>
        <w:t xml:space="preserve">Fried SK, Ricci MR, Russell CD, Laferrère B. Regulation of Leptin Production in Humans. </w:t>
      </w:r>
      <w:r w:rsidRPr="00BE712C">
        <w:rPr>
          <w:i/>
          <w:iCs/>
        </w:rPr>
        <w:t>The Journal of Nutrition</w:t>
      </w:r>
      <w:r w:rsidRPr="00BE712C">
        <w:t>. 2000;130(12):3127S-3131S. doi:10.1093/jn/130.12.3127S</w:t>
      </w:r>
    </w:p>
    <w:p w14:paraId="61D8B239" w14:textId="77777777" w:rsidR="00BE712C" w:rsidRPr="00BE712C" w:rsidRDefault="00BE712C" w:rsidP="009906F2">
      <w:pPr>
        <w:pStyle w:val="Bibliography"/>
        <w:spacing w:after="0"/>
        <w:ind w:left="0" w:firstLine="0"/>
        <w:jc w:val="left"/>
      </w:pPr>
      <w:r w:rsidRPr="00BE712C">
        <w:t>137.</w:t>
      </w:r>
      <w:r w:rsidRPr="00BE712C">
        <w:tab/>
        <w:t xml:space="preserve">Christen T, Trompet S, Noordam R, et al. Sex differences in body fat distribution are related to sex differences in serum leptin and adiponectin. </w:t>
      </w:r>
      <w:r w:rsidRPr="00BE712C">
        <w:rPr>
          <w:i/>
          <w:iCs/>
        </w:rPr>
        <w:t>Peptides</w:t>
      </w:r>
      <w:r w:rsidRPr="00BE712C">
        <w:t>. 2018;107:25-31. doi:10.1016/j.peptides.2018.07.008</w:t>
      </w:r>
    </w:p>
    <w:p w14:paraId="513A131E" w14:textId="77777777" w:rsidR="00BE712C" w:rsidRPr="00BE712C" w:rsidRDefault="00BE712C" w:rsidP="009906F2">
      <w:pPr>
        <w:pStyle w:val="Bibliography"/>
        <w:spacing w:after="0"/>
        <w:ind w:left="0" w:firstLine="0"/>
        <w:jc w:val="left"/>
      </w:pPr>
      <w:r w:rsidRPr="00BE712C">
        <w:t>138.</w:t>
      </w:r>
      <w:r w:rsidRPr="00BE712C">
        <w:tab/>
        <w:t xml:space="preserve">Richard AJ, White U, Elks CM, Stephens JM. Adipose Tissue: Physiology to Metabolic Dysfunction. In: Feingold KR, Ahmed SF, Anawalt B, et al., eds. </w:t>
      </w:r>
      <w:r w:rsidRPr="00BE712C">
        <w:rPr>
          <w:i/>
          <w:iCs/>
        </w:rPr>
        <w:t>Endotext</w:t>
      </w:r>
      <w:r w:rsidRPr="00BE712C">
        <w:t>. MDText.com, Inc.; 2000. Accessed June 12, 2025. http://www.ncbi.nlm.nih.gov/books/NBK555602/</w:t>
      </w:r>
    </w:p>
    <w:p w14:paraId="3BFC3AA5" w14:textId="77777777" w:rsidR="00BE712C" w:rsidRPr="00BE712C" w:rsidRDefault="00BE712C" w:rsidP="009906F2">
      <w:pPr>
        <w:pStyle w:val="Bibliography"/>
        <w:spacing w:after="0"/>
        <w:ind w:left="0" w:firstLine="0"/>
        <w:jc w:val="left"/>
      </w:pPr>
      <w:r w:rsidRPr="00BE712C">
        <w:t>139.</w:t>
      </w:r>
      <w:r w:rsidRPr="00BE712C">
        <w:tab/>
        <w:t xml:space="preserve">Zhang Y, Proenca R, Maffei M, Barone M, Leopold L, Friedman JM. Positional cloning of the mouse obese gene and its human homologue. </w:t>
      </w:r>
      <w:r w:rsidRPr="00BE712C">
        <w:rPr>
          <w:i/>
          <w:iCs/>
        </w:rPr>
        <w:t>Nature</w:t>
      </w:r>
      <w:r w:rsidRPr="00BE712C">
        <w:t>. 1994;372(6505):425-432. doi:10.1038/372425a0</w:t>
      </w:r>
    </w:p>
    <w:p w14:paraId="56629020" w14:textId="77777777" w:rsidR="00BE712C" w:rsidRPr="00BE712C" w:rsidRDefault="00BE712C" w:rsidP="009906F2">
      <w:pPr>
        <w:pStyle w:val="Bibliography"/>
        <w:spacing w:after="0"/>
        <w:ind w:left="0" w:firstLine="0"/>
        <w:jc w:val="left"/>
      </w:pPr>
      <w:r w:rsidRPr="00BE712C">
        <w:t>140.</w:t>
      </w:r>
      <w:r w:rsidRPr="00BE712C">
        <w:tab/>
        <w:t xml:space="preserve">Cook KS, Min HY, Johnson D, et al. Adipsin: A Circulating Serine Protease Homolog Secreted by Adipose Tissue and Sciatic Nerve. </w:t>
      </w:r>
      <w:r w:rsidRPr="00BE712C">
        <w:rPr>
          <w:i/>
          <w:iCs/>
        </w:rPr>
        <w:t>Science</w:t>
      </w:r>
      <w:r w:rsidRPr="00BE712C">
        <w:t>. 1987;237(4813):402-405.</w:t>
      </w:r>
    </w:p>
    <w:p w14:paraId="1E4000B5" w14:textId="77777777" w:rsidR="00BE712C" w:rsidRPr="00BE712C" w:rsidRDefault="00BE712C" w:rsidP="009906F2">
      <w:pPr>
        <w:pStyle w:val="Bibliography"/>
        <w:spacing w:after="0"/>
        <w:ind w:left="0" w:firstLine="0"/>
        <w:jc w:val="left"/>
      </w:pPr>
      <w:r w:rsidRPr="00BE712C">
        <w:lastRenderedPageBreak/>
        <w:t>141.</w:t>
      </w:r>
      <w:r w:rsidRPr="00BE712C">
        <w:tab/>
        <w:t xml:space="preserve">Cianflone K, Maslowska M, Sniderman AD. Acylation stimulating protein (ASP), an adipocyte autocrine: new directions. </w:t>
      </w:r>
      <w:r w:rsidRPr="00BE712C">
        <w:rPr>
          <w:i/>
          <w:iCs/>
        </w:rPr>
        <w:t>Seminars in Cell &amp; Developmental Biology</w:t>
      </w:r>
      <w:r w:rsidRPr="00BE712C">
        <w:t>. 1999;10(1):31-41. doi:10.1006/scdb.1998.0272</w:t>
      </w:r>
    </w:p>
    <w:p w14:paraId="1867D482" w14:textId="77777777" w:rsidR="00BE712C" w:rsidRPr="00BE712C" w:rsidRDefault="00BE712C" w:rsidP="009906F2">
      <w:pPr>
        <w:pStyle w:val="Bibliography"/>
        <w:spacing w:after="0"/>
        <w:ind w:left="0" w:firstLine="0"/>
        <w:jc w:val="left"/>
      </w:pPr>
      <w:r w:rsidRPr="00BE712C">
        <w:t>142.</w:t>
      </w:r>
      <w:r w:rsidRPr="00BE712C">
        <w:tab/>
        <w:t xml:space="preserve">Arner P, Bernard S, Appelsved L, et al. Adipose lipid turnover and long-term changes in body weight. </w:t>
      </w:r>
      <w:r w:rsidRPr="00BE712C">
        <w:rPr>
          <w:i/>
          <w:iCs/>
        </w:rPr>
        <w:t>Nat Med</w:t>
      </w:r>
      <w:r w:rsidRPr="00BE712C">
        <w:t>. 2019;25(9):1385-1389. doi:10.1038/s41591-019-0565-5</w:t>
      </w:r>
    </w:p>
    <w:p w14:paraId="62502DE8" w14:textId="77777777" w:rsidR="00BE712C" w:rsidRPr="00BE712C" w:rsidRDefault="00BE712C" w:rsidP="009906F2">
      <w:pPr>
        <w:pStyle w:val="Bibliography"/>
        <w:spacing w:after="0"/>
        <w:ind w:left="0" w:firstLine="0"/>
        <w:jc w:val="left"/>
      </w:pPr>
      <w:r w:rsidRPr="00BE712C">
        <w:t>143.</w:t>
      </w:r>
      <w:r w:rsidRPr="00BE712C">
        <w:tab/>
        <w:t xml:space="preserve">Smith U, Kahn BB. Adipose tissue regulates insulin sensitivity: role of adipogenesis, de novo lipogenesis and novel lipids. </w:t>
      </w:r>
      <w:r w:rsidRPr="00BE712C">
        <w:rPr>
          <w:i/>
          <w:iCs/>
        </w:rPr>
        <w:t>J Intern Med</w:t>
      </w:r>
      <w:r w:rsidRPr="00BE712C">
        <w:t>. 2016;280(5):465-475. doi:10.1111/joim.12540</w:t>
      </w:r>
    </w:p>
    <w:p w14:paraId="38FDFD57" w14:textId="77777777" w:rsidR="00BE712C" w:rsidRPr="00BE712C" w:rsidRDefault="00BE712C" w:rsidP="009906F2">
      <w:pPr>
        <w:pStyle w:val="Bibliography"/>
        <w:spacing w:after="0"/>
        <w:ind w:left="0" w:firstLine="0"/>
        <w:jc w:val="left"/>
      </w:pPr>
      <w:r w:rsidRPr="00BE712C">
        <w:t>144.</w:t>
      </w:r>
      <w:r w:rsidRPr="00BE712C">
        <w:tab/>
        <w:t xml:space="preserve">Virtue S, Vidal-Puig A. Adipose tissue expandability, lipotoxicity and the Metabolic Syndrome — An allostatic perspective. </w:t>
      </w:r>
      <w:r w:rsidRPr="00BE712C">
        <w:rPr>
          <w:i/>
          <w:iCs/>
        </w:rPr>
        <w:t>Biochimica et Biophysica Acta (BBA) - Molecular and Cell Biology of Lipids</w:t>
      </w:r>
      <w:r w:rsidRPr="00BE712C">
        <w:t>. 2010;1801(3):338-349. doi:10.1016/j.bbalip.2009.12.006</w:t>
      </w:r>
    </w:p>
    <w:p w14:paraId="02ECC734" w14:textId="77777777" w:rsidR="00BE712C" w:rsidRPr="00BE712C" w:rsidRDefault="00BE712C" w:rsidP="009906F2">
      <w:pPr>
        <w:pStyle w:val="Bibliography"/>
        <w:spacing w:after="0"/>
        <w:ind w:left="0" w:firstLine="0"/>
        <w:jc w:val="left"/>
      </w:pPr>
      <w:r w:rsidRPr="00BE712C">
        <w:t>145.</w:t>
      </w:r>
      <w:r w:rsidRPr="00BE712C">
        <w:tab/>
        <w:t>CDC. Obesity and Cancer. Cancer. February 3, 2025. Accessed June 4, 2025. https://www.cdc.gov/cancer/risk-factors/obesity.html</w:t>
      </w:r>
    </w:p>
    <w:p w14:paraId="50A2CC23" w14:textId="77777777" w:rsidR="00BE712C" w:rsidRPr="00BE712C" w:rsidRDefault="00BE712C" w:rsidP="009906F2">
      <w:pPr>
        <w:pStyle w:val="Bibliography"/>
        <w:spacing w:after="0"/>
        <w:ind w:left="0" w:firstLine="0"/>
        <w:jc w:val="left"/>
      </w:pPr>
      <w:r w:rsidRPr="00BE712C">
        <w:t>146.</w:t>
      </w:r>
      <w:r w:rsidRPr="00BE712C">
        <w:tab/>
        <w:t>Obesity and overweight. Accessed June 4, 2025. https://www.who.int/news-room/fact-sheets/detail/obesity-and-overweight</w:t>
      </w:r>
    </w:p>
    <w:p w14:paraId="107E480A" w14:textId="77777777" w:rsidR="00BE712C" w:rsidRPr="00BE712C" w:rsidRDefault="00BE712C" w:rsidP="009906F2">
      <w:pPr>
        <w:pStyle w:val="Bibliography"/>
        <w:spacing w:after="0"/>
        <w:ind w:left="0" w:firstLine="0"/>
        <w:jc w:val="left"/>
      </w:pPr>
      <w:r w:rsidRPr="00BE712C">
        <w:t>147.</w:t>
      </w:r>
      <w:r w:rsidRPr="00BE712C">
        <w:tab/>
        <w:t xml:space="preserve">Cypess AM, Kahn CR. The Role and Importance of Brown Adipose Tissue in Energy Homeostasis. </w:t>
      </w:r>
      <w:r w:rsidRPr="00BE712C">
        <w:rPr>
          <w:i/>
          <w:iCs/>
        </w:rPr>
        <w:t>Curr Opin Pediatr</w:t>
      </w:r>
      <w:r w:rsidRPr="00BE712C">
        <w:t>. 2010;22(4):478-484. doi:10.1097/MOP.0b013e32833a8d6e</w:t>
      </w:r>
    </w:p>
    <w:p w14:paraId="579E72A3" w14:textId="77777777" w:rsidR="00BE712C" w:rsidRPr="00BE712C" w:rsidRDefault="00BE712C" w:rsidP="009906F2">
      <w:pPr>
        <w:pStyle w:val="Bibliography"/>
        <w:spacing w:after="0"/>
        <w:ind w:left="0" w:firstLine="0"/>
        <w:jc w:val="left"/>
      </w:pPr>
      <w:r w:rsidRPr="00BE712C">
        <w:t>148.</w:t>
      </w:r>
      <w:r w:rsidRPr="00BE712C">
        <w:tab/>
        <w:t xml:space="preserve">Sacks H, Symonds ME. Anatomical Locations of Human Brown Adipose Tissue. </w:t>
      </w:r>
      <w:r w:rsidRPr="00BE712C">
        <w:rPr>
          <w:i/>
          <w:iCs/>
        </w:rPr>
        <w:t>Diabetes</w:t>
      </w:r>
      <w:r w:rsidRPr="00BE712C">
        <w:t>. 2013;62(6):1783-1790. doi:10.2337/db12-1430</w:t>
      </w:r>
    </w:p>
    <w:p w14:paraId="74A0AA3C" w14:textId="77777777" w:rsidR="00BE712C" w:rsidRPr="00BE712C" w:rsidRDefault="00BE712C" w:rsidP="009906F2">
      <w:pPr>
        <w:pStyle w:val="Bibliography"/>
        <w:spacing w:after="0"/>
        <w:ind w:left="0" w:firstLine="0"/>
        <w:jc w:val="left"/>
      </w:pPr>
      <w:r w:rsidRPr="00BE712C">
        <w:t>149.</w:t>
      </w:r>
      <w:r w:rsidRPr="00BE712C">
        <w:tab/>
        <w:t xml:space="preserve">Mo Q, Salley J, Roshan T, et al. Identification and characterization of a supraclavicular brown adipose tissue in mice. </w:t>
      </w:r>
      <w:r w:rsidRPr="00BE712C">
        <w:rPr>
          <w:i/>
          <w:iCs/>
        </w:rPr>
        <w:t>JCI Insight</w:t>
      </w:r>
      <w:r w:rsidRPr="00BE712C">
        <w:t>. 2017;2(11). doi:10.1172/jci.insight.93166</w:t>
      </w:r>
    </w:p>
    <w:p w14:paraId="52AFA387" w14:textId="77777777" w:rsidR="00BE712C" w:rsidRPr="00BE712C" w:rsidRDefault="00BE712C" w:rsidP="009906F2">
      <w:pPr>
        <w:pStyle w:val="Bibliography"/>
        <w:spacing w:after="0"/>
        <w:ind w:left="0" w:firstLine="0"/>
        <w:jc w:val="left"/>
      </w:pPr>
      <w:r w:rsidRPr="00BE712C">
        <w:t>150.</w:t>
      </w:r>
      <w:r w:rsidRPr="00BE712C">
        <w:tab/>
        <w:t xml:space="preserve">Minni A, Barbaro M, Vitolo D, Filipo R. Hibernoma of the para-glottic space: an unusual tumour of the larynx. </w:t>
      </w:r>
      <w:r w:rsidRPr="00BE712C">
        <w:rPr>
          <w:i/>
          <w:iCs/>
        </w:rPr>
        <w:t>Acta Otorhinolaryngol Ital</w:t>
      </w:r>
      <w:r w:rsidRPr="00BE712C">
        <w:t>. 2008;28(3):141-143.</w:t>
      </w:r>
    </w:p>
    <w:p w14:paraId="372142E4" w14:textId="77777777" w:rsidR="00BE712C" w:rsidRPr="00BE712C" w:rsidRDefault="00BE712C" w:rsidP="009906F2">
      <w:pPr>
        <w:pStyle w:val="Bibliography"/>
        <w:spacing w:after="0"/>
        <w:ind w:left="0" w:firstLine="0"/>
        <w:jc w:val="left"/>
      </w:pPr>
      <w:r w:rsidRPr="00BE712C">
        <w:lastRenderedPageBreak/>
        <w:t>151.</w:t>
      </w:r>
      <w:r w:rsidRPr="00BE712C">
        <w:tab/>
        <w:t xml:space="preserve">Borga M, Virtanen KA, Romu T, et al. Chapter Eight - Brown Adipose Tissue in Humans: Detection and Functional Analysis Using PET (Positron Emission Tomography), MRI (Magnetic Resonance Imaging), and DECT (Dual Energy Computed Tomography). In: Macdougald OA, ed. </w:t>
      </w:r>
      <w:r w:rsidRPr="00BE712C">
        <w:rPr>
          <w:i/>
          <w:iCs/>
        </w:rPr>
        <w:t>Methods in Enzymology</w:t>
      </w:r>
      <w:r w:rsidRPr="00BE712C">
        <w:t>. Vol 537. Methods of Adipose Tissue Biology, Part A. Academic Press; 2014:141-159. doi:10.1016/B978-0-12-411619-1.00008-2</w:t>
      </w:r>
    </w:p>
    <w:p w14:paraId="120FFE4C" w14:textId="77777777" w:rsidR="00BE712C" w:rsidRPr="00BE712C" w:rsidRDefault="00BE712C" w:rsidP="009906F2">
      <w:pPr>
        <w:pStyle w:val="Bibliography"/>
        <w:spacing w:after="0"/>
        <w:ind w:left="0" w:firstLine="0"/>
        <w:jc w:val="left"/>
      </w:pPr>
      <w:r w:rsidRPr="00BE712C">
        <w:t>152.</w:t>
      </w:r>
      <w:r w:rsidRPr="00BE712C">
        <w:tab/>
        <w:t xml:space="preserve">Ricquier D. Uncoupling Protein 1 of Brown Adipocytes, the Only Uncoupler: A Historical Perspective. </w:t>
      </w:r>
      <w:r w:rsidRPr="00BE712C">
        <w:rPr>
          <w:i/>
          <w:iCs/>
        </w:rPr>
        <w:t>Front Endocrinol (Lausanne)</w:t>
      </w:r>
      <w:r w:rsidRPr="00BE712C">
        <w:t>. 2011;2:85. doi:10.3389/fendo.2011.00085</w:t>
      </w:r>
    </w:p>
    <w:p w14:paraId="0A9B5871" w14:textId="77777777" w:rsidR="00BE712C" w:rsidRPr="00BE712C" w:rsidRDefault="00BE712C" w:rsidP="009906F2">
      <w:pPr>
        <w:pStyle w:val="Bibliography"/>
        <w:spacing w:after="0"/>
        <w:ind w:left="0" w:firstLine="0"/>
        <w:jc w:val="left"/>
      </w:pPr>
      <w:r w:rsidRPr="00BE712C">
        <w:t>153.</w:t>
      </w:r>
      <w:r w:rsidRPr="00BE712C">
        <w:tab/>
        <w:t xml:space="preserve">Fedorenko A, Lishko PV, Kirichok Y. Mechanism of fatty-acid-dependent UCP1 uncoupling in brown fat mitochondria. </w:t>
      </w:r>
      <w:r w:rsidRPr="00BE712C">
        <w:rPr>
          <w:i/>
          <w:iCs/>
        </w:rPr>
        <w:t>Cell</w:t>
      </w:r>
      <w:r w:rsidRPr="00BE712C">
        <w:t>. 2012;151(2):400-413. doi:10.1016/j.cell.2012.09.010</w:t>
      </w:r>
    </w:p>
    <w:p w14:paraId="049CAEB0" w14:textId="77777777" w:rsidR="00BE712C" w:rsidRPr="00BE712C" w:rsidRDefault="00BE712C" w:rsidP="009906F2">
      <w:pPr>
        <w:pStyle w:val="Bibliography"/>
        <w:spacing w:after="0"/>
        <w:ind w:left="0" w:firstLine="0"/>
        <w:jc w:val="left"/>
      </w:pPr>
      <w:r w:rsidRPr="00BE712C">
        <w:t>154.</w:t>
      </w:r>
      <w:r w:rsidRPr="00BE712C">
        <w:tab/>
        <w:t xml:space="preserve">Divakaruni AS, Humphrey DM, Brand MD. Fatty Acids Change the Conformation of Uncoupling Protein 1 (UCP1). </w:t>
      </w:r>
      <w:r w:rsidRPr="00BE712C">
        <w:rPr>
          <w:i/>
          <w:iCs/>
        </w:rPr>
        <w:t>J Biol Chem</w:t>
      </w:r>
      <w:r w:rsidRPr="00BE712C">
        <w:t>. 2012;287(44):36845-36853. doi:10.1074/jbc.M112.381780</w:t>
      </w:r>
    </w:p>
    <w:p w14:paraId="09E63BEE" w14:textId="77777777" w:rsidR="00BE712C" w:rsidRPr="00BE712C" w:rsidRDefault="00BE712C" w:rsidP="009906F2">
      <w:pPr>
        <w:pStyle w:val="Bibliography"/>
        <w:spacing w:after="0"/>
        <w:ind w:left="0" w:firstLine="0"/>
        <w:jc w:val="left"/>
      </w:pPr>
      <w:r w:rsidRPr="00BE712C">
        <w:t>155.</w:t>
      </w:r>
      <w:r w:rsidRPr="00BE712C">
        <w:tab/>
        <w:t xml:space="preserve">Landsberg L, Saville ME, Young JB. Sympathoadrenal system and regulation of thermogenesis. </w:t>
      </w:r>
      <w:r w:rsidRPr="00BE712C">
        <w:rPr>
          <w:i/>
          <w:iCs/>
        </w:rPr>
        <w:t>American Journal of Physiology-Endocrinology and Metabolism</w:t>
      </w:r>
      <w:r w:rsidRPr="00BE712C">
        <w:t>. 1984;247(2):E181-E189. doi:10.1152/ajpendo.1984.247.2.E181</w:t>
      </w:r>
    </w:p>
    <w:p w14:paraId="6095D075" w14:textId="77777777" w:rsidR="00BE712C" w:rsidRPr="00BE712C" w:rsidRDefault="00BE712C" w:rsidP="009906F2">
      <w:pPr>
        <w:pStyle w:val="Bibliography"/>
        <w:spacing w:after="0"/>
        <w:ind w:left="0" w:firstLine="0"/>
        <w:jc w:val="left"/>
      </w:pPr>
      <w:r w:rsidRPr="00BE712C">
        <w:t>156.</w:t>
      </w:r>
      <w:r w:rsidRPr="00BE712C">
        <w:tab/>
        <w:t xml:space="preserve">Wade G, McGahee A, Ntambi JM, Simcox J. Lipid Transport in Brown Adipocyte Thermogenesis. </w:t>
      </w:r>
      <w:r w:rsidRPr="00BE712C">
        <w:rPr>
          <w:i/>
          <w:iCs/>
        </w:rPr>
        <w:t>Front Physiol</w:t>
      </w:r>
      <w:r w:rsidRPr="00BE712C">
        <w:t>. 2021;12:787535. doi:10.3389/fphys.2021.787535</w:t>
      </w:r>
    </w:p>
    <w:p w14:paraId="6E6AFEC7" w14:textId="77777777" w:rsidR="00BE712C" w:rsidRPr="00BE712C" w:rsidRDefault="00BE712C" w:rsidP="009906F2">
      <w:pPr>
        <w:pStyle w:val="Bibliography"/>
        <w:spacing w:after="0"/>
        <w:ind w:left="0" w:firstLine="0"/>
        <w:jc w:val="left"/>
      </w:pPr>
      <w:r w:rsidRPr="00BE712C">
        <w:t>157.</w:t>
      </w:r>
      <w:r w:rsidRPr="00BE712C">
        <w:tab/>
        <w:t xml:space="preserve">Takahashi A, Shimazu T, Maruyama Y. Importance of sympathetic nerves for the stimulatory effect of cold exposure on glucose utilization in brown adipose tissue. </w:t>
      </w:r>
      <w:r w:rsidRPr="00BE712C">
        <w:rPr>
          <w:i/>
          <w:iCs/>
        </w:rPr>
        <w:t>Jpn J Physiol</w:t>
      </w:r>
      <w:r w:rsidRPr="00BE712C">
        <w:t>. 1992;42(4):653-664. doi:10.2170/jjphysiol.42.653</w:t>
      </w:r>
    </w:p>
    <w:p w14:paraId="19BD162D" w14:textId="77777777" w:rsidR="00BE712C" w:rsidRPr="00BE712C" w:rsidRDefault="00BE712C" w:rsidP="009906F2">
      <w:pPr>
        <w:pStyle w:val="Bibliography"/>
        <w:spacing w:after="0"/>
        <w:ind w:left="0" w:firstLine="0"/>
        <w:jc w:val="left"/>
      </w:pPr>
      <w:r w:rsidRPr="00BE712C">
        <w:lastRenderedPageBreak/>
        <w:t>158.</w:t>
      </w:r>
      <w:r w:rsidRPr="00BE712C">
        <w:tab/>
        <w:t xml:space="preserve">Greco-Perotto R, Zaninetti D, Assimacopoulos-Jeannet F, Bobbioni E, Jeanrenaud B. Stimulatory effect of cold adaptation on glucose utilization by brown adipose tissue. Relationship with changes in the glucose transporter system. </w:t>
      </w:r>
      <w:r w:rsidRPr="00BE712C">
        <w:rPr>
          <w:i/>
          <w:iCs/>
        </w:rPr>
        <w:t>J Biol Chem</w:t>
      </w:r>
      <w:r w:rsidRPr="00BE712C">
        <w:t>. 1987;262(16):7732-7736.</w:t>
      </w:r>
    </w:p>
    <w:p w14:paraId="060875D2" w14:textId="77777777" w:rsidR="00BE712C" w:rsidRPr="00BE712C" w:rsidRDefault="00BE712C" w:rsidP="009906F2">
      <w:pPr>
        <w:pStyle w:val="Bibliography"/>
        <w:spacing w:after="0"/>
        <w:ind w:left="0" w:firstLine="0"/>
        <w:jc w:val="left"/>
      </w:pPr>
      <w:r w:rsidRPr="00BE712C">
        <w:t>159.</w:t>
      </w:r>
      <w:r w:rsidRPr="00BE712C">
        <w:tab/>
        <w:t xml:space="preserve">Shibata H, Pérusse F, Vallerand A, Bukowiecki LJ. Cold exposure reverses inhibitory effects of fasting on peripheral glucose uptake in rats. </w:t>
      </w:r>
      <w:r w:rsidRPr="00BE712C">
        <w:rPr>
          <w:i/>
          <w:iCs/>
        </w:rPr>
        <w:t>Am J Physiol</w:t>
      </w:r>
      <w:r w:rsidRPr="00BE712C">
        <w:t>. 1989;257(1 Pt 2):R96-101. doi:10.1152/ajpregu.1989.257.1.R96</w:t>
      </w:r>
    </w:p>
    <w:p w14:paraId="0D9CB8FB" w14:textId="77777777" w:rsidR="00BE712C" w:rsidRPr="00BE712C" w:rsidRDefault="00BE712C" w:rsidP="009906F2">
      <w:pPr>
        <w:pStyle w:val="Bibliography"/>
        <w:spacing w:after="0"/>
        <w:ind w:left="0" w:firstLine="0"/>
        <w:jc w:val="left"/>
      </w:pPr>
      <w:r w:rsidRPr="00BE712C">
        <w:t>160.</w:t>
      </w:r>
      <w:r w:rsidRPr="00BE712C">
        <w:tab/>
        <w:t xml:space="preserve">Dallner OS, Chernogubova E, Brolinson KA, Bengtsson T. Beta3-adrenergic receptors stimulate glucose uptake in brown adipocytes by two mechanisms independently of glucose transporter 4 translocation. </w:t>
      </w:r>
      <w:r w:rsidRPr="00BE712C">
        <w:rPr>
          <w:i/>
          <w:iCs/>
        </w:rPr>
        <w:t>Endocrinology</w:t>
      </w:r>
      <w:r w:rsidRPr="00BE712C">
        <w:t>. 2006;147(12):5730-5739. doi:10.1210/en.2006-0242</w:t>
      </w:r>
    </w:p>
    <w:p w14:paraId="507137CB" w14:textId="77777777" w:rsidR="00BE712C" w:rsidRPr="00BE712C" w:rsidRDefault="00BE712C" w:rsidP="009906F2">
      <w:pPr>
        <w:pStyle w:val="Bibliography"/>
        <w:spacing w:after="0"/>
        <w:ind w:left="0" w:firstLine="0"/>
        <w:jc w:val="left"/>
      </w:pPr>
      <w:r w:rsidRPr="00BE712C">
        <w:t>161.</w:t>
      </w:r>
      <w:r w:rsidRPr="00BE712C">
        <w:tab/>
        <w:t xml:space="preserve">Shimizu Y, Satoh S, Yano H, Minokoshi Y, Cushman SW, Shimazu T. Effects of noradrenaline on the cell-surface glucose transporters in cultured brown adipocytes: novel mechanism for selective activation of GLUT1 glucose transporters. </w:t>
      </w:r>
      <w:r w:rsidRPr="00BE712C">
        <w:rPr>
          <w:i/>
          <w:iCs/>
        </w:rPr>
        <w:t>Biochem J</w:t>
      </w:r>
      <w:r w:rsidRPr="00BE712C">
        <w:t>. 1998;330 ( Pt 1)(Pt 1):397-403. doi:10.1042/bj3300397</w:t>
      </w:r>
    </w:p>
    <w:p w14:paraId="227652F2" w14:textId="77777777" w:rsidR="00BE712C" w:rsidRPr="00BE712C" w:rsidRDefault="00BE712C" w:rsidP="009906F2">
      <w:pPr>
        <w:pStyle w:val="Bibliography"/>
        <w:spacing w:after="0"/>
        <w:ind w:left="0" w:firstLine="0"/>
        <w:jc w:val="left"/>
      </w:pPr>
      <w:r w:rsidRPr="00BE712C">
        <w:t>162.</w:t>
      </w:r>
      <w:r w:rsidRPr="00BE712C">
        <w:tab/>
        <w:t xml:space="preserve">Ziqubu K, Mazibuko-Mbeje SE, Dludla PV. Regulation of adipokine and batokine secretion by dietary flavonoids, as a prospective therapeutic approach for obesity and its metabolic complications. </w:t>
      </w:r>
      <w:r w:rsidRPr="00BE712C">
        <w:rPr>
          <w:i/>
          <w:iCs/>
        </w:rPr>
        <w:t>Biochimie</w:t>
      </w:r>
      <w:r w:rsidRPr="00BE712C">
        <w:t>. 2025;230:95-113. doi:10.1016/j.biochi.2024.11.007</w:t>
      </w:r>
    </w:p>
    <w:p w14:paraId="3058CC7B" w14:textId="77777777" w:rsidR="00BE712C" w:rsidRPr="00BE712C" w:rsidRDefault="00BE712C" w:rsidP="009906F2">
      <w:pPr>
        <w:pStyle w:val="Bibliography"/>
        <w:spacing w:after="0"/>
        <w:ind w:left="0" w:firstLine="0"/>
        <w:jc w:val="left"/>
      </w:pPr>
      <w:r w:rsidRPr="00BE712C">
        <w:t>163.</w:t>
      </w:r>
      <w:r w:rsidRPr="00BE712C">
        <w:tab/>
        <w:t xml:space="preserve">Yang FT, Stanford KI. Batokines: Mediators of Inter-Tissue Communication (a Mini-Review). </w:t>
      </w:r>
      <w:r w:rsidRPr="00BE712C">
        <w:rPr>
          <w:i/>
          <w:iCs/>
        </w:rPr>
        <w:t>Curr Obes Rep</w:t>
      </w:r>
      <w:r w:rsidRPr="00BE712C">
        <w:t>. 2022;11(1):1-9. doi:10.1007/s13679-021-00465-7</w:t>
      </w:r>
    </w:p>
    <w:p w14:paraId="59A957DC" w14:textId="77777777" w:rsidR="00BE712C" w:rsidRPr="00BE712C" w:rsidRDefault="00BE712C" w:rsidP="009906F2">
      <w:pPr>
        <w:pStyle w:val="Bibliography"/>
        <w:spacing w:after="0"/>
        <w:ind w:left="0" w:firstLine="0"/>
        <w:jc w:val="left"/>
      </w:pPr>
      <w:r w:rsidRPr="00BE712C">
        <w:t>164.</w:t>
      </w:r>
      <w:r w:rsidRPr="00BE712C">
        <w:tab/>
        <w:t xml:space="preserve">Giralt M, Villarroya F. White, Brown, Beige/Brite: Different Adipose Cells for Different Functions? </w:t>
      </w:r>
      <w:r w:rsidRPr="00BE712C">
        <w:rPr>
          <w:i/>
          <w:iCs/>
        </w:rPr>
        <w:t>Endocrinology</w:t>
      </w:r>
      <w:r w:rsidRPr="00BE712C">
        <w:t>. 2013;154(9):2992-3000. doi:10.1210/en.2013-1403</w:t>
      </w:r>
    </w:p>
    <w:p w14:paraId="509C7035" w14:textId="77777777" w:rsidR="00BE712C" w:rsidRPr="00BE712C" w:rsidRDefault="00BE712C" w:rsidP="009906F2">
      <w:pPr>
        <w:pStyle w:val="Bibliography"/>
        <w:spacing w:after="0"/>
        <w:ind w:left="0" w:firstLine="0"/>
        <w:jc w:val="left"/>
      </w:pPr>
      <w:r w:rsidRPr="00BE712C">
        <w:lastRenderedPageBreak/>
        <w:t>165.</w:t>
      </w:r>
      <w:r w:rsidRPr="00BE712C">
        <w:tab/>
        <w:t xml:space="preserve">Wang W, Seale P. Control of brown and beige fat development. </w:t>
      </w:r>
      <w:r w:rsidRPr="00BE712C">
        <w:rPr>
          <w:i/>
          <w:iCs/>
        </w:rPr>
        <w:t>Nat Rev Mol Cell Biol</w:t>
      </w:r>
      <w:r w:rsidRPr="00BE712C">
        <w:t>. 2016;17(11):691-702. doi:10.1038/nrm.2016.96</w:t>
      </w:r>
    </w:p>
    <w:p w14:paraId="1C898091" w14:textId="77777777" w:rsidR="00BE712C" w:rsidRPr="00BE712C" w:rsidRDefault="00BE712C" w:rsidP="009906F2">
      <w:pPr>
        <w:pStyle w:val="Bibliography"/>
        <w:spacing w:after="0"/>
        <w:ind w:left="0" w:firstLine="0"/>
        <w:jc w:val="left"/>
      </w:pPr>
      <w:r w:rsidRPr="00BE712C">
        <w:t>166.</w:t>
      </w:r>
      <w:r w:rsidRPr="00BE712C">
        <w:tab/>
        <w:t xml:space="preserve">Himms-Hagen J, Melnyk A, Zingaretti MC, Ceresi E, Barbatelli G, Cinti S. Multilocular fat cells in WAT of CL-316243-treated rats derive directly from white adipocytes. </w:t>
      </w:r>
      <w:r w:rsidRPr="00BE712C">
        <w:rPr>
          <w:i/>
          <w:iCs/>
        </w:rPr>
        <w:t>American Journal of Physiology-Cell Physiology</w:t>
      </w:r>
      <w:r w:rsidRPr="00BE712C">
        <w:t>. 2000;279(3):C670-C681. doi:10.1152/ajpcell.2000.279.3.C670</w:t>
      </w:r>
    </w:p>
    <w:p w14:paraId="6215EFF3" w14:textId="77777777" w:rsidR="00BE712C" w:rsidRPr="00BE712C" w:rsidRDefault="00BE712C" w:rsidP="009906F2">
      <w:pPr>
        <w:pStyle w:val="Bibliography"/>
        <w:spacing w:after="0"/>
        <w:ind w:left="0" w:firstLine="0"/>
        <w:jc w:val="left"/>
      </w:pPr>
      <w:r w:rsidRPr="00BE712C">
        <w:t>167.</w:t>
      </w:r>
      <w:r w:rsidRPr="00BE712C">
        <w:tab/>
        <w:t xml:space="preserve">Barbatelli G, Murano I, Madsen L, et al. The emergence of cold-induced brown adipocytes in mouse white fat depots is determined predominantly by white to brown adipocyte transdifferentiation. </w:t>
      </w:r>
      <w:r w:rsidRPr="00BE712C">
        <w:rPr>
          <w:i/>
          <w:iCs/>
        </w:rPr>
        <w:t>American Journal of Physiology-Endocrinology and Metabolism</w:t>
      </w:r>
      <w:r w:rsidRPr="00BE712C">
        <w:t>. 2010;298(6):E1244-E1253. doi:10.1152/ajpendo.00600.2009</w:t>
      </w:r>
    </w:p>
    <w:p w14:paraId="7EA31CBC" w14:textId="77777777" w:rsidR="00BE712C" w:rsidRPr="00BE712C" w:rsidRDefault="00BE712C" w:rsidP="009906F2">
      <w:pPr>
        <w:pStyle w:val="Bibliography"/>
        <w:spacing w:after="0"/>
        <w:ind w:left="0" w:firstLine="0"/>
        <w:jc w:val="left"/>
      </w:pPr>
      <w:r w:rsidRPr="00BE712C">
        <w:t>168.</w:t>
      </w:r>
      <w:r w:rsidRPr="00BE712C">
        <w:tab/>
        <w:t xml:space="preserve">Mulya A, Kirwan JP. Brown and Beige Adipose Tissue. </w:t>
      </w:r>
      <w:r w:rsidRPr="00BE712C">
        <w:rPr>
          <w:i/>
          <w:iCs/>
        </w:rPr>
        <w:t>Endocrinol Metab Clin North Am</w:t>
      </w:r>
      <w:r w:rsidRPr="00BE712C">
        <w:t>. 2016;45(3):605-621. doi:10.1016/j.ecl.2016.04.010</w:t>
      </w:r>
    </w:p>
    <w:p w14:paraId="529241DF" w14:textId="77777777" w:rsidR="00BE712C" w:rsidRPr="00BE712C" w:rsidRDefault="00BE712C" w:rsidP="009906F2">
      <w:pPr>
        <w:pStyle w:val="Bibliography"/>
        <w:spacing w:after="0"/>
        <w:ind w:left="0" w:firstLine="0"/>
        <w:jc w:val="left"/>
      </w:pPr>
      <w:r w:rsidRPr="00BE712C">
        <w:t>169.</w:t>
      </w:r>
      <w:r w:rsidRPr="00BE712C">
        <w:tab/>
        <w:t xml:space="preserve">Enerbäck S. The Origins of Brown Adipose Tissue. </w:t>
      </w:r>
      <w:r w:rsidRPr="00BE712C">
        <w:rPr>
          <w:i/>
          <w:iCs/>
        </w:rPr>
        <w:t>New England Journal of Medicine</w:t>
      </w:r>
      <w:r w:rsidRPr="00BE712C">
        <w:t>. 2009;360(19):2021-2023. doi:10.1056/NEJMcibr0809610</w:t>
      </w:r>
    </w:p>
    <w:p w14:paraId="4FF5DF4D" w14:textId="77777777" w:rsidR="00BE712C" w:rsidRPr="00BE712C" w:rsidRDefault="00BE712C" w:rsidP="009906F2">
      <w:pPr>
        <w:pStyle w:val="Bibliography"/>
        <w:spacing w:after="0"/>
        <w:ind w:left="0" w:firstLine="0"/>
        <w:jc w:val="left"/>
      </w:pPr>
      <w:r w:rsidRPr="00BE712C">
        <w:t>170.</w:t>
      </w:r>
      <w:r w:rsidRPr="00BE712C">
        <w:tab/>
        <w:t xml:space="preserve">Altshuler-Keylin S, Shinoda K, Hasegawa Y, et al. Beige Adipocyte Maintenance Is Regulated by Autophagy-Induced Mitochondrial Clearance. </w:t>
      </w:r>
      <w:r w:rsidRPr="00BE712C">
        <w:rPr>
          <w:i/>
          <w:iCs/>
        </w:rPr>
        <w:t>Cell Metabolism</w:t>
      </w:r>
      <w:r w:rsidRPr="00BE712C">
        <w:t>. 2016;24(3):402-419. doi:10.1016/j.cmet.2016.08.002</w:t>
      </w:r>
    </w:p>
    <w:p w14:paraId="26847E44" w14:textId="77777777" w:rsidR="00BE712C" w:rsidRPr="00BE712C" w:rsidRDefault="00BE712C" w:rsidP="009906F2">
      <w:pPr>
        <w:pStyle w:val="Bibliography"/>
        <w:spacing w:after="0"/>
        <w:ind w:left="0" w:firstLine="0"/>
        <w:jc w:val="left"/>
      </w:pPr>
      <w:r w:rsidRPr="00BE712C">
        <w:t>171.</w:t>
      </w:r>
      <w:r w:rsidRPr="00BE712C">
        <w:tab/>
        <w:t xml:space="preserve">Rosenwald M, Perdikari A, Rülicke T, Wolfrum C. Bi-directional interconversion of brite and white adipocytes. </w:t>
      </w:r>
      <w:r w:rsidRPr="00BE712C">
        <w:rPr>
          <w:i/>
          <w:iCs/>
        </w:rPr>
        <w:t>Nat Cell Biol</w:t>
      </w:r>
      <w:r w:rsidRPr="00BE712C">
        <w:t>. 2013;15(6):659-667. doi:10.1038/ncb2740</w:t>
      </w:r>
    </w:p>
    <w:p w14:paraId="43ECC2C1" w14:textId="77777777" w:rsidR="00BE712C" w:rsidRPr="00BE712C" w:rsidRDefault="00BE712C" w:rsidP="009906F2">
      <w:pPr>
        <w:pStyle w:val="Bibliography"/>
        <w:spacing w:after="0"/>
        <w:ind w:left="0" w:firstLine="0"/>
        <w:jc w:val="left"/>
      </w:pPr>
      <w:r w:rsidRPr="00BE712C">
        <w:t>172.</w:t>
      </w:r>
      <w:r w:rsidRPr="00BE712C">
        <w:tab/>
        <w:t xml:space="preserve">Ikeda K, Maretich P, Kajimura S. The common and distinct features of brown and beige adipocytes. </w:t>
      </w:r>
      <w:r w:rsidRPr="00BE712C">
        <w:rPr>
          <w:i/>
          <w:iCs/>
        </w:rPr>
        <w:t>Trends Endocrinol Metab</w:t>
      </w:r>
      <w:r w:rsidRPr="00BE712C">
        <w:t>. 2018;29(3):191-200. doi:10.1016/j.tem.2018.01.001</w:t>
      </w:r>
    </w:p>
    <w:p w14:paraId="6CF84DF6" w14:textId="77777777" w:rsidR="00BE712C" w:rsidRPr="00BE712C" w:rsidRDefault="00BE712C" w:rsidP="009906F2">
      <w:pPr>
        <w:pStyle w:val="Bibliography"/>
        <w:spacing w:after="0"/>
        <w:ind w:left="0" w:firstLine="0"/>
        <w:jc w:val="left"/>
      </w:pPr>
      <w:r w:rsidRPr="00BE712C">
        <w:lastRenderedPageBreak/>
        <w:t>173.</w:t>
      </w:r>
      <w:r w:rsidRPr="00BE712C">
        <w:tab/>
        <w:t xml:space="preserve">Lizcano F. The Beige Adipocyte as a Therapy for Metabolic Diseases. </w:t>
      </w:r>
      <w:r w:rsidRPr="00BE712C">
        <w:rPr>
          <w:i/>
          <w:iCs/>
        </w:rPr>
        <w:t>Int J Mol Sci</w:t>
      </w:r>
      <w:r w:rsidRPr="00BE712C">
        <w:t>. 2019;20(20):5058. doi:10.3390/ijms20205058</w:t>
      </w:r>
    </w:p>
    <w:p w14:paraId="0CD3CD22" w14:textId="77777777" w:rsidR="00BE712C" w:rsidRPr="00BE712C" w:rsidRDefault="00BE712C" w:rsidP="009906F2">
      <w:pPr>
        <w:pStyle w:val="Bibliography"/>
        <w:spacing w:after="0"/>
        <w:ind w:left="0" w:firstLine="0"/>
        <w:jc w:val="left"/>
      </w:pPr>
      <w:r w:rsidRPr="00BE712C">
        <w:t>174.</w:t>
      </w:r>
      <w:r w:rsidRPr="00BE712C">
        <w:tab/>
        <w:t xml:space="preserve">Cheng L, Wang ,Jingkang, Dai ,Hongyu, et al. Brown and beige adipose tissue: a novel therapeutic strategy for obesity and type 2 diabetes mellitus. </w:t>
      </w:r>
      <w:r w:rsidRPr="00BE712C">
        <w:rPr>
          <w:i/>
          <w:iCs/>
        </w:rPr>
        <w:t>Adipocyte</w:t>
      </w:r>
      <w:r w:rsidRPr="00BE712C">
        <w:t>. 2021;10(1):48-65. doi:10.1080/21623945.2020.1870060</w:t>
      </w:r>
    </w:p>
    <w:p w14:paraId="34714115" w14:textId="77777777" w:rsidR="00BE712C" w:rsidRPr="00BE712C" w:rsidRDefault="00BE712C" w:rsidP="009906F2">
      <w:pPr>
        <w:pStyle w:val="Bibliography"/>
        <w:spacing w:after="0"/>
        <w:ind w:left="0" w:firstLine="0"/>
        <w:jc w:val="left"/>
      </w:pPr>
      <w:r w:rsidRPr="00BE712C">
        <w:t>175.</w:t>
      </w:r>
      <w:r w:rsidRPr="00BE712C">
        <w:tab/>
        <w:t xml:space="preserve">Lee J, Ellis JM, Wolfgang MJ. Adipose fatty acid oxidation is required for thermogenesis and potentiates oxidative stress induced inflammation. </w:t>
      </w:r>
      <w:r w:rsidRPr="00BE712C">
        <w:rPr>
          <w:i/>
          <w:iCs/>
        </w:rPr>
        <w:t>Cell Rep</w:t>
      </w:r>
      <w:r w:rsidRPr="00BE712C">
        <w:t>. 2015;10(2):266-279. doi:10.1016/j.celrep.2014.12.023</w:t>
      </w:r>
    </w:p>
    <w:p w14:paraId="77DA9127" w14:textId="77777777" w:rsidR="00BE712C" w:rsidRPr="00BE712C" w:rsidRDefault="00BE712C" w:rsidP="009906F2">
      <w:pPr>
        <w:pStyle w:val="Bibliography"/>
        <w:spacing w:after="0"/>
        <w:ind w:left="0" w:firstLine="0"/>
        <w:jc w:val="left"/>
      </w:pPr>
      <w:r w:rsidRPr="00BE712C">
        <w:t>176.</w:t>
      </w:r>
      <w:r w:rsidRPr="00BE712C">
        <w:tab/>
        <w:t xml:space="preserve">Orava J, Nuutila P, Lidell ME, et al. Different Metabolic Responses of Human Brown Adipose Tissue to Activation by Cold and Insulin. </w:t>
      </w:r>
      <w:r w:rsidRPr="00BE712C">
        <w:rPr>
          <w:i/>
          <w:iCs/>
        </w:rPr>
        <w:t>Cell Metabolism</w:t>
      </w:r>
      <w:r w:rsidRPr="00BE712C">
        <w:t>. 2011;14(2):272-279. doi:10.1016/j.cmet.2011.06.012</w:t>
      </w:r>
    </w:p>
    <w:p w14:paraId="16FF6CCC" w14:textId="77777777" w:rsidR="00BE712C" w:rsidRPr="00BE712C" w:rsidRDefault="00BE712C" w:rsidP="009906F2">
      <w:pPr>
        <w:pStyle w:val="Bibliography"/>
        <w:spacing w:after="0"/>
        <w:ind w:left="0" w:firstLine="0"/>
        <w:jc w:val="left"/>
      </w:pPr>
      <w:r w:rsidRPr="00BE712C">
        <w:t>177.</w:t>
      </w:r>
      <w:r w:rsidRPr="00BE712C">
        <w:tab/>
        <w:t xml:space="preserve">Santoro A, McGraw TE, Kahn BB. Insulin action in adipocytes, adipose remodeling, and systemic effects. </w:t>
      </w:r>
      <w:r w:rsidRPr="00BE712C">
        <w:rPr>
          <w:i/>
          <w:iCs/>
        </w:rPr>
        <w:t>Cell Metabolism</w:t>
      </w:r>
      <w:r w:rsidRPr="00BE712C">
        <w:t>. 2021;33(4):748-757. doi:10.1016/j.cmet.2021.03.019</w:t>
      </w:r>
    </w:p>
    <w:p w14:paraId="5FFD89AD" w14:textId="77777777" w:rsidR="00BE712C" w:rsidRPr="00BE712C" w:rsidRDefault="00BE712C" w:rsidP="009906F2">
      <w:pPr>
        <w:pStyle w:val="Bibliography"/>
        <w:spacing w:after="0"/>
        <w:ind w:left="0" w:firstLine="0"/>
        <w:jc w:val="left"/>
      </w:pPr>
      <w:r w:rsidRPr="00BE712C">
        <w:t>178.</w:t>
      </w:r>
      <w:r w:rsidRPr="00BE712C">
        <w:tab/>
        <w:t xml:space="preserve">Singh AK, Aryal B, Chaube B, et al. Brown adipose tissue derived ANGPTL4 controls glucose and lipid metabolism and regulates thermogenesis. </w:t>
      </w:r>
      <w:r w:rsidRPr="00BE712C">
        <w:rPr>
          <w:i/>
          <w:iCs/>
        </w:rPr>
        <w:t>Molecular Metabolism</w:t>
      </w:r>
      <w:r w:rsidRPr="00BE712C">
        <w:t>. 2018;11:59-69. doi:10.1016/j.molmet.2018.03.011</w:t>
      </w:r>
    </w:p>
    <w:p w14:paraId="1C979B33" w14:textId="77777777" w:rsidR="00BE712C" w:rsidRPr="00BE712C" w:rsidRDefault="00BE712C" w:rsidP="009906F2">
      <w:pPr>
        <w:pStyle w:val="Bibliography"/>
        <w:spacing w:after="0"/>
        <w:ind w:left="0" w:firstLine="0"/>
        <w:jc w:val="left"/>
      </w:pPr>
      <w:r w:rsidRPr="00BE712C">
        <w:t>179.</w:t>
      </w:r>
      <w:r w:rsidRPr="00BE712C">
        <w:tab/>
        <w:t xml:space="preserve">Lee P, Greenfield JR, Ho KKY, Fulham MJ. A critical appraisal of the prevalence and metabolic significance of brown adipose tissue in adult humans. </w:t>
      </w:r>
      <w:r w:rsidRPr="00BE712C">
        <w:rPr>
          <w:i/>
          <w:iCs/>
        </w:rPr>
        <w:t>American Journal of Physiology-Endocrinology and Metabolism</w:t>
      </w:r>
      <w:r w:rsidRPr="00BE712C">
        <w:t>. 2010;299(4):E601-E606. doi:10.1152/ajpendo.00298.2010</w:t>
      </w:r>
    </w:p>
    <w:p w14:paraId="7F29B5D6" w14:textId="77777777" w:rsidR="00BE712C" w:rsidRPr="00BE712C" w:rsidRDefault="00BE712C" w:rsidP="009906F2">
      <w:pPr>
        <w:pStyle w:val="Bibliography"/>
        <w:spacing w:after="0"/>
        <w:ind w:left="0" w:firstLine="0"/>
        <w:jc w:val="left"/>
      </w:pPr>
      <w:r w:rsidRPr="00BE712C">
        <w:lastRenderedPageBreak/>
        <w:t>180.</w:t>
      </w:r>
      <w:r w:rsidRPr="00BE712C">
        <w:tab/>
        <w:t xml:space="preserve">Alcalá M, Calderon-Dominguez M, Serra D, Herrero L, Viana M. Mechanisms of Impaired Brown Adipose Tissue Recruitment in Obesity. </w:t>
      </w:r>
      <w:r w:rsidRPr="00BE712C">
        <w:rPr>
          <w:i/>
          <w:iCs/>
        </w:rPr>
        <w:t>Front Physiol</w:t>
      </w:r>
      <w:r w:rsidRPr="00BE712C">
        <w:t>. 2019;10:94. doi:10.3389/fphys.2019.00094</w:t>
      </w:r>
    </w:p>
    <w:p w14:paraId="7E31C96D" w14:textId="77777777" w:rsidR="00BE712C" w:rsidRPr="00BE712C" w:rsidRDefault="00BE712C" w:rsidP="009906F2">
      <w:pPr>
        <w:pStyle w:val="Bibliography"/>
        <w:spacing w:after="0"/>
        <w:ind w:left="0" w:firstLine="0"/>
        <w:jc w:val="left"/>
      </w:pPr>
      <w:r w:rsidRPr="00BE712C">
        <w:t>181.</w:t>
      </w:r>
      <w:r w:rsidRPr="00BE712C">
        <w:tab/>
        <w:t xml:space="preserve">Dewal RS, Yang FT, Baer LA, et al. Transplantation of committed pre-adipocytes from brown adipose tissue improves whole-body glucose homeostasis. </w:t>
      </w:r>
      <w:r w:rsidRPr="00BE712C">
        <w:rPr>
          <w:i/>
          <w:iCs/>
        </w:rPr>
        <w:t>iScience</w:t>
      </w:r>
      <w:r w:rsidRPr="00BE712C">
        <w:t>. 2024;27(2):108927. doi:10.1016/j.isci.2024.108927</w:t>
      </w:r>
    </w:p>
    <w:p w14:paraId="57095002" w14:textId="77777777" w:rsidR="00BE712C" w:rsidRPr="00BE712C" w:rsidRDefault="00BE712C" w:rsidP="009906F2">
      <w:pPr>
        <w:pStyle w:val="Bibliography"/>
        <w:spacing w:after="0"/>
        <w:ind w:left="0" w:firstLine="0"/>
        <w:jc w:val="left"/>
      </w:pPr>
      <w:r w:rsidRPr="00BE712C">
        <w:t>182.</w:t>
      </w:r>
      <w:r w:rsidRPr="00BE712C">
        <w:tab/>
        <w:t xml:space="preserve">Hanssen MJW, Hoeks J, Brans B, et al. Short-term cold acclimation improves insulin sensitivity in patients with type 2 diabetes mellitus. </w:t>
      </w:r>
      <w:r w:rsidRPr="00BE712C">
        <w:rPr>
          <w:i/>
          <w:iCs/>
        </w:rPr>
        <w:t>Nat Med</w:t>
      </w:r>
      <w:r w:rsidRPr="00BE712C">
        <w:t>. 2015;21(8):863-865. doi:10.1038/nm.3891</w:t>
      </w:r>
    </w:p>
    <w:p w14:paraId="1B4F4ED8" w14:textId="77777777" w:rsidR="00BE712C" w:rsidRPr="00BE712C" w:rsidRDefault="00BE712C" w:rsidP="009906F2">
      <w:pPr>
        <w:pStyle w:val="Bibliography"/>
        <w:spacing w:after="0"/>
        <w:ind w:left="0" w:firstLine="0"/>
        <w:jc w:val="left"/>
      </w:pPr>
      <w:r w:rsidRPr="00BE712C">
        <w:t>183.</w:t>
      </w:r>
      <w:r w:rsidRPr="00BE712C">
        <w:tab/>
        <w:t xml:space="preserve">Guerra C, Navarro P, Valverde AM, et al. Brown adipose tissue–specific insulin receptor knockout shows diabetic phenotype without insulin resistance. </w:t>
      </w:r>
      <w:r w:rsidRPr="00BE712C">
        <w:rPr>
          <w:i/>
          <w:iCs/>
        </w:rPr>
        <w:t>J Clin Invest</w:t>
      </w:r>
      <w:r w:rsidRPr="00BE712C">
        <w:t>. 2001;108(8):1205-1213. doi:10.1172/JCI13103</w:t>
      </w:r>
    </w:p>
    <w:p w14:paraId="4C908072" w14:textId="77777777" w:rsidR="00BE712C" w:rsidRPr="00BE712C" w:rsidRDefault="00BE712C" w:rsidP="009906F2">
      <w:pPr>
        <w:pStyle w:val="Bibliography"/>
        <w:spacing w:after="0"/>
        <w:ind w:left="0" w:firstLine="0"/>
        <w:jc w:val="left"/>
      </w:pPr>
      <w:r w:rsidRPr="00BE712C">
        <w:t>184.</w:t>
      </w:r>
      <w:r w:rsidRPr="00BE712C">
        <w:tab/>
        <w:t xml:space="preserve">Harms M, Seale P. Brown and beige fat: development, function and therapeutic potential. </w:t>
      </w:r>
      <w:r w:rsidRPr="00BE712C">
        <w:rPr>
          <w:i/>
          <w:iCs/>
        </w:rPr>
        <w:t>Nat Med</w:t>
      </w:r>
      <w:r w:rsidRPr="00BE712C">
        <w:t>. 2013;19(10):1252-1263. doi:10.1038/nm.3361</w:t>
      </w:r>
    </w:p>
    <w:p w14:paraId="5E9C764B" w14:textId="77777777" w:rsidR="00BE712C" w:rsidRPr="00BE712C" w:rsidRDefault="00BE712C" w:rsidP="009906F2">
      <w:pPr>
        <w:pStyle w:val="Bibliography"/>
        <w:spacing w:after="0"/>
        <w:ind w:left="0" w:firstLine="0"/>
        <w:jc w:val="left"/>
      </w:pPr>
      <w:r w:rsidRPr="00BE712C">
        <w:t>185.</w:t>
      </w:r>
      <w:r w:rsidRPr="00BE712C">
        <w:tab/>
        <w:t xml:space="preserve">Shao M, Wang QA, Song A, et al. Cellular Origins of Beige Fat Cells Revisited. </w:t>
      </w:r>
      <w:r w:rsidRPr="00BE712C">
        <w:rPr>
          <w:i/>
          <w:iCs/>
        </w:rPr>
        <w:t>Diabetes</w:t>
      </w:r>
      <w:r w:rsidRPr="00BE712C">
        <w:t>. 2019;68(10):1874-1885. doi:10.2337/db19-0308</w:t>
      </w:r>
    </w:p>
    <w:p w14:paraId="33731621" w14:textId="77777777" w:rsidR="00BE712C" w:rsidRPr="00BE712C" w:rsidRDefault="00BE712C" w:rsidP="009906F2">
      <w:pPr>
        <w:pStyle w:val="Bibliography"/>
        <w:spacing w:after="0"/>
        <w:ind w:left="0" w:firstLine="0"/>
        <w:jc w:val="left"/>
      </w:pPr>
      <w:r w:rsidRPr="00BE712C">
        <w:t>186.</w:t>
      </w:r>
      <w:r w:rsidRPr="00BE712C">
        <w:tab/>
        <w:t xml:space="preserve">Machado SA, Pasquarelli-do-Nascimento G, da Silva DS, et al. Browning of the white adipose tissue regulation: new insights into nutritional and metabolic relevance in health and diseases. </w:t>
      </w:r>
      <w:r w:rsidRPr="00BE712C">
        <w:rPr>
          <w:i/>
          <w:iCs/>
        </w:rPr>
        <w:t>Nutrition &amp; Metabolism</w:t>
      </w:r>
      <w:r w:rsidRPr="00BE712C">
        <w:t>. 2022;19(1):61. doi:10.1186/s12986-022-00694-0</w:t>
      </w:r>
    </w:p>
    <w:p w14:paraId="6124C5A1" w14:textId="77777777" w:rsidR="00BE712C" w:rsidRPr="00BE712C" w:rsidRDefault="00BE712C" w:rsidP="009906F2">
      <w:pPr>
        <w:pStyle w:val="Bibliography"/>
        <w:spacing w:after="0"/>
        <w:ind w:left="0" w:firstLine="0"/>
        <w:jc w:val="left"/>
      </w:pPr>
      <w:r w:rsidRPr="00BE712C">
        <w:t>187.</w:t>
      </w:r>
      <w:r w:rsidRPr="00BE712C">
        <w:tab/>
        <w:t xml:space="preserve">Tabuchi C, Sul HS. Signaling Pathways Regulating Thermogenesis. </w:t>
      </w:r>
      <w:r w:rsidRPr="00BE712C">
        <w:rPr>
          <w:i/>
          <w:iCs/>
        </w:rPr>
        <w:t>Front Endocrinol</w:t>
      </w:r>
      <w:r w:rsidRPr="00BE712C">
        <w:t>. 2021;12. doi:10.3389/fendo.2021.595020</w:t>
      </w:r>
    </w:p>
    <w:p w14:paraId="5ABEA2EE" w14:textId="77777777" w:rsidR="00BE712C" w:rsidRPr="00BE712C" w:rsidRDefault="00BE712C" w:rsidP="009906F2">
      <w:pPr>
        <w:pStyle w:val="Bibliography"/>
        <w:spacing w:after="0"/>
        <w:ind w:left="0" w:firstLine="0"/>
        <w:jc w:val="left"/>
      </w:pPr>
      <w:r w:rsidRPr="00BE712C">
        <w:lastRenderedPageBreak/>
        <w:t>188.</w:t>
      </w:r>
      <w:r w:rsidRPr="00BE712C">
        <w:tab/>
        <w:t xml:space="preserve">Shao M, Vishvanath L, Busbuso NC, et al. De novo adipocyte differentiation from Pdgfrβ+ preadipocytes protects against pathologic visceral adipose expansion in obesity. </w:t>
      </w:r>
      <w:r w:rsidRPr="00BE712C">
        <w:rPr>
          <w:i/>
          <w:iCs/>
        </w:rPr>
        <w:t>Nat Commun</w:t>
      </w:r>
      <w:r w:rsidRPr="00BE712C">
        <w:t>. 2018;9(1):890. doi:10.1038/s41467-018-03196-x</w:t>
      </w:r>
    </w:p>
    <w:p w14:paraId="5E7D5E73" w14:textId="77777777" w:rsidR="00BE712C" w:rsidRPr="00BE712C" w:rsidRDefault="00BE712C" w:rsidP="009906F2">
      <w:pPr>
        <w:pStyle w:val="Bibliography"/>
        <w:spacing w:after="0"/>
        <w:ind w:left="0" w:firstLine="0"/>
        <w:jc w:val="left"/>
      </w:pPr>
      <w:r w:rsidRPr="00BE712C">
        <w:t>189.</w:t>
      </w:r>
      <w:r w:rsidRPr="00BE712C">
        <w:tab/>
        <w:t xml:space="preserve">Oguri Y, Shinoda K, Kim H, et al. CD81 Controls Beige Fat Progenitor Cell Growth and Energy Balance via FAK Signaling. </w:t>
      </w:r>
      <w:r w:rsidRPr="00BE712C">
        <w:rPr>
          <w:i/>
          <w:iCs/>
        </w:rPr>
        <w:t>Cell</w:t>
      </w:r>
      <w:r w:rsidRPr="00BE712C">
        <w:t>. 2020;182(3):563-577.e20. doi:10.1016/j.cell.2020.06.021</w:t>
      </w:r>
    </w:p>
    <w:p w14:paraId="0A9D4164" w14:textId="77777777" w:rsidR="00BE712C" w:rsidRPr="00BE712C" w:rsidRDefault="00BE712C" w:rsidP="009906F2">
      <w:pPr>
        <w:pStyle w:val="Bibliography"/>
        <w:spacing w:after="0"/>
        <w:ind w:left="0" w:firstLine="0"/>
        <w:jc w:val="left"/>
      </w:pPr>
      <w:r w:rsidRPr="00BE712C">
        <w:t>190.</w:t>
      </w:r>
      <w:r w:rsidRPr="00BE712C">
        <w:tab/>
        <w:t xml:space="preserve">Long JZ, Svensson KJ, Tsai L, et al. A Smooth Muscle-Like Origin for Beige Adipocytes. </w:t>
      </w:r>
      <w:r w:rsidRPr="00BE712C">
        <w:rPr>
          <w:i/>
          <w:iCs/>
        </w:rPr>
        <w:t>Cell Metabolism</w:t>
      </w:r>
      <w:r w:rsidRPr="00BE712C">
        <w:t>. 2014;19(5):810-820. doi:10.1016/j.cmet.2014.03.025</w:t>
      </w:r>
    </w:p>
    <w:p w14:paraId="4DE2441D" w14:textId="77777777" w:rsidR="00BE712C" w:rsidRPr="00BE712C" w:rsidRDefault="00BE712C" w:rsidP="009906F2">
      <w:pPr>
        <w:pStyle w:val="Bibliography"/>
        <w:spacing w:after="0"/>
        <w:ind w:left="0" w:firstLine="0"/>
        <w:jc w:val="left"/>
      </w:pPr>
      <w:r w:rsidRPr="00BE712C">
        <w:t>191.</w:t>
      </w:r>
      <w:r w:rsidRPr="00BE712C">
        <w:tab/>
        <w:t xml:space="preserve">Himms-Hagen J, Melnyk A, Zingaretti MC, Ceresi E, Barbatelli G, Cinti S. Multilocular fat cells in WAT of CL-316243-treated rats derive directly from white adipocytes. </w:t>
      </w:r>
      <w:r w:rsidRPr="00BE712C">
        <w:rPr>
          <w:i/>
          <w:iCs/>
        </w:rPr>
        <w:t>Am J Physiol Cell Physiol</w:t>
      </w:r>
      <w:r w:rsidRPr="00BE712C">
        <w:t>. 2000;279(3):C670-681. doi:10.1152/ajpcell.2000.279.3.C670</w:t>
      </w:r>
    </w:p>
    <w:p w14:paraId="7C5BDB82" w14:textId="77777777" w:rsidR="00BE712C" w:rsidRPr="00BE712C" w:rsidRDefault="00BE712C" w:rsidP="009906F2">
      <w:pPr>
        <w:pStyle w:val="Bibliography"/>
        <w:spacing w:after="0"/>
        <w:ind w:left="0" w:firstLine="0"/>
        <w:jc w:val="left"/>
      </w:pPr>
      <w:r w:rsidRPr="00BE712C">
        <w:t>192.</w:t>
      </w:r>
      <w:r w:rsidRPr="00BE712C">
        <w:tab/>
        <w:t xml:space="preserve">Cuevas-Ramos D, Mehta R, Aguilar-Salinas CA. Fibroblast Growth Factor 21 and Browning of White Adipose Tissue. </w:t>
      </w:r>
      <w:r w:rsidRPr="00BE712C">
        <w:rPr>
          <w:i/>
          <w:iCs/>
        </w:rPr>
        <w:t>Front Physiol</w:t>
      </w:r>
      <w:r w:rsidRPr="00BE712C">
        <w:t>. 2019;10:37. doi:10.3389/fphys.2019.00037</w:t>
      </w:r>
    </w:p>
    <w:p w14:paraId="6B00F54C" w14:textId="77777777" w:rsidR="00BE712C" w:rsidRPr="00BE712C" w:rsidRDefault="00BE712C" w:rsidP="009906F2">
      <w:pPr>
        <w:pStyle w:val="Bibliography"/>
        <w:spacing w:after="0"/>
        <w:ind w:left="0" w:firstLine="0"/>
        <w:jc w:val="left"/>
      </w:pPr>
      <w:r w:rsidRPr="00BE712C">
        <w:t>193.</w:t>
      </w:r>
      <w:r w:rsidRPr="00BE712C">
        <w:tab/>
        <w:t xml:space="preserve">Luo L, Liu M. Adipose tissue in control of metabolism. </w:t>
      </w:r>
      <w:r w:rsidRPr="00BE712C">
        <w:rPr>
          <w:i/>
          <w:iCs/>
        </w:rPr>
        <w:t>J Endocrinol</w:t>
      </w:r>
      <w:r w:rsidRPr="00BE712C">
        <w:t>. 2016;231(3):R77-R99. doi:10.1530/JOE-16-0211</w:t>
      </w:r>
    </w:p>
    <w:p w14:paraId="1ECF542E" w14:textId="77777777" w:rsidR="00BE712C" w:rsidRPr="00BE712C" w:rsidRDefault="00BE712C" w:rsidP="009906F2">
      <w:pPr>
        <w:pStyle w:val="Bibliography"/>
        <w:spacing w:after="0"/>
        <w:ind w:left="0" w:firstLine="0"/>
        <w:jc w:val="left"/>
      </w:pPr>
      <w:r w:rsidRPr="00BE712C">
        <w:t>194.</w:t>
      </w:r>
      <w:r w:rsidRPr="00BE712C">
        <w:tab/>
        <w:t xml:space="preserve">Golozoubova V, Cannon B, Nedergaard J. UCP1 is essential for adaptive adrenergic nonshivering thermogenesis. </w:t>
      </w:r>
      <w:r w:rsidRPr="00BE712C">
        <w:rPr>
          <w:i/>
          <w:iCs/>
        </w:rPr>
        <w:t>Am J Physiol Endocrinol Metab</w:t>
      </w:r>
      <w:r w:rsidRPr="00BE712C">
        <w:t>. 2006;291(2):E350-357. doi:10.1152/ajpendo.00387.2005</w:t>
      </w:r>
    </w:p>
    <w:p w14:paraId="12DD2E06" w14:textId="77777777" w:rsidR="00BE712C" w:rsidRPr="00BE712C" w:rsidRDefault="00BE712C" w:rsidP="009906F2">
      <w:pPr>
        <w:pStyle w:val="Bibliography"/>
        <w:spacing w:after="0"/>
        <w:ind w:left="0" w:firstLine="0"/>
        <w:jc w:val="left"/>
      </w:pPr>
      <w:r w:rsidRPr="00BE712C">
        <w:t>195.</w:t>
      </w:r>
      <w:r w:rsidRPr="00BE712C">
        <w:tab/>
        <w:t xml:space="preserve">Klingenberg M, Echtay KS, Bienengraeber M, Winkler E, Huang SG. Structure–Function Relationship in UCP1. </w:t>
      </w:r>
      <w:r w:rsidRPr="00BE712C">
        <w:rPr>
          <w:i/>
          <w:iCs/>
        </w:rPr>
        <w:t>Int J Obes</w:t>
      </w:r>
      <w:r w:rsidRPr="00BE712C">
        <w:t>. 1999;23(6):S24-S29. doi:10.1038/sj.ijo.0800939</w:t>
      </w:r>
    </w:p>
    <w:p w14:paraId="4A3B5054" w14:textId="77777777" w:rsidR="00BE712C" w:rsidRPr="00BE712C" w:rsidRDefault="00BE712C" w:rsidP="009906F2">
      <w:pPr>
        <w:pStyle w:val="Bibliography"/>
        <w:spacing w:after="0"/>
        <w:ind w:left="0" w:firstLine="0"/>
        <w:jc w:val="left"/>
      </w:pPr>
      <w:r w:rsidRPr="00BE712C">
        <w:t>196.</w:t>
      </w:r>
      <w:r w:rsidRPr="00BE712C">
        <w:tab/>
        <w:t xml:space="preserve">HULL D. THE STRUCTURE AND FUNCTION OF BROWN ADIPOSE TISSUE. </w:t>
      </w:r>
      <w:r w:rsidRPr="00BE712C">
        <w:rPr>
          <w:i/>
          <w:iCs/>
        </w:rPr>
        <w:t>British Medical Bulletin</w:t>
      </w:r>
      <w:r w:rsidRPr="00BE712C">
        <w:t>. 1966;22(1):92-96. doi:10.1093/oxfordjournals.bmb.a070447</w:t>
      </w:r>
    </w:p>
    <w:p w14:paraId="6085908A" w14:textId="77777777" w:rsidR="00BE712C" w:rsidRPr="00BE712C" w:rsidRDefault="00BE712C" w:rsidP="009906F2">
      <w:pPr>
        <w:pStyle w:val="Bibliography"/>
        <w:spacing w:after="0"/>
        <w:ind w:left="0" w:firstLine="0"/>
        <w:jc w:val="left"/>
      </w:pPr>
      <w:r w:rsidRPr="00BE712C">
        <w:lastRenderedPageBreak/>
        <w:t>197.</w:t>
      </w:r>
      <w:r w:rsidRPr="00BE712C">
        <w:tab/>
        <w:t xml:space="preserve">Ježek P, Jabůrek M, Porter RK. Uncoupling mechanism and redox regulation of mitochondrial uncoupling protein 1 (UCP1). </w:t>
      </w:r>
      <w:r w:rsidRPr="00BE712C">
        <w:rPr>
          <w:i/>
          <w:iCs/>
        </w:rPr>
        <w:t>Biochimica et Biophysica Acta (BBA) - Bioenergetics</w:t>
      </w:r>
      <w:r w:rsidRPr="00BE712C">
        <w:t>. 2019;1860(3):259-269. doi:10.1016/j.bbabio.2018.11.007</w:t>
      </w:r>
    </w:p>
    <w:p w14:paraId="7F06D8CB" w14:textId="77777777" w:rsidR="00BE712C" w:rsidRPr="00BE712C" w:rsidRDefault="00BE712C" w:rsidP="009906F2">
      <w:pPr>
        <w:pStyle w:val="Bibliography"/>
        <w:spacing w:after="0"/>
        <w:ind w:left="0" w:firstLine="0"/>
        <w:jc w:val="left"/>
      </w:pPr>
      <w:r w:rsidRPr="00BE712C">
        <w:t>198.</w:t>
      </w:r>
      <w:r w:rsidRPr="00BE712C">
        <w:tab/>
        <w:t xml:space="preserve">Macher G, Koehler M, Rupprecht A, Kreiter J, Hinterdorfer P, Pohl EE. Inhibition of mitochondrial UCP1 and UCP3 by purine nucleotides and phosphate. </w:t>
      </w:r>
      <w:r w:rsidRPr="00BE712C">
        <w:rPr>
          <w:i/>
          <w:iCs/>
        </w:rPr>
        <w:t>Biochimica et Biophysica Acta (BBA) - Biomembranes</w:t>
      </w:r>
      <w:r w:rsidRPr="00BE712C">
        <w:t>. 2018;1860(3):664-672. doi:10.1016/j.bbamem.2017.12.001</w:t>
      </w:r>
    </w:p>
    <w:p w14:paraId="44B7DBB5" w14:textId="77777777" w:rsidR="00BE712C" w:rsidRPr="00BE712C" w:rsidRDefault="00BE712C" w:rsidP="009906F2">
      <w:pPr>
        <w:pStyle w:val="Bibliography"/>
        <w:spacing w:after="0"/>
        <w:ind w:left="0" w:firstLine="0"/>
        <w:jc w:val="left"/>
      </w:pPr>
      <w:r w:rsidRPr="00BE712C">
        <w:t>199.</w:t>
      </w:r>
      <w:r w:rsidRPr="00BE712C">
        <w:tab/>
        <w:t xml:space="preserve">Villarroya F, Peyrou M, Giralt M. Transcriptional regulation of the uncoupling protein-1 gene. </w:t>
      </w:r>
      <w:r w:rsidRPr="00BE712C">
        <w:rPr>
          <w:i/>
          <w:iCs/>
        </w:rPr>
        <w:t>Biochimie</w:t>
      </w:r>
      <w:r w:rsidRPr="00BE712C">
        <w:t>. 2017;134:86-92. doi:10.1016/j.biochi.2016.09.017</w:t>
      </w:r>
    </w:p>
    <w:p w14:paraId="5C748140" w14:textId="77777777" w:rsidR="00BE712C" w:rsidRPr="00BE712C" w:rsidRDefault="00BE712C" w:rsidP="009906F2">
      <w:pPr>
        <w:pStyle w:val="Bibliography"/>
        <w:spacing w:after="0"/>
        <w:ind w:left="0" w:firstLine="0"/>
        <w:jc w:val="left"/>
      </w:pPr>
      <w:r w:rsidRPr="00BE712C">
        <w:t>200.</w:t>
      </w:r>
      <w:r w:rsidRPr="00BE712C">
        <w:tab/>
        <w:t xml:space="preserve">Yubero P, Barberá M, Alvarez R, et al. Dominant Negative Regulation by c-Jun of Transcription of the Uncoupling Protein-1 Gene through a Proximal cAMP-Regulatory Element: A Mechanism for Repressing Basal and Norepinephrine-Induced Expression of the Gene before Brown Adipocyte Differentiation. </w:t>
      </w:r>
      <w:r w:rsidRPr="00BE712C">
        <w:rPr>
          <w:i/>
          <w:iCs/>
        </w:rPr>
        <w:t>Molecular Endocrinology</w:t>
      </w:r>
      <w:r w:rsidRPr="00BE712C">
        <w:t>. 1998;12(7):1023-1037. doi:10.1210/mend.12.7.0137</w:t>
      </w:r>
    </w:p>
    <w:p w14:paraId="7C8F4D90" w14:textId="77777777" w:rsidR="00BE712C" w:rsidRPr="00BE712C" w:rsidRDefault="00BE712C" w:rsidP="009906F2">
      <w:pPr>
        <w:pStyle w:val="Bibliography"/>
        <w:spacing w:after="0"/>
        <w:ind w:left="0" w:firstLine="0"/>
        <w:jc w:val="left"/>
      </w:pPr>
      <w:r w:rsidRPr="00BE712C">
        <w:t>201.</w:t>
      </w:r>
      <w:r w:rsidRPr="00BE712C">
        <w:tab/>
        <w:t xml:space="preserve">Kozak UC, Kopecky J, Teisinger J, Enerbäck S, Boyer B, Kozak LP. An upstream enhancer regulating brown-fat-specific expression of the mitochondrial uncoupling protein gene. </w:t>
      </w:r>
      <w:r w:rsidRPr="00BE712C">
        <w:rPr>
          <w:i/>
          <w:iCs/>
        </w:rPr>
        <w:t>Mol Cell Biol</w:t>
      </w:r>
      <w:r w:rsidRPr="00BE712C">
        <w:t>. 1994;14(1):59-67. doi:10.1128/mcb.14.1.59</w:t>
      </w:r>
    </w:p>
    <w:p w14:paraId="209F7AEF" w14:textId="77777777" w:rsidR="00BE712C" w:rsidRPr="00BE712C" w:rsidRDefault="00BE712C" w:rsidP="009906F2">
      <w:pPr>
        <w:pStyle w:val="Bibliography"/>
        <w:spacing w:after="0"/>
        <w:ind w:left="0" w:firstLine="0"/>
        <w:jc w:val="left"/>
      </w:pPr>
      <w:r w:rsidRPr="00BE712C">
        <w:t>202.</w:t>
      </w:r>
      <w:r w:rsidRPr="00BE712C">
        <w:tab/>
        <w:t xml:space="preserve">Manchado C, Yubero P, Viñas O, et al. CCAAT/enhancer-binding proteins α and β in brown adipose tissue: evidence for a tissue-specific pattern of expression during development. </w:t>
      </w:r>
      <w:r w:rsidRPr="00BE712C">
        <w:rPr>
          <w:i/>
          <w:iCs/>
        </w:rPr>
        <w:t>Biochemical Journal</w:t>
      </w:r>
      <w:r w:rsidRPr="00BE712C">
        <w:t>. 1994;302(3):695-700. doi:10.1042/bj3020695</w:t>
      </w:r>
    </w:p>
    <w:p w14:paraId="213BF2C6" w14:textId="77777777" w:rsidR="00BE712C" w:rsidRPr="00BE712C" w:rsidRDefault="00BE712C" w:rsidP="009906F2">
      <w:pPr>
        <w:pStyle w:val="Bibliography"/>
        <w:spacing w:after="0"/>
        <w:ind w:left="0" w:firstLine="0"/>
        <w:jc w:val="left"/>
      </w:pPr>
      <w:r w:rsidRPr="00BE712C">
        <w:t>203.</w:t>
      </w:r>
      <w:r w:rsidRPr="00BE712C">
        <w:tab/>
        <w:t xml:space="preserve">CASSARD-DOULCIER AM, GELLY C, BOUILLAUD F, RICQUIER D. A 211-bp enhancer of the rat uncoupling protein-1 (UCP-1) gene controls specific and regulated expression in brown adipose tissue. </w:t>
      </w:r>
      <w:r w:rsidRPr="00BE712C">
        <w:rPr>
          <w:i/>
          <w:iCs/>
        </w:rPr>
        <w:t>Biochemical Journal</w:t>
      </w:r>
      <w:r w:rsidRPr="00BE712C">
        <w:t>. 1998;333(2):243-246. doi:10.1042/bj3330243</w:t>
      </w:r>
    </w:p>
    <w:p w14:paraId="13DD6881" w14:textId="77777777" w:rsidR="00BE712C" w:rsidRPr="00BE712C" w:rsidRDefault="00BE712C" w:rsidP="009906F2">
      <w:pPr>
        <w:pStyle w:val="Bibliography"/>
        <w:spacing w:after="0"/>
        <w:ind w:left="0" w:firstLine="0"/>
        <w:jc w:val="left"/>
      </w:pPr>
      <w:r w:rsidRPr="00BE712C">
        <w:lastRenderedPageBreak/>
        <w:t>204.</w:t>
      </w:r>
      <w:r w:rsidRPr="00BE712C">
        <w:tab/>
        <w:t xml:space="preserve">Wang H, Zhang Y, Yehuda-Shnaidman E, et al. Liver X Receptor α Is a Transcriptional Repressor of the Uncoupling Protein 1 Gene and the Brown Fat Phenotype. </w:t>
      </w:r>
      <w:r w:rsidRPr="00BE712C">
        <w:rPr>
          <w:i/>
          <w:iCs/>
        </w:rPr>
        <w:t>Mol Cell Biol</w:t>
      </w:r>
      <w:r w:rsidRPr="00BE712C">
        <w:t>. 2008;28(7):2187-2200. doi:10.1128/MCB.01479-07</w:t>
      </w:r>
    </w:p>
    <w:p w14:paraId="2FFED6C9" w14:textId="77777777" w:rsidR="00BE712C" w:rsidRPr="00BE712C" w:rsidRDefault="00BE712C" w:rsidP="009906F2">
      <w:pPr>
        <w:pStyle w:val="Bibliography"/>
        <w:spacing w:after="0"/>
        <w:ind w:left="0" w:firstLine="0"/>
        <w:jc w:val="left"/>
      </w:pPr>
      <w:r w:rsidRPr="00BE712C">
        <w:t>205.</w:t>
      </w:r>
      <w:r w:rsidRPr="00BE712C">
        <w:tab/>
        <w:t xml:space="preserve">Kiskinis E, Hallberg M, Christian M, et al. RIP140 directs histone and DNA methylation to silence Ucp1 expression in white adipocytes. </w:t>
      </w:r>
      <w:r w:rsidRPr="00BE712C">
        <w:rPr>
          <w:i/>
          <w:iCs/>
        </w:rPr>
        <w:t>EMBO J</w:t>
      </w:r>
      <w:r w:rsidRPr="00BE712C">
        <w:t>. 2007;26(23):4831-4840. doi:10.1038/sj.emboj.7601908</w:t>
      </w:r>
    </w:p>
    <w:p w14:paraId="5E82A027" w14:textId="77777777" w:rsidR="00BE712C" w:rsidRPr="00BE712C" w:rsidRDefault="00BE712C" w:rsidP="009906F2">
      <w:pPr>
        <w:pStyle w:val="Bibliography"/>
        <w:spacing w:after="0"/>
        <w:ind w:left="0" w:firstLine="0"/>
        <w:jc w:val="left"/>
      </w:pPr>
      <w:r w:rsidRPr="00BE712C">
        <w:t>206.</w:t>
      </w:r>
      <w:r w:rsidRPr="00BE712C">
        <w:tab/>
        <w:t xml:space="preserve">Lim S, Park J, Um JY. Ginsenoside Rb1 Induces Beta 3 Adrenergic Receptor–Dependent Lipolysis and Thermogenesis in 3T3-L1 Adipocytes and db/db Mice. </w:t>
      </w:r>
      <w:r w:rsidRPr="00BE712C">
        <w:rPr>
          <w:i/>
          <w:iCs/>
        </w:rPr>
        <w:t>Front Pharmacol</w:t>
      </w:r>
      <w:r w:rsidRPr="00BE712C">
        <w:t>. 2019;10. doi:10.3389/fphar.2019.01154</w:t>
      </w:r>
    </w:p>
    <w:p w14:paraId="5446EEC7" w14:textId="77777777" w:rsidR="00BE712C" w:rsidRPr="00BE712C" w:rsidRDefault="00BE712C" w:rsidP="009906F2">
      <w:pPr>
        <w:pStyle w:val="Bibliography"/>
        <w:spacing w:after="0"/>
        <w:ind w:left="0" w:firstLine="0"/>
        <w:jc w:val="left"/>
      </w:pPr>
      <w:r w:rsidRPr="00BE712C">
        <w:t>207.</w:t>
      </w:r>
      <w:r w:rsidRPr="00BE712C">
        <w:tab/>
        <w:t xml:space="preserve">Bargut TCL, Souza-Mello V, Aguila MB, Mandarim-de-Lacerda CA. Browning of white adipose tissue: lessons from experimental models. </w:t>
      </w:r>
      <w:r w:rsidRPr="00BE712C">
        <w:rPr>
          <w:i/>
          <w:iCs/>
        </w:rPr>
        <w:t>Horm Mol Biol Clin Investig</w:t>
      </w:r>
      <w:r w:rsidRPr="00BE712C">
        <w:t>. 2017;31(1). doi:10.1515/hmbci-2016-0051</w:t>
      </w:r>
    </w:p>
    <w:p w14:paraId="404336BD" w14:textId="77777777" w:rsidR="00BE712C" w:rsidRPr="00BE712C" w:rsidRDefault="00BE712C" w:rsidP="009906F2">
      <w:pPr>
        <w:pStyle w:val="Bibliography"/>
        <w:spacing w:after="0"/>
        <w:ind w:left="0" w:firstLine="0"/>
        <w:jc w:val="left"/>
      </w:pPr>
      <w:r w:rsidRPr="00BE712C">
        <w:t>208.</w:t>
      </w:r>
      <w:r w:rsidRPr="00BE712C">
        <w:tab/>
        <w:t xml:space="preserve">Arner P. Human fat cell lipolysis: Biochemistry, regulation and clinical role. </w:t>
      </w:r>
      <w:r w:rsidRPr="00BE712C">
        <w:rPr>
          <w:i/>
          <w:iCs/>
        </w:rPr>
        <w:t>Best Practice &amp; Research Clinical Endocrinology &amp; Metabolism</w:t>
      </w:r>
      <w:r w:rsidRPr="00BE712C">
        <w:t>. 2005;19(4):471-482. doi:10.1016/j.beem.2005.07.004</w:t>
      </w:r>
    </w:p>
    <w:p w14:paraId="6D97C075" w14:textId="77777777" w:rsidR="00BE712C" w:rsidRPr="00BE712C" w:rsidRDefault="00BE712C" w:rsidP="009906F2">
      <w:pPr>
        <w:pStyle w:val="Bibliography"/>
        <w:spacing w:after="0"/>
        <w:ind w:left="0" w:firstLine="0"/>
        <w:jc w:val="left"/>
      </w:pPr>
      <w:r w:rsidRPr="00BE712C">
        <w:t>209.</w:t>
      </w:r>
      <w:r w:rsidRPr="00BE712C">
        <w:tab/>
        <w:t xml:space="preserve">Susulic VS, Frederich RC, Lawitts J, et al. Targeted Disruption of the β3-Adrenergic Receptor Gene *. </w:t>
      </w:r>
      <w:r w:rsidRPr="00BE712C">
        <w:rPr>
          <w:i/>
          <w:iCs/>
        </w:rPr>
        <w:t>Journal of Biological Chemistry</w:t>
      </w:r>
      <w:r w:rsidRPr="00BE712C">
        <w:t>. 1995;270(49):29483-29492. doi:10.1074/jbc.270.49.29483</w:t>
      </w:r>
    </w:p>
    <w:p w14:paraId="71BF3380" w14:textId="77777777" w:rsidR="00BE712C" w:rsidRPr="00BE712C" w:rsidRDefault="00BE712C" w:rsidP="009906F2">
      <w:pPr>
        <w:pStyle w:val="Bibliography"/>
        <w:spacing w:after="0"/>
        <w:ind w:left="0" w:firstLine="0"/>
        <w:jc w:val="left"/>
      </w:pPr>
      <w:r w:rsidRPr="00BE712C">
        <w:t>210.</w:t>
      </w:r>
      <w:r w:rsidRPr="00BE712C">
        <w:tab/>
        <w:t xml:space="preserve">Arner P. Human fat cell lipolysis: biochemistry, regulation and clinical role. </w:t>
      </w:r>
      <w:r w:rsidRPr="00BE712C">
        <w:rPr>
          <w:i/>
          <w:iCs/>
        </w:rPr>
        <w:t>Best Pract Res Clin Endocrinol Metab</w:t>
      </w:r>
      <w:r w:rsidRPr="00BE712C">
        <w:t>. 2005;19(4):471-482. doi:10.1016/j.beem.2005.07.004</w:t>
      </w:r>
    </w:p>
    <w:p w14:paraId="4F279E06" w14:textId="77777777" w:rsidR="00BE712C" w:rsidRPr="00BE712C" w:rsidRDefault="00BE712C" w:rsidP="009906F2">
      <w:pPr>
        <w:pStyle w:val="Bibliography"/>
        <w:spacing w:after="0"/>
        <w:ind w:left="0" w:firstLine="0"/>
        <w:jc w:val="left"/>
      </w:pPr>
      <w:r w:rsidRPr="00BE712C">
        <w:lastRenderedPageBreak/>
        <w:t>211.</w:t>
      </w:r>
      <w:r w:rsidRPr="00BE712C">
        <w:tab/>
        <w:t xml:space="preserve">Guilherme A, Yenilmez B, Bedard AH, et al. Control of Adipocyte Thermogenesis and Lipogenesis through β3-Adrenergic and Thyroid Hormone Signal Integration. </w:t>
      </w:r>
      <w:r w:rsidRPr="00BE712C">
        <w:rPr>
          <w:i/>
          <w:iCs/>
        </w:rPr>
        <w:t>Cell Reports</w:t>
      </w:r>
      <w:r w:rsidRPr="00BE712C">
        <w:t>. 2020;31(5). doi:10.1016/j.celrep.2020.107598</w:t>
      </w:r>
    </w:p>
    <w:p w14:paraId="3DE63501" w14:textId="77777777" w:rsidR="00BE712C" w:rsidRPr="00BE712C" w:rsidRDefault="00BE712C" w:rsidP="009906F2">
      <w:pPr>
        <w:pStyle w:val="Bibliography"/>
        <w:spacing w:after="0"/>
        <w:ind w:left="0" w:firstLine="0"/>
        <w:jc w:val="left"/>
      </w:pPr>
      <w:r w:rsidRPr="00BE712C">
        <w:t>212.</w:t>
      </w:r>
      <w:r w:rsidRPr="00BE712C">
        <w:tab/>
        <w:t xml:space="preserve">Seki T, Hosaka K, Lim S, et al. Endothelial PDGF-CC regulates angiogenesis-dependent thermogenesis in beige fat. </w:t>
      </w:r>
      <w:r w:rsidRPr="00BE712C">
        <w:rPr>
          <w:i/>
          <w:iCs/>
        </w:rPr>
        <w:t>Nat Commun</w:t>
      </w:r>
      <w:r w:rsidRPr="00BE712C">
        <w:t>. 2016;7(1):12152. doi:10.1038/ncomms12152</w:t>
      </w:r>
    </w:p>
    <w:p w14:paraId="438C45A0" w14:textId="77777777" w:rsidR="00BE712C" w:rsidRPr="00BE712C" w:rsidRDefault="00BE712C" w:rsidP="009906F2">
      <w:pPr>
        <w:pStyle w:val="Bibliography"/>
        <w:spacing w:after="0"/>
        <w:ind w:left="0" w:firstLine="0"/>
        <w:jc w:val="left"/>
      </w:pPr>
      <w:r w:rsidRPr="00BE712C">
        <w:t>213.</w:t>
      </w:r>
      <w:r w:rsidRPr="00BE712C">
        <w:tab/>
        <w:t xml:space="preserve">Jimenez M, Barbatelli G, Allevi R, et al. Beta 3-adrenoceptor knockout in C57BL/6J mice depresses the occurrence of brown adipocytes in white fat. </w:t>
      </w:r>
      <w:r w:rsidRPr="00BE712C">
        <w:rPr>
          <w:i/>
          <w:iCs/>
        </w:rPr>
        <w:t>Eur J Biochem</w:t>
      </w:r>
      <w:r w:rsidRPr="00BE712C">
        <w:t>. 2003;270(4):699-705. doi:10.1046/j.1432-1033.2003.03422.x</w:t>
      </w:r>
    </w:p>
    <w:p w14:paraId="7757D1EE" w14:textId="77777777" w:rsidR="00BE712C" w:rsidRPr="00BE712C" w:rsidRDefault="00BE712C" w:rsidP="009906F2">
      <w:pPr>
        <w:pStyle w:val="Bibliography"/>
        <w:spacing w:after="0"/>
        <w:ind w:left="0" w:firstLine="0"/>
        <w:jc w:val="left"/>
      </w:pPr>
      <w:r w:rsidRPr="00BE712C">
        <w:t>214.</w:t>
      </w:r>
      <w:r w:rsidRPr="00BE712C">
        <w:tab/>
        <w:t xml:space="preserve">Cypess AM, Weiner LS, Roberts-Toler C, et al. Activation of human brown adipose tissue by a β3-adrenergic receptor agonist. </w:t>
      </w:r>
      <w:r w:rsidRPr="00BE712C">
        <w:rPr>
          <w:i/>
          <w:iCs/>
        </w:rPr>
        <w:t>Cell Metab</w:t>
      </w:r>
      <w:r w:rsidRPr="00BE712C">
        <w:t>. 2015;21(1):33-38. doi:10.1016/j.cmet.2014.12.009</w:t>
      </w:r>
    </w:p>
    <w:p w14:paraId="7F1D8A3F" w14:textId="77777777" w:rsidR="00BE712C" w:rsidRPr="00BE712C" w:rsidRDefault="00BE712C" w:rsidP="009906F2">
      <w:pPr>
        <w:pStyle w:val="Bibliography"/>
        <w:spacing w:after="0"/>
        <w:ind w:left="0" w:firstLine="0"/>
        <w:jc w:val="left"/>
      </w:pPr>
      <w:r w:rsidRPr="00BE712C">
        <w:t>215.</w:t>
      </w:r>
      <w:r w:rsidRPr="00BE712C">
        <w:tab/>
        <w:t xml:space="preserve">Finlin BS, Memetimin H, Confides AL, et al. Human adipose beiging in response to cold and mirabegron. </w:t>
      </w:r>
      <w:r w:rsidRPr="00BE712C">
        <w:rPr>
          <w:i/>
          <w:iCs/>
        </w:rPr>
        <w:t>JCI Insight</w:t>
      </w:r>
      <w:r w:rsidRPr="00BE712C">
        <w:t>. 3(15):e121510. doi:10.1172/jci.insight.121510</w:t>
      </w:r>
    </w:p>
    <w:p w14:paraId="2B4D9D95" w14:textId="77777777" w:rsidR="00BE712C" w:rsidRPr="00BE712C" w:rsidRDefault="00BE712C" w:rsidP="009906F2">
      <w:pPr>
        <w:pStyle w:val="Bibliography"/>
        <w:spacing w:after="0"/>
        <w:ind w:left="0" w:firstLine="0"/>
        <w:jc w:val="left"/>
      </w:pPr>
      <w:r w:rsidRPr="00BE712C">
        <w:t>216.</w:t>
      </w:r>
      <w:r w:rsidRPr="00BE712C">
        <w:tab/>
        <w:t xml:space="preserve">Arner P. Human fat cell lipolysis: biochemistry, regulation and clinical role. </w:t>
      </w:r>
      <w:r w:rsidRPr="00BE712C">
        <w:rPr>
          <w:i/>
          <w:iCs/>
        </w:rPr>
        <w:t>Best Pract Res Clin Endocrinol Metab</w:t>
      </w:r>
      <w:r w:rsidRPr="00BE712C">
        <w:t>. 2005;19(4):471-482. doi:10.1016/j.beem.2005.07.004</w:t>
      </w:r>
    </w:p>
    <w:p w14:paraId="5BA318FF" w14:textId="77777777" w:rsidR="00BE712C" w:rsidRPr="00BE712C" w:rsidRDefault="00BE712C" w:rsidP="009906F2">
      <w:pPr>
        <w:pStyle w:val="Bibliography"/>
        <w:spacing w:after="0"/>
        <w:ind w:left="0" w:firstLine="0"/>
        <w:jc w:val="left"/>
      </w:pPr>
      <w:r w:rsidRPr="00BE712C">
        <w:t>217.</w:t>
      </w:r>
      <w:r w:rsidRPr="00BE712C">
        <w:tab/>
        <w:t xml:space="preserve">Evans SS, Repasky EA, Fisher DT. Fever and the thermal regulation of immunity: the immune system feels the heat. </w:t>
      </w:r>
      <w:r w:rsidRPr="00BE712C">
        <w:rPr>
          <w:i/>
          <w:iCs/>
        </w:rPr>
        <w:t>Nat Rev Immunol</w:t>
      </w:r>
      <w:r w:rsidRPr="00BE712C">
        <w:t>. 2015;15(6):335-349. doi:10.1038/nri3843</w:t>
      </w:r>
    </w:p>
    <w:p w14:paraId="1B02CD80" w14:textId="77777777" w:rsidR="00BE712C" w:rsidRPr="00BE712C" w:rsidRDefault="00BE712C" w:rsidP="009906F2">
      <w:pPr>
        <w:pStyle w:val="Bibliography"/>
        <w:spacing w:after="0"/>
        <w:ind w:left="0" w:firstLine="0"/>
        <w:jc w:val="left"/>
      </w:pPr>
      <w:r w:rsidRPr="00BE712C">
        <w:t>218.</w:t>
      </w:r>
      <w:r w:rsidRPr="00BE712C">
        <w:tab/>
        <w:t xml:space="preserve">Castellani JW, Young AJ. Human physiological responses to cold exposure: Acute responses and acclimatization to prolonged exposure. </w:t>
      </w:r>
      <w:r w:rsidRPr="00BE712C">
        <w:rPr>
          <w:i/>
          <w:iCs/>
        </w:rPr>
        <w:t>Auton Neurosci</w:t>
      </w:r>
      <w:r w:rsidRPr="00BE712C">
        <w:t>. 2016;196:63-74. doi:10.1016/j.autneu.2016.02.009</w:t>
      </w:r>
    </w:p>
    <w:p w14:paraId="55925954" w14:textId="77777777" w:rsidR="00BE712C" w:rsidRPr="00BE712C" w:rsidRDefault="00BE712C" w:rsidP="009906F2">
      <w:pPr>
        <w:pStyle w:val="Bibliography"/>
        <w:spacing w:after="0"/>
        <w:ind w:left="0" w:firstLine="0"/>
        <w:jc w:val="left"/>
      </w:pPr>
      <w:r w:rsidRPr="00BE712C">
        <w:t>219.</w:t>
      </w:r>
      <w:r w:rsidRPr="00BE712C">
        <w:tab/>
        <w:t xml:space="preserve">Magro BS, Dias DPM. Brown and beige adipose tissue: New therapeutic targets for metabolic disorders. </w:t>
      </w:r>
      <w:r w:rsidRPr="00BE712C">
        <w:rPr>
          <w:i/>
          <w:iCs/>
        </w:rPr>
        <w:t>Health Sciences Review</w:t>
      </w:r>
      <w:r w:rsidRPr="00BE712C">
        <w:t>. 2024;10:100148. doi:10.1016/j.hsr.2024.100148</w:t>
      </w:r>
    </w:p>
    <w:p w14:paraId="6A79BD56" w14:textId="77777777" w:rsidR="00BE712C" w:rsidRPr="00BE712C" w:rsidRDefault="00BE712C" w:rsidP="009906F2">
      <w:pPr>
        <w:pStyle w:val="Bibliography"/>
        <w:spacing w:after="0"/>
        <w:ind w:left="0" w:firstLine="0"/>
        <w:jc w:val="left"/>
      </w:pPr>
      <w:r w:rsidRPr="00BE712C">
        <w:lastRenderedPageBreak/>
        <w:t>220.</w:t>
      </w:r>
      <w:r w:rsidRPr="00BE712C">
        <w:tab/>
        <w:t xml:space="preserve">Morrison SF. Central neural control of thermoregulation and brown adipose tissue. </w:t>
      </w:r>
      <w:r w:rsidRPr="00BE712C">
        <w:rPr>
          <w:i/>
          <w:iCs/>
        </w:rPr>
        <w:t>Auton Neurosci</w:t>
      </w:r>
      <w:r w:rsidRPr="00BE712C">
        <w:t>. 2016;196:14-24. doi:10.1016/j.autneu.2016.02.010</w:t>
      </w:r>
    </w:p>
    <w:p w14:paraId="5B617391" w14:textId="77777777" w:rsidR="00BE712C" w:rsidRPr="00BE712C" w:rsidRDefault="00BE712C" w:rsidP="009906F2">
      <w:pPr>
        <w:pStyle w:val="Bibliography"/>
        <w:spacing w:after="0"/>
        <w:ind w:left="0" w:firstLine="0"/>
        <w:jc w:val="left"/>
      </w:pPr>
      <w:r w:rsidRPr="00BE712C">
        <w:t>221.</w:t>
      </w:r>
      <w:r w:rsidRPr="00BE712C">
        <w:tab/>
        <w:t xml:space="preserve">Clapham JC. Central control of thermogenesis. </w:t>
      </w:r>
      <w:r w:rsidRPr="00BE712C">
        <w:rPr>
          <w:i/>
          <w:iCs/>
        </w:rPr>
        <w:t>Neuropharmacology</w:t>
      </w:r>
      <w:r w:rsidRPr="00BE712C">
        <w:t>. 2012;63(1):111-123. doi:10.1016/j.neuropharm.2011.10.014</w:t>
      </w:r>
    </w:p>
    <w:p w14:paraId="449B6E06" w14:textId="77777777" w:rsidR="00BE712C" w:rsidRPr="00BE712C" w:rsidRDefault="00BE712C" w:rsidP="009906F2">
      <w:pPr>
        <w:pStyle w:val="Bibliography"/>
        <w:spacing w:after="0"/>
        <w:ind w:left="0" w:firstLine="0"/>
        <w:jc w:val="left"/>
      </w:pPr>
      <w:r w:rsidRPr="00BE712C">
        <w:t>222.</w:t>
      </w:r>
      <w:r w:rsidRPr="00BE712C">
        <w:tab/>
        <w:t xml:space="preserve">Luo X, Jia R, Zhang Q, Sun B, Yan J. Cold-Induced Browning Dynamically Alters the Expression Profiles of Inflammatory Adipokines with Tissue Specificity in Mice. </w:t>
      </w:r>
      <w:r w:rsidRPr="00BE712C">
        <w:rPr>
          <w:i/>
          <w:iCs/>
        </w:rPr>
        <w:t>Int J Mol Sci</w:t>
      </w:r>
      <w:r w:rsidRPr="00BE712C">
        <w:t>. 2016;17(5):795. doi:10.3390/ijms17050795</w:t>
      </w:r>
    </w:p>
    <w:p w14:paraId="19D8A8AF" w14:textId="77777777" w:rsidR="00BE712C" w:rsidRPr="00BE712C" w:rsidRDefault="00BE712C" w:rsidP="009906F2">
      <w:pPr>
        <w:pStyle w:val="Bibliography"/>
        <w:spacing w:after="0"/>
        <w:ind w:left="0" w:firstLine="0"/>
        <w:jc w:val="left"/>
      </w:pPr>
      <w:r w:rsidRPr="00BE712C">
        <w:t>223.</w:t>
      </w:r>
      <w:r w:rsidRPr="00BE712C">
        <w:tab/>
        <w:t xml:space="preserve">Fan G, Dang X, Li Y, Chen J, Zhao R, Yang X. Zinc-α2-glycoprotein promotes browning of white adipose tissue in cold-exposed male mice. </w:t>
      </w:r>
      <w:r w:rsidRPr="00BE712C">
        <w:rPr>
          <w:i/>
          <w:iCs/>
        </w:rPr>
        <w:t>Mol Cell Endocrinol</w:t>
      </w:r>
      <w:r w:rsidRPr="00BE712C">
        <w:t>. 2020;501:110669. doi:10.1016/j.mce.2019.110669</w:t>
      </w:r>
    </w:p>
    <w:p w14:paraId="27CC0683" w14:textId="77777777" w:rsidR="00BE712C" w:rsidRPr="00BE712C" w:rsidRDefault="00BE712C" w:rsidP="009906F2">
      <w:pPr>
        <w:pStyle w:val="Bibliography"/>
        <w:spacing w:after="0"/>
        <w:ind w:left="0" w:firstLine="0"/>
        <w:jc w:val="left"/>
      </w:pPr>
      <w:r w:rsidRPr="00BE712C">
        <w:t>224.</w:t>
      </w:r>
      <w:r w:rsidRPr="00BE712C">
        <w:tab/>
        <w:t xml:space="preserve">Leitner BP, Huang S, Brychta RJ, et al. Mapping of human brown adipose tissue in lean and obese young men. </w:t>
      </w:r>
      <w:r w:rsidRPr="00BE712C">
        <w:rPr>
          <w:i/>
          <w:iCs/>
        </w:rPr>
        <w:t>Proceedings of the National Academy of Sciences</w:t>
      </w:r>
      <w:r w:rsidRPr="00BE712C">
        <w:t>. 2017;114(32):8649-8654. doi:10.1073/pnas.1705287114</w:t>
      </w:r>
    </w:p>
    <w:p w14:paraId="59228743" w14:textId="77777777" w:rsidR="00BE712C" w:rsidRPr="00BE712C" w:rsidRDefault="00BE712C" w:rsidP="009906F2">
      <w:pPr>
        <w:pStyle w:val="Bibliography"/>
        <w:spacing w:after="0"/>
        <w:ind w:left="0" w:firstLine="0"/>
        <w:jc w:val="left"/>
      </w:pPr>
      <w:r w:rsidRPr="00BE712C">
        <w:t>225.</w:t>
      </w:r>
      <w:r w:rsidRPr="00BE712C">
        <w:tab/>
        <w:t xml:space="preserve">Brychta RJ, Huang S, Wang J, et al. Quantification of the Capacity for Cold-Induced Thermogenesis in Young Men With and Without Obesity. </w:t>
      </w:r>
      <w:r w:rsidRPr="00BE712C">
        <w:rPr>
          <w:i/>
          <w:iCs/>
        </w:rPr>
        <w:t>The Journal of Clinical Endocrinology &amp; Metabolism</w:t>
      </w:r>
      <w:r w:rsidRPr="00BE712C">
        <w:t>. 2019;104(10):4865-4878. doi:10.1210/jc.2019-00728</w:t>
      </w:r>
    </w:p>
    <w:p w14:paraId="1CABED9C" w14:textId="77777777" w:rsidR="00BE712C" w:rsidRPr="00BE712C" w:rsidRDefault="00BE712C" w:rsidP="009906F2">
      <w:pPr>
        <w:pStyle w:val="Bibliography"/>
        <w:spacing w:after="0"/>
        <w:ind w:left="0" w:firstLine="0"/>
        <w:jc w:val="left"/>
      </w:pPr>
      <w:r w:rsidRPr="00BE712C">
        <w:t>226.</w:t>
      </w:r>
      <w:r w:rsidRPr="00BE712C">
        <w:tab/>
        <w:t xml:space="preserve">Rudaya AY, Steiner AA, Robbins JR, Dragic AS, Romanovsky AA. Thermoregulatory responses to lipopolysaccharide in the mouse: dependence on the dose and ambient temperature. </w:t>
      </w:r>
      <w:r w:rsidRPr="00BE712C">
        <w:rPr>
          <w:i/>
          <w:iCs/>
        </w:rPr>
        <w:t>American Journal of Physiology-Regulatory, Integrative and Comparative Physiology</w:t>
      </w:r>
      <w:r w:rsidRPr="00BE712C">
        <w:t>. 2005;289(5):R1244-R1252. doi:10.1152/ajpregu.00370.2005</w:t>
      </w:r>
    </w:p>
    <w:p w14:paraId="0AC72C1A" w14:textId="77777777" w:rsidR="00BE712C" w:rsidRPr="00BE712C" w:rsidRDefault="00BE712C" w:rsidP="009906F2">
      <w:pPr>
        <w:pStyle w:val="Bibliography"/>
        <w:spacing w:after="0"/>
        <w:ind w:left="0" w:firstLine="0"/>
        <w:jc w:val="left"/>
      </w:pPr>
      <w:r w:rsidRPr="00BE712C">
        <w:t>227.</w:t>
      </w:r>
      <w:r w:rsidRPr="00BE712C">
        <w:tab/>
        <w:t xml:space="preserve">Kanazawa S. Does global warming contribute to the obesity epidemic? </w:t>
      </w:r>
      <w:r w:rsidRPr="00BE712C">
        <w:rPr>
          <w:i/>
          <w:iCs/>
        </w:rPr>
        <w:t>Environmental Research</w:t>
      </w:r>
      <w:r w:rsidRPr="00BE712C">
        <w:t>. 2020;182:108962. doi:10.1016/j.envres.2019.108962</w:t>
      </w:r>
    </w:p>
    <w:p w14:paraId="15F39E4A" w14:textId="77777777" w:rsidR="00BE712C" w:rsidRPr="00BE712C" w:rsidRDefault="00BE712C" w:rsidP="009906F2">
      <w:pPr>
        <w:pStyle w:val="Bibliography"/>
        <w:spacing w:after="0"/>
        <w:ind w:left="0" w:firstLine="0"/>
        <w:jc w:val="left"/>
      </w:pPr>
      <w:r w:rsidRPr="00BE712C">
        <w:lastRenderedPageBreak/>
        <w:t>228.</w:t>
      </w:r>
      <w:r w:rsidRPr="00BE712C">
        <w:tab/>
        <w:t xml:space="preserve">Li Y, Wang D, Ping X, et al. Local hyperthermia therapy induces browning of white fat and treats obesity. </w:t>
      </w:r>
      <w:r w:rsidRPr="00BE712C">
        <w:rPr>
          <w:i/>
          <w:iCs/>
        </w:rPr>
        <w:t>Cell</w:t>
      </w:r>
      <w:r w:rsidRPr="00BE712C">
        <w:t>. 2022;185(6):949-966.e19. doi:10.1016/j.cell.2022.02.004</w:t>
      </w:r>
    </w:p>
    <w:p w14:paraId="3E0C433E" w14:textId="77777777" w:rsidR="00BE712C" w:rsidRPr="00BE712C" w:rsidRDefault="00BE712C" w:rsidP="009906F2">
      <w:pPr>
        <w:pStyle w:val="Bibliography"/>
        <w:spacing w:after="0"/>
        <w:ind w:left="0" w:firstLine="0"/>
        <w:jc w:val="left"/>
      </w:pPr>
      <w:r w:rsidRPr="00BE712C">
        <w:t>229.</w:t>
      </w:r>
      <w:r w:rsidRPr="00BE712C">
        <w:tab/>
        <w:t xml:space="preserve">Vinaik R, Barayan D, Abdullahi A, Jeschke MG. NLRP3 inflammasome mediates white adipose tissue browning after burn. </w:t>
      </w:r>
      <w:r w:rsidRPr="00BE712C">
        <w:rPr>
          <w:i/>
          <w:iCs/>
        </w:rPr>
        <w:t>American Journal of Physiology-Endocrinology and Metabolism</w:t>
      </w:r>
      <w:r w:rsidRPr="00BE712C">
        <w:t>. 2019;317(5):E751-E759. doi:10.1152/ajpendo.00180.2019</w:t>
      </w:r>
    </w:p>
    <w:p w14:paraId="777C6A80" w14:textId="77777777" w:rsidR="00BE712C" w:rsidRPr="00BE712C" w:rsidRDefault="00BE712C" w:rsidP="009906F2">
      <w:pPr>
        <w:pStyle w:val="Bibliography"/>
        <w:spacing w:after="0"/>
        <w:ind w:left="0" w:firstLine="0"/>
        <w:jc w:val="left"/>
      </w:pPr>
      <w:r w:rsidRPr="00BE712C">
        <w:t>230.</w:t>
      </w:r>
      <w:r w:rsidRPr="00BE712C">
        <w:tab/>
        <w:t xml:space="preserve">Patsouris D, Qi P, Abdullahi A, et al. Burn Induces Browning of the Subcutaneous White Adipose Tissue in Mice and Humans. </w:t>
      </w:r>
      <w:r w:rsidRPr="00BE712C">
        <w:rPr>
          <w:i/>
          <w:iCs/>
        </w:rPr>
        <w:t>Cell Reports</w:t>
      </w:r>
      <w:r w:rsidRPr="00BE712C">
        <w:t>. 2015;13(8):1538-1544. doi:10.1016/j.celrep.2015.10.028</w:t>
      </w:r>
    </w:p>
    <w:p w14:paraId="7B0EAD8D" w14:textId="77777777" w:rsidR="00BE712C" w:rsidRPr="00BE712C" w:rsidRDefault="00BE712C" w:rsidP="009906F2">
      <w:pPr>
        <w:pStyle w:val="Bibliography"/>
        <w:spacing w:after="0"/>
        <w:ind w:left="0" w:firstLine="0"/>
        <w:jc w:val="left"/>
      </w:pPr>
      <w:r w:rsidRPr="00BE712C">
        <w:t>231.</w:t>
      </w:r>
      <w:r w:rsidRPr="00BE712C">
        <w:tab/>
        <w:t xml:space="preserve">Boccellino M, D’Angelo S. Anti-Obesity Effects of Polyphenol Intake: Current Status and Future Possibilities. </w:t>
      </w:r>
      <w:r w:rsidRPr="00BE712C">
        <w:rPr>
          <w:i/>
          <w:iCs/>
        </w:rPr>
        <w:t>International Journal of Molecular Sciences</w:t>
      </w:r>
      <w:r w:rsidRPr="00BE712C">
        <w:t>. 2020;21(16):5642. doi:10.3390/ijms21165642</w:t>
      </w:r>
    </w:p>
    <w:p w14:paraId="7D250091" w14:textId="77777777" w:rsidR="00BE712C" w:rsidRPr="00BE712C" w:rsidRDefault="00BE712C" w:rsidP="009906F2">
      <w:pPr>
        <w:pStyle w:val="Bibliography"/>
        <w:spacing w:after="0"/>
        <w:ind w:left="0" w:firstLine="0"/>
        <w:jc w:val="left"/>
      </w:pPr>
      <w:r w:rsidRPr="00BE712C">
        <w:t>232.</w:t>
      </w:r>
      <w:r w:rsidRPr="00BE712C">
        <w:tab/>
        <w:t xml:space="preserve">Macêdo APA, Gonçalves M dos S, Barreto-Medeiros JM, et al. Green Tea Induces the Browning of Adipose Tissue—Systematic Review. </w:t>
      </w:r>
      <w:r w:rsidRPr="00BE712C">
        <w:rPr>
          <w:i/>
          <w:iCs/>
        </w:rPr>
        <w:t>Obesities</w:t>
      </w:r>
      <w:r w:rsidRPr="00BE712C">
        <w:t>. 2023;3(3):193-206. doi:10.3390/obesities3030016</w:t>
      </w:r>
    </w:p>
    <w:p w14:paraId="0F93AEBE" w14:textId="77777777" w:rsidR="00BE712C" w:rsidRPr="00BE712C" w:rsidRDefault="00BE712C" w:rsidP="009906F2">
      <w:pPr>
        <w:pStyle w:val="Bibliography"/>
        <w:spacing w:after="0"/>
        <w:ind w:left="0" w:firstLine="0"/>
        <w:jc w:val="left"/>
      </w:pPr>
      <w:r w:rsidRPr="00BE712C">
        <w:t>233.</w:t>
      </w:r>
      <w:r w:rsidRPr="00BE712C">
        <w:tab/>
        <w:t xml:space="preserve">Neyrinck AM, Bindels LB, Geurts L, Van Hul M, Cani PD, Delzenne NM. A polyphenolic extract from green tea leaves activates fat browning in high-fat-diet-induced obese mice. </w:t>
      </w:r>
      <w:r w:rsidRPr="00BE712C">
        <w:rPr>
          <w:i/>
          <w:iCs/>
        </w:rPr>
        <w:t>The Journal of Nutritional Biochemistry</w:t>
      </w:r>
      <w:r w:rsidRPr="00BE712C">
        <w:t>. 2017;49:15-21. doi:10.1016/j.jnutbio.2017.07.008</w:t>
      </w:r>
    </w:p>
    <w:p w14:paraId="2FA37070" w14:textId="77777777" w:rsidR="00BE712C" w:rsidRPr="00BE712C" w:rsidRDefault="00BE712C" w:rsidP="009906F2">
      <w:pPr>
        <w:pStyle w:val="Bibliography"/>
        <w:spacing w:after="0"/>
        <w:ind w:left="0" w:firstLine="0"/>
        <w:jc w:val="left"/>
      </w:pPr>
      <w:r w:rsidRPr="00BE712C">
        <w:t>234.</w:t>
      </w:r>
      <w:r w:rsidRPr="00BE712C">
        <w:tab/>
        <w:t xml:space="preserve">Chen IJ, Liu CY, Chiu JP, Hsu CH. Therapeutic effect of high-dose green tea extract on weight reduction: A randomized, double-blind, placebo-controlled clinical trial. </w:t>
      </w:r>
      <w:r w:rsidRPr="00BE712C">
        <w:rPr>
          <w:i/>
          <w:iCs/>
        </w:rPr>
        <w:t>Clinical Nutrition</w:t>
      </w:r>
      <w:r w:rsidRPr="00BE712C">
        <w:t>. 2016;35(3):592-599. doi:10.1016/j.clnu.2015.05.003</w:t>
      </w:r>
    </w:p>
    <w:p w14:paraId="2C1D421E" w14:textId="77777777" w:rsidR="00BE712C" w:rsidRPr="00BE712C" w:rsidRDefault="00BE712C" w:rsidP="009906F2">
      <w:pPr>
        <w:pStyle w:val="Bibliography"/>
        <w:spacing w:after="0"/>
        <w:ind w:left="0" w:firstLine="0"/>
        <w:jc w:val="left"/>
      </w:pPr>
      <w:r w:rsidRPr="00BE712C">
        <w:lastRenderedPageBreak/>
        <w:t>235.</w:t>
      </w:r>
      <w:r w:rsidRPr="00BE712C">
        <w:tab/>
        <w:t xml:space="preserve">Otton R, Bolin AP, Ferreira LT, Marinovic MP, Rocha ALS, Mori MA. Polyphenol-rich green tea extract improves adipose tissue metabolism by down-regulating miR-335 expression and mitigating insulin resistance and inflammation. </w:t>
      </w:r>
      <w:r w:rsidRPr="00BE712C">
        <w:rPr>
          <w:i/>
          <w:iCs/>
        </w:rPr>
        <w:t>The Journal of Nutritional Biochemistry</w:t>
      </w:r>
      <w:r w:rsidRPr="00BE712C">
        <w:t>. 2018;57:170-179. doi:10.1016/j.jnutbio.2018.03.024</w:t>
      </w:r>
    </w:p>
    <w:p w14:paraId="797E5309" w14:textId="77777777" w:rsidR="00BE712C" w:rsidRPr="00BE712C" w:rsidRDefault="00BE712C" w:rsidP="009906F2">
      <w:pPr>
        <w:pStyle w:val="Bibliography"/>
        <w:spacing w:after="0"/>
        <w:ind w:left="0" w:firstLine="0"/>
        <w:jc w:val="left"/>
      </w:pPr>
      <w:r w:rsidRPr="00BE712C">
        <w:t>236.</w:t>
      </w:r>
      <w:r w:rsidRPr="00BE712C">
        <w:tab/>
        <w:t xml:space="preserve">Rocha A, Bolin AP, Cardoso CAL, Otton R. Green tea extract activates AMPK and ameliorates white adipose tissue metabolic dysfunction induced by obesity. </w:t>
      </w:r>
      <w:r w:rsidRPr="00BE712C">
        <w:rPr>
          <w:i/>
          <w:iCs/>
        </w:rPr>
        <w:t>Eur J Nutr</w:t>
      </w:r>
      <w:r w:rsidRPr="00BE712C">
        <w:t>. 2016;55(7):2231-2244. doi:10.1007/s00394-015-1033-8</w:t>
      </w:r>
    </w:p>
    <w:p w14:paraId="7E446DD0" w14:textId="77777777" w:rsidR="00BE712C" w:rsidRPr="00BE712C" w:rsidRDefault="00BE712C" w:rsidP="009906F2">
      <w:pPr>
        <w:pStyle w:val="Bibliography"/>
        <w:spacing w:after="0"/>
        <w:ind w:left="0" w:firstLine="0"/>
        <w:jc w:val="left"/>
      </w:pPr>
      <w:r w:rsidRPr="00BE712C">
        <w:t>237.</w:t>
      </w:r>
      <w:r w:rsidRPr="00BE712C">
        <w:tab/>
        <w:t xml:space="preserve">Jang HJ, Ridgeway SD, Kim J a. Effects of the green tea polyphenol epigallocatechin-3-gallate on high-fat diet-induced insulin resistance and endothelial dysfunction. </w:t>
      </w:r>
      <w:r w:rsidRPr="00BE712C">
        <w:rPr>
          <w:i/>
          <w:iCs/>
        </w:rPr>
        <w:t>Am J Physiol Endocrinol Metab</w:t>
      </w:r>
      <w:r w:rsidRPr="00BE712C">
        <w:t>. 2013;305(12):E1444-E1451. doi:10.1152/ajpendo.00434.2013</w:t>
      </w:r>
    </w:p>
    <w:p w14:paraId="2235B3FC" w14:textId="77777777" w:rsidR="00BE712C" w:rsidRPr="00BE712C" w:rsidRDefault="00BE712C" w:rsidP="009906F2">
      <w:pPr>
        <w:pStyle w:val="Bibliography"/>
        <w:spacing w:after="0"/>
        <w:ind w:left="0" w:firstLine="0"/>
        <w:jc w:val="left"/>
      </w:pPr>
      <w:r w:rsidRPr="00BE712C">
        <w:t>238.</w:t>
      </w:r>
      <w:r w:rsidRPr="00BE712C">
        <w:tab/>
        <w:t xml:space="preserve">Zhou J, Mao L, Xu P, Wang Y. Effects of (−)-Epigallocatechin Gallate (EGCG) on Energy Expenditure and Microglia-Mediated Hypothalamic Inflammation in Mice Fed a High-Fat Diet. </w:t>
      </w:r>
      <w:r w:rsidRPr="00BE712C">
        <w:rPr>
          <w:i/>
          <w:iCs/>
        </w:rPr>
        <w:t>Nutrients</w:t>
      </w:r>
      <w:r w:rsidRPr="00BE712C">
        <w:t>. 2018;10(11):1681. doi:10.3390/nu10111681</w:t>
      </w:r>
    </w:p>
    <w:p w14:paraId="014681EC" w14:textId="77777777" w:rsidR="00BE712C" w:rsidRPr="00BE712C" w:rsidRDefault="00BE712C" w:rsidP="009906F2">
      <w:pPr>
        <w:pStyle w:val="Bibliography"/>
        <w:spacing w:after="0"/>
        <w:ind w:left="0" w:firstLine="0"/>
        <w:jc w:val="left"/>
      </w:pPr>
      <w:r w:rsidRPr="00BE712C">
        <w:t>239.</w:t>
      </w:r>
      <w:r w:rsidRPr="00BE712C">
        <w:tab/>
        <w:t xml:space="preserve">Tung YC, Hsieh PH, Pan MH, Ho CT. Cellular models for the evaluation of the antiobesity effect of selected phytochemicals from food and herbs. </w:t>
      </w:r>
      <w:r w:rsidRPr="00BE712C">
        <w:rPr>
          <w:i/>
          <w:iCs/>
        </w:rPr>
        <w:t>J Food Drug Anal</w:t>
      </w:r>
      <w:r w:rsidRPr="00BE712C">
        <w:t>. 25(1):100-110. doi:10.1016/j.jfda.2016.10.018</w:t>
      </w:r>
    </w:p>
    <w:p w14:paraId="08F2F721" w14:textId="77777777" w:rsidR="00BE712C" w:rsidRPr="00BE712C" w:rsidRDefault="00BE712C" w:rsidP="009906F2">
      <w:pPr>
        <w:pStyle w:val="Bibliography"/>
        <w:spacing w:after="0"/>
        <w:ind w:left="0" w:firstLine="0"/>
        <w:jc w:val="left"/>
      </w:pPr>
      <w:r w:rsidRPr="00BE712C">
        <w:t>240.</w:t>
      </w:r>
      <w:r w:rsidRPr="00BE712C">
        <w:tab/>
        <w:t xml:space="preserve">Lone J, Choi JH, Kim SW, Yun JW. Curcumin induces brown fat-like phenotype in 3T3-L1 and primary white adipocytes. </w:t>
      </w:r>
      <w:r w:rsidRPr="00BE712C">
        <w:rPr>
          <w:i/>
          <w:iCs/>
        </w:rPr>
        <w:t>The Journal of Nutritional Biochemistry</w:t>
      </w:r>
      <w:r w:rsidRPr="00BE712C">
        <w:t>. 2016;27:193-202. doi:10.1016/j.jnutbio.2015.09.006</w:t>
      </w:r>
    </w:p>
    <w:p w14:paraId="6BFF6FE6" w14:textId="77777777" w:rsidR="00BE712C" w:rsidRPr="00BE712C" w:rsidRDefault="00BE712C" w:rsidP="009906F2">
      <w:pPr>
        <w:pStyle w:val="Bibliography"/>
        <w:spacing w:after="0"/>
        <w:ind w:left="0" w:firstLine="0"/>
        <w:jc w:val="left"/>
      </w:pPr>
      <w:r w:rsidRPr="00BE712C">
        <w:t>241.</w:t>
      </w:r>
      <w:r w:rsidRPr="00BE712C">
        <w:tab/>
        <w:t xml:space="preserve">Siddiqui SA, Azmy Harahap I, Suthar P, Wu YS, Ghosh N, Castro-Muñoz R. A Comprehensive Review of Phytonutrients as a Dietary Therapy for Obesity. </w:t>
      </w:r>
      <w:r w:rsidRPr="00BE712C">
        <w:rPr>
          <w:i/>
          <w:iCs/>
        </w:rPr>
        <w:t>Foods</w:t>
      </w:r>
      <w:r w:rsidRPr="00BE712C">
        <w:t>. 2023;12(19):3610. doi:10.3390/foods12193610</w:t>
      </w:r>
    </w:p>
    <w:p w14:paraId="4174B7C3" w14:textId="77777777" w:rsidR="00BE712C" w:rsidRPr="00BE712C" w:rsidRDefault="00BE712C" w:rsidP="009906F2">
      <w:pPr>
        <w:pStyle w:val="Bibliography"/>
        <w:spacing w:after="0"/>
        <w:ind w:left="0" w:firstLine="0"/>
        <w:jc w:val="left"/>
      </w:pPr>
      <w:r w:rsidRPr="00BE712C">
        <w:lastRenderedPageBreak/>
        <w:t>242.</w:t>
      </w:r>
      <w:r w:rsidRPr="00BE712C">
        <w:tab/>
        <w:t xml:space="preserve">Blanco-Lizarazo CM, Betancourt-Cortés R, Lombana A, Carrillo-Castro K, Sotelo-Díaz I. Listeria monocytogenes behaviour and quality attributes during sausage storage affected by sodium nitrite, sodium lactate and thyme essential oil. </w:t>
      </w:r>
      <w:r w:rsidRPr="00BE712C">
        <w:rPr>
          <w:i/>
          <w:iCs/>
        </w:rPr>
        <w:t>Food sci technol int</w:t>
      </w:r>
      <w:r w:rsidRPr="00BE712C">
        <w:t>. 2017;23(3):277-288. doi:10.1177/1082013216686464</w:t>
      </w:r>
    </w:p>
    <w:p w14:paraId="35BA96F9" w14:textId="77777777" w:rsidR="00BE712C" w:rsidRPr="00BE712C" w:rsidRDefault="00BE712C" w:rsidP="009906F2">
      <w:pPr>
        <w:pStyle w:val="Bibliography"/>
        <w:spacing w:after="0"/>
        <w:ind w:left="0" w:firstLine="0"/>
        <w:jc w:val="left"/>
      </w:pPr>
      <w:r w:rsidRPr="00BE712C">
        <w:t>243.</w:t>
      </w:r>
      <w:r w:rsidRPr="00BE712C">
        <w:tab/>
        <w:t xml:space="preserve">Bonet ML, Canas JA, Ribot J, Palou A. Carotenoids in Adipose Tissue Biology and Obesity. In: Stange C, ed. </w:t>
      </w:r>
      <w:r w:rsidRPr="00BE712C">
        <w:rPr>
          <w:i/>
          <w:iCs/>
        </w:rPr>
        <w:t>Carotenoids in Nature: Biosynthesis, Regulation and Function</w:t>
      </w:r>
      <w:r w:rsidRPr="00BE712C">
        <w:t>. Springer International Publishing; 2016:377-414. doi:10.1007/978-3-319-39126-7_15</w:t>
      </w:r>
    </w:p>
    <w:p w14:paraId="523E8DD8" w14:textId="77777777" w:rsidR="00BE712C" w:rsidRPr="00BE712C" w:rsidRDefault="00BE712C" w:rsidP="009906F2">
      <w:pPr>
        <w:pStyle w:val="Bibliography"/>
        <w:spacing w:after="0"/>
        <w:ind w:left="0" w:firstLine="0"/>
        <w:jc w:val="left"/>
      </w:pPr>
      <w:r w:rsidRPr="00BE712C">
        <w:t>244.</w:t>
      </w:r>
      <w:r w:rsidRPr="00BE712C">
        <w:tab/>
        <w:t xml:space="preserve">Luisa Bonet M, Canas JA, Ribot J, Palou A. Carotenoids and their conversion products in the control of adipocyte function, adiposity and obesity. </w:t>
      </w:r>
      <w:r w:rsidRPr="00BE712C">
        <w:rPr>
          <w:i/>
          <w:iCs/>
        </w:rPr>
        <w:t>Archives of Biochemistry and Biophysics</w:t>
      </w:r>
      <w:r w:rsidRPr="00BE712C">
        <w:t>. 2015;572:112-125. doi:10.1016/j.abb.2015.02.022</w:t>
      </w:r>
    </w:p>
    <w:p w14:paraId="44D48AEF" w14:textId="77777777" w:rsidR="00BE712C" w:rsidRPr="00BE712C" w:rsidRDefault="00BE712C" w:rsidP="009906F2">
      <w:pPr>
        <w:pStyle w:val="Bibliography"/>
        <w:spacing w:after="0"/>
        <w:ind w:left="0" w:firstLine="0"/>
        <w:jc w:val="left"/>
      </w:pPr>
      <w:r w:rsidRPr="00BE712C">
        <w:t>245.</w:t>
      </w:r>
      <w:r w:rsidRPr="00BE712C">
        <w:tab/>
        <w:t xml:space="preserve">Mounien L, Tourniaire F, Landrier JF. Anti-Obesity Effect of Carotenoids: Direct Impact on Adipose Tissue and Adipose Tissue-Driven Indirect Effects. </w:t>
      </w:r>
      <w:r w:rsidRPr="00BE712C">
        <w:rPr>
          <w:i/>
          <w:iCs/>
        </w:rPr>
        <w:t>Nutrients</w:t>
      </w:r>
      <w:r w:rsidRPr="00BE712C">
        <w:t>. 2019;11(7):1562. doi:10.3390/nu11071562</w:t>
      </w:r>
    </w:p>
    <w:p w14:paraId="28E2C925" w14:textId="77777777" w:rsidR="00BE712C" w:rsidRPr="00BE712C" w:rsidRDefault="00BE712C" w:rsidP="009906F2">
      <w:pPr>
        <w:pStyle w:val="Bibliography"/>
        <w:spacing w:after="0"/>
        <w:ind w:left="0" w:firstLine="0"/>
        <w:jc w:val="left"/>
      </w:pPr>
      <w:r w:rsidRPr="00BE712C">
        <w:t>246.</w:t>
      </w:r>
      <w:r w:rsidRPr="00BE712C">
        <w:tab/>
        <w:t xml:space="preserve">Lobo GP, Amengual J, Li HNM, et al. β,β-Carotene Decreases Peroxisome Proliferator Receptor γ Activity and Reduces Lipid Storage Capacity of Adipocytes in a β,β-Carotene Oxygenase 1-dependent Manner *. </w:t>
      </w:r>
      <w:r w:rsidRPr="00BE712C">
        <w:rPr>
          <w:i/>
          <w:iCs/>
        </w:rPr>
        <w:t>Journal of Biological Chemistry</w:t>
      </w:r>
      <w:r w:rsidRPr="00BE712C">
        <w:t>. 2010;285(36):27891-27899. doi:10.1074/jbc.M110.132571</w:t>
      </w:r>
    </w:p>
    <w:p w14:paraId="1F4B4D83" w14:textId="77777777" w:rsidR="00BE712C" w:rsidRPr="00BE712C" w:rsidRDefault="00BE712C" w:rsidP="009906F2">
      <w:pPr>
        <w:pStyle w:val="Bibliography"/>
        <w:spacing w:after="0"/>
        <w:ind w:left="0" w:firstLine="0"/>
        <w:jc w:val="left"/>
      </w:pPr>
      <w:r w:rsidRPr="00BE712C">
        <w:t>247.</w:t>
      </w:r>
      <w:r w:rsidRPr="00BE712C">
        <w:tab/>
        <w:t xml:space="preserve">Shafe MO, Gumede NM, Nyakudya TT, Chivandi E. Lycopene: A Potent Antioxidant with Multiple Health Benefits. </w:t>
      </w:r>
      <w:r w:rsidRPr="00BE712C">
        <w:rPr>
          <w:i/>
          <w:iCs/>
        </w:rPr>
        <w:t>Journal of Nutrition and Metabolism</w:t>
      </w:r>
      <w:r w:rsidRPr="00BE712C">
        <w:t>. 2024;2024(1):6252426. doi:10.1155/2024/6252426</w:t>
      </w:r>
    </w:p>
    <w:p w14:paraId="26E94F7E" w14:textId="77777777" w:rsidR="00BE712C" w:rsidRPr="00BE712C" w:rsidRDefault="00BE712C" w:rsidP="009906F2">
      <w:pPr>
        <w:pStyle w:val="Bibliography"/>
        <w:spacing w:after="0"/>
        <w:ind w:left="0" w:firstLine="0"/>
        <w:jc w:val="left"/>
      </w:pPr>
      <w:r w:rsidRPr="00BE712C">
        <w:t>248.</w:t>
      </w:r>
      <w:r w:rsidRPr="00BE712C">
        <w:tab/>
        <w:t xml:space="preserve">Imran M, Ghorat F, Ul-Haq I, et al. Lycopene as a Natural Antioxidant Used to Prevent Human Health Disorders. </w:t>
      </w:r>
      <w:r w:rsidRPr="00BE712C">
        <w:rPr>
          <w:i/>
          <w:iCs/>
        </w:rPr>
        <w:t>Antioxidants (Basel)</w:t>
      </w:r>
      <w:r w:rsidRPr="00BE712C">
        <w:t>. 2020;9(8):706. doi:10.3390/antiox9080706</w:t>
      </w:r>
    </w:p>
    <w:p w14:paraId="5F9B5164" w14:textId="77777777" w:rsidR="00BE712C" w:rsidRPr="00BE712C" w:rsidRDefault="00BE712C" w:rsidP="009906F2">
      <w:pPr>
        <w:pStyle w:val="Bibliography"/>
        <w:spacing w:after="0"/>
        <w:ind w:left="0" w:firstLine="0"/>
        <w:jc w:val="left"/>
      </w:pPr>
      <w:r w:rsidRPr="00BE712C">
        <w:lastRenderedPageBreak/>
        <w:t>249.</w:t>
      </w:r>
      <w:r w:rsidRPr="00BE712C">
        <w:tab/>
        <w:t xml:space="preserve">Zhu R, Chen B, Bai Y, et al. Lycopene in protection against obesity and diabetes: A mechanistic review. </w:t>
      </w:r>
      <w:r w:rsidRPr="00BE712C">
        <w:rPr>
          <w:i/>
          <w:iCs/>
        </w:rPr>
        <w:t>Pharmacological Research</w:t>
      </w:r>
      <w:r w:rsidRPr="00BE712C">
        <w:t>. 2020;159:104966. doi:10.1016/j.phrs.2020.104966</w:t>
      </w:r>
    </w:p>
    <w:p w14:paraId="648E4124" w14:textId="77777777" w:rsidR="00BE712C" w:rsidRPr="00BE712C" w:rsidRDefault="00BE712C" w:rsidP="009906F2">
      <w:pPr>
        <w:pStyle w:val="Bibliography"/>
        <w:spacing w:after="0"/>
        <w:ind w:left="0" w:firstLine="0"/>
        <w:jc w:val="left"/>
      </w:pPr>
      <w:r w:rsidRPr="00BE712C">
        <w:t>250.</w:t>
      </w:r>
      <w:r w:rsidRPr="00BE712C">
        <w:tab/>
        <w:t xml:space="preserve">Vinha AF, Barreira ,Sérgio V. P., Costa ,Anabela S. G., Alves ,Rita C., and Oliveira MBPP. Pre-meal tomato (Lycopersicon esculentum) intake can have anti-obesity effects in young women? </w:t>
      </w:r>
      <w:r w:rsidRPr="00BE712C">
        <w:rPr>
          <w:i/>
          <w:iCs/>
        </w:rPr>
        <w:t>International Journal of Food Sciences and Nutrition</w:t>
      </w:r>
      <w:r w:rsidRPr="00BE712C">
        <w:t>. 2014;65(8):1019-1026. doi:10.3109/09637486.2014.950206</w:t>
      </w:r>
    </w:p>
    <w:p w14:paraId="4065FDC9" w14:textId="77777777" w:rsidR="00BE712C" w:rsidRPr="00BE712C" w:rsidRDefault="00BE712C" w:rsidP="009906F2">
      <w:pPr>
        <w:pStyle w:val="Bibliography"/>
        <w:spacing w:after="0"/>
        <w:ind w:left="0" w:firstLine="0"/>
        <w:jc w:val="left"/>
      </w:pPr>
      <w:r w:rsidRPr="00BE712C">
        <w:t>251.</w:t>
      </w:r>
      <w:r w:rsidRPr="00BE712C">
        <w:tab/>
        <w:t xml:space="preserve">Li H, Qi J, Li L. Phytochemicals as potential candidates to combat obesity </w:t>
      </w:r>
      <w:r w:rsidRPr="00BE712C">
        <w:rPr>
          <w:i/>
          <w:iCs/>
        </w:rPr>
        <w:t>via</w:t>
      </w:r>
      <w:r w:rsidRPr="00BE712C">
        <w:t xml:space="preserve"> adipose non-shivering thermogenesis. </w:t>
      </w:r>
      <w:r w:rsidRPr="00BE712C">
        <w:rPr>
          <w:i/>
          <w:iCs/>
        </w:rPr>
        <w:t>Pharmacological Research</w:t>
      </w:r>
      <w:r w:rsidRPr="00BE712C">
        <w:t>. 2019;147:104393. doi:10.1016/j.phrs.2019.104393</w:t>
      </w:r>
    </w:p>
    <w:p w14:paraId="23C5DD97" w14:textId="77777777" w:rsidR="00BE712C" w:rsidRPr="00BE712C" w:rsidRDefault="00BE712C" w:rsidP="009906F2">
      <w:pPr>
        <w:pStyle w:val="Bibliography"/>
        <w:spacing w:after="0"/>
        <w:ind w:left="0" w:firstLine="0"/>
        <w:jc w:val="left"/>
      </w:pPr>
      <w:r w:rsidRPr="00BE712C">
        <w:t>252.</w:t>
      </w:r>
      <w:r w:rsidRPr="00BE712C">
        <w:tab/>
        <w:t xml:space="preserve">Liu M, Liu H, Xie J, et al. Anti-obesity effects of zeaxanthin on 3T3-L1 preadipocyte and high fat induced obese mice. </w:t>
      </w:r>
      <w:r w:rsidRPr="00BE712C">
        <w:rPr>
          <w:i/>
          <w:iCs/>
        </w:rPr>
        <w:t>Food Funct</w:t>
      </w:r>
      <w:r w:rsidRPr="00BE712C">
        <w:t>. 2017;8(9):3327-3338. doi:10.1039/C7FO00486A</w:t>
      </w:r>
    </w:p>
    <w:p w14:paraId="78D2ADF6" w14:textId="77777777" w:rsidR="00BE712C" w:rsidRPr="00BE712C" w:rsidRDefault="00BE712C" w:rsidP="009906F2">
      <w:pPr>
        <w:pStyle w:val="Bibliography"/>
        <w:spacing w:after="0"/>
        <w:ind w:left="0" w:firstLine="0"/>
        <w:jc w:val="left"/>
      </w:pPr>
      <w:r w:rsidRPr="00BE712C">
        <w:t>253.</w:t>
      </w:r>
      <w:r w:rsidRPr="00BE712C">
        <w:tab/>
        <w:t xml:space="preserve">Dludla PV, Nkambule BB, Jack B, et al. Inflammation and Oxidative Stress in an Obese State and the Protective Effects of Gallic Acid. </w:t>
      </w:r>
      <w:r w:rsidRPr="00BE712C">
        <w:rPr>
          <w:i/>
          <w:iCs/>
        </w:rPr>
        <w:t>Nutrients</w:t>
      </w:r>
      <w:r w:rsidRPr="00BE712C">
        <w:t>. 2019;11(1):23. doi:10.3390/nu11010023</w:t>
      </w:r>
    </w:p>
    <w:p w14:paraId="4568BAD7" w14:textId="77777777" w:rsidR="00BE712C" w:rsidRPr="00BE712C" w:rsidRDefault="00BE712C" w:rsidP="009906F2">
      <w:pPr>
        <w:pStyle w:val="Bibliography"/>
        <w:spacing w:after="0"/>
        <w:ind w:left="0" w:firstLine="0"/>
        <w:jc w:val="left"/>
      </w:pPr>
      <w:r w:rsidRPr="00BE712C">
        <w:t>254.</w:t>
      </w:r>
      <w:r w:rsidRPr="00BE712C">
        <w:tab/>
        <w:t xml:space="preserve">Sun W, Shahrajabian MH. Therapeutic Potential of Phenolic Compounds in Medicinal Plants—Natural Health Products for Human Health. </w:t>
      </w:r>
      <w:r w:rsidRPr="00BE712C">
        <w:rPr>
          <w:i/>
          <w:iCs/>
        </w:rPr>
        <w:t>Molecules</w:t>
      </w:r>
      <w:r w:rsidRPr="00BE712C">
        <w:t>. 2023;28(4):1845. doi:10.3390/molecules28041845</w:t>
      </w:r>
    </w:p>
    <w:p w14:paraId="5DD4A956" w14:textId="77777777" w:rsidR="00BE712C" w:rsidRPr="00BE712C" w:rsidRDefault="00BE712C" w:rsidP="009906F2">
      <w:pPr>
        <w:pStyle w:val="Bibliography"/>
        <w:spacing w:after="0"/>
        <w:ind w:left="0" w:firstLine="0"/>
        <w:jc w:val="left"/>
      </w:pPr>
      <w:r w:rsidRPr="00BE712C">
        <w:t>255.</w:t>
      </w:r>
      <w:r w:rsidRPr="00BE712C">
        <w:tab/>
        <w:t xml:space="preserve">Yun YR, Park BY, Kim SH, Jung JH. Antioxidant, Anti-Obesity, and Anti-Aging Activities of Jeju Citrus Blended Vinegar. </w:t>
      </w:r>
      <w:r w:rsidRPr="00BE712C">
        <w:rPr>
          <w:i/>
          <w:iCs/>
        </w:rPr>
        <w:t>Foods</w:t>
      </w:r>
      <w:r w:rsidRPr="00BE712C">
        <w:t>. 2021;10(7):1441. doi:10.3390/foods10071441</w:t>
      </w:r>
    </w:p>
    <w:p w14:paraId="42714346" w14:textId="77777777" w:rsidR="00BE712C" w:rsidRPr="00BE712C" w:rsidRDefault="00BE712C" w:rsidP="009906F2">
      <w:pPr>
        <w:pStyle w:val="Bibliography"/>
        <w:spacing w:after="0"/>
        <w:ind w:left="0" w:firstLine="0"/>
        <w:jc w:val="left"/>
      </w:pPr>
      <w:r w:rsidRPr="00BE712C">
        <w:lastRenderedPageBreak/>
        <w:t>256.</w:t>
      </w:r>
      <w:r w:rsidRPr="00BE712C">
        <w:tab/>
        <w:t xml:space="preserve">Zhou F, Yin M, Liu Y, et al. Grape seed flour intake decreases adiposity gain in high-fat-diet induced obese mice by activating thermogenesis. </w:t>
      </w:r>
      <w:r w:rsidRPr="00BE712C">
        <w:rPr>
          <w:i/>
          <w:iCs/>
        </w:rPr>
        <w:t>Journal of Functional Foods</w:t>
      </w:r>
      <w:r w:rsidRPr="00BE712C">
        <w:t>. 2019;62:103509. doi:10.1016/j.jff.2019.103509</w:t>
      </w:r>
    </w:p>
    <w:p w14:paraId="0E2EB803" w14:textId="77777777" w:rsidR="00BE712C" w:rsidRPr="00BE712C" w:rsidRDefault="00BE712C" w:rsidP="009906F2">
      <w:pPr>
        <w:pStyle w:val="Bibliography"/>
        <w:spacing w:after="0"/>
        <w:ind w:left="0" w:firstLine="0"/>
        <w:jc w:val="left"/>
      </w:pPr>
      <w:r w:rsidRPr="00BE712C">
        <w:t>257.</w:t>
      </w:r>
      <w:r w:rsidRPr="00BE712C">
        <w:tab/>
        <w:t xml:space="preserve">Lim WC, Ho JN, Lee HS, Cho HY. Germinated waxy black rice extract inhibits lipid accumulation with regulation of multiple gene expression in 3T3-L1 adipocytes. </w:t>
      </w:r>
      <w:r w:rsidRPr="00BE712C">
        <w:rPr>
          <w:i/>
          <w:iCs/>
        </w:rPr>
        <w:t>Food Sci Biotechnol</w:t>
      </w:r>
      <w:r w:rsidRPr="00BE712C">
        <w:t>. 2016;25(3):821-827. doi:10.1007/s10068-016-0137-0</w:t>
      </w:r>
    </w:p>
    <w:p w14:paraId="31560DED" w14:textId="77777777" w:rsidR="00BE712C" w:rsidRPr="00BE712C" w:rsidRDefault="00BE712C" w:rsidP="009906F2">
      <w:pPr>
        <w:pStyle w:val="Bibliography"/>
        <w:spacing w:after="0"/>
        <w:ind w:left="0" w:firstLine="0"/>
        <w:jc w:val="left"/>
      </w:pPr>
      <w:r w:rsidRPr="00BE712C">
        <w:t>258.</w:t>
      </w:r>
      <w:r w:rsidRPr="00BE712C">
        <w:tab/>
        <w:t xml:space="preserve">Kim SN, Jung YS, Kwon HJ, Seong JK, Granneman JG, Lee YH. Sex differences in sympathetic innervation and browning of white adipose tissue of mice. </w:t>
      </w:r>
      <w:r w:rsidRPr="00BE712C">
        <w:rPr>
          <w:i/>
          <w:iCs/>
        </w:rPr>
        <w:t>Biol Sex Differ</w:t>
      </w:r>
      <w:r w:rsidRPr="00BE712C">
        <w:t>. 2016;7(1):67. doi:10.1186/s13293-016-0121-7</w:t>
      </w:r>
    </w:p>
    <w:p w14:paraId="4D6117D6" w14:textId="77777777" w:rsidR="00BE712C" w:rsidRPr="00BE712C" w:rsidRDefault="00BE712C" w:rsidP="009906F2">
      <w:pPr>
        <w:pStyle w:val="Bibliography"/>
        <w:spacing w:after="0"/>
        <w:ind w:left="0" w:firstLine="0"/>
        <w:jc w:val="left"/>
      </w:pPr>
      <w:r w:rsidRPr="00BE712C">
        <w:t>259.</w:t>
      </w:r>
      <w:r w:rsidRPr="00BE712C">
        <w:tab/>
        <w:t xml:space="preserve">Park S, Nayantai E, Komatsu T, Hayashi H, Mori R, Shimokawa I. NPY Deficiency Prevents Postmenopausal Adiposity by Augmenting Estradiol-Mediated Browning. </w:t>
      </w:r>
      <w:r w:rsidRPr="00BE712C">
        <w:rPr>
          <w:i/>
          <w:iCs/>
        </w:rPr>
        <w:t>The Journals of Gerontology: Series A</w:t>
      </w:r>
      <w:r w:rsidRPr="00BE712C">
        <w:t>. 2020;75(6):1042-1049. doi:10.1093/gerona/gly282</w:t>
      </w:r>
    </w:p>
    <w:p w14:paraId="20DC454F" w14:textId="77777777" w:rsidR="00BE712C" w:rsidRPr="00BE712C" w:rsidRDefault="00BE712C" w:rsidP="009906F2">
      <w:pPr>
        <w:pStyle w:val="Bibliography"/>
        <w:spacing w:after="0"/>
        <w:ind w:left="0" w:firstLine="0"/>
        <w:jc w:val="left"/>
      </w:pPr>
      <w:r w:rsidRPr="00BE712C">
        <w:t>260.</w:t>
      </w:r>
      <w:r w:rsidRPr="00BE712C">
        <w:tab/>
        <w:t xml:space="preserve">Miao Y fei, Su W, Dai Y bing, et al. An ERβ agonist induces browning of subcutaneous abdominal fat pad in obese female mice. </w:t>
      </w:r>
      <w:r w:rsidRPr="00BE712C">
        <w:rPr>
          <w:i/>
          <w:iCs/>
        </w:rPr>
        <w:t>Sci Rep</w:t>
      </w:r>
      <w:r w:rsidRPr="00BE712C">
        <w:t>. 2016;6(1):38579. doi:10.1038/srep38579</w:t>
      </w:r>
    </w:p>
    <w:p w14:paraId="3D5BB600" w14:textId="77777777" w:rsidR="00BE712C" w:rsidRPr="00BE712C" w:rsidRDefault="00BE712C" w:rsidP="009906F2">
      <w:pPr>
        <w:pStyle w:val="Bibliography"/>
        <w:spacing w:after="0"/>
        <w:ind w:left="0" w:firstLine="0"/>
        <w:jc w:val="left"/>
      </w:pPr>
      <w:r w:rsidRPr="00BE712C">
        <w:t>261.</w:t>
      </w:r>
      <w:r w:rsidRPr="00BE712C">
        <w:tab/>
        <w:t xml:space="preserve">Zhao L, Wang B, Gomez NA, de Avila JM, Zhu MJ, Du M. Even a low dose of tamoxifen profoundly induces adipose tissue browning in female mice. </w:t>
      </w:r>
      <w:r w:rsidRPr="00BE712C">
        <w:rPr>
          <w:i/>
          <w:iCs/>
        </w:rPr>
        <w:t>Int J Obes</w:t>
      </w:r>
      <w:r w:rsidRPr="00BE712C">
        <w:t>. 2020;44(1):226-234. doi:10.1038/s41366-019-0330-3</w:t>
      </w:r>
    </w:p>
    <w:p w14:paraId="0261F0BA" w14:textId="77777777" w:rsidR="00BE712C" w:rsidRPr="00BE712C" w:rsidRDefault="00BE712C" w:rsidP="009906F2">
      <w:pPr>
        <w:pStyle w:val="Bibliography"/>
        <w:spacing w:after="0"/>
        <w:ind w:left="0" w:firstLine="0"/>
        <w:jc w:val="left"/>
      </w:pPr>
      <w:r w:rsidRPr="00BE712C">
        <w:t>262.</w:t>
      </w:r>
      <w:r w:rsidRPr="00BE712C">
        <w:tab/>
        <w:t xml:space="preserve">Servera M, López N, Serra F, Palou A. Expression of “brown-in-white” adipocyte biomarkers shows gender differences and the influence of early dietary exposure. </w:t>
      </w:r>
      <w:r w:rsidRPr="00BE712C">
        <w:rPr>
          <w:i/>
          <w:iCs/>
        </w:rPr>
        <w:t>Genes Nutr</w:t>
      </w:r>
      <w:r w:rsidRPr="00BE712C">
        <w:t>. 2014;9(1):1-9. doi:10.1007/s12263-013-0372-4</w:t>
      </w:r>
    </w:p>
    <w:p w14:paraId="025CB111" w14:textId="77777777" w:rsidR="00BE712C" w:rsidRPr="00BE712C" w:rsidRDefault="00BE712C" w:rsidP="009906F2">
      <w:pPr>
        <w:pStyle w:val="Bibliography"/>
        <w:spacing w:after="0"/>
        <w:ind w:left="0" w:firstLine="0"/>
        <w:jc w:val="left"/>
      </w:pPr>
      <w:r w:rsidRPr="00BE712C">
        <w:lastRenderedPageBreak/>
        <w:t>263.</w:t>
      </w:r>
      <w:r w:rsidRPr="00BE712C">
        <w:tab/>
        <w:t xml:space="preserve">Lee YH, Kim SH, Kim SN, et al. Sex-specific metabolic interactions between liver and adipose tissue in MCD diet-induced non-alcoholic fatty liver disease. </w:t>
      </w:r>
      <w:r w:rsidRPr="00BE712C">
        <w:rPr>
          <w:i/>
          <w:iCs/>
        </w:rPr>
        <w:t>Oncotarget</w:t>
      </w:r>
      <w:r w:rsidRPr="00BE712C">
        <w:t>. 2016;7(30):46959-46971. doi:10.18632/oncotarget.10506</w:t>
      </w:r>
    </w:p>
    <w:p w14:paraId="39019413" w14:textId="77777777" w:rsidR="00BE712C" w:rsidRPr="00BE712C" w:rsidRDefault="00BE712C" w:rsidP="009906F2">
      <w:pPr>
        <w:pStyle w:val="Bibliography"/>
        <w:spacing w:after="0"/>
        <w:ind w:left="0" w:firstLine="0"/>
        <w:jc w:val="left"/>
      </w:pPr>
      <w:r w:rsidRPr="00BE712C">
        <w:t>264.</w:t>
      </w:r>
      <w:r w:rsidRPr="00BE712C">
        <w:tab/>
        <w:t xml:space="preserve">Norheim F, Hasin-Brumshtein Y, Vergnes L, et al. Gene-by-Sex Interactions in Mitochondrial Functions and Cardio-Metabolic Traits. </w:t>
      </w:r>
      <w:r w:rsidRPr="00BE712C">
        <w:rPr>
          <w:i/>
          <w:iCs/>
        </w:rPr>
        <w:t>Cell Metabolism</w:t>
      </w:r>
      <w:r w:rsidRPr="00BE712C">
        <w:t>. 2019;29(4):932-949.e4. doi:10.1016/j.cmet.2018.12.013</w:t>
      </w:r>
    </w:p>
    <w:p w14:paraId="0C9A5E8A" w14:textId="77777777" w:rsidR="00BE712C" w:rsidRPr="00BE712C" w:rsidRDefault="00BE712C" w:rsidP="009906F2">
      <w:pPr>
        <w:pStyle w:val="Bibliography"/>
        <w:spacing w:after="0"/>
        <w:ind w:left="0" w:firstLine="0"/>
        <w:jc w:val="left"/>
      </w:pPr>
      <w:r w:rsidRPr="00BE712C">
        <w:t>265.</w:t>
      </w:r>
      <w:r w:rsidRPr="00BE712C">
        <w:tab/>
        <w:t xml:space="preserve">Zhuang P, Shou Q, Lu Y, et al. Arachidonic acid sex-dependently affects obesity through linking gut microbiota-driven inflammation to hypothalamus-adipose-liver axis. </w:t>
      </w:r>
      <w:r w:rsidRPr="00BE712C">
        <w:rPr>
          <w:i/>
          <w:iCs/>
        </w:rPr>
        <w:t>Biochimica et Biophysica Acta (BBA) - Molecular Basis of Disease</w:t>
      </w:r>
      <w:r w:rsidRPr="00BE712C">
        <w:t>. 2017;1863(11):2715-2726. doi:10.1016/j.bbadis.2017.07.003</w:t>
      </w:r>
    </w:p>
    <w:p w14:paraId="19298477" w14:textId="77777777" w:rsidR="00BE712C" w:rsidRPr="00BE712C" w:rsidRDefault="00BE712C" w:rsidP="009906F2">
      <w:pPr>
        <w:pStyle w:val="Bibliography"/>
        <w:spacing w:after="0"/>
        <w:ind w:left="0" w:firstLine="0"/>
        <w:jc w:val="left"/>
      </w:pPr>
      <w:r w:rsidRPr="00BE712C">
        <w:t>266.</w:t>
      </w:r>
      <w:r w:rsidRPr="00BE712C">
        <w:tab/>
        <w:t xml:space="preserve">van den Beukel JC, Grefhorst A, Hoogduijn MJ, et al. Women have more potential to induce browning of perirenal adipose tissue than men. </w:t>
      </w:r>
      <w:r w:rsidRPr="00BE712C">
        <w:rPr>
          <w:i/>
          <w:iCs/>
        </w:rPr>
        <w:t>Obesity</w:t>
      </w:r>
      <w:r w:rsidRPr="00BE712C">
        <w:t>. 2015;23(8):1671-1679. doi:10.1002/oby.21166</w:t>
      </w:r>
    </w:p>
    <w:p w14:paraId="68CB82C6" w14:textId="77777777" w:rsidR="00BE712C" w:rsidRPr="00BE712C" w:rsidRDefault="00BE712C" w:rsidP="009906F2">
      <w:pPr>
        <w:pStyle w:val="Bibliography"/>
        <w:spacing w:after="0"/>
        <w:ind w:left="0" w:firstLine="0"/>
        <w:jc w:val="left"/>
      </w:pPr>
      <w:r w:rsidRPr="00BE712C">
        <w:t>267.</w:t>
      </w:r>
      <w:r w:rsidRPr="00BE712C">
        <w:tab/>
        <w:t xml:space="preserve">Zhao L, Wang B, Gomez NA, de Avila JM, Zhu MJ, Du M. Even a low dose of tamoxifen profoundly induces adipose tissue browning in female mice. </w:t>
      </w:r>
      <w:r w:rsidRPr="00BE712C">
        <w:rPr>
          <w:i/>
          <w:iCs/>
        </w:rPr>
        <w:t>Int J Obes</w:t>
      </w:r>
      <w:r w:rsidRPr="00BE712C">
        <w:t>. 2020;44(1):226-234. doi:10.1038/s41366-019-0330-3</w:t>
      </w:r>
    </w:p>
    <w:p w14:paraId="6264D2F3" w14:textId="77777777" w:rsidR="00BE712C" w:rsidRPr="00BE712C" w:rsidRDefault="00BE712C" w:rsidP="009906F2">
      <w:pPr>
        <w:pStyle w:val="Bibliography"/>
        <w:spacing w:after="0"/>
        <w:ind w:left="0" w:firstLine="0"/>
        <w:jc w:val="left"/>
      </w:pPr>
      <w:r w:rsidRPr="00BE712C">
        <w:t>268.</w:t>
      </w:r>
      <w:r w:rsidRPr="00BE712C">
        <w:tab/>
        <w:t xml:space="preserve">Gómez-García I, Trepiana J, Fernández-Quintela A, Giralt M, Portillo MP. Sexual Dimorphism in Brown Adipose Tissue Activation and White Adipose Tissue Browning. </w:t>
      </w:r>
      <w:r w:rsidRPr="00BE712C">
        <w:rPr>
          <w:i/>
          <w:iCs/>
        </w:rPr>
        <w:t>International Journal of Molecular Sciences</w:t>
      </w:r>
      <w:r w:rsidRPr="00BE712C">
        <w:t>. 2022;23(15):8250. doi:10.3390/ijms23158250</w:t>
      </w:r>
    </w:p>
    <w:p w14:paraId="50FD9921" w14:textId="77777777" w:rsidR="00BE712C" w:rsidRPr="00BE712C" w:rsidRDefault="00BE712C" w:rsidP="009906F2">
      <w:pPr>
        <w:pStyle w:val="Bibliography"/>
        <w:spacing w:after="0"/>
        <w:ind w:left="0" w:firstLine="0"/>
        <w:jc w:val="left"/>
      </w:pPr>
      <w:r w:rsidRPr="00BE712C">
        <w:t>269.</w:t>
      </w:r>
      <w:r w:rsidRPr="00BE712C">
        <w:tab/>
        <w:t xml:space="preserve">Kalantari H, Das DK. Physiological effects of resveratrol. </w:t>
      </w:r>
      <w:r w:rsidRPr="00BE712C">
        <w:rPr>
          <w:i/>
          <w:iCs/>
        </w:rPr>
        <w:t>BioFactors</w:t>
      </w:r>
      <w:r w:rsidRPr="00BE712C">
        <w:t>. 2010;36(5):401-406. doi:10.1002/biof.100</w:t>
      </w:r>
    </w:p>
    <w:p w14:paraId="2BE87390" w14:textId="77777777" w:rsidR="00BE712C" w:rsidRPr="00BE712C" w:rsidRDefault="00BE712C" w:rsidP="009906F2">
      <w:pPr>
        <w:pStyle w:val="Bibliography"/>
        <w:spacing w:after="0"/>
        <w:ind w:left="0" w:firstLine="0"/>
        <w:jc w:val="left"/>
      </w:pPr>
      <w:r w:rsidRPr="00BE712C">
        <w:lastRenderedPageBreak/>
        <w:t>270.</w:t>
      </w:r>
      <w:r w:rsidRPr="00BE712C">
        <w:tab/>
        <w:t xml:space="preserve">Zhang LX, Li CX, Kakar MU, et al. Resveratrol (RV): A pharmacological review and call for further research. </w:t>
      </w:r>
      <w:r w:rsidRPr="00BE712C">
        <w:rPr>
          <w:i/>
          <w:iCs/>
        </w:rPr>
        <w:t>Biomedicine &amp; Pharmacotherapy</w:t>
      </w:r>
      <w:r w:rsidRPr="00BE712C">
        <w:t>. 2021;143:112164. doi:10.1016/j.biopha.2021.112164</w:t>
      </w:r>
    </w:p>
    <w:p w14:paraId="0FA6165C" w14:textId="77777777" w:rsidR="00BE712C" w:rsidRPr="00BE712C" w:rsidRDefault="00BE712C" w:rsidP="009906F2">
      <w:pPr>
        <w:pStyle w:val="Bibliography"/>
        <w:spacing w:after="0"/>
        <w:ind w:left="0" w:firstLine="0"/>
        <w:jc w:val="left"/>
      </w:pPr>
      <w:r w:rsidRPr="00BE712C">
        <w:t>271.</w:t>
      </w:r>
      <w:r w:rsidRPr="00BE712C">
        <w:tab/>
        <w:t xml:space="preserve">Salehi B, Mishra AP, Nigam M, et al. Resveratrol: A Double-Edged Sword in Health Benefits. </w:t>
      </w:r>
      <w:r w:rsidRPr="00BE712C">
        <w:rPr>
          <w:i/>
          <w:iCs/>
        </w:rPr>
        <w:t>Biomedicines</w:t>
      </w:r>
      <w:r w:rsidRPr="00BE712C">
        <w:t>. 2018;6(3):91. doi:10.3390/biomedicines6030091</w:t>
      </w:r>
    </w:p>
    <w:p w14:paraId="71B47FFD" w14:textId="77777777" w:rsidR="00BE712C" w:rsidRPr="00BE712C" w:rsidRDefault="00BE712C" w:rsidP="009906F2">
      <w:pPr>
        <w:pStyle w:val="Bibliography"/>
        <w:spacing w:after="0"/>
        <w:ind w:left="0" w:firstLine="0"/>
        <w:jc w:val="left"/>
      </w:pPr>
      <w:r w:rsidRPr="00BE712C">
        <w:t>272.</w:t>
      </w:r>
      <w:r w:rsidRPr="00BE712C">
        <w:tab/>
        <w:t xml:space="preserve">Renaud S, Lorgeril M de. Wine, alcohol, platelets, and the French paradox for coronary heart disease. </w:t>
      </w:r>
      <w:r w:rsidRPr="00BE712C">
        <w:rPr>
          <w:i/>
          <w:iCs/>
        </w:rPr>
        <w:t>The Lancet</w:t>
      </w:r>
      <w:r w:rsidRPr="00BE712C">
        <w:t>. 1992;339(8808):1523-1526. doi:10.1016/0140-6736(92)91277-F</w:t>
      </w:r>
    </w:p>
    <w:p w14:paraId="349F126F" w14:textId="77777777" w:rsidR="00BE712C" w:rsidRPr="00BE712C" w:rsidRDefault="00BE712C" w:rsidP="009906F2">
      <w:pPr>
        <w:pStyle w:val="Bibliography"/>
        <w:spacing w:after="0"/>
        <w:ind w:left="0" w:firstLine="0"/>
        <w:jc w:val="left"/>
      </w:pPr>
      <w:r w:rsidRPr="00BE712C">
        <w:t>273.</w:t>
      </w:r>
      <w:r w:rsidRPr="00BE712C">
        <w:tab/>
        <w:t xml:space="preserve">Wang Y, Halls C, Zhang J, Matsuno M, Zhang Y, Yu O. Stepwise increase of resveratrol biosynthesis in yeast </w:t>
      </w:r>
      <w:r w:rsidRPr="00BE712C">
        <w:rPr>
          <w:i/>
          <w:iCs/>
        </w:rPr>
        <w:t>Saccharomyces cerevisiae</w:t>
      </w:r>
      <w:r w:rsidRPr="00BE712C">
        <w:t xml:space="preserve"> by metabolic engineering. </w:t>
      </w:r>
      <w:r w:rsidRPr="00BE712C">
        <w:rPr>
          <w:i/>
          <w:iCs/>
        </w:rPr>
        <w:t>Metabolic Engineering</w:t>
      </w:r>
      <w:r w:rsidRPr="00BE712C">
        <w:t>. 2011;13(5):455-463. doi:10.1016/j.ymben.2011.04.005</w:t>
      </w:r>
    </w:p>
    <w:p w14:paraId="5592FA2C" w14:textId="77777777" w:rsidR="00BE712C" w:rsidRPr="00BE712C" w:rsidRDefault="00BE712C" w:rsidP="009906F2">
      <w:pPr>
        <w:pStyle w:val="Bibliography"/>
        <w:spacing w:after="0"/>
        <w:ind w:left="0" w:firstLine="0"/>
        <w:jc w:val="left"/>
      </w:pPr>
      <w:r w:rsidRPr="00BE712C">
        <w:t>274.</w:t>
      </w:r>
      <w:r w:rsidRPr="00BE712C">
        <w:tab/>
        <w:t xml:space="preserve">Nawaz W, Zhou Z, Deng S, et al. Therapeutic Versatility of Resveratrol Derivatives. </w:t>
      </w:r>
      <w:r w:rsidRPr="00BE712C">
        <w:rPr>
          <w:i/>
          <w:iCs/>
        </w:rPr>
        <w:t>Nutrients</w:t>
      </w:r>
      <w:r w:rsidRPr="00BE712C">
        <w:t>. 2017;9(11):1188. doi:10.3390/nu9111188</w:t>
      </w:r>
    </w:p>
    <w:p w14:paraId="02945FA0" w14:textId="77777777" w:rsidR="00BE712C" w:rsidRPr="00BE712C" w:rsidRDefault="00BE712C" w:rsidP="009906F2">
      <w:pPr>
        <w:pStyle w:val="Bibliography"/>
        <w:spacing w:after="0"/>
        <w:ind w:left="0" w:firstLine="0"/>
        <w:jc w:val="left"/>
      </w:pPr>
      <w:r w:rsidRPr="00BE712C">
        <w:t>275.</w:t>
      </w:r>
      <w:r w:rsidRPr="00BE712C">
        <w:tab/>
        <w:t xml:space="preserve">Li M, Kildegaard KR, Chen Y, Rodriguez A, Borodina I, Nielsen J. </w:t>
      </w:r>
      <w:r w:rsidRPr="00BE712C">
        <w:rPr>
          <w:i/>
          <w:iCs/>
        </w:rPr>
        <w:t>De novo</w:t>
      </w:r>
      <w:r w:rsidRPr="00BE712C">
        <w:t xml:space="preserve"> production of resveratrol from glucose or ethanol by engineered </w:t>
      </w:r>
      <w:r w:rsidRPr="00BE712C">
        <w:rPr>
          <w:i/>
          <w:iCs/>
        </w:rPr>
        <w:t>Saccharomyces cerevisiae</w:t>
      </w:r>
      <w:r w:rsidRPr="00BE712C">
        <w:t xml:space="preserve">. </w:t>
      </w:r>
      <w:r w:rsidRPr="00BE712C">
        <w:rPr>
          <w:i/>
          <w:iCs/>
        </w:rPr>
        <w:t>Metabolic Engineering</w:t>
      </w:r>
      <w:r w:rsidRPr="00BE712C">
        <w:t>. 2015;32:1-11. doi:10.1016/j.ymben.2015.08.007</w:t>
      </w:r>
    </w:p>
    <w:p w14:paraId="11253759" w14:textId="77777777" w:rsidR="00BE712C" w:rsidRPr="00BE712C" w:rsidRDefault="00BE712C" w:rsidP="009906F2">
      <w:pPr>
        <w:pStyle w:val="Bibliography"/>
        <w:spacing w:after="0"/>
        <w:ind w:left="0" w:firstLine="0"/>
        <w:jc w:val="left"/>
      </w:pPr>
      <w:r w:rsidRPr="00BE712C">
        <w:t>276.</w:t>
      </w:r>
      <w:r w:rsidRPr="00BE712C">
        <w:tab/>
        <w:t xml:space="preserve">Chen X, He H, Wang G, et al. Stereospecific determination of cis- and trans-resveratrol in rat plasma by HPLC: application to pharmacokinetic studies. </w:t>
      </w:r>
      <w:r w:rsidRPr="00BE712C">
        <w:rPr>
          <w:i/>
          <w:iCs/>
        </w:rPr>
        <w:t>Biomedical Chromatography</w:t>
      </w:r>
      <w:r w:rsidRPr="00BE712C">
        <w:t>. 2007;21(3):257-265. doi:10.1002/bmc.747</w:t>
      </w:r>
    </w:p>
    <w:p w14:paraId="5BC909FB" w14:textId="77777777" w:rsidR="00BE712C" w:rsidRPr="00BE712C" w:rsidRDefault="00BE712C" w:rsidP="009906F2">
      <w:pPr>
        <w:pStyle w:val="Bibliography"/>
        <w:spacing w:after="0"/>
        <w:ind w:left="0" w:firstLine="0"/>
        <w:jc w:val="left"/>
      </w:pPr>
      <w:r w:rsidRPr="00BE712C">
        <w:t>277.</w:t>
      </w:r>
      <w:r w:rsidRPr="00BE712C">
        <w:tab/>
        <w:t xml:space="preserve">Gambini J, Inglés M, Olaso G, et al. Properties of Resveratrol: In Vitro and In Vivo Studies about Metabolism, Bioavailability, and Biological Effects in Animal Models and Humans. </w:t>
      </w:r>
      <w:r w:rsidRPr="00BE712C">
        <w:rPr>
          <w:i/>
          <w:iCs/>
        </w:rPr>
        <w:t>Oxid Med Cell Longev</w:t>
      </w:r>
      <w:r w:rsidRPr="00BE712C">
        <w:t>. 2015;2015:837042. doi:10.1155/2015/837042</w:t>
      </w:r>
    </w:p>
    <w:p w14:paraId="4A90B8F3" w14:textId="77777777" w:rsidR="00BE712C" w:rsidRPr="00BE712C" w:rsidRDefault="00BE712C" w:rsidP="009906F2">
      <w:pPr>
        <w:pStyle w:val="Bibliography"/>
        <w:spacing w:after="0"/>
        <w:ind w:left="0" w:firstLine="0"/>
        <w:jc w:val="left"/>
      </w:pPr>
      <w:r w:rsidRPr="00BE712C">
        <w:lastRenderedPageBreak/>
        <w:t>278.</w:t>
      </w:r>
      <w:r w:rsidRPr="00BE712C">
        <w:tab/>
        <w:t xml:space="preserve">Nour V, Trandafir I, Muntean C. Ultraviolet Irradiation of Trans-Resveratrol and HPLC Determination of Trans-Resveratrol and Cis-Resveratrol in Romanian Red Wines. </w:t>
      </w:r>
      <w:r w:rsidRPr="00BE712C">
        <w:rPr>
          <w:i/>
          <w:iCs/>
        </w:rPr>
        <w:t>Journal of Chromatographic Science</w:t>
      </w:r>
      <w:r w:rsidRPr="00BE712C">
        <w:t>. 2012;50(10):920-927. doi:10.1093/chromsci/bms091</w:t>
      </w:r>
    </w:p>
    <w:p w14:paraId="2D142928" w14:textId="77777777" w:rsidR="00BE712C" w:rsidRPr="00BE712C" w:rsidRDefault="00BE712C" w:rsidP="009906F2">
      <w:pPr>
        <w:pStyle w:val="Bibliography"/>
        <w:spacing w:after="0"/>
        <w:ind w:left="0" w:firstLine="0"/>
        <w:jc w:val="left"/>
      </w:pPr>
      <w:r w:rsidRPr="00BE712C">
        <w:t>279.</w:t>
      </w:r>
      <w:r w:rsidRPr="00BE712C">
        <w:tab/>
        <w:t xml:space="preserve">Kapetanovic IM, Muzzio M, Huang Z, Thompson TN, McCormick DL. Pharmacokinetics, oral bioavailability, and metabolic profile of resveratrol and its dimethylether analog, pterostilbene, in rats. </w:t>
      </w:r>
      <w:r w:rsidRPr="00BE712C">
        <w:rPr>
          <w:i/>
          <w:iCs/>
        </w:rPr>
        <w:t>Cancer Chemother Pharmacol</w:t>
      </w:r>
      <w:r w:rsidRPr="00BE712C">
        <w:t>. 2011;68(3):593-601. doi:10.1007/s00280-010-1525-4</w:t>
      </w:r>
    </w:p>
    <w:p w14:paraId="797BA610" w14:textId="77777777" w:rsidR="00BE712C" w:rsidRPr="00BE712C" w:rsidRDefault="00BE712C" w:rsidP="009906F2">
      <w:pPr>
        <w:pStyle w:val="Bibliography"/>
        <w:spacing w:after="0"/>
        <w:ind w:left="0" w:firstLine="0"/>
        <w:jc w:val="left"/>
      </w:pPr>
      <w:r w:rsidRPr="00BE712C">
        <w:t>280.</w:t>
      </w:r>
      <w:r w:rsidRPr="00BE712C">
        <w:tab/>
        <w:t xml:space="preserve">Walle T. Bioavailability of resveratrol. </w:t>
      </w:r>
      <w:r w:rsidRPr="00BE712C">
        <w:rPr>
          <w:i/>
          <w:iCs/>
        </w:rPr>
        <w:t>Annals of the New York Academy of Sciences</w:t>
      </w:r>
      <w:r w:rsidRPr="00BE712C">
        <w:t>. 2011;1215(1):9-15. doi:10.1111/j.1749-6632.2010.05842.x</w:t>
      </w:r>
    </w:p>
    <w:p w14:paraId="179EBF68" w14:textId="77777777" w:rsidR="00BE712C" w:rsidRPr="00BE712C" w:rsidRDefault="00BE712C" w:rsidP="009906F2">
      <w:pPr>
        <w:pStyle w:val="Bibliography"/>
        <w:spacing w:after="0"/>
        <w:ind w:left="0" w:firstLine="0"/>
        <w:jc w:val="left"/>
      </w:pPr>
      <w:r w:rsidRPr="00BE712C">
        <w:t>281.</w:t>
      </w:r>
      <w:r w:rsidRPr="00BE712C">
        <w:tab/>
        <w:t xml:space="preserve">Fan P, Marston A, Hay AE, Hostettmann K. Rapid separation of three glucosylated resveratrol analogues from the invasive plant Polygonum cuspidatum by high-speed countercurrent chromatography. </w:t>
      </w:r>
      <w:r w:rsidRPr="00BE712C">
        <w:rPr>
          <w:i/>
          <w:iCs/>
        </w:rPr>
        <w:t>Journal of Separation Science</w:t>
      </w:r>
      <w:r w:rsidRPr="00BE712C">
        <w:t>. 2009;32(17):2979-2984. doi:10.1002/jssc.200900057</w:t>
      </w:r>
    </w:p>
    <w:p w14:paraId="4021BB8B" w14:textId="77777777" w:rsidR="00BE712C" w:rsidRPr="00BE712C" w:rsidRDefault="00BE712C" w:rsidP="009906F2">
      <w:pPr>
        <w:pStyle w:val="Bibliography"/>
        <w:spacing w:after="0"/>
        <w:ind w:left="0" w:firstLine="0"/>
        <w:jc w:val="left"/>
      </w:pPr>
      <w:r w:rsidRPr="00BE712C">
        <w:t>282.</w:t>
      </w:r>
      <w:r w:rsidRPr="00BE712C">
        <w:tab/>
        <w:t xml:space="preserve">Tingting Yang TY, Li Wang LW, Meixiao Zhu MZ, Lirong Zhang LZ, Lianhe Yan LY. Properties and molecular mechanisms of resveratrol: a review. </w:t>
      </w:r>
      <w:r w:rsidRPr="00BE712C">
        <w:rPr>
          <w:i/>
          <w:iCs/>
        </w:rPr>
        <w:t>Pharmazie</w:t>
      </w:r>
      <w:r w:rsidRPr="00BE712C">
        <w:t>. 2015;(8):501-506. doi:10.1691/ph.2015.5571</w:t>
      </w:r>
    </w:p>
    <w:p w14:paraId="69249744" w14:textId="77777777" w:rsidR="00BE712C" w:rsidRPr="00BE712C" w:rsidRDefault="00BE712C" w:rsidP="009906F2">
      <w:pPr>
        <w:pStyle w:val="Bibliography"/>
        <w:spacing w:after="0"/>
        <w:ind w:left="0" w:firstLine="0"/>
        <w:jc w:val="left"/>
      </w:pPr>
      <w:r w:rsidRPr="00BE712C">
        <w:t>283.</w:t>
      </w:r>
      <w:r w:rsidRPr="00BE712C">
        <w:tab/>
        <w:t xml:space="preserve">Gokce EH, Korkmaz E, Dellera E, Sandri G, Bonferoni MC, Ozer O. Resveratrol-loaded solid lipid nanoparticles versus nanostructured lipid carriers: evaluation of antioxidant potential for dermal applications. </w:t>
      </w:r>
      <w:r w:rsidRPr="00BE712C">
        <w:rPr>
          <w:i/>
          <w:iCs/>
        </w:rPr>
        <w:t>Int J Nanomedicine</w:t>
      </w:r>
      <w:r w:rsidRPr="00BE712C">
        <w:t>. 2012;7:1841-1850. doi:10.2147/IJN.S29710</w:t>
      </w:r>
    </w:p>
    <w:p w14:paraId="3BCBE864" w14:textId="77777777" w:rsidR="00BE712C" w:rsidRPr="00BE712C" w:rsidRDefault="00BE712C" w:rsidP="009906F2">
      <w:pPr>
        <w:pStyle w:val="Bibliography"/>
        <w:spacing w:after="0"/>
        <w:ind w:left="0" w:firstLine="0"/>
        <w:jc w:val="left"/>
      </w:pPr>
      <w:r w:rsidRPr="00BE712C">
        <w:t>284.</w:t>
      </w:r>
      <w:r w:rsidRPr="00BE712C">
        <w:tab/>
        <w:t xml:space="preserve">Shen J, Zhou Q, Li P, et al. Update on Phytochemistry and Pharmacology of Naturally Occurring Resveratrol Oligomers. </w:t>
      </w:r>
      <w:r w:rsidRPr="00BE712C">
        <w:rPr>
          <w:i/>
          <w:iCs/>
        </w:rPr>
        <w:t>Molecules</w:t>
      </w:r>
      <w:r w:rsidRPr="00BE712C">
        <w:t>. 2017;22(12):2050. doi:10.3390/molecules22122050</w:t>
      </w:r>
    </w:p>
    <w:p w14:paraId="189F1242" w14:textId="77777777" w:rsidR="00BE712C" w:rsidRPr="00BE712C" w:rsidRDefault="00BE712C" w:rsidP="009906F2">
      <w:pPr>
        <w:pStyle w:val="Bibliography"/>
        <w:spacing w:after="0"/>
        <w:ind w:left="0" w:firstLine="0"/>
        <w:jc w:val="left"/>
      </w:pPr>
      <w:r w:rsidRPr="00BE712C">
        <w:lastRenderedPageBreak/>
        <w:t>285.</w:t>
      </w:r>
      <w:r w:rsidRPr="00BE712C">
        <w:tab/>
        <w:t xml:space="preserve">Duarte A, Martinho A, Luís Â, et al. Resveratrol encapsulation with methyl-β-cyclodextrin for antibacterial and antioxidant delivery applications. </w:t>
      </w:r>
      <w:r w:rsidRPr="00BE712C">
        <w:rPr>
          <w:i/>
          <w:iCs/>
        </w:rPr>
        <w:t>LWT - Food Science and Technology</w:t>
      </w:r>
      <w:r w:rsidRPr="00BE712C">
        <w:t>. 2015;63(2):1254-1260. doi:10.1016/j.lwt.2015.04.004</w:t>
      </w:r>
    </w:p>
    <w:p w14:paraId="298C1DDC" w14:textId="77777777" w:rsidR="00BE712C" w:rsidRPr="00BE712C" w:rsidRDefault="00BE712C" w:rsidP="009906F2">
      <w:pPr>
        <w:pStyle w:val="Bibliography"/>
        <w:spacing w:after="0"/>
        <w:ind w:left="0" w:firstLine="0"/>
        <w:jc w:val="left"/>
      </w:pPr>
      <w:r w:rsidRPr="00BE712C">
        <w:t>286.</w:t>
      </w:r>
      <w:r w:rsidRPr="00BE712C">
        <w:tab/>
        <w:t xml:space="preserve">Dal Canto E, Ceriello A, Rydén L, et al. Diabetes as a cardiovascular risk factor: An overview of global trends of macro and micro vascular complications. </w:t>
      </w:r>
      <w:r w:rsidRPr="00BE712C">
        <w:rPr>
          <w:i/>
          <w:iCs/>
        </w:rPr>
        <w:t>European Journal of Preventive Cardiology</w:t>
      </w:r>
      <w:r w:rsidRPr="00BE712C">
        <w:t>. 2019;26(2_suppl):25-32. doi:10.1177/2047487319878371</w:t>
      </w:r>
    </w:p>
    <w:p w14:paraId="7F623704" w14:textId="77777777" w:rsidR="00BE712C" w:rsidRPr="00BE712C" w:rsidRDefault="00BE712C" w:rsidP="009906F2">
      <w:pPr>
        <w:pStyle w:val="Bibliography"/>
        <w:spacing w:after="0"/>
        <w:ind w:left="0" w:firstLine="0"/>
        <w:jc w:val="left"/>
      </w:pPr>
      <w:r w:rsidRPr="00BE712C">
        <w:t>287.</w:t>
      </w:r>
      <w:r w:rsidRPr="00BE712C">
        <w:tab/>
        <w:t xml:space="preserve">Salehi B, Mishra AP, Nigam M, et al. Resveratrol: A Double-Edged Sword in Health Benefits. </w:t>
      </w:r>
      <w:r w:rsidRPr="00BE712C">
        <w:rPr>
          <w:i/>
          <w:iCs/>
        </w:rPr>
        <w:t>Biomedicines</w:t>
      </w:r>
      <w:r w:rsidRPr="00BE712C">
        <w:t>. 2018;6(3):91. doi:10.3390/biomedicines6030091</w:t>
      </w:r>
    </w:p>
    <w:p w14:paraId="75E59A32" w14:textId="77777777" w:rsidR="00BE712C" w:rsidRPr="00BE712C" w:rsidRDefault="00BE712C" w:rsidP="009906F2">
      <w:pPr>
        <w:pStyle w:val="Bibliography"/>
        <w:spacing w:after="0"/>
        <w:ind w:left="0" w:firstLine="0"/>
        <w:jc w:val="left"/>
      </w:pPr>
      <w:r w:rsidRPr="00BE712C">
        <w:t>288.</w:t>
      </w:r>
      <w:r w:rsidRPr="00BE712C">
        <w:tab/>
        <w:t xml:space="preserve">Delucchi F, Berni R, Frati C, et al. Resveratrol Treatment Reduces Cardiac Progenitor Cell Dysfunction and Prevents Morpho-Functional Ventricular Remodeling in Type-1 Diabetic Rats. </w:t>
      </w:r>
      <w:r w:rsidRPr="00BE712C">
        <w:rPr>
          <w:i/>
          <w:iCs/>
        </w:rPr>
        <w:t>PLOS ONE</w:t>
      </w:r>
      <w:r w:rsidRPr="00BE712C">
        <w:t>. 2012;7(6):e39836. doi:10.1371/journal.pone.0039836</w:t>
      </w:r>
    </w:p>
    <w:p w14:paraId="04597936" w14:textId="77777777" w:rsidR="00BE712C" w:rsidRPr="00BE712C" w:rsidRDefault="00BE712C" w:rsidP="009906F2">
      <w:pPr>
        <w:pStyle w:val="Bibliography"/>
        <w:spacing w:after="0"/>
        <w:ind w:left="0" w:firstLine="0"/>
        <w:jc w:val="left"/>
      </w:pPr>
      <w:r w:rsidRPr="00BE712C">
        <w:t>289.</w:t>
      </w:r>
      <w:r w:rsidRPr="00BE712C">
        <w:tab/>
        <w:t xml:space="preserve">Yan F, Sun X, Xu C. Protective effects of resveratrol improve cardiovascular function in rats with diabetes. </w:t>
      </w:r>
      <w:r w:rsidRPr="00BE712C">
        <w:rPr>
          <w:i/>
          <w:iCs/>
        </w:rPr>
        <w:t>Exp Ther Med</w:t>
      </w:r>
      <w:r w:rsidRPr="00BE712C">
        <w:t>. 2018;15(2):1728-1734. doi:10.3892/etm.2017.5537</w:t>
      </w:r>
    </w:p>
    <w:p w14:paraId="778BC8A2" w14:textId="77777777" w:rsidR="00BE712C" w:rsidRPr="00BE712C" w:rsidRDefault="00BE712C" w:rsidP="009906F2">
      <w:pPr>
        <w:pStyle w:val="Bibliography"/>
        <w:spacing w:after="0"/>
        <w:ind w:left="0" w:firstLine="0"/>
        <w:jc w:val="left"/>
      </w:pPr>
      <w:r w:rsidRPr="00BE712C">
        <w:t>290.</w:t>
      </w:r>
      <w:r w:rsidRPr="00BE712C">
        <w:tab/>
        <w:t xml:space="preserve">Riba A, Deres L, Sumegi B, Toth K, Szabados E, Halmosi R. Cardioprotective Effect of Resveratrol in a Postinfarction Heart Failure Model. </w:t>
      </w:r>
      <w:r w:rsidRPr="00BE712C">
        <w:rPr>
          <w:i/>
          <w:iCs/>
        </w:rPr>
        <w:t>Oxidative Medicine and Cellular Longevity</w:t>
      </w:r>
      <w:r w:rsidRPr="00BE712C">
        <w:t>. 2017;2017(1):6819281. doi:10.1155/2017/6819281</w:t>
      </w:r>
    </w:p>
    <w:p w14:paraId="489CDBA6" w14:textId="77777777" w:rsidR="00BE712C" w:rsidRPr="00BE712C" w:rsidRDefault="00BE712C" w:rsidP="009906F2">
      <w:pPr>
        <w:pStyle w:val="Bibliography"/>
        <w:spacing w:after="0"/>
        <w:ind w:left="0" w:firstLine="0"/>
        <w:jc w:val="left"/>
      </w:pPr>
      <w:r w:rsidRPr="00BE712C">
        <w:t>291.</w:t>
      </w:r>
      <w:r w:rsidRPr="00BE712C">
        <w:tab/>
        <w:t xml:space="preserve">Öztürk E, Arslan AKK, Yerer MB, Bishayee A. Resveratrol and diabetes: A critical review of clinical studies. </w:t>
      </w:r>
      <w:r w:rsidRPr="00BE712C">
        <w:rPr>
          <w:i/>
          <w:iCs/>
        </w:rPr>
        <w:t>Biomedicine &amp; Pharmacotherapy</w:t>
      </w:r>
      <w:r w:rsidRPr="00BE712C">
        <w:t>. 2017;95:230-234. doi:10.1016/j.biopha.2017.08.070</w:t>
      </w:r>
    </w:p>
    <w:p w14:paraId="44A33F41" w14:textId="77777777" w:rsidR="00BE712C" w:rsidRPr="00BE712C" w:rsidRDefault="00BE712C" w:rsidP="009906F2">
      <w:pPr>
        <w:pStyle w:val="Bibliography"/>
        <w:spacing w:after="0"/>
        <w:ind w:left="0" w:firstLine="0"/>
        <w:jc w:val="left"/>
      </w:pPr>
      <w:r w:rsidRPr="00BE712C">
        <w:t>292.</w:t>
      </w:r>
      <w:r w:rsidRPr="00BE712C">
        <w:tab/>
        <w:t xml:space="preserve">Bishayee A, Barnes KF, Bhatia D, Darvesh AS, Carroll RT. Resveratrol Suppresses Oxidative Stress and Inflammatory Response in Diethylnitrosamine-Initiated Rat </w:t>
      </w:r>
      <w:r w:rsidRPr="00BE712C">
        <w:lastRenderedPageBreak/>
        <w:t xml:space="preserve">Hepatocarcinogenesis. </w:t>
      </w:r>
      <w:r w:rsidRPr="00BE712C">
        <w:rPr>
          <w:i/>
          <w:iCs/>
        </w:rPr>
        <w:t>Cancer Prevention Research</w:t>
      </w:r>
      <w:r w:rsidRPr="00BE712C">
        <w:t>. 2010;3(6):753-763. doi:10.1158/1940-6207.CAPR-09-0171</w:t>
      </w:r>
    </w:p>
    <w:p w14:paraId="45BE732F" w14:textId="77777777" w:rsidR="00BE712C" w:rsidRPr="00BE712C" w:rsidRDefault="00BE712C" w:rsidP="009906F2">
      <w:pPr>
        <w:pStyle w:val="Bibliography"/>
        <w:spacing w:after="0"/>
        <w:ind w:left="0" w:firstLine="0"/>
        <w:jc w:val="left"/>
      </w:pPr>
      <w:r w:rsidRPr="00BE712C">
        <w:t>293.</w:t>
      </w:r>
      <w:r w:rsidRPr="00BE712C">
        <w:tab/>
        <w:t xml:space="preserve">Liu S, Ren J, Liu S, et al. Resveratrol inhibits autophagy against myocardial ischemia-reperfusion injury through the DJ-1/MEKK1/JNK pathway. </w:t>
      </w:r>
      <w:r w:rsidRPr="00BE712C">
        <w:rPr>
          <w:i/>
          <w:iCs/>
        </w:rPr>
        <w:t>European Journal of Pharmacology</w:t>
      </w:r>
      <w:r w:rsidRPr="00BE712C">
        <w:t>. 2023;951:175748. doi:10.1016/j.ejphar.2023.175748</w:t>
      </w:r>
    </w:p>
    <w:p w14:paraId="3655B25C" w14:textId="77777777" w:rsidR="00BE712C" w:rsidRPr="00BE712C" w:rsidRDefault="00BE712C" w:rsidP="009906F2">
      <w:pPr>
        <w:pStyle w:val="Bibliography"/>
        <w:spacing w:after="0"/>
        <w:ind w:left="0" w:firstLine="0"/>
        <w:jc w:val="left"/>
      </w:pPr>
      <w:r w:rsidRPr="00BE712C">
        <w:t>294.</w:t>
      </w:r>
      <w:r w:rsidRPr="00BE712C">
        <w:tab/>
        <w:t xml:space="preserve">Diao J, Wei J, Yan R, Fan G, Lin L, Chen M. Effects of resveratrol on regulation on UCP2 and cardiac function in diabetic rats. </w:t>
      </w:r>
      <w:r w:rsidRPr="00BE712C">
        <w:rPr>
          <w:i/>
          <w:iCs/>
        </w:rPr>
        <w:t>J Physiol Biochem</w:t>
      </w:r>
      <w:r w:rsidRPr="00BE712C">
        <w:t>. 2019;75(1):39-51. doi:10.1007/s13105-018-0648-7</w:t>
      </w:r>
    </w:p>
    <w:p w14:paraId="10A83690" w14:textId="77777777" w:rsidR="00BE712C" w:rsidRPr="00BE712C" w:rsidRDefault="00BE712C" w:rsidP="009906F2">
      <w:pPr>
        <w:pStyle w:val="Bibliography"/>
        <w:spacing w:after="0"/>
        <w:ind w:left="0" w:firstLine="0"/>
        <w:jc w:val="left"/>
      </w:pPr>
      <w:r w:rsidRPr="00BE712C">
        <w:t>295.</w:t>
      </w:r>
      <w:r w:rsidRPr="00BE712C">
        <w:tab/>
        <w:t xml:space="preserve">Hashemzaei M, Barani AK, Iranshahi M, et al. Effects of resveratrol on carbon monoxide-induced cardiotoxicity in rats. </w:t>
      </w:r>
      <w:r w:rsidRPr="00BE712C">
        <w:rPr>
          <w:i/>
          <w:iCs/>
        </w:rPr>
        <w:t>Environmental Toxicology and Pharmacology</w:t>
      </w:r>
      <w:r w:rsidRPr="00BE712C">
        <w:t>. 2016;46:110-115. doi:10.1016/j.etap.2016.07.010</w:t>
      </w:r>
    </w:p>
    <w:p w14:paraId="2041DC33" w14:textId="77777777" w:rsidR="00BE712C" w:rsidRPr="00BE712C" w:rsidRDefault="00BE712C" w:rsidP="009906F2">
      <w:pPr>
        <w:pStyle w:val="Bibliography"/>
        <w:spacing w:after="0"/>
        <w:ind w:left="0" w:firstLine="0"/>
        <w:jc w:val="left"/>
      </w:pPr>
      <w:r w:rsidRPr="00BE712C">
        <w:t>296.</w:t>
      </w:r>
      <w:r w:rsidRPr="00BE712C">
        <w:tab/>
        <w:t xml:space="preserve">Xia N, Daiber A, Förstermann U, Li H. Antioxidant effects of resveratrol in the cardiovascular system. </w:t>
      </w:r>
      <w:r w:rsidRPr="00BE712C">
        <w:rPr>
          <w:i/>
          <w:iCs/>
        </w:rPr>
        <w:t>Br J Pharmacol</w:t>
      </w:r>
      <w:r w:rsidRPr="00BE712C">
        <w:t>. 2017;174(12):1633-1646. doi:10.1111/bph.13492</w:t>
      </w:r>
    </w:p>
    <w:p w14:paraId="19A9589C" w14:textId="77777777" w:rsidR="00BE712C" w:rsidRPr="00BE712C" w:rsidRDefault="00BE712C" w:rsidP="009906F2">
      <w:pPr>
        <w:pStyle w:val="Bibliography"/>
        <w:spacing w:after="0"/>
        <w:ind w:left="0" w:firstLine="0"/>
        <w:jc w:val="left"/>
      </w:pPr>
      <w:r w:rsidRPr="00BE712C">
        <w:t>297.</w:t>
      </w:r>
      <w:r w:rsidRPr="00BE712C">
        <w:tab/>
        <w:t xml:space="preserve">Kurita S, Kashiwagi T, Ebisu T, Shimamura T, Ukeda H. Content of resveratrol and glycoside and its contribution to the antioxidative capacity of Polygonum cuspidatum (Itadori) harvested in Kochi. </w:t>
      </w:r>
      <w:r w:rsidRPr="00BE712C">
        <w:rPr>
          <w:i/>
          <w:iCs/>
        </w:rPr>
        <w:t>Bioscience, Biotechnology, and Biochemistry</w:t>
      </w:r>
      <w:r w:rsidRPr="00BE712C">
        <w:t>. 2014;78(3):499-502. doi:10.1080/09168451.2014.890032</w:t>
      </w:r>
    </w:p>
    <w:p w14:paraId="10B92879" w14:textId="77777777" w:rsidR="00BE712C" w:rsidRPr="00BE712C" w:rsidRDefault="00BE712C" w:rsidP="009906F2">
      <w:pPr>
        <w:pStyle w:val="Bibliography"/>
        <w:spacing w:after="0"/>
        <w:ind w:left="0" w:firstLine="0"/>
        <w:jc w:val="left"/>
      </w:pPr>
      <w:r w:rsidRPr="00BE712C">
        <w:t>298.</w:t>
      </w:r>
      <w:r w:rsidRPr="00BE712C">
        <w:tab/>
        <w:t xml:space="preserve">Zahedi HS, Jazayeri S, Ghiasvand R, Djalali M, Eshraghian MR. Effects of Polygonum Cuspidatum Containing Resveratrol on Inflammation in Male Professional Basketball Players. </w:t>
      </w:r>
      <w:r w:rsidRPr="00BE712C">
        <w:rPr>
          <w:i/>
          <w:iCs/>
        </w:rPr>
        <w:t>Int J Prev Med</w:t>
      </w:r>
      <w:r w:rsidRPr="00BE712C">
        <w:t>. 2013;4(Suppl 1):S1-S4.</w:t>
      </w:r>
    </w:p>
    <w:p w14:paraId="2A526E98" w14:textId="77777777" w:rsidR="00BE712C" w:rsidRPr="00BE712C" w:rsidRDefault="00BE712C" w:rsidP="009906F2">
      <w:pPr>
        <w:pStyle w:val="Bibliography"/>
        <w:spacing w:after="0"/>
        <w:ind w:left="0" w:firstLine="0"/>
        <w:jc w:val="left"/>
      </w:pPr>
      <w:r w:rsidRPr="00BE712C">
        <w:lastRenderedPageBreak/>
        <w:t>299.</w:t>
      </w:r>
      <w:r w:rsidRPr="00BE712C">
        <w:tab/>
        <w:t xml:space="preserve">Zhang H, Li C, Kwok ST, Zhang QW, Chan SW. A Review of the Pharmacological Effects of the Dried Root of Polygonum cuspidatum (Hu Zhang) and Its Constituents. </w:t>
      </w:r>
      <w:r w:rsidRPr="00BE712C">
        <w:rPr>
          <w:i/>
          <w:iCs/>
        </w:rPr>
        <w:t>Evid Based Complement Alternat Med</w:t>
      </w:r>
      <w:r w:rsidRPr="00BE712C">
        <w:t>. 2013;2013:208349. doi:10.1155/2013/208349</w:t>
      </w:r>
    </w:p>
    <w:p w14:paraId="37697F62" w14:textId="77777777" w:rsidR="00BE712C" w:rsidRPr="00BE712C" w:rsidRDefault="00BE712C" w:rsidP="009906F2">
      <w:pPr>
        <w:pStyle w:val="Bibliography"/>
        <w:spacing w:after="0"/>
        <w:ind w:left="0" w:firstLine="0"/>
        <w:jc w:val="left"/>
      </w:pPr>
      <w:r w:rsidRPr="00BE712C">
        <w:t>300.</w:t>
      </w:r>
      <w:r w:rsidRPr="00BE712C">
        <w:tab/>
        <w:t xml:space="preserve">Rauf A, Imran M, Suleria HAR, Ahmad B, Peters DG, Mubarak MS. A comprehensive review of the health perspectives of resveratrol. </w:t>
      </w:r>
      <w:r w:rsidRPr="00BE712C">
        <w:rPr>
          <w:i/>
          <w:iCs/>
        </w:rPr>
        <w:t>Food Funct</w:t>
      </w:r>
      <w:r w:rsidRPr="00BE712C">
        <w:t>. 2017;8(12):4284-4305. doi:10.1039/C7FO01300K</w:t>
      </w:r>
    </w:p>
    <w:p w14:paraId="654894FC" w14:textId="77777777" w:rsidR="00BE712C" w:rsidRPr="00BE712C" w:rsidRDefault="00BE712C" w:rsidP="009906F2">
      <w:pPr>
        <w:pStyle w:val="Bibliography"/>
        <w:spacing w:after="0"/>
        <w:ind w:left="0" w:firstLine="0"/>
        <w:jc w:val="left"/>
      </w:pPr>
      <w:r w:rsidRPr="00BE712C">
        <w:t>301.</w:t>
      </w:r>
      <w:r w:rsidRPr="00BE712C">
        <w:tab/>
        <w:t xml:space="preserve">Stivala LA, Savio M, Carafoli F, et al. Specific Structural Determinants Are Responsible for the Antioxidant Activity and the Cell Cycle Effects of Resveratrol *. </w:t>
      </w:r>
      <w:r w:rsidRPr="00BE712C">
        <w:rPr>
          <w:i/>
          <w:iCs/>
        </w:rPr>
        <w:t>Journal of Biological Chemistry</w:t>
      </w:r>
      <w:r w:rsidRPr="00BE712C">
        <w:t>. 2001;276(25):22586-22594. doi:10.1074/jbc.M101846200</w:t>
      </w:r>
    </w:p>
    <w:p w14:paraId="2C888534" w14:textId="77777777" w:rsidR="00BE712C" w:rsidRPr="00BE712C" w:rsidRDefault="00BE712C" w:rsidP="009906F2">
      <w:pPr>
        <w:pStyle w:val="Bibliography"/>
        <w:spacing w:after="0"/>
        <w:ind w:left="0" w:firstLine="0"/>
        <w:jc w:val="left"/>
      </w:pPr>
      <w:r w:rsidRPr="00BE712C">
        <w:t>302.</w:t>
      </w:r>
      <w:r w:rsidRPr="00BE712C">
        <w:tab/>
        <w:t xml:space="preserve">Szekeres T, Fritzer-Szekeres M, Saiko P, Jäger W. Resveratrol and Resveratrol Analogues—Structure—Activity Relationship. </w:t>
      </w:r>
      <w:r w:rsidRPr="00BE712C">
        <w:rPr>
          <w:i/>
          <w:iCs/>
        </w:rPr>
        <w:t>Pharm Res</w:t>
      </w:r>
      <w:r w:rsidRPr="00BE712C">
        <w:t>. 2010;27(6):1042-1048. doi:10.1007/s11095-010-0090-1</w:t>
      </w:r>
    </w:p>
    <w:p w14:paraId="0C6AE6D3" w14:textId="77777777" w:rsidR="00BE712C" w:rsidRPr="00BE712C" w:rsidRDefault="00BE712C" w:rsidP="009906F2">
      <w:pPr>
        <w:pStyle w:val="Bibliography"/>
        <w:spacing w:after="0"/>
        <w:ind w:left="0" w:firstLine="0"/>
        <w:jc w:val="left"/>
      </w:pPr>
      <w:r w:rsidRPr="00BE712C">
        <w:t>303.</w:t>
      </w:r>
      <w:r w:rsidRPr="00BE712C">
        <w:tab/>
        <w:t xml:space="preserve">Iuga C, Alvarez-Idaboy JR, Russo N. Antioxidant Activity of trans-Resveratrol toward Hydroxyl and Hydroperoxyl Radicals: A Quantum Chemical and Computational Kinetics Study. </w:t>
      </w:r>
      <w:r w:rsidRPr="00BE712C">
        <w:rPr>
          <w:i/>
          <w:iCs/>
        </w:rPr>
        <w:t>J Org Chem</w:t>
      </w:r>
      <w:r w:rsidRPr="00BE712C">
        <w:t>. 2012;77(8):3868-3877. doi:10.1021/jo3002134</w:t>
      </w:r>
    </w:p>
    <w:p w14:paraId="7C25D257" w14:textId="77777777" w:rsidR="00BE712C" w:rsidRPr="00BE712C" w:rsidRDefault="00BE712C" w:rsidP="009906F2">
      <w:pPr>
        <w:pStyle w:val="Bibliography"/>
        <w:spacing w:after="0"/>
        <w:ind w:left="0" w:firstLine="0"/>
        <w:jc w:val="left"/>
      </w:pPr>
      <w:r w:rsidRPr="00BE712C">
        <w:t>304.</w:t>
      </w:r>
      <w:r w:rsidRPr="00BE712C">
        <w:tab/>
        <w:t xml:space="preserve">Bhullar KS, Hubbard BP. Lifespan and healthspan extension by resveratrol. </w:t>
      </w:r>
      <w:r w:rsidRPr="00BE712C">
        <w:rPr>
          <w:i/>
          <w:iCs/>
        </w:rPr>
        <w:t>Biochimica et Biophysica Acta (BBA) - Molecular Basis of Disease</w:t>
      </w:r>
      <w:r w:rsidRPr="00BE712C">
        <w:t>. 2015;1852(6):1209-1218. doi:10.1016/j.bbadis.2015.01.012</w:t>
      </w:r>
    </w:p>
    <w:p w14:paraId="52033B75" w14:textId="77777777" w:rsidR="00BE712C" w:rsidRPr="00BE712C" w:rsidRDefault="00BE712C" w:rsidP="009906F2">
      <w:pPr>
        <w:pStyle w:val="Bibliography"/>
        <w:spacing w:after="0"/>
        <w:ind w:left="0" w:firstLine="0"/>
        <w:jc w:val="left"/>
      </w:pPr>
      <w:r w:rsidRPr="00BE712C">
        <w:t>305.</w:t>
      </w:r>
      <w:r w:rsidRPr="00BE712C">
        <w:tab/>
        <w:t xml:space="preserve">Gülçin İ. Antioxidant properties of resveratrol: A structure–activity insight. </w:t>
      </w:r>
      <w:r w:rsidRPr="00BE712C">
        <w:rPr>
          <w:i/>
          <w:iCs/>
        </w:rPr>
        <w:t>Innovative Food Science &amp; Emerging Technologies</w:t>
      </w:r>
      <w:r w:rsidRPr="00BE712C">
        <w:t>. 2010;11(1):210-218. doi:10.1016/j.ifset.2009.07.002</w:t>
      </w:r>
    </w:p>
    <w:p w14:paraId="610CC80D" w14:textId="77777777" w:rsidR="00BE712C" w:rsidRPr="00BE712C" w:rsidRDefault="00BE712C" w:rsidP="009906F2">
      <w:pPr>
        <w:pStyle w:val="Bibliography"/>
        <w:spacing w:after="0"/>
        <w:ind w:left="0" w:firstLine="0"/>
        <w:jc w:val="left"/>
      </w:pPr>
      <w:r w:rsidRPr="00BE712C">
        <w:lastRenderedPageBreak/>
        <w:t>306.</w:t>
      </w:r>
      <w:r w:rsidRPr="00BE712C">
        <w:tab/>
        <w:t xml:space="preserve">Means JC, Gerdes BC, Koulen P. Distinct Mechanisms Underlying Resveratrol-Mediated Protection from Types of Cellular Stress in C6 Glioma Cells. </w:t>
      </w:r>
      <w:r w:rsidRPr="00BE712C">
        <w:rPr>
          <w:i/>
          <w:iCs/>
        </w:rPr>
        <w:t>International Journal of Molecular Sciences</w:t>
      </w:r>
      <w:r w:rsidRPr="00BE712C">
        <w:t>. 2017;18(7):1521. doi:10.3390/ijms18071521</w:t>
      </w:r>
    </w:p>
    <w:p w14:paraId="42637EAD" w14:textId="77777777" w:rsidR="00BE712C" w:rsidRPr="00BE712C" w:rsidRDefault="00BE712C" w:rsidP="009906F2">
      <w:pPr>
        <w:pStyle w:val="Bibliography"/>
        <w:spacing w:after="0"/>
        <w:ind w:left="0" w:firstLine="0"/>
        <w:jc w:val="left"/>
      </w:pPr>
      <w:r w:rsidRPr="00BE712C">
        <w:t>307.</w:t>
      </w:r>
      <w:r w:rsidRPr="00BE712C">
        <w:tab/>
        <w:t xml:space="preserve">Konyalioglu S, Armagan G, Yalcin A, Atalayin C, Dagci T. Effects of resveratrol on hydrogen peroxide-induced oxidative stress in embryonic neural stem cells. </w:t>
      </w:r>
      <w:r w:rsidRPr="00BE712C">
        <w:rPr>
          <w:i/>
          <w:iCs/>
        </w:rPr>
        <w:t>Neural Regen Res</w:t>
      </w:r>
      <w:r w:rsidRPr="00BE712C">
        <w:t>. 2013;8(6):485-495. doi:10.3969/j.issn.1673-5374.2013.06.001</w:t>
      </w:r>
    </w:p>
    <w:p w14:paraId="7DFF9886" w14:textId="77777777" w:rsidR="00BE712C" w:rsidRPr="00BE712C" w:rsidRDefault="00BE712C" w:rsidP="009906F2">
      <w:pPr>
        <w:pStyle w:val="Bibliography"/>
        <w:spacing w:after="0"/>
        <w:ind w:left="0" w:firstLine="0"/>
        <w:jc w:val="left"/>
      </w:pPr>
      <w:r w:rsidRPr="00BE712C">
        <w:t>308.</w:t>
      </w:r>
      <w:r w:rsidRPr="00BE712C">
        <w:tab/>
        <w:t xml:space="preserve">Kishimoto Y, Kondo K, Momiyama Y. The Protective Role of Heme Oxygenase-1 in Atherosclerotic Diseases. </w:t>
      </w:r>
      <w:r w:rsidRPr="00BE712C">
        <w:rPr>
          <w:i/>
          <w:iCs/>
        </w:rPr>
        <w:t>Int J Mol Sci</w:t>
      </w:r>
      <w:r w:rsidRPr="00BE712C">
        <w:t>. 2019;20(15):3628. doi:10.3390/ijms20153628</w:t>
      </w:r>
    </w:p>
    <w:p w14:paraId="518B392D" w14:textId="77777777" w:rsidR="00BE712C" w:rsidRPr="00BE712C" w:rsidRDefault="00BE712C" w:rsidP="009906F2">
      <w:pPr>
        <w:pStyle w:val="Bibliography"/>
        <w:spacing w:after="0"/>
        <w:ind w:left="0" w:firstLine="0"/>
        <w:jc w:val="left"/>
      </w:pPr>
      <w:r w:rsidRPr="00BE712C">
        <w:t>309.</w:t>
      </w:r>
      <w:r w:rsidRPr="00BE712C">
        <w:tab/>
        <w:t xml:space="preserve">Fabris S, Momo F, Ravagnan G, Stevanato R. Antioxidant properties of resveratrol and piceid on lipid peroxidation in micelles and monolamellar liposomes. </w:t>
      </w:r>
      <w:r w:rsidRPr="00BE712C">
        <w:rPr>
          <w:i/>
          <w:iCs/>
        </w:rPr>
        <w:t>Biophysical Chemistry</w:t>
      </w:r>
      <w:r w:rsidRPr="00BE712C">
        <w:t>. 2008;135(1):76-83. doi:10.1016/j.bpc.2008.03.005</w:t>
      </w:r>
    </w:p>
    <w:p w14:paraId="651D4DC9" w14:textId="77777777" w:rsidR="00BE712C" w:rsidRPr="00BE712C" w:rsidRDefault="00BE712C" w:rsidP="009906F2">
      <w:pPr>
        <w:pStyle w:val="Bibliography"/>
        <w:spacing w:after="0"/>
        <w:ind w:left="0" w:firstLine="0"/>
        <w:jc w:val="left"/>
      </w:pPr>
      <w:r w:rsidRPr="00BE712C">
        <w:t>310.</w:t>
      </w:r>
      <w:r w:rsidRPr="00BE712C">
        <w:tab/>
        <w:t xml:space="preserve">Huang X, Sun J, Chen G, et al. Resveratrol Promotes Diabetic Wound Healing via SIRT1-FOXO1-c-Myc Signaling Pathway-Mediated Angiogenesis. </w:t>
      </w:r>
      <w:r w:rsidRPr="00BE712C">
        <w:rPr>
          <w:i/>
          <w:iCs/>
        </w:rPr>
        <w:t>Front Pharmacol</w:t>
      </w:r>
      <w:r w:rsidRPr="00BE712C">
        <w:t>. 2019;10. doi:10.3389/fphar.2019.00421</w:t>
      </w:r>
    </w:p>
    <w:p w14:paraId="303DFB13" w14:textId="77777777" w:rsidR="00BE712C" w:rsidRPr="00BE712C" w:rsidRDefault="00BE712C" w:rsidP="009906F2">
      <w:pPr>
        <w:pStyle w:val="Bibliography"/>
        <w:spacing w:after="0"/>
        <w:ind w:left="0" w:firstLine="0"/>
        <w:jc w:val="left"/>
      </w:pPr>
      <w:r w:rsidRPr="00BE712C">
        <w:t>311.</w:t>
      </w:r>
      <w:r w:rsidRPr="00BE712C">
        <w:tab/>
        <w:t xml:space="preserve">Terrone G, Balosso S, Pauletti A, Ravizza T, Vezzani A. Inflammation and reactive oxygen species as disease modifiers in epilepsy. </w:t>
      </w:r>
      <w:r w:rsidRPr="00BE712C">
        <w:rPr>
          <w:i/>
          <w:iCs/>
        </w:rPr>
        <w:t>Neuropharmacology</w:t>
      </w:r>
      <w:r w:rsidRPr="00BE712C">
        <w:t>. 2020;167:107742. doi:10.1016/j.neuropharm.2019.107742</w:t>
      </w:r>
    </w:p>
    <w:p w14:paraId="54D5E6B0" w14:textId="77777777" w:rsidR="00BE712C" w:rsidRPr="00BE712C" w:rsidRDefault="00BE712C" w:rsidP="009906F2">
      <w:pPr>
        <w:pStyle w:val="Bibliography"/>
        <w:spacing w:after="0"/>
        <w:ind w:left="0" w:firstLine="0"/>
        <w:jc w:val="left"/>
      </w:pPr>
      <w:r w:rsidRPr="00BE712C">
        <w:t>312.</w:t>
      </w:r>
      <w:r w:rsidRPr="00BE712C">
        <w:tab/>
        <w:t xml:space="preserve">Siddiqui MA, Asad M, Akhter J, et al. Resveratrol-Loaded Glutathione-Coated Collagen Nanoparticles Attenuate Acute Seizures by Inhibiting HMGB1 and TLR-4 in the Hippocampus of Mice. </w:t>
      </w:r>
      <w:r w:rsidRPr="00BE712C">
        <w:rPr>
          <w:i/>
          <w:iCs/>
        </w:rPr>
        <w:t>ACS Chem Neurosci</w:t>
      </w:r>
      <w:r w:rsidRPr="00BE712C">
        <w:t>. 2022;13(8):1342-1354. doi:10.1021/acschemneuro.2c00171</w:t>
      </w:r>
    </w:p>
    <w:p w14:paraId="2CFFBF29" w14:textId="77777777" w:rsidR="00BE712C" w:rsidRPr="00BE712C" w:rsidRDefault="00BE712C" w:rsidP="009906F2">
      <w:pPr>
        <w:pStyle w:val="Bibliography"/>
        <w:spacing w:after="0"/>
        <w:ind w:left="0" w:firstLine="0"/>
        <w:jc w:val="left"/>
      </w:pPr>
      <w:r w:rsidRPr="00BE712C">
        <w:t>313.</w:t>
      </w:r>
      <w:r w:rsidRPr="00BE712C">
        <w:tab/>
        <w:t xml:space="preserve">Jiao P, Wang XP, Luoreng ZM, et al. miR-223: An Effective Regulator of Immune Cell Differentiation and Inflammation. </w:t>
      </w:r>
      <w:r w:rsidRPr="00BE712C">
        <w:rPr>
          <w:i/>
          <w:iCs/>
        </w:rPr>
        <w:t>Int J Biol Sci</w:t>
      </w:r>
      <w:r w:rsidRPr="00BE712C">
        <w:t>. 2021;17(9):2308-2322. doi:10.7150/ijbs.59876</w:t>
      </w:r>
    </w:p>
    <w:p w14:paraId="6A555DD6" w14:textId="77777777" w:rsidR="00BE712C" w:rsidRPr="00BE712C" w:rsidRDefault="00BE712C" w:rsidP="009906F2">
      <w:pPr>
        <w:pStyle w:val="Bibliography"/>
        <w:spacing w:after="0"/>
        <w:ind w:left="0" w:firstLine="0"/>
        <w:jc w:val="left"/>
      </w:pPr>
      <w:r w:rsidRPr="00BE712C">
        <w:lastRenderedPageBreak/>
        <w:t>314.</w:t>
      </w:r>
      <w:r w:rsidRPr="00BE712C">
        <w:tab/>
        <w:t xml:space="preserve">Cho K, Lee HG, Piao JY, Kim SJ, Na HK, Surh YJ. Protective Effects of Silibinin on Helicobacter pylori-induced Gastritis: NF-κB and STAT3 as Potential Targets. </w:t>
      </w:r>
      <w:r w:rsidRPr="00BE712C">
        <w:rPr>
          <w:i/>
          <w:iCs/>
        </w:rPr>
        <w:t>Journal of Cancer Prevention</w:t>
      </w:r>
      <w:r w:rsidRPr="00BE712C">
        <w:t>. 2021;26(2):118-127. doi:10.15430/JCP.2021.26.2.118</w:t>
      </w:r>
    </w:p>
    <w:p w14:paraId="67FDC1B1" w14:textId="77777777" w:rsidR="00BE712C" w:rsidRPr="00BE712C" w:rsidRDefault="00BE712C" w:rsidP="009906F2">
      <w:pPr>
        <w:pStyle w:val="Bibliography"/>
        <w:spacing w:after="0"/>
        <w:ind w:left="0" w:firstLine="0"/>
        <w:jc w:val="left"/>
      </w:pPr>
      <w:r w:rsidRPr="00BE712C">
        <w:t>315.</w:t>
      </w:r>
      <w:r w:rsidRPr="00BE712C">
        <w:tab/>
        <w:t xml:space="preserve">Zhang X, Jiang A, Qi B, et al. Resveratrol Protects against Helicobacter pylori-Associated Gastritis by Combating Oxidative Stress. </w:t>
      </w:r>
      <w:r w:rsidRPr="00BE712C">
        <w:rPr>
          <w:i/>
          <w:iCs/>
        </w:rPr>
        <w:t>International Journal of Molecular Sciences</w:t>
      </w:r>
      <w:r w:rsidRPr="00BE712C">
        <w:t>. 2015;16(11):27757-27769. doi:10.3390/ijms161126061</w:t>
      </w:r>
    </w:p>
    <w:p w14:paraId="0CFC932C" w14:textId="77777777" w:rsidR="00BE712C" w:rsidRPr="00BE712C" w:rsidRDefault="00BE712C" w:rsidP="009906F2">
      <w:pPr>
        <w:pStyle w:val="Bibliography"/>
        <w:spacing w:after="0"/>
        <w:ind w:left="0" w:firstLine="0"/>
        <w:jc w:val="left"/>
      </w:pPr>
      <w:r w:rsidRPr="00BE712C">
        <w:t>316.</w:t>
      </w:r>
      <w:r w:rsidRPr="00BE712C">
        <w:tab/>
        <w:t xml:space="preserve">Kumar S, Patel GK, Ghoshal UC. Helicobacter pylori-Induced Inflammation: Possible Factors Modulating the Risk of Gastric Cancer. </w:t>
      </w:r>
      <w:r w:rsidRPr="00BE712C">
        <w:rPr>
          <w:i/>
          <w:iCs/>
        </w:rPr>
        <w:t>Pathogens</w:t>
      </w:r>
      <w:r w:rsidRPr="00BE712C">
        <w:t>. 2021;10(9):1099. doi:10.3390/pathogens10091099</w:t>
      </w:r>
    </w:p>
    <w:p w14:paraId="50A6B9BA" w14:textId="77777777" w:rsidR="00BE712C" w:rsidRPr="00BE712C" w:rsidRDefault="00BE712C" w:rsidP="009906F2">
      <w:pPr>
        <w:pStyle w:val="Bibliography"/>
        <w:spacing w:after="0"/>
        <w:ind w:left="0" w:firstLine="0"/>
        <w:jc w:val="left"/>
      </w:pPr>
      <w:r w:rsidRPr="00BE712C">
        <w:t>317.</w:t>
      </w:r>
      <w:r w:rsidRPr="00BE712C">
        <w:tab/>
        <w:t xml:space="preserve">Szkudelska K, Okulicz M, Hertig I, Szkudelski T. Resveratrol ameliorates inflammatory and oxidative stress in type 2 diabetic Goto-Kakizaki rats. </w:t>
      </w:r>
      <w:r w:rsidRPr="00BE712C">
        <w:rPr>
          <w:i/>
          <w:iCs/>
        </w:rPr>
        <w:t>Biomedicine &amp; Pharmacotherapy</w:t>
      </w:r>
      <w:r w:rsidRPr="00BE712C">
        <w:t>. 2020;125:110026. doi:10.1016/j.biopha.2020.110026</w:t>
      </w:r>
    </w:p>
    <w:p w14:paraId="272FFDFF" w14:textId="77777777" w:rsidR="00BE712C" w:rsidRPr="00BE712C" w:rsidRDefault="00BE712C" w:rsidP="009906F2">
      <w:pPr>
        <w:pStyle w:val="Bibliography"/>
        <w:spacing w:after="0"/>
        <w:ind w:left="0" w:firstLine="0"/>
        <w:jc w:val="left"/>
      </w:pPr>
      <w:r w:rsidRPr="00BE712C">
        <w:t>318.</w:t>
      </w:r>
      <w:r w:rsidRPr="00BE712C">
        <w:tab/>
        <w:t xml:space="preserve">Fraiz GM, da Conceição AR, de Souza Vilela DL, Rocha DMUP, Bressan J, Hermsdorff HHM. Can resveratrol modulate sirtuins in obesity and related diseases? A systematic review of randomized controlled trials. </w:t>
      </w:r>
      <w:r w:rsidRPr="00BE712C">
        <w:rPr>
          <w:i/>
          <w:iCs/>
        </w:rPr>
        <w:t>Eur J Nutr</w:t>
      </w:r>
      <w:r w:rsidRPr="00BE712C">
        <w:t>. 2021;60(6):2961-2977. doi:10.1007/s00394-021-02623-y</w:t>
      </w:r>
    </w:p>
    <w:p w14:paraId="772FE8EA" w14:textId="77777777" w:rsidR="00BE712C" w:rsidRPr="00BE712C" w:rsidRDefault="00BE712C" w:rsidP="009906F2">
      <w:pPr>
        <w:pStyle w:val="Bibliography"/>
        <w:spacing w:after="0"/>
        <w:ind w:left="0" w:firstLine="0"/>
        <w:jc w:val="left"/>
      </w:pPr>
      <w:r w:rsidRPr="00BE712C">
        <w:t>319.</w:t>
      </w:r>
      <w:r w:rsidRPr="00BE712C">
        <w:tab/>
        <w:t xml:space="preserve">Meng T, Xiao D, Muhammed A, Deng J, Chen L, He J. Anti-Inflammatory Action and Mechanisms of Resveratrol. </w:t>
      </w:r>
      <w:r w:rsidRPr="00BE712C">
        <w:rPr>
          <w:i/>
          <w:iCs/>
        </w:rPr>
        <w:t>Molecules</w:t>
      </w:r>
      <w:r w:rsidRPr="00BE712C">
        <w:t>. 2021;26(1):229. doi:10.3390/molecules26010229</w:t>
      </w:r>
    </w:p>
    <w:p w14:paraId="04074B94" w14:textId="77777777" w:rsidR="00BE712C" w:rsidRPr="00BE712C" w:rsidRDefault="00BE712C" w:rsidP="009906F2">
      <w:pPr>
        <w:pStyle w:val="Bibliography"/>
        <w:spacing w:after="0"/>
        <w:ind w:left="0" w:firstLine="0"/>
        <w:jc w:val="left"/>
      </w:pPr>
      <w:r w:rsidRPr="00BE712C">
        <w:t>320.</w:t>
      </w:r>
      <w:r w:rsidRPr="00BE712C">
        <w:tab/>
        <w:t xml:space="preserve">Brockmueller A, Sameri S, Liskova A, et al. Resveratrol’s Anti-Cancer Effects through the Modulation of Tumor Glucose Metabolism. </w:t>
      </w:r>
      <w:r w:rsidRPr="00BE712C">
        <w:rPr>
          <w:i/>
          <w:iCs/>
        </w:rPr>
        <w:t>Cancers (Basel)</w:t>
      </w:r>
      <w:r w:rsidRPr="00BE712C">
        <w:t>. 2021;13(2):188. doi:10.3390/cancers13020188</w:t>
      </w:r>
    </w:p>
    <w:p w14:paraId="26EB15E7" w14:textId="77777777" w:rsidR="00BE712C" w:rsidRPr="00BE712C" w:rsidRDefault="00BE712C" w:rsidP="009906F2">
      <w:pPr>
        <w:pStyle w:val="Bibliography"/>
        <w:spacing w:after="0"/>
        <w:ind w:left="0" w:firstLine="0"/>
        <w:jc w:val="left"/>
      </w:pPr>
      <w:r w:rsidRPr="00BE712C">
        <w:lastRenderedPageBreak/>
        <w:t>321.</w:t>
      </w:r>
      <w:r w:rsidRPr="00BE712C">
        <w:tab/>
        <w:t xml:space="preserve">Li L, Qiu RL, Lin Y, et al. Resveratrol suppresses human cervical carcinoma cell proliferation and elevates apoptosis via the mitochondrial and p53 signaling pathways. </w:t>
      </w:r>
      <w:r w:rsidRPr="00BE712C">
        <w:rPr>
          <w:i/>
          <w:iCs/>
        </w:rPr>
        <w:t>Oncol Lett</w:t>
      </w:r>
      <w:r w:rsidRPr="00BE712C">
        <w:t>. 2018;15(6):9845-9851. doi:10.3892/ol.2018.8571</w:t>
      </w:r>
    </w:p>
    <w:p w14:paraId="23B40E0B" w14:textId="77777777" w:rsidR="00BE712C" w:rsidRPr="00BE712C" w:rsidRDefault="00BE712C" w:rsidP="009906F2">
      <w:pPr>
        <w:pStyle w:val="Bibliography"/>
        <w:spacing w:after="0"/>
        <w:ind w:left="0" w:firstLine="0"/>
        <w:jc w:val="left"/>
      </w:pPr>
      <w:r w:rsidRPr="00BE712C">
        <w:t>322.</w:t>
      </w:r>
      <w:r w:rsidRPr="00BE712C">
        <w:tab/>
        <w:t xml:space="preserve">Locatelli GA, Savio M, Forti L, et al. Inhibition of mammalian DNA polymerases by resveratrol: mechanism and structural determinants. </w:t>
      </w:r>
      <w:r w:rsidRPr="00BE712C">
        <w:rPr>
          <w:i/>
          <w:iCs/>
        </w:rPr>
        <w:t>Biochem J</w:t>
      </w:r>
      <w:r w:rsidRPr="00BE712C">
        <w:t>. 2005;389(Pt 2):259-268. doi:10.1042/BJ20050094</w:t>
      </w:r>
    </w:p>
    <w:p w14:paraId="4D8B8EA4" w14:textId="77777777" w:rsidR="00BE712C" w:rsidRPr="00BE712C" w:rsidRDefault="00BE712C" w:rsidP="009906F2">
      <w:pPr>
        <w:pStyle w:val="Bibliography"/>
        <w:spacing w:after="0"/>
        <w:ind w:left="0" w:firstLine="0"/>
        <w:jc w:val="left"/>
      </w:pPr>
      <w:r w:rsidRPr="00BE712C">
        <w:t>323.</w:t>
      </w:r>
      <w:r w:rsidRPr="00BE712C">
        <w:tab/>
        <w:t xml:space="preserve">Cheng L, Yan B, Chen K, et al. Resveratrol-Induced Downregulation of NAF-1 Enhances the Sensitivity of Pancreatic Cancer Cells to Gemcitabine via the ROS/Nrf2 Signaling Pathways. </w:t>
      </w:r>
      <w:r w:rsidRPr="00BE712C">
        <w:rPr>
          <w:i/>
          <w:iCs/>
        </w:rPr>
        <w:t>Oxid Med Cell Longev</w:t>
      </w:r>
      <w:r w:rsidRPr="00BE712C">
        <w:t>. 2018;2018:9482018. doi:10.1155/2018/9482018</w:t>
      </w:r>
    </w:p>
    <w:p w14:paraId="7DEC10D3" w14:textId="77777777" w:rsidR="00BE712C" w:rsidRPr="00BE712C" w:rsidRDefault="00BE712C" w:rsidP="009906F2">
      <w:pPr>
        <w:pStyle w:val="Bibliography"/>
        <w:spacing w:after="0"/>
        <w:ind w:left="0" w:firstLine="0"/>
        <w:jc w:val="left"/>
      </w:pPr>
      <w:r w:rsidRPr="00BE712C">
        <w:t>324.</w:t>
      </w:r>
      <w:r w:rsidRPr="00BE712C">
        <w:tab/>
        <w:t xml:space="preserve">De Sá Coutinho D, Pacheco MT, Frozza RL, Bernardi A. Anti-Inflammatory Effects of Resveratrol: Mechanistic Insights. </w:t>
      </w:r>
      <w:r w:rsidRPr="00BE712C">
        <w:rPr>
          <w:i/>
          <w:iCs/>
        </w:rPr>
        <w:t>International Journal of Molecular Sciences</w:t>
      </w:r>
      <w:r w:rsidRPr="00BE712C">
        <w:t>. 2018;19(6):1812. doi:10.3390/ijms19061812</w:t>
      </w:r>
    </w:p>
    <w:p w14:paraId="644E7A64" w14:textId="77777777" w:rsidR="00BE712C" w:rsidRPr="00BE712C" w:rsidRDefault="00BE712C" w:rsidP="009906F2">
      <w:pPr>
        <w:pStyle w:val="Bibliography"/>
        <w:spacing w:after="0"/>
        <w:ind w:left="0" w:firstLine="0"/>
        <w:jc w:val="left"/>
      </w:pPr>
      <w:r w:rsidRPr="00BE712C">
        <w:t>325.</w:t>
      </w:r>
      <w:r w:rsidRPr="00BE712C">
        <w:tab/>
        <w:t xml:space="preserve">Roccaro AM, Leleu X, Sacco A, et al. Resveratrol Exerts Antiproliferative Activity and Induces Apoptosis in Waldenström’s Macroglobulinemia. </w:t>
      </w:r>
      <w:r w:rsidRPr="00BE712C">
        <w:rPr>
          <w:i/>
          <w:iCs/>
        </w:rPr>
        <w:t>Clinical Cancer Research</w:t>
      </w:r>
      <w:r w:rsidRPr="00BE712C">
        <w:t>. 2008;14(6):1849-1858. doi:10.1158/1078-0432.CCR-07-1750</w:t>
      </w:r>
    </w:p>
    <w:p w14:paraId="31BA4564" w14:textId="77777777" w:rsidR="00BE712C" w:rsidRPr="00BE712C" w:rsidRDefault="00BE712C" w:rsidP="009906F2">
      <w:pPr>
        <w:pStyle w:val="Bibliography"/>
        <w:spacing w:after="0"/>
        <w:ind w:left="0" w:firstLine="0"/>
        <w:jc w:val="left"/>
      </w:pPr>
      <w:r w:rsidRPr="00BE712C">
        <w:t>326.</w:t>
      </w:r>
      <w:r w:rsidRPr="00BE712C">
        <w:tab/>
        <w:t xml:space="preserve">Shukla Y, Singh R. Resveratrol and cellular mechanisms of cancer prevention. </w:t>
      </w:r>
      <w:r w:rsidRPr="00BE712C">
        <w:rPr>
          <w:i/>
          <w:iCs/>
        </w:rPr>
        <w:t>Annals of the New York Academy of Sciences</w:t>
      </w:r>
      <w:r w:rsidRPr="00BE712C">
        <w:t>. 2011;1215(1):1-8. doi:10.1111/j.1749-6632.2010.05870.x</w:t>
      </w:r>
    </w:p>
    <w:p w14:paraId="5204D8DB" w14:textId="77777777" w:rsidR="00BE712C" w:rsidRPr="00BE712C" w:rsidRDefault="00BE712C" w:rsidP="009906F2">
      <w:pPr>
        <w:pStyle w:val="Bibliography"/>
        <w:spacing w:after="0"/>
        <w:ind w:left="0" w:firstLine="0"/>
        <w:jc w:val="left"/>
      </w:pPr>
      <w:r w:rsidRPr="00BE712C">
        <w:t>327.</w:t>
      </w:r>
      <w:r w:rsidRPr="00BE712C">
        <w:tab/>
        <w:t xml:space="preserve">Ali D, Chen L, Kowal JM, et al. Resveratrol inhibits adipocyte differentiation and cellular senescence of human bone marrow stromal stem cells. </w:t>
      </w:r>
      <w:r w:rsidRPr="00BE712C">
        <w:rPr>
          <w:i/>
          <w:iCs/>
        </w:rPr>
        <w:t>Bone</w:t>
      </w:r>
      <w:r w:rsidRPr="00BE712C">
        <w:t>. 2020;133:115252. doi:10.1016/j.bone.2020.115252</w:t>
      </w:r>
    </w:p>
    <w:p w14:paraId="1F0026FF" w14:textId="77777777" w:rsidR="00BE712C" w:rsidRPr="00BE712C" w:rsidRDefault="00BE712C" w:rsidP="009906F2">
      <w:pPr>
        <w:pStyle w:val="Bibliography"/>
        <w:spacing w:after="0"/>
        <w:ind w:left="0" w:firstLine="0"/>
        <w:jc w:val="left"/>
      </w:pPr>
      <w:r w:rsidRPr="00BE712C">
        <w:lastRenderedPageBreak/>
        <w:t>328.</w:t>
      </w:r>
      <w:r w:rsidRPr="00BE712C">
        <w:tab/>
        <w:t xml:space="preserve">Shih MK, Hsieh SL, Huang YW, Patel AK, Dong C di, Hou CY. Resveratrol butyrate esters inhibit lipid biosynthesis in 3T3-L1 cells by AMP-activated protein kinase phosphorylation. </w:t>
      </w:r>
      <w:r w:rsidRPr="00BE712C">
        <w:rPr>
          <w:i/>
          <w:iCs/>
        </w:rPr>
        <w:t>J Food Sci Technol</w:t>
      </w:r>
      <w:r w:rsidRPr="00BE712C">
        <w:t>. 2023;60(3):1015-1025. doi:10.1007/s13197-022-05436-x</w:t>
      </w:r>
    </w:p>
    <w:p w14:paraId="63E4CB84" w14:textId="77777777" w:rsidR="00BE712C" w:rsidRPr="00BE712C" w:rsidRDefault="00BE712C" w:rsidP="009906F2">
      <w:pPr>
        <w:pStyle w:val="Bibliography"/>
        <w:spacing w:after="0"/>
        <w:ind w:left="0" w:firstLine="0"/>
        <w:jc w:val="left"/>
      </w:pPr>
      <w:r w:rsidRPr="00BE712C">
        <w:t>329.</w:t>
      </w:r>
      <w:r w:rsidRPr="00BE712C">
        <w:tab/>
        <w:t xml:space="preserve">Kim S, Jin Y, Choi Y, Park T. Resveratrol exerts anti-obesity effects via mechanisms involving down-regulation of adipogenic and inflammatory processes in mice. </w:t>
      </w:r>
      <w:r w:rsidRPr="00BE712C">
        <w:rPr>
          <w:i/>
          <w:iCs/>
        </w:rPr>
        <w:t>Biochemical Pharmacology</w:t>
      </w:r>
      <w:r w:rsidRPr="00BE712C">
        <w:t>. 2011;81(11):1343-1351. doi:10.1016/j.bcp.2011.03.012</w:t>
      </w:r>
    </w:p>
    <w:p w14:paraId="5B6080B6" w14:textId="77777777" w:rsidR="00BE712C" w:rsidRPr="00BE712C" w:rsidRDefault="00BE712C" w:rsidP="009906F2">
      <w:pPr>
        <w:pStyle w:val="Bibliography"/>
        <w:spacing w:after="0"/>
        <w:ind w:left="0" w:firstLine="0"/>
        <w:jc w:val="left"/>
      </w:pPr>
      <w:r w:rsidRPr="00BE712C">
        <w:t>330.</w:t>
      </w:r>
      <w:r w:rsidRPr="00BE712C">
        <w:tab/>
        <w:t xml:space="preserve">Batista-Jorge GC, Barcala-Jorge AS, Silveira MF, et al. Oral resveratrol supplementation improves Metabolic Syndrome features in obese patients submitted to a lifestyle-changing program. </w:t>
      </w:r>
      <w:r w:rsidRPr="00BE712C">
        <w:rPr>
          <w:i/>
          <w:iCs/>
        </w:rPr>
        <w:t>Life Sciences</w:t>
      </w:r>
      <w:r w:rsidRPr="00BE712C">
        <w:t>. 2020;256:117962. doi:10.1016/j.lfs.2020.117962</w:t>
      </w:r>
    </w:p>
    <w:p w14:paraId="2036A654" w14:textId="77777777" w:rsidR="00BE712C" w:rsidRPr="00BE712C" w:rsidRDefault="00BE712C" w:rsidP="009906F2">
      <w:pPr>
        <w:pStyle w:val="Bibliography"/>
        <w:spacing w:after="0"/>
        <w:ind w:left="0" w:firstLine="0"/>
        <w:jc w:val="left"/>
      </w:pPr>
      <w:r w:rsidRPr="00BE712C">
        <w:t>331.</w:t>
      </w:r>
      <w:r w:rsidRPr="00BE712C">
        <w:tab/>
        <w:t xml:space="preserve">Li S, Bouzar C, Cottet-Rousselle C, et al. Resveratrol inhibits lipogenesis of 3T3-L1 and SGBS cells by inhibition of insulin signaling and mitochondrial mass increase. </w:t>
      </w:r>
      <w:r w:rsidRPr="00BE712C">
        <w:rPr>
          <w:i/>
          <w:iCs/>
        </w:rPr>
        <w:t>Biochimica et Biophysica Acta (BBA) - Bioenergetics</w:t>
      </w:r>
      <w:r w:rsidRPr="00BE712C">
        <w:t>. 2016;1857(6):643-652. doi:10.1016/j.bbabio.2016.03.009</w:t>
      </w:r>
    </w:p>
    <w:p w14:paraId="6B97A0AE" w14:textId="77777777" w:rsidR="00BE712C" w:rsidRPr="00BE712C" w:rsidRDefault="00BE712C" w:rsidP="009906F2">
      <w:pPr>
        <w:pStyle w:val="Bibliography"/>
        <w:spacing w:after="0"/>
        <w:ind w:left="0" w:firstLine="0"/>
        <w:jc w:val="left"/>
      </w:pPr>
      <w:r w:rsidRPr="00BE712C">
        <w:t>332.</w:t>
      </w:r>
      <w:r w:rsidRPr="00BE712C">
        <w:tab/>
        <w:t xml:space="preserve">Wang S, Liang X, Yang Q, et al. Resveratrol induces brown-like adipocyte formation in white fat through activation of AMP-activated protein kinase (AMPK) α1. </w:t>
      </w:r>
      <w:r w:rsidRPr="00BE712C">
        <w:rPr>
          <w:i/>
          <w:iCs/>
        </w:rPr>
        <w:t>Int J Obes</w:t>
      </w:r>
      <w:r w:rsidRPr="00BE712C">
        <w:t>. 2015;39(6):967-976. doi:10.1038/ijo.2015.23</w:t>
      </w:r>
    </w:p>
    <w:p w14:paraId="32FC2DF2" w14:textId="77777777" w:rsidR="00BE712C" w:rsidRPr="00BE712C" w:rsidRDefault="00BE712C" w:rsidP="009906F2">
      <w:pPr>
        <w:pStyle w:val="Bibliography"/>
        <w:spacing w:after="0"/>
        <w:ind w:left="0" w:firstLine="0"/>
        <w:jc w:val="left"/>
      </w:pPr>
      <w:r w:rsidRPr="00BE712C">
        <w:t>333.</w:t>
      </w:r>
      <w:r w:rsidRPr="00BE712C">
        <w:tab/>
        <w:t xml:space="preserve">Alberdi G, Rodríguez VM, Miranda J, Macarulla MT, Churruca I, Portillo MP. Thermogenesis is involved in the body-fat lowering effects of resveratrol in rats. </w:t>
      </w:r>
      <w:r w:rsidRPr="00BE712C">
        <w:rPr>
          <w:i/>
          <w:iCs/>
        </w:rPr>
        <w:t>Food Chemistry</w:t>
      </w:r>
      <w:r w:rsidRPr="00BE712C">
        <w:t>. 2013;141(2):1530-1535. doi:10.1016/j.foodchem.2013.03.085</w:t>
      </w:r>
    </w:p>
    <w:p w14:paraId="0F7B64C6" w14:textId="77777777" w:rsidR="00BE712C" w:rsidRPr="00BE712C" w:rsidRDefault="00BE712C" w:rsidP="009906F2">
      <w:pPr>
        <w:pStyle w:val="Bibliography"/>
        <w:spacing w:after="0"/>
        <w:ind w:left="0" w:firstLine="0"/>
        <w:jc w:val="left"/>
      </w:pPr>
      <w:r w:rsidRPr="00BE712C">
        <w:t>334.</w:t>
      </w:r>
      <w:r w:rsidRPr="00BE712C">
        <w:tab/>
        <w:t xml:space="preserve">Liao W, Yin X, Li Q, et al. Resveratrol-Induced White Adipose Tissue Browning in Obese Mice by Remodeling Fecal Microbiota. </w:t>
      </w:r>
      <w:r w:rsidRPr="00BE712C">
        <w:rPr>
          <w:i/>
          <w:iCs/>
        </w:rPr>
        <w:t>Molecules</w:t>
      </w:r>
      <w:r w:rsidRPr="00BE712C">
        <w:t>. 2018;23(12):3356. doi:10.3390/molecules23123356</w:t>
      </w:r>
    </w:p>
    <w:p w14:paraId="0BD5BAD4" w14:textId="77777777" w:rsidR="00BE712C" w:rsidRPr="00BE712C" w:rsidRDefault="00BE712C" w:rsidP="009906F2">
      <w:pPr>
        <w:pStyle w:val="Bibliography"/>
        <w:spacing w:after="0"/>
        <w:ind w:left="0" w:firstLine="0"/>
        <w:jc w:val="left"/>
      </w:pPr>
      <w:r w:rsidRPr="00BE712C">
        <w:lastRenderedPageBreak/>
        <w:t>335.</w:t>
      </w:r>
      <w:r w:rsidRPr="00BE712C">
        <w:tab/>
        <w:t xml:space="preserve">Andrade JMO, Barcala-Jorge AS, Batista-Jorge GC, et al. Effect of resveratrol on expression of genes involved thermogenesis in mice and humans. </w:t>
      </w:r>
      <w:r w:rsidRPr="00BE712C">
        <w:rPr>
          <w:i/>
          <w:iCs/>
        </w:rPr>
        <w:t>Biomedicine &amp; Pharmacotherapy</w:t>
      </w:r>
      <w:r w:rsidRPr="00BE712C">
        <w:t>. 2019;112:108634. doi:10.1016/j.biopha.2019.108634</w:t>
      </w:r>
    </w:p>
    <w:p w14:paraId="216D01A7" w14:textId="77777777" w:rsidR="00BE712C" w:rsidRPr="00BE712C" w:rsidRDefault="00BE712C" w:rsidP="009906F2">
      <w:pPr>
        <w:pStyle w:val="Bibliography"/>
        <w:spacing w:after="0"/>
        <w:ind w:left="0" w:firstLine="0"/>
        <w:jc w:val="left"/>
      </w:pPr>
      <w:r w:rsidRPr="00BE712C">
        <w:t>336.</w:t>
      </w:r>
      <w:r w:rsidRPr="00BE712C">
        <w:tab/>
        <w:t xml:space="preserve">Lam CS, Xia YX, Chen BS, Du YX, Liu KL, Zhang HJ. Dihydro-Resveratrol Attenuates Oxidative Stress, Adipogenesis and Insulin Resistance in In Vitro Models and High-Fat Diet-Induced Mouse Model via AMPK Activation. </w:t>
      </w:r>
      <w:r w:rsidRPr="00BE712C">
        <w:rPr>
          <w:i/>
          <w:iCs/>
        </w:rPr>
        <w:t>Nutrients</w:t>
      </w:r>
      <w:r w:rsidRPr="00BE712C">
        <w:t>. 2023;15(13):3006. doi:10.3390/nu15133006</w:t>
      </w:r>
    </w:p>
    <w:p w14:paraId="6DE524B4" w14:textId="77777777" w:rsidR="00BE712C" w:rsidRPr="00BE712C" w:rsidRDefault="00BE712C" w:rsidP="009906F2">
      <w:pPr>
        <w:pStyle w:val="Bibliography"/>
        <w:spacing w:after="0"/>
        <w:ind w:left="0" w:firstLine="0"/>
        <w:jc w:val="left"/>
      </w:pPr>
      <w:r w:rsidRPr="00BE712C">
        <w:t>337.</w:t>
      </w:r>
      <w:r w:rsidRPr="00BE712C">
        <w:tab/>
        <w:t xml:space="preserve">Wang S, Liang X, Yang Q, et al. Resveratrol induces brown-like adipocyte formation in white fat through activation of AMP-activated protein kinase (AMPK) α1. </w:t>
      </w:r>
      <w:r w:rsidRPr="00BE712C">
        <w:rPr>
          <w:i/>
          <w:iCs/>
        </w:rPr>
        <w:t>Int J Obes</w:t>
      </w:r>
      <w:r w:rsidRPr="00BE712C">
        <w:t>. 2015;39(6):967-976. doi:10.1038/ijo.2015.23</w:t>
      </w:r>
    </w:p>
    <w:p w14:paraId="0ABE00B5" w14:textId="77777777" w:rsidR="00BE712C" w:rsidRPr="00BE712C" w:rsidRDefault="00BE712C" w:rsidP="009906F2">
      <w:pPr>
        <w:pStyle w:val="Bibliography"/>
        <w:spacing w:after="0"/>
        <w:ind w:left="0" w:firstLine="0"/>
        <w:jc w:val="left"/>
      </w:pPr>
      <w:r w:rsidRPr="00BE712C">
        <w:t>338.</w:t>
      </w:r>
      <w:r w:rsidRPr="00BE712C">
        <w:tab/>
        <w:t xml:space="preserve">Andrade JMO, Barcala-Jorge AS, Batista-Jorge GC, et al. Effect of resveratrol on expression of genes involved thermogenesis in mice and humans. </w:t>
      </w:r>
      <w:r w:rsidRPr="00BE712C">
        <w:rPr>
          <w:i/>
          <w:iCs/>
        </w:rPr>
        <w:t>Biomedicine &amp; Pharmacotherapy</w:t>
      </w:r>
      <w:r w:rsidRPr="00BE712C">
        <w:t>. 2019;112:108634. doi:10.1016/j.biopha.2019.108634</w:t>
      </w:r>
    </w:p>
    <w:p w14:paraId="362DE836" w14:textId="77777777" w:rsidR="00BE712C" w:rsidRPr="00BE712C" w:rsidRDefault="00BE712C" w:rsidP="009906F2">
      <w:pPr>
        <w:pStyle w:val="Bibliography"/>
        <w:spacing w:after="0"/>
        <w:ind w:left="0" w:firstLine="0"/>
        <w:jc w:val="left"/>
      </w:pPr>
      <w:r w:rsidRPr="00BE712C">
        <w:t>339.</w:t>
      </w:r>
      <w:r w:rsidRPr="00BE712C">
        <w:tab/>
        <w:t xml:space="preserve">Imamura H, Nagayama D, Ishihara N, et al. Resveratrol attenuates triglyceride accumulation associated with upregulation of Sirt1 and lipoprotein lipase in 3T3-L1 adipocytes. </w:t>
      </w:r>
      <w:r w:rsidRPr="00BE712C">
        <w:rPr>
          <w:i/>
          <w:iCs/>
        </w:rPr>
        <w:t>Mol Genet Metab Rep</w:t>
      </w:r>
      <w:r w:rsidRPr="00BE712C">
        <w:t>. 2017;12:44-50. doi:10.1016/j.ymgmr.2017.05.003</w:t>
      </w:r>
    </w:p>
    <w:p w14:paraId="1A322BE6" w14:textId="77777777" w:rsidR="00BE712C" w:rsidRPr="00BE712C" w:rsidRDefault="00BE712C" w:rsidP="009906F2">
      <w:pPr>
        <w:pStyle w:val="Bibliography"/>
        <w:spacing w:after="0"/>
        <w:ind w:left="0" w:firstLine="0"/>
        <w:jc w:val="left"/>
      </w:pPr>
      <w:r w:rsidRPr="00BE712C">
        <w:t>340.</w:t>
      </w:r>
      <w:r w:rsidRPr="00BE712C">
        <w:tab/>
        <w:t xml:space="preserve">Gimeno-Mallench L, Mas-Bargues C, Inglés M, et al. Resveratrol shifts energy metabolism to increase lipid oxidation in healthy old mice. </w:t>
      </w:r>
      <w:r w:rsidRPr="00BE712C">
        <w:rPr>
          <w:i/>
          <w:iCs/>
        </w:rPr>
        <w:t>Biomedicine &amp; Pharmacotherapy</w:t>
      </w:r>
      <w:r w:rsidRPr="00BE712C">
        <w:t>. 2019;118:109130. doi:10.1016/j.biopha.2019.109130</w:t>
      </w:r>
    </w:p>
    <w:p w14:paraId="11CAC696" w14:textId="77777777" w:rsidR="00BE712C" w:rsidRPr="00BE712C" w:rsidRDefault="00BE712C" w:rsidP="009906F2">
      <w:pPr>
        <w:pStyle w:val="Bibliography"/>
        <w:spacing w:after="0"/>
        <w:ind w:left="0" w:firstLine="0"/>
        <w:jc w:val="left"/>
      </w:pPr>
      <w:r w:rsidRPr="00BE712C">
        <w:t>341.</w:t>
      </w:r>
      <w:r w:rsidRPr="00BE712C">
        <w:tab/>
        <w:t xml:space="preserve">Wang S, Liang X, Yang Q, et al. Resveratrol induces brown-like adipocyte formation in white fat through activation of AMP-activated protein kinase (AMPK) α1. </w:t>
      </w:r>
      <w:r w:rsidRPr="00BE712C">
        <w:rPr>
          <w:i/>
          <w:iCs/>
        </w:rPr>
        <w:t>Int J Obes</w:t>
      </w:r>
      <w:r w:rsidRPr="00BE712C">
        <w:t>. 2015;39(6):967-976. doi:10.1038/ijo.2015.23</w:t>
      </w:r>
    </w:p>
    <w:p w14:paraId="2B312C87" w14:textId="77777777" w:rsidR="00BE712C" w:rsidRPr="00BE712C" w:rsidRDefault="00BE712C" w:rsidP="009906F2">
      <w:pPr>
        <w:pStyle w:val="Bibliography"/>
        <w:spacing w:after="0"/>
        <w:ind w:left="0" w:firstLine="0"/>
        <w:jc w:val="left"/>
      </w:pPr>
      <w:r w:rsidRPr="00BE712C">
        <w:lastRenderedPageBreak/>
        <w:t>342.</w:t>
      </w:r>
      <w:r w:rsidRPr="00BE712C">
        <w:tab/>
        <w:t xml:space="preserve">Lam CS, Xia YX, Chen BS, Du YX, Liu KL, Zhang HJ. Dihydro-Resveratrol Attenuates Oxidative Stress, Adipogenesis and Insulin Resistance in In Vitro Models and High-Fat Diet-Induced Mouse Model via AMPK Activation. </w:t>
      </w:r>
      <w:r w:rsidRPr="00BE712C">
        <w:rPr>
          <w:i/>
          <w:iCs/>
        </w:rPr>
        <w:t>Nutrients</w:t>
      </w:r>
      <w:r w:rsidRPr="00BE712C">
        <w:t>. 2023;15(13):3006. doi:10.3390/nu15133006</w:t>
      </w:r>
    </w:p>
    <w:p w14:paraId="18860E30" w14:textId="77777777" w:rsidR="00BE712C" w:rsidRPr="00BE712C" w:rsidRDefault="00BE712C" w:rsidP="009906F2">
      <w:pPr>
        <w:pStyle w:val="Bibliography"/>
        <w:spacing w:after="0"/>
        <w:ind w:left="0" w:firstLine="0"/>
        <w:jc w:val="left"/>
      </w:pPr>
      <w:r w:rsidRPr="00BE712C">
        <w:t>343.</w:t>
      </w:r>
      <w:r w:rsidRPr="00BE712C">
        <w:tab/>
        <w:t xml:space="preserve">Zou T, Chen D, Yang Q, et al. Resveratrol supplementation of high‐fat diet‐fed pregnant mice promotes brown and beige adipocyte development and prevents obesity in male offspring. </w:t>
      </w:r>
      <w:r w:rsidRPr="00BE712C">
        <w:rPr>
          <w:i/>
          <w:iCs/>
        </w:rPr>
        <w:t>J Physiol</w:t>
      </w:r>
      <w:r w:rsidRPr="00BE712C">
        <w:t>. 2017;595(5):1547-1562. doi:10.1113/JP273478</w:t>
      </w:r>
    </w:p>
    <w:p w14:paraId="69DB046D" w14:textId="77777777" w:rsidR="00BE712C" w:rsidRPr="00BE712C" w:rsidRDefault="00BE712C" w:rsidP="009906F2">
      <w:pPr>
        <w:pStyle w:val="Bibliography"/>
        <w:spacing w:after="0"/>
        <w:ind w:left="0" w:firstLine="0"/>
        <w:jc w:val="left"/>
      </w:pPr>
      <w:r w:rsidRPr="00BE712C">
        <w:t>344.</w:t>
      </w:r>
      <w:r w:rsidRPr="00BE712C">
        <w:tab/>
        <w:t xml:space="preserve">Andrade JMO, Barcala-Jorge AS, Batista-Jorge GC, et al. Effect of resveratrol on expression of genes involved thermogenesis in mice and humans. </w:t>
      </w:r>
      <w:r w:rsidRPr="00BE712C">
        <w:rPr>
          <w:i/>
          <w:iCs/>
        </w:rPr>
        <w:t>Biomedicine &amp; Pharmacotherapy</w:t>
      </w:r>
      <w:r w:rsidRPr="00BE712C">
        <w:t>. 2019;112:108634. doi:10.1016/j.biopha.2019.108634</w:t>
      </w:r>
    </w:p>
    <w:p w14:paraId="1245C442" w14:textId="77777777" w:rsidR="00BE712C" w:rsidRPr="00BE712C" w:rsidRDefault="00BE712C" w:rsidP="009906F2">
      <w:pPr>
        <w:pStyle w:val="Bibliography"/>
        <w:spacing w:after="0"/>
        <w:ind w:left="0" w:firstLine="0"/>
        <w:jc w:val="left"/>
      </w:pPr>
      <w:r w:rsidRPr="00BE712C">
        <w:t>345.</w:t>
      </w:r>
      <w:r w:rsidRPr="00BE712C">
        <w:tab/>
        <w:t xml:space="preserve">Manna P, Jain SK. Obesity, Oxidative Stress, Adipose Tissue Dysfunction, and the Associated Health Risks: Causes and Therapeutic Strategies. </w:t>
      </w:r>
      <w:r w:rsidRPr="00BE712C">
        <w:rPr>
          <w:i/>
          <w:iCs/>
        </w:rPr>
        <w:t>Metab Syndr Relat Disord</w:t>
      </w:r>
      <w:r w:rsidRPr="00BE712C">
        <w:t>. 2015;13(10):423-444. doi:10.1089/met.2015.0095</w:t>
      </w:r>
    </w:p>
    <w:p w14:paraId="1986D8B8" w14:textId="77777777" w:rsidR="00BE712C" w:rsidRPr="00BE712C" w:rsidRDefault="00BE712C" w:rsidP="009906F2">
      <w:pPr>
        <w:pStyle w:val="Bibliography"/>
        <w:spacing w:after="0"/>
        <w:ind w:left="0" w:firstLine="0"/>
        <w:jc w:val="left"/>
      </w:pPr>
      <w:r w:rsidRPr="00BE712C">
        <w:t>346.</w:t>
      </w:r>
      <w:r w:rsidRPr="00BE712C">
        <w:tab/>
        <w:t xml:space="preserve">Kennedy A, Overman A, LaPoint K, et al. Conjugated linoleic acid-mediated inflammation and insulin resistance in human adipocytes are attenuated by resveratrol. </w:t>
      </w:r>
      <w:r w:rsidRPr="00BE712C">
        <w:rPr>
          <w:i/>
          <w:iCs/>
        </w:rPr>
        <w:t>J Lipid Res</w:t>
      </w:r>
      <w:r w:rsidRPr="00BE712C">
        <w:t>. 2009;50(2):225-232. doi:10.1194/jlr.M800258-JLR200</w:t>
      </w:r>
    </w:p>
    <w:p w14:paraId="6534BBEB" w14:textId="77777777" w:rsidR="00BE712C" w:rsidRPr="00BE712C" w:rsidRDefault="00BE712C" w:rsidP="009906F2">
      <w:pPr>
        <w:pStyle w:val="Bibliography"/>
        <w:spacing w:after="0"/>
        <w:ind w:left="0" w:firstLine="0"/>
        <w:jc w:val="left"/>
      </w:pPr>
      <w:r w:rsidRPr="00BE712C">
        <w:t>347.</w:t>
      </w:r>
      <w:r w:rsidRPr="00BE712C">
        <w:tab/>
        <w:t xml:space="preserve">Chen L, Wang T, Chen G, et al. Influence of resveratrol on endoplasmic reticulum stress and expression of adipokines in adipose tissues/adipocytes induced by high-calorie diet or palmitic acid. </w:t>
      </w:r>
      <w:r w:rsidRPr="00BE712C">
        <w:rPr>
          <w:i/>
          <w:iCs/>
        </w:rPr>
        <w:t>Endocrine</w:t>
      </w:r>
      <w:r w:rsidRPr="00BE712C">
        <w:t>. 2017;55(3):773-785. doi:10.1007/s12020-016-1212-2</w:t>
      </w:r>
    </w:p>
    <w:p w14:paraId="331A259A" w14:textId="77777777" w:rsidR="00BE712C" w:rsidRPr="00BE712C" w:rsidRDefault="00BE712C" w:rsidP="009906F2">
      <w:pPr>
        <w:pStyle w:val="Bibliography"/>
        <w:spacing w:after="0"/>
        <w:ind w:left="0" w:firstLine="0"/>
        <w:jc w:val="left"/>
      </w:pPr>
      <w:r w:rsidRPr="00BE712C">
        <w:t>348.</w:t>
      </w:r>
      <w:r w:rsidRPr="00BE712C">
        <w:tab/>
        <w:t xml:space="preserve">Tran HT, Liong S, Lim R, Barker G, Lappas M. Resveratrol ameliorates the chemical and microbial induction of inflammation and insulin resistance in human placenta, adipose tissue and skeletal muscle. </w:t>
      </w:r>
      <w:r w:rsidRPr="00BE712C">
        <w:rPr>
          <w:i/>
          <w:iCs/>
        </w:rPr>
        <w:t>PLOS ONE</w:t>
      </w:r>
      <w:r w:rsidRPr="00BE712C">
        <w:t>. 2017;12(3):e0173373. doi:10.1371/journal.pone.0173373</w:t>
      </w:r>
    </w:p>
    <w:p w14:paraId="0D2148C2" w14:textId="77777777" w:rsidR="00BE712C" w:rsidRPr="00BE712C" w:rsidRDefault="00BE712C" w:rsidP="009906F2">
      <w:pPr>
        <w:pStyle w:val="Bibliography"/>
        <w:spacing w:after="0"/>
        <w:ind w:left="0" w:firstLine="0"/>
        <w:jc w:val="left"/>
      </w:pPr>
      <w:r w:rsidRPr="00BE712C">
        <w:lastRenderedPageBreak/>
        <w:t>349.</w:t>
      </w:r>
      <w:r w:rsidRPr="00BE712C">
        <w:tab/>
        <w:t xml:space="preserve">Li X, Li J, Wang L, et al. The role of metformin and resveratrol in the prevention of hypoxia‐inducible factor 1α accumulation and fibrosis in hypoxic adipose tissue. </w:t>
      </w:r>
      <w:r w:rsidRPr="00BE712C">
        <w:rPr>
          <w:i/>
          <w:iCs/>
        </w:rPr>
        <w:t>Br J Pharmacol</w:t>
      </w:r>
      <w:r w:rsidRPr="00BE712C">
        <w:t>. 2016;173(12):2001-2015. doi:10.1111/bph.13493</w:t>
      </w:r>
    </w:p>
    <w:p w14:paraId="50F0FCB6" w14:textId="77777777" w:rsidR="00BE712C" w:rsidRPr="00BE712C" w:rsidRDefault="00BE712C" w:rsidP="009906F2">
      <w:pPr>
        <w:pStyle w:val="Bibliography"/>
        <w:spacing w:after="0"/>
        <w:ind w:left="0" w:firstLine="0"/>
        <w:jc w:val="left"/>
      </w:pPr>
      <w:r w:rsidRPr="00BE712C">
        <w:t>350.</w:t>
      </w:r>
      <w:r w:rsidRPr="00BE712C">
        <w:tab/>
        <w:t xml:space="preserve">Batista-Jorge GC, Barcala-Jorge AS, Silveira MF, et al. Oral resveratrol supplementation improves Metabolic Syndrome features in obese patients submitted to a lifestyle-changing program. </w:t>
      </w:r>
      <w:r w:rsidRPr="00BE712C">
        <w:rPr>
          <w:i/>
          <w:iCs/>
        </w:rPr>
        <w:t>Life Sciences</w:t>
      </w:r>
      <w:r w:rsidRPr="00BE712C">
        <w:t>. 2020;256:117962. doi:10.1016/j.lfs.2020.117962</w:t>
      </w:r>
    </w:p>
    <w:p w14:paraId="481BC1D6" w14:textId="77777777" w:rsidR="00BE712C" w:rsidRPr="00BE712C" w:rsidRDefault="00BE712C" w:rsidP="009906F2">
      <w:pPr>
        <w:pStyle w:val="Bibliography"/>
        <w:spacing w:after="0"/>
        <w:ind w:left="0" w:firstLine="0"/>
        <w:jc w:val="left"/>
      </w:pPr>
      <w:r w:rsidRPr="00BE712C">
        <w:t>351.</w:t>
      </w:r>
      <w:r w:rsidRPr="00BE712C">
        <w:tab/>
        <w:t xml:space="preserve">Ma N, Zhang Y. Effects of resveratrol therapy on glucose metabolism, insulin resistance, inflammation, and renal function in the elderly patients with type 2 diabetes mellitus: A randomized controlled clinical trial protocol. </w:t>
      </w:r>
      <w:r w:rsidRPr="00BE712C">
        <w:rPr>
          <w:i/>
          <w:iCs/>
        </w:rPr>
        <w:t>Medicine (Baltimore)</w:t>
      </w:r>
      <w:r w:rsidRPr="00BE712C">
        <w:t>. 2022;101(32):e30049. doi:10.1097/MD.0000000000030049</w:t>
      </w:r>
    </w:p>
    <w:p w14:paraId="6BE801E9" w14:textId="77777777" w:rsidR="00BE712C" w:rsidRPr="00BE712C" w:rsidRDefault="00BE712C" w:rsidP="009906F2">
      <w:pPr>
        <w:pStyle w:val="Bibliography"/>
        <w:spacing w:after="0"/>
        <w:ind w:left="0" w:firstLine="0"/>
        <w:jc w:val="left"/>
      </w:pPr>
      <w:r w:rsidRPr="00BE712C">
        <w:t>352.</w:t>
      </w:r>
      <w:r w:rsidRPr="00BE712C">
        <w:tab/>
        <w:t xml:space="preserve">Liu K, Zhou R, Wang B, Mi MT. Effect of resveratrol on glucose control and insulin sensitivity: a meta-analysis of 11 randomized controlled trials123. </w:t>
      </w:r>
      <w:r w:rsidRPr="00BE712C">
        <w:rPr>
          <w:i/>
          <w:iCs/>
        </w:rPr>
        <w:t>The American Journal of Clinical Nutrition</w:t>
      </w:r>
      <w:r w:rsidRPr="00BE712C">
        <w:t>. 2014;99(6):1510-1519. doi:10.3945/ajcn.113.082024</w:t>
      </w:r>
    </w:p>
    <w:p w14:paraId="3E9E3950" w14:textId="77777777" w:rsidR="00BE712C" w:rsidRPr="00BE712C" w:rsidRDefault="00BE712C" w:rsidP="009906F2">
      <w:pPr>
        <w:pStyle w:val="Bibliography"/>
        <w:spacing w:after="0"/>
        <w:ind w:left="0" w:firstLine="0"/>
        <w:jc w:val="left"/>
      </w:pPr>
      <w:r w:rsidRPr="00BE712C">
        <w:t>353.</w:t>
      </w:r>
      <w:r w:rsidRPr="00BE712C">
        <w:tab/>
        <w:t xml:space="preserve">Tran HT, Liong S, Lim R, Barker G, Lappas M. Resveratrol ameliorates the chemical and microbial induction of inflammation and insulin resistance in human placenta, adipose tissue and skeletal muscle. </w:t>
      </w:r>
      <w:r w:rsidRPr="00BE712C">
        <w:rPr>
          <w:i/>
          <w:iCs/>
        </w:rPr>
        <w:t>PLOS ONE</w:t>
      </w:r>
      <w:r w:rsidRPr="00BE712C">
        <w:t>. 2017;12(3):e0173373. doi:10.1371/journal.pone.0173373</w:t>
      </w:r>
    </w:p>
    <w:p w14:paraId="57097AAB" w14:textId="77777777" w:rsidR="00BE712C" w:rsidRPr="00BE712C" w:rsidRDefault="00BE712C" w:rsidP="009906F2">
      <w:pPr>
        <w:pStyle w:val="Bibliography"/>
        <w:spacing w:after="0"/>
        <w:ind w:left="0" w:firstLine="0"/>
        <w:jc w:val="left"/>
      </w:pPr>
      <w:r w:rsidRPr="00BE712C">
        <w:t>354.</w:t>
      </w:r>
      <w:r w:rsidRPr="00BE712C">
        <w:tab/>
        <w:t xml:space="preserve">Habegger KM, Hoffman NJ, Ridenour CM, Brozinick JT, Elmendorf JS. AMPK Enhances Insulin-Stimulated GLUT4 Regulation via Lowering Membrane Cholesterol. </w:t>
      </w:r>
      <w:r w:rsidRPr="00BE712C">
        <w:rPr>
          <w:i/>
          <w:iCs/>
        </w:rPr>
        <w:t>Endocrinology</w:t>
      </w:r>
      <w:r w:rsidRPr="00BE712C">
        <w:t>. 2012;153(5):2130-2141. doi:10.1210/en.2011-2099</w:t>
      </w:r>
    </w:p>
    <w:p w14:paraId="21B3CC56" w14:textId="77777777" w:rsidR="00BE712C" w:rsidRPr="00BE712C" w:rsidRDefault="00BE712C" w:rsidP="009906F2">
      <w:pPr>
        <w:pStyle w:val="Bibliography"/>
        <w:spacing w:after="0"/>
        <w:ind w:left="0" w:firstLine="0"/>
        <w:jc w:val="left"/>
      </w:pPr>
      <w:r w:rsidRPr="00BE712C">
        <w:t>355.</w:t>
      </w:r>
      <w:r w:rsidRPr="00BE712C">
        <w:tab/>
        <w:t xml:space="preserve">Asadi S, Rahimi Z, Saidijam M, Shabab N, Goodarzi MT. Effects of Resveratrol on FOXO1 and FOXO3a Genes Expression in Adipose Tissue, Serum Insulin, Insulin Resistance </w:t>
      </w:r>
      <w:r w:rsidRPr="00BE712C">
        <w:lastRenderedPageBreak/>
        <w:t xml:space="preserve">and Serum SOD Activity in Type 2 Diabetic Rats. </w:t>
      </w:r>
      <w:r w:rsidRPr="00BE712C">
        <w:rPr>
          <w:i/>
          <w:iCs/>
        </w:rPr>
        <w:t>Int J Mol Cell Med</w:t>
      </w:r>
      <w:r w:rsidRPr="00BE712C">
        <w:t>. 2018;7(3):176-184. doi:10.22088/IJMCM.BUMS.7.3.176</w:t>
      </w:r>
    </w:p>
    <w:p w14:paraId="09B2CD65" w14:textId="77777777" w:rsidR="00BE712C" w:rsidRPr="00BE712C" w:rsidRDefault="00BE712C" w:rsidP="009906F2">
      <w:pPr>
        <w:pStyle w:val="Bibliography"/>
        <w:spacing w:after="0"/>
        <w:ind w:left="0" w:firstLine="0"/>
        <w:jc w:val="left"/>
      </w:pPr>
      <w:r w:rsidRPr="00BE712C">
        <w:t>356.</w:t>
      </w:r>
      <w:r w:rsidRPr="00BE712C">
        <w:tab/>
        <w:t xml:space="preserve">Sun X, Cao Z, Ma Y, et al. Resveratrol attenuates dapagliflozin-induced renal gluconeogenesis via activating the PI3K/Akt pathway and suppressing the FoxO1 pathway in type 2 diabetes. </w:t>
      </w:r>
      <w:r w:rsidRPr="00BE712C">
        <w:rPr>
          <w:i/>
          <w:iCs/>
        </w:rPr>
        <w:t>Food Funct</w:t>
      </w:r>
      <w:r w:rsidRPr="00BE712C">
        <w:t>. 2021;12(3):1207-1218. doi:10.1039/D0FO02387F</w:t>
      </w:r>
    </w:p>
    <w:p w14:paraId="2B7E607A" w14:textId="77777777" w:rsidR="00BE712C" w:rsidRPr="00BE712C" w:rsidRDefault="00BE712C" w:rsidP="009906F2">
      <w:pPr>
        <w:pStyle w:val="Bibliography"/>
        <w:spacing w:after="0"/>
        <w:ind w:left="0" w:firstLine="0"/>
        <w:jc w:val="left"/>
      </w:pPr>
      <w:r w:rsidRPr="00BE712C">
        <w:t>357.</w:t>
      </w:r>
      <w:r w:rsidRPr="00BE712C">
        <w:tab/>
        <w:t xml:space="preserve">Zhang AJ, Rimando AM, Mizuno CS, Mathews ST. α-Glucosidase inhibitory effect of resveratrol and piceatannol. </w:t>
      </w:r>
      <w:r w:rsidRPr="00BE712C">
        <w:rPr>
          <w:i/>
          <w:iCs/>
        </w:rPr>
        <w:t>The Journal of Nutritional Biochemistry</w:t>
      </w:r>
      <w:r w:rsidRPr="00BE712C">
        <w:t>. 2017;47:86-93. doi:10.1016/j.jnutbio.2017.05.008</w:t>
      </w:r>
    </w:p>
    <w:p w14:paraId="2A47F86C" w14:textId="77777777" w:rsidR="00BE712C" w:rsidRPr="00BE712C" w:rsidRDefault="00BE712C" w:rsidP="009906F2">
      <w:pPr>
        <w:pStyle w:val="Bibliography"/>
        <w:spacing w:after="0"/>
        <w:ind w:left="0" w:firstLine="0"/>
        <w:jc w:val="left"/>
      </w:pPr>
      <w:r w:rsidRPr="00BE712C">
        <w:t>358.</w:t>
      </w:r>
      <w:r w:rsidRPr="00BE712C">
        <w:tab/>
        <w:t xml:space="preserve">Kim S, Jin Y, Choi Y, Park T. Resveratrol exerts anti-obesity effects via mechanisms involving down-regulation of adipogenic and inflammatory processes in mice. </w:t>
      </w:r>
      <w:r w:rsidRPr="00BE712C">
        <w:rPr>
          <w:i/>
          <w:iCs/>
        </w:rPr>
        <w:t>Biochemical Pharmacology</w:t>
      </w:r>
      <w:r w:rsidRPr="00BE712C">
        <w:t>. 2011;81(11):1343-1351. doi:10.1016/j.bcp.2011.03.012</w:t>
      </w:r>
    </w:p>
    <w:p w14:paraId="26120161" w14:textId="77777777" w:rsidR="00BE712C" w:rsidRPr="00BE712C" w:rsidRDefault="00BE712C" w:rsidP="009906F2">
      <w:pPr>
        <w:pStyle w:val="Bibliography"/>
        <w:spacing w:after="0"/>
        <w:ind w:left="0" w:firstLine="0"/>
        <w:jc w:val="left"/>
      </w:pPr>
      <w:r w:rsidRPr="00BE712C">
        <w:t>359.</w:t>
      </w:r>
      <w:r w:rsidRPr="00BE712C">
        <w:tab/>
        <w:t xml:space="preserve">Jeon SM, Lee SA, Choi MS. Antiobesity and Vasoprotective Effects of Resveratrol in ApoE-Deficient Mice. </w:t>
      </w:r>
      <w:r w:rsidRPr="00BE712C">
        <w:rPr>
          <w:i/>
          <w:iCs/>
        </w:rPr>
        <w:t>J Med Food</w:t>
      </w:r>
      <w:r w:rsidRPr="00BE712C">
        <w:t>. 2014;17(3):310-316. doi:10.1089/jmf.2013.2885</w:t>
      </w:r>
    </w:p>
    <w:p w14:paraId="1BCBBE48" w14:textId="77777777" w:rsidR="00BE712C" w:rsidRPr="00BE712C" w:rsidRDefault="00BE712C" w:rsidP="009906F2">
      <w:pPr>
        <w:pStyle w:val="Bibliography"/>
        <w:spacing w:after="0"/>
        <w:ind w:left="0" w:firstLine="0"/>
        <w:jc w:val="left"/>
      </w:pPr>
      <w:r w:rsidRPr="00BE712C">
        <w:t>360.</w:t>
      </w:r>
      <w:r w:rsidRPr="00BE712C">
        <w:tab/>
        <w:t xml:space="preserve">Yoshino J, Conte C, Fontana L, et al. Resveratrol supplementation does not improve metabolic function in non-obese women with normal glucose tolerance. </w:t>
      </w:r>
      <w:r w:rsidRPr="00BE712C">
        <w:rPr>
          <w:i/>
          <w:iCs/>
        </w:rPr>
        <w:t>Cell Metab</w:t>
      </w:r>
      <w:r w:rsidRPr="00BE712C">
        <w:t>. 2012;16(5):658-664. doi:10.1016/j.cmet.2012.09.015</w:t>
      </w:r>
    </w:p>
    <w:p w14:paraId="724F940A" w14:textId="77777777" w:rsidR="00BE712C" w:rsidRPr="00BE712C" w:rsidRDefault="00BE712C" w:rsidP="009906F2">
      <w:pPr>
        <w:pStyle w:val="Bibliography"/>
        <w:spacing w:after="0"/>
        <w:ind w:left="0" w:firstLine="0"/>
        <w:jc w:val="left"/>
      </w:pPr>
      <w:r w:rsidRPr="00BE712C">
        <w:t>361.</w:t>
      </w:r>
      <w:r w:rsidRPr="00BE712C">
        <w:tab/>
        <w:t xml:space="preserve">Darwish MA, Abdel-Bakky MS, Messiha BAS, Abo-Saif AA, Abo-Youssef AM. Resveratrol mitigates pancreatic TF activation and autophagy-mediated beta cell death via inhibition of CXCL16/ox-LDL pathway: A novel protective mechanism against type 1 diabetes mellitus in mice. </w:t>
      </w:r>
      <w:r w:rsidRPr="00BE712C">
        <w:rPr>
          <w:i/>
          <w:iCs/>
        </w:rPr>
        <w:t>European Journal of Pharmacology</w:t>
      </w:r>
      <w:r w:rsidRPr="00BE712C">
        <w:t>. 2021;901:174059. doi:10.1016/j.ejphar.2021.174059</w:t>
      </w:r>
    </w:p>
    <w:p w14:paraId="71EF3333" w14:textId="77777777" w:rsidR="00BE712C" w:rsidRPr="00BE712C" w:rsidRDefault="00BE712C" w:rsidP="009906F2">
      <w:pPr>
        <w:pStyle w:val="Bibliography"/>
        <w:spacing w:after="0"/>
        <w:ind w:left="0" w:firstLine="0"/>
        <w:jc w:val="left"/>
      </w:pPr>
      <w:r w:rsidRPr="00BE712C">
        <w:lastRenderedPageBreak/>
        <w:t>362.</w:t>
      </w:r>
      <w:r w:rsidRPr="00BE712C">
        <w:tab/>
        <w:t xml:space="preserve">Prakash V, Bose C, Sunilkumar D, Cherian RM, Thomas SS, Nair BG. Resveratrol as a Promising Nutraceutical: Implications in Gut Microbiota Modulation, Inflammatory Disorders, and Colorectal Cancer. </w:t>
      </w:r>
      <w:r w:rsidRPr="00BE712C">
        <w:rPr>
          <w:i/>
          <w:iCs/>
        </w:rPr>
        <w:t>International Journal of Molecular Sciences</w:t>
      </w:r>
      <w:r w:rsidRPr="00BE712C">
        <w:t>. 2024;25(6):3370. doi:10.3390/ijms25063370</w:t>
      </w:r>
    </w:p>
    <w:p w14:paraId="008C1734" w14:textId="77777777" w:rsidR="00BE712C" w:rsidRPr="00BE712C" w:rsidRDefault="00BE712C" w:rsidP="009906F2">
      <w:pPr>
        <w:pStyle w:val="Bibliography"/>
        <w:spacing w:after="0"/>
        <w:ind w:left="0" w:firstLine="0"/>
        <w:jc w:val="left"/>
      </w:pPr>
      <w:r w:rsidRPr="00BE712C">
        <w:t>363.</w:t>
      </w:r>
      <w:r w:rsidRPr="00BE712C">
        <w:tab/>
        <w:t xml:space="preserve">Wang P, Li D, Ke W, Liang D, Hu X, Chen F. Resveratrol-induced gut microbiota reduces obesity in high-fat diet-fed mice. </w:t>
      </w:r>
      <w:r w:rsidRPr="00BE712C">
        <w:rPr>
          <w:i/>
          <w:iCs/>
        </w:rPr>
        <w:t>Int J Obes</w:t>
      </w:r>
      <w:r w:rsidRPr="00BE712C">
        <w:t>. 2020;44(1):213-225. doi:10.1038/s41366-019-0332-1</w:t>
      </w:r>
    </w:p>
    <w:p w14:paraId="1962DA1E" w14:textId="77777777" w:rsidR="00BE712C" w:rsidRPr="00BE712C" w:rsidRDefault="00BE712C" w:rsidP="009906F2">
      <w:pPr>
        <w:pStyle w:val="Bibliography"/>
        <w:spacing w:after="0"/>
        <w:ind w:left="0" w:firstLine="0"/>
        <w:jc w:val="left"/>
      </w:pPr>
      <w:r w:rsidRPr="00BE712C">
        <w:t>364.</w:t>
      </w:r>
      <w:r w:rsidRPr="00BE712C">
        <w:tab/>
        <w:t xml:space="preserve">Hui S, Liu Y, Huang L, et al. Resveratrol enhances brown adipose tissue activity and white adipose tissue browning in part by regulating bile acid metabolism via gut microbiota remodeling. </w:t>
      </w:r>
      <w:r w:rsidRPr="00BE712C">
        <w:rPr>
          <w:i/>
          <w:iCs/>
        </w:rPr>
        <w:t>Int J Obes</w:t>
      </w:r>
      <w:r w:rsidRPr="00BE712C">
        <w:t>. 2020;44(8):1678-1690. doi:10.1038/s41366-020-0566-y</w:t>
      </w:r>
    </w:p>
    <w:p w14:paraId="00567B88" w14:textId="77777777" w:rsidR="00BE712C" w:rsidRPr="00BE712C" w:rsidRDefault="00BE712C" w:rsidP="009906F2">
      <w:pPr>
        <w:pStyle w:val="Bibliography"/>
        <w:spacing w:after="0"/>
        <w:ind w:left="0" w:firstLine="0"/>
        <w:jc w:val="left"/>
      </w:pPr>
      <w:r w:rsidRPr="00BE712C">
        <w:t>365.</w:t>
      </w:r>
      <w:r w:rsidRPr="00BE712C">
        <w:tab/>
        <w:t xml:space="preserve">Liao W, Yin X, Li Q, et al. Resveratrol-Induced White Adipose Tissue Browning in Obese Mice by Remodeling Fecal Microbiota. </w:t>
      </w:r>
      <w:r w:rsidRPr="00BE712C">
        <w:rPr>
          <w:i/>
          <w:iCs/>
        </w:rPr>
        <w:t>Molecules</w:t>
      </w:r>
      <w:r w:rsidRPr="00BE712C">
        <w:t>. 2018;23(12):3356. doi:10.3390/molecules23123356</w:t>
      </w:r>
    </w:p>
    <w:p w14:paraId="10CDCC17" w14:textId="77777777" w:rsidR="00BE712C" w:rsidRPr="00BE712C" w:rsidRDefault="00BE712C" w:rsidP="009906F2">
      <w:pPr>
        <w:pStyle w:val="Bibliography"/>
        <w:spacing w:after="0"/>
        <w:ind w:left="0" w:firstLine="0"/>
        <w:jc w:val="left"/>
      </w:pPr>
      <w:r w:rsidRPr="00BE712C">
        <w:t>366.</w:t>
      </w:r>
      <w:r w:rsidRPr="00BE712C">
        <w:tab/>
        <w:t xml:space="preserve">Walker JM, Eckardt P, Aleman JO, et al. The effects of trans-resveratrol on insulin resistance, inflammation, and microbiota in men with the metabolic syndrome: A pilot randomized, placebo-controlled clinical trial. </w:t>
      </w:r>
      <w:r w:rsidRPr="00BE712C">
        <w:rPr>
          <w:i/>
          <w:iCs/>
        </w:rPr>
        <w:t>J Clin Transl Res</w:t>
      </w:r>
      <w:r w:rsidRPr="00BE712C">
        <w:t>. 2018;4(2):122-135.</w:t>
      </w:r>
    </w:p>
    <w:p w14:paraId="421B489D" w14:textId="77777777" w:rsidR="00BE712C" w:rsidRPr="00BE712C" w:rsidRDefault="00BE712C" w:rsidP="009906F2">
      <w:pPr>
        <w:pStyle w:val="Bibliography"/>
        <w:spacing w:after="0"/>
        <w:ind w:left="0" w:firstLine="0"/>
        <w:jc w:val="left"/>
      </w:pPr>
      <w:r w:rsidRPr="00BE712C">
        <w:t>367.</w:t>
      </w:r>
      <w:r w:rsidRPr="00BE712C">
        <w:tab/>
        <w:t xml:space="preserve">Fernandez-Quintela A, Macarulla MT, Gómez-Zorita S, González M, Milton-Laskibar I, Portillo MP. Relationship between changes in microbiota induced by resveratrol and its anti-diabetic effect on type 2 diabetes. </w:t>
      </w:r>
      <w:r w:rsidRPr="00BE712C">
        <w:rPr>
          <w:i/>
          <w:iCs/>
        </w:rPr>
        <w:t>Front Nutr</w:t>
      </w:r>
      <w:r w:rsidRPr="00BE712C">
        <w:t>. 2023;9:1084702. doi:10.3389/fnut.2022.1084702</w:t>
      </w:r>
    </w:p>
    <w:p w14:paraId="2BBD8CB7" w14:textId="77777777" w:rsidR="00BE712C" w:rsidRPr="00BE712C" w:rsidRDefault="00BE712C" w:rsidP="009906F2">
      <w:pPr>
        <w:pStyle w:val="Bibliography"/>
        <w:spacing w:after="0"/>
        <w:ind w:left="0" w:firstLine="0"/>
        <w:jc w:val="left"/>
      </w:pPr>
      <w:r w:rsidRPr="00BE712C">
        <w:t>368.</w:t>
      </w:r>
      <w:r w:rsidRPr="00BE712C">
        <w:tab/>
        <w:t xml:space="preserve">Hou CY, Tain YL, Yu HR, Huang LT. The Effects of Resveratrol in the Treatment of Metabolic Syndrome. </w:t>
      </w:r>
      <w:r w:rsidRPr="00BE712C">
        <w:rPr>
          <w:i/>
          <w:iCs/>
        </w:rPr>
        <w:t>International Journal of Molecular Sciences</w:t>
      </w:r>
      <w:r w:rsidRPr="00BE712C">
        <w:t>. 2019;20(3):535. doi:10.3390/ijms20030535</w:t>
      </w:r>
    </w:p>
    <w:p w14:paraId="21CC1C67" w14:textId="77777777" w:rsidR="00BE712C" w:rsidRPr="00BE712C" w:rsidRDefault="00BE712C" w:rsidP="009906F2">
      <w:pPr>
        <w:pStyle w:val="Bibliography"/>
        <w:spacing w:after="0"/>
        <w:ind w:left="0" w:firstLine="0"/>
        <w:jc w:val="left"/>
      </w:pPr>
      <w:r w:rsidRPr="00BE712C">
        <w:lastRenderedPageBreak/>
        <w:t>369.</w:t>
      </w:r>
      <w:r w:rsidRPr="00BE712C">
        <w:tab/>
        <w:t xml:space="preserve">Peredo-Escárcega AE, Guarner-Lans V, Pérez-Torres I, et al. The Combination of Resveratrol and Quercetin Attenuates Metabolic Syndrome in Rats by Modifying the Serum Fatty Acid Composition and by Upregulating SIRT 1 and SIRT 2 Expression in White Adipose Tissue. </w:t>
      </w:r>
      <w:r w:rsidRPr="00BE712C">
        <w:rPr>
          <w:i/>
          <w:iCs/>
        </w:rPr>
        <w:t>Evid Based Complement Alternat Med</w:t>
      </w:r>
      <w:r w:rsidRPr="00BE712C">
        <w:t>. 2015;2015:474032. doi:10.1155/2015/474032</w:t>
      </w:r>
    </w:p>
    <w:p w14:paraId="2E6A5FAE" w14:textId="77777777" w:rsidR="00BE712C" w:rsidRPr="00BE712C" w:rsidRDefault="00BE712C" w:rsidP="009906F2">
      <w:pPr>
        <w:pStyle w:val="Bibliography"/>
        <w:spacing w:after="0"/>
        <w:ind w:left="0" w:firstLine="0"/>
        <w:jc w:val="left"/>
      </w:pPr>
      <w:r w:rsidRPr="00BE712C">
        <w:t>370.</w:t>
      </w:r>
      <w:r w:rsidRPr="00BE712C">
        <w:tab/>
        <w:t xml:space="preserve">Rubino F, Cummings DE, Eckel RH, et al. Definition and diagnostic criteria of clinical obesity. </w:t>
      </w:r>
      <w:r w:rsidRPr="00BE712C">
        <w:rPr>
          <w:i/>
          <w:iCs/>
        </w:rPr>
        <w:t>The Lancet Diabetes &amp; Endocrinology</w:t>
      </w:r>
      <w:r w:rsidRPr="00BE712C">
        <w:t>. 2025;13(3):221-262. doi:10.1016/S2213-8587(24)00316-4</w:t>
      </w:r>
    </w:p>
    <w:p w14:paraId="41E55BE5" w14:textId="77777777" w:rsidR="00BE712C" w:rsidRPr="00BE712C" w:rsidRDefault="00BE712C" w:rsidP="009906F2">
      <w:pPr>
        <w:pStyle w:val="Bibliography"/>
        <w:spacing w:after="0"/>
        <w:ind w:left="0" w:firstLine="0"/>
        <w:jc w:val="left"/>
      </w:pPr>
      <w:r w:rsidRPr="00BE712C">
        <w:t>371.</w:t>
      </w:r>
      <w:r w:rsidRPr="00BE712C">
        <w:tab/>
        <w:t xml:space="preserve">Dhurandhar NV. What is obesity? </w:t>
      </w:r>
      <w:r w:rsidRPr="00BE712C">
        <w:rPr>
          <w:i/>
          <w:iCs/>
        </w:rPr>
        <w:t>Int J Obes</w:t>
      </w:r>
      <w:r w:rsidRPr="00BE712C">
        <w:t>. 2022;46(6):1081-1082. doi:10.1038/s41366-022-01088-1</w:t>
      </w:r>
    </w:p>
    <w:p w14:paraId="17033730" w14:textId="77777777" w:rsidR="00BE712C" w:rsidRPr="00BE712C" w:rsidRDefault="00BE712C" w:rsidP="009906F2">
      <w:pPr>
        <w:pStyle w:val="Bibliography"/>
        <w:spacing w:after="0"/>
        <w:ind w:left="0" w:firstLine="0"/>
        <w:jc w:val="left"/>
      </w:pPr>
      <w:r w:rsidRPr="00BE712C">
        <w:t>372.</w:t>
      </w:r>
      <w:r w:rsidRPr="00BE712C">
        <w:tab/>
        <w:t xml:space="preserve">Matheson EM, King DE, Everett CJ. Healthy Lifestyle Habits and Mortality in Overweight and Obese Individuals. </w:t>
      </w:r>
      <w:r w:rsidRPr="00BE712C">
        <w:rPr>
          <w:i/>
          <w:iCs/>
        </w:rPr>
        <w:t>J Am Board Fam Med</w:t>
      </w:r>
      <w:r w:rsidRPr="00BE712C">
        <w:t>. 2012;25(1):9-15. doi:10.3122/jabfm.2012.01.110164</w:t>
      </w:r>
    </w:p>
    <w:p w14:paraId="7168DB7D" w14:textId="77777777" w:rsidR="00BE712C" w:rsidRPr="00BE712C" w:rsidRDefault="00BE712C" w:rsidP="009906F2">
      <w:pPr>
        <w:pStyle w:val="Bibliography"/>
        <w:spacing w:after="0"/>
        <w:ind w:left="0" w:firstLine="0"/>
        <w:jc w:val="left"/>
      </w:pPr>
      <w:r w:rsidRPr="00BE712C">
        <w:t>373.</w:t>
      </w:r>
      <w:r w:rsidRPr="00BE712C">
        <w:tab/>
        <w:t xml:space="preserve">Loos RJF, Yeo GSH. The genetics of obesity: from discovery to biology. </w:t>
      </w:r>
      <w:r w:rsidRPr="00BE712C">
        <w:rPr>
          <w:i/>
          <w:iCs/>
        </w:rPr>
        <w:t>Nat Rev Genet</w:t>
      </w:r>
      <w:r w:rsidRPr="00BE712C">
        <w:t>. 2022;23(2):120-133. doi:10.1038/s41576-021-00414-z</w:t>
      </w:r>
    </w:p>
    <w:p w14:paraId="5EB94D4F" w14:textId="77777777" w:rsidR="00BE712C" w:rsidRPr="00BE712C" w:rsidRDefault="00BE712C" w:rsidP="009906F2">
      <w:pPr>
        <w:pStyle w:val="Bibliography"/>
        <w:spacing w:after="0"/>
        <w:ind w:left="0" w:firstLine="0"/>
        <w:jc w:val="left"/>
      </w:pPr>
      <w:r w:rsidRPr="00BE712C">
        <w:t>374.</w:t>
      </w:r>
      <w:r w:rsidRPr="00BE712C">
        <w:tab/>
        <w:t xml:space="preserve">Lee A, Cardel M, Donahoo WT. Social and Environmental Factors Influencing Obesity. In: Feingold KR, Ahmed SF, Anawalt B, et al., eds. </w:t>
      </w:r>
      <w:r w:rsidRPr="00BE712C">
        <w:rPr>
          <w:i/>
          <w:iCs/>
        </w:rPr>
        <w:t>Endotext</w:t>
      </w:r>
      <w:r w:rsidRPr="00BE712C">
        <w:t>. MDText.com, Inc.; 2000. Accessed July 10, 2025. http://www.ncbi.nlm.nih.gov/books/NBK278977/</w:t>
      </w:r>
    </w:p>
    <w:p w14:paraId="05D7B621" w14:textId="77777777" w:rsidR="00BE712C" w:rsidRPr="00BE712C" w:rsidRDefault="00BE712C" w:rsidP="009906F2">
      <w:pPr>
        <w:pStyle w:val="Bibliography"/>
        <w:spacing w:after="0"/>
        <w:ind w:left="0" w:firstLine="0"/>
        <w:jc w:val="left"/>
      </w:pPr>
      <w:r w:rsidRPr="00BE712C">
        <w:t>375.</w:t>
      </w:r>
      <w:r w:rsidRPr="00BE712C">
        <w:tab/>
        <w:t xml:space="preserve">Romieu I, Dossus L, Barquera S, et al. Energy balance and obesity: what are the main drivers? </w:t>
      </w:r>
      <w:r w:rsidRPr="00BE712C">
        <w:rPr>
          <w:i/>
          <w:iCs/>
        </w:rPr>
        <w:t>Cancer Causes Control</w:t>
      </w:r>
      <w:r w:rsidRPr="00BE712C">
        <w:t>. 2017;28(3):247-258. doi:10.1007/s10552-017-0869-z</w:t>
      </w:r>
    </w:p>
    <w:p w14:paraId="3F72CF14" w14:textId="77777777" w:rsidR="00BE712C" w:rsidRPr="00BE712C" w:rsidRDefault="00BE712C" w:rsidP="009906F2">
      <w:pPr>
        <w:pStyle w:val="Bibliography"/>
        <w:spacing w:after="0"/>
        <w:ind w:left="0" w:firstLine="0"/>
        <w:jc w:val="left"/>
      </w:pPr>
      <w:r w:rsidRPr="00BE712C">
        <w:t>376.</w:t>
      </w:r>
      <w:r w:rsidRPr="00BE712C">
        <w:tab/>
        <w:t xml:space="preserve">Speakman JR. Obesity: The Integrated Roles of Environment and Genetics. </w:t>
      </w:r>
      <w:r w:rsidRPr="00BE712C">
        <w:rPr>
          <w:i/>
          <w:iCs/>
        </w:rPr>
        <w:t>The Journal of Nutrition</w:t>
      </w:r>
      <w:r w:rsidRPr="00BE712C">
        <w:t>. 2004;134(8):2090S-2105S. doi:10.1093/jn/134.8.2090S</w:t>
      </w:r>
    </w:p>
    <w:p w14:paraId="327F09DC" w14:textId="77777777" w:rsidR="00BE712C" w:rsidRPr="00BE712C" w:rsidRDefault="00BE712C" w:rsidP="009906F2">
      <w:pPr>
        <w:pStyle w:val="Bibliography"/>
        <w:spacing w:after="0"/>
        <w:ind w:left="0" w:firstLine="0"/>
        <w:jc w:val="left"/>
      </w:pPr>
      <w:r w:rsidRPr="00BE712C">
        <w:lastRenderedPageBreak/>
        <w:t>377.</w:t>
      </w:r>
      <w:r w:rsidRPr="00BE712C">
        <w:tab/>
        <w:t xml:space="preserve">Lee A, Cardel M, Donahoo WT. Social and Environmental Factors Influencing Obesity. In: Feingold KR, Ahmed SF, Anawalt B, et al., eds. </w:t>
      </w:r>
      <w:r w:rsidRPr="00BE712C">
        <w:rPr>
          <w:i/>
          <w:iCs/>
        </w:rPr>
        <w:t>Endotext</w:t>
      </w:r>
      <w:r w:rsidRPr="00BE712C">
        <w:t>. MDText.com, Inc.; 2000. Accessed June 13, 2025. http://www.ncbi.nlm.nih.gov/books/NBK278977/</w:t>
      </w:r>
    </w:p>
    <w:p w14:paraId="4EA9FD5C" w14:textId="77777777" w:rsidR="00BE712C" w:rsidRPr="00BE712C" w:rsidRDefault="00BE712C" w:rsidP="009906F2">
      <w:pPr>
        <w:pStyle w:val="Bibliography"/>
        <w:spacing w:after="0"/>
        <w:ind w:left="0" w:firstLine="0"/>
        <w:jc w:val="left"/>
      </w:pPr>
      <w:r w:rsidRPr="00BE712C">
        <w:t>378.</w:t>
      </w:r>
      <w:r w:rsidRPr="00BE712C">
        <w:tab/>
        <w:t xml:space="preserve">Wu H, Ballantyne CM. Metabolic Inflammation and Insulin Resistance in Obesity. </w:t>
      </w:r>
      <w:r w:rsidRPr="00BE712C">
        <w:rPr>
          <w:i/>
          <w:iCs/>
        </w:rPr>
        <w:t>Circulation Research</w:t>
      </w:r>
      <w:r w:rsidRPr="00BE712C">
        <w:t>. 2020;126(11):1549-1564. doi:10.1161/CIRCRESAHA.119.315896</w:t>
      </w:r>
    </w:p>
    <w:p w14:paraId="6A69945A" w14:textId="77777777" w:rsidR="00BE712C" w:rsidRPr="00BE712C" w:rsidRDefault="00BE712C" w:rsidP="009906F2">
      <w:pPr>
        <w:pStyle w:val="Bibliography"/>
        <w:spacing w:after="0"/>
        <w:ind w:left="0" w:firstLine="0"/>
        <w:jc w:val="left"/>
      </w:pPr>
      <w:r w:rsidRPr="00BE712C">
        <w:t>379.</w:t>
      </w:r>
      <w:r w:rsidRPr="00BE712C">
        <w:tab/>
        <w:t xml:space="preserve">Speakman JR. Chapter 26 - Obesity and thermoregulation. In: Romanovsky AA, ed. </w:t>
      </w:r>
      <w:r w:rsidRPr="00BE712C">
        <w:rPr>
          <w:i/>
          <w:iCs/>
        </w:rPr>
        <w:t>Handbook of Clinical Neurology</w:t>
      </w:r>
      <w:r w:rsidRPr="00BE712C">
        <w:t>. Vol 156. Thermoregulation: From Basic Neuroscience to Clinical Neurology Part I. Elsevier; 2018:431-443. doi:10.1016/B978-0-444-63912-7.00026-6</w:t>
      </w:r>
    </w:p>
    <w:p w14:paraId="6F6D2A0B" w14:textId="77777777" w:rsidR="00BE712C" w:rsidRPr="00BE712C" w:rsidRDefault="00BE712C" w:rsidP="009906F2">
      <w:pPr>
        <w:pStyle w:val="Bibliography"/>
        <w:spacing w:after="0"/>
        <w:ind w:left="0" w:firstLine="0"/>
        <w:jc w:val="left"/>
      </w:pPr>
      <w:r w:rsidRPr="00BE712C">
        <w:t>380.</w:t>
      </w:r>
      <w:r w:rsidRPr="00BE712C">
        <w:tab/>
        <w:t xml:space="preserve">Kahn BB, Flier JS. Obesity and insulin resistance. </w:t>
      </w:r>
      <w:r w:rsidRPr="00BE712C">
        <w:rPr>
          <w:i/>
          <w:iCs/>
        </w:rPr>
        <w:t>J Clin Invest</w:t>
      </w:r>
      <w:r w:rsidRPr="00BE712C">
        <w:t>. 2000;106(4):473-481.</w:t>
      </w:r>
    </w:p>
    <w:p w14:paraId="49F2D0AC" w14:textId="77777777" w:rsidR="00BE712C" w:rsidRPr="00BE712C" w:rsidRDefault="00BE712C" w:rsidP="009906F2">
      <w:pPr>
        <w:pStyle w:val="Bibliography"/>
        <w:spacing w:after="0"/>
        <w:ind w:left="0" w:firstLine="0"/>
        <w:jc w:val="left"/>
      </w:pPr>
      <w:r w:rsidRPr="00BE712C">
        <w:t>381.</w:t>
      </w:r>
      <w:r w:rsidRPr="00BE712C">
        <w:tab/>
        <w:t xml:space="preserve">Wu H, Ballantyne CM. Metabolic Inflammation and Insulin Resistance in Obesity. </w:t>
      </w:r>
      <w:r w:rsidRPr="00BE712C">
        <w:rPr>
          <w:i/>
          <w:iCs/>
        </w:rPr>
        <w:t>Circulation Research</w:t>
      </w:r>
      <w:r w:rsidRPr="00BE712C">
        <w:t>. 2020;126(11):1549-1564. doi:10.1161/CIRCRESAHA.119.315896</w:t>
      </w:r>
    </w:p>
    <w:p w14:paraId="033C26E3" w14:textId="77777777" w:rsidR="00BE712C" w:rsidRPr="00BE712C" w:rsidRDefault="00BE712C" w:rsidP="009906F2">
      <w:pPr>
        <w:pStyle w:val="Bibliography"/>
        <w:spacing w:after="0"/>
        <w:ind w:left="0" w:firstLine="0"/>
        <w:jc w:val="left"/>
      </w:pPr>
      <w:r w:rsidRPr="00BE712C">
        <w:t>382.</w:t>
      </w:r>
      <w:r w:rsidRPr="00BE712C">
        <w:tab/>
        <w:t xml:space="preserve">Bastardot F, Marques-Vidal P, Vollenweider P. Association of body temperature with obesity. The CoLaus study. </w:t>
      </w:r>
      <w:r w:rsidRPr="00BE712C">
        <w:rPr>
          <w:i/>
          <w:iCs/>
        </w:rPr>
        <w:t>Int J Obes</w:t>
      </w:r>
      <w:r w:rsidRPr="00BE712C">
        <w:t>. 2019;43(5):1026-1033. doi:10.1038/s41366-018-0218-7</w:t>
      </w:r>
    </w:p>
    <w:p w14:paraId="35AC821F" w14:textId="77777777" w:rsidR="00BE712C" w:rsidRPr="00BE712C" w:rsidRDefault="00BE712C" w:rsidP="009906F2">
      <w:pPr>
        <w:pStyle w:val="Bibliography"/>
        <w:spacing w:after="0"/>
        <w:ind w:left="0" w:firstLine="0"/>
        <w:jc w:val="left"/>
      </w:pPr>
      <w:r w:rsidRPr="00BE712C">
        <w:t>383.</w:t>
      </w:r>
      <w:r w:rsidRPr="00BE712C">
        <w:tab/>
        <w:t xml:space="preserve">Machado SA, Pasquarelli-do-Nascimento G, da Silva DS, et al. Browning of the white adipose tissue regulation: new insights into nutritional and metabolic relevance in health and diseases. </w:t>
      </w:r>
      <w:r w:rsidRPr="00BE712C">
        <w:rPr>
          <w:i/>
          <w:iCs/>
        </w:rPr>
        <w:t>Nutrition &amp; Metabolism</w:t>
      </w:r>
      <w:r w:rsidRPr="00BE712C">
        <w:t>. 2022;19(1):61. doi:10.1186/s12986-022-00694-0</w:t>
      </w:r>
    </w:p>
    <w:p w14:paraId="3608A6D2" w14:textId="77777777" w:rsidR="00BE712C" w:rsidRPr="00BE712C" w:rsidRDefault="00BE712C" w:rsidP="009906F2">
      <w:pPr>
        <w:pStyle w:val="Bibliography"/>
        <w:spacing w:after="0"/>
        <w:ind w:left="0" w:firstLine="0"/>
        <w:jc w:val="left"/>
      </w:pPr>
      <w:r w:rsidRPr="00BE712C">
        <w:t>384.</w:t>
      </w:r>
      <w:r w:rsidRPr="00BE712C">
        <w:tab/>
        <w:t xml:space="preserve">van Marken Lichtenbelt WD, Schrauwen P. Implications of nonshivering thermogenesis for energy balance regulation in humans. </w:t>
      </w:r>
      <w:r w:rsidRPr="00BE712C">
        <w:rPr>
          <w:i/>
          <w:iCs/>
        </w:rPr>
        <w:t>American Journal of Physiology-Regulatory, Integrative and Comparative Physiology</w:t>
      </w:r>
      <w:r w:rsidRPr="00BE712C">
        <w:t>. 2011;301(2):R285-R296. doi:10.1152/ajpregu.00652.2010</w:t>
      </w:r>
    </w:p>
    <w:p w14:paraId="04F4A2AE" w14:textId="77777777" w:rsidR="00BE712C" w:rsidRPr="00BE712C" w:rsidRDefault="00BE712C" w:rsidP="009906F2">
      <w:pPr>
        <w:pStyle w:val="Bibliography"/>
        <w:spacing w:after="0"/>
        <w:ind w:left="0" w:firstLine="0"/>
        <w:jc w:val="left"/>
      </w:pPr>
      <w:r w:rsidRPr="00BE712C">
        <w:t>385.</w:t>
      </w:r>
      <w:r w:rsidRPr="00BE712C">
        <w:tab/>
        <w:t xml:space="preserve">Hussain MF, Roesler A, Kazak L. Regulation of adipocyte thermogenesis: mechanisms controlling obesity. </w:t>
      </w:r>
      <w:r w:rsidRPr="00BE712C">
        <w:rPr>
          <w:i/>
          <w:iCs/>
        </w:rPr>
        <w:t>The FEBS Journal</w:t>
      </w:r>
      <w:r w:rsidRPr="00BE712C">
        <w:t>. 2020;287(16):3370-3385. doi:10.1111/febs.15331</w:t>
      </w:r>
    </w:p>
    <w:p w14:paraId="38119F44" w14:textId="77777777" w:rsidR="00BE712C" w:rsidRPr="00BE712C" w:rsidRDefault="00BE712C" w:rsidP="009906F2">
      <w:pPr>
        <w:pStyle w:val="Bibliography"/>
        <w:spacing w:after="0"/>
        <w:ind w:left="0" w:firstLine="0"/>
        <w:jc w:val="left"/>
      </w:pPr>
      <w:r w:rsidRPr="00BE712C">
        <w:lastRenderedPageBreak/>
        <w:t>386.</w:t>
      </w:r>
      <w:r w:rsidRPr="00BE712C">
        <w:tab/>
        <w:t xml:space="preserve">Uldry M, Yang W, St-Pierre J, Lin J, Seale P, Spiegelman BM. Complementary action of the PGC-1 coactivators in mitochondrial biogenesis and brown fat differentiation. </w:t>
      </w:r>
      <w:r w:rsidRPr="00BE712C">
        <w:rPr>
          <w:i/>
          <w:iCs/>
        </w:rPr>
        <w:t>Cell Metabolism</w:t>
      </w:r>
      <w:r w:rsidRPr="00BE712C">
        <w:t>. 2006;3(5):333-341. doi:10.1016/j.cmet.2006.04.002</w:t>
      </w:r>
    </w:p>
    <w:p w14:paraId="1717B412" w14:textId="77777777" w:rsidR="00BE712C" w:rsidRPr="00BE712C" w:rsidRDefault="00BE712C" w:rsidP="009906F2">
      <w:pPr>
        <w:pStyle w:val="Bibliography"/>
        <w:spacing w:after="0"/>
        <w:ind w:left="0" w:firstLine="0"/>
        <w:jc w:val="left"/>
      </w:pPr>
      <w:r w:rsidRPr="00BE712C">
        <w:t>387.</w:t>
      </w:r>
      <w:r w:rsidRPr="00BE712C">
        <w:tab/>
        <w:t xml:space="preserve">Johnson JM, Peterlin AD, Balderas E, et al. Mitochondrial phosphatidylethanolamine modulates UCP1 to promote brown adipose thermogenesis. </w:t>
      </w:r>
      <w:r w:rsidRPr="00BE712C">
        <w:rPr>
          <w:i/>
          <w:iCs/>
        </w:rPr>
        <w:t>Sci Adv</w:t>
      </w:r>
      <w:r w:rsidRPr="00BE712C">
        <w:t>. 2023;9(8):eade7864. doi:10.1126/sciadv.ade7864</w:t>
      </w:r>
    </w:p>
    <w:p w14:paraId="0363CB25" w14:textId="77777777" w:rsidR="00BE712C" w:rsidRPr="00BE712C" w:rsidRDefault="00BE712C" w:rsidP="009906F2">
      <w:pPr>
        <w:pStyle w:val="Bibliography"/>
        <w:spacing w:after="0"/>
        <w:ind w:left="0" w:firstLine="0"/>
        <w:jc w:val="left"/>
      </w:pPr>
      <w:r w:rsidRPr="00BE712C">
        <w:t>388.</w:t>
      </w:r>
      <w:r w:rsidRPr="00BE712C">
        <w:tab/>
        <w:t xml:space="preserve">Barberá MJ, Schlüter A, Pedraza N, Iglesias R, Villarroya F, Giralt M. Peroxisome Proliferator-activated Receptor α Activates Transcription of the Brown Fat Uncoupling Protein-1 Gene: A LINK BETWEEN REGULATION OF THE THERMOGENIC AND LIPID OXIDATION PATHWAYS IN THE BROWN FAT CELL*. </w:t>
      </w:r>
      <w:r w:rsidRPr="00BE712C">
        <w:rPr>
          <w:i/>
          <w:iCs/>
        </w:rPr>
        <w:t>Journal of Biological Chemistry</w:t>
      </w:r>
      <w:r w:rsidRPr="00BE712C">
        <w:t>. 2001;276(2):1486-1493. doi:10.1074/jbc.M006246200</w:t>
      </w:r>
    </w:p>
    <w:p w14:paraId="2674EB30" w14:textId="77777777" w:rsidR="00BE712C" w:rsidRPr="00BE712C" w:rsidRDefault="00BE712C" w:rsidP="009906F2">
      <w:pPr>
        <w:pStyle w:val="Bibliography"/>
        <w:spacing w:after="0"/>
        <w:ind w:left="0" w:firstLine="0"/>
        <w:jc w:val="left"/>
      </w:pPr>
      <w:r w:rsidRPr="00BE712C">
        <w:t>389.</w:t>
      </w:r>
      <w:r w:rsidRPr="00BE712C">
        <w:tab/>
        <w:t xml:space="preserve">Sears IB, MacGinnitie MA, Kovacs LG, Graves RA. Differentiation-dependent expression of the brown adipocyte uncoupling protein gene: regulation by peroxisome proliferator-activated receptor gamma. </w:t>
      </w:r>
      <w:r w:rsidRPr="00BE712C">
        <w:rPr>
          <w:i/>
          <w:iCs/>
        </w:rPr>
        <w:t>Mol Cell Biol</w:t>
      </w:r>
      <w:r w:rsidRPr="00BE712C">
        <w:t>. 1996;16(7):3410-3419.</w:t>
      </w:r>
    </w:p>
    <w:p w14:paraId="6E6F525F" w14:textId="77777777" w:rsidR="00BE712C" w:rsidRPr="00BE712C" w:rsidRDefault="00BE712C" w:rsidP="009906F2">
      <w:pPr>
        <w:pStyle w:val="Bibliography"/>
        <w:spacing w:after="0"/>
        <w:ind w:left="0" w:firstLine="0"/>
        <w:jc w:val="left"/>
      </w:pPr>
      <w:r w:rsidRPr="00BE712C">
        <w:t>390.</w:t>
      </w:r>
      <w:r w:rsidRPr="00BE712C">
        <w:tab/>
        <w:t xml:space="preserve">Bertholet AM, Kazak L, Chouchani ET, et al. Mitochondrial Patch-Clamp of Beige Adipocytes Reveals UCP1-positive and UCP1-negative Cells Both Exhibiting Futile Creatine Cycling. </w:t>
      </w:r>
      <w:r w:rsidRPr="00BE712C">
        <w:rPr>
          <w:i/>
          <w:iCs/>
        </w:rPr>
        <w:t>Cell Metab</w:t>
      </w:r>
      <w:r w:rsidRPr="00BE712C">
        <w:t>. 2017;25(4):811-822.e4. doi:10.1016/j.cmet.2017.03.002</w:t>
      </w:r>
    </w:p>
    <w:p w14:paraId="3FB800B8" w14:textId="77777777" w:rsidR="00BE712C" w:rsidRPr="00BE712C" w:rsidRDefault="00BE712C" w:rsidP="009906F2">
      <w:pPr>
        <w:pStyle w:val="Bibliography"/>
        <w:spacing w:after="0"/>
        <w:ind w:left="0" w:firstLine="0"/>
        <w:jc w:val="left"/>
      </w:pPr>
      <w:r w:rsidRPr="00BE712C">
        <w:t>391.</w:t>
      </w:r>
      <w:r w:rsidRPr="00BE712C">
        <w:tab/>
        <w:t xml:space="preserve">Ikeda K, Yamada T. UCP1 Dependent and Independent Thermogenesis in Brown and Beige Adipocytes. </w:t>
      </w:r>
      <w:r w:rsidRPr="00BE712C">
        <w:rPr>
          <w:i/>
          <w:iCs/>
        </w:rPr>
        <w:t>Front Endocrinol</w:t>
      </w:r>
      <w:r w:rsidRPr="00BE712C">
        <w:t>. 2020;11. doi:10.3389/fendo.2020.00498</w:t>
      </w:r>
    </w:p>
    <w:p w14:paraId="11007694" w14:textId="77777777" w:rsidR="00BE712C" w:rsidRPr="00BE712C" w:rsidRDefault="00BE712C" w:rsidP="009906F2">
      <w:pPr>
        <w:pStyle w:val="Bibliography"/>
        <w:spacing w:after="0"/>
        <w:ind w:left="0" w:firstLine="0"/>
        <w:jc w:val="left"/>
      </w:pPr>
      <w:r w:rsidRPr="00BE712C">
        <w:t>392.</w:t>
      </w:r>
      <w:r w:rsidRPr="00BE712C">
        <w:tab/>
        <w:t xml:space="preserve">Wang B, P. CC, Pippin JJ. Leptin- and Leptin Receptor-Deficient Rodent Models: Relevance for Human Type 2 Diabetes. </w:t>
      </w:r>
      <w:r w:rsidRPr="00BE712C">
        <w:rPr>
          <w:i/>
          <w:iCs/>
        </w:rPr>
        <w:t>Curr Diabetes Rev</w:t>
      </w:r>
      <w:r w:rsidRPr="00BE712C">
        <w:t>. 2014;10(2):131-145. doi:10.2174/1573399810666140508121012</w:t>
      </w:r>
    </w:p>
    <w:p w14:paraId="59D1B62C" w14:textId="77777777" w:rsidR="00BE712C" w:rsidRPr="00BE712C" w:rsidRDefault="00BE712C" w:rsidP="009906F2">
      <w:pPr>
        <w:pStyle w:val="Bibliography"/>
        <w:spacing w:after="0"/>
        <w:ind w:left="0" w:firstLine="0"/>
        <w:jc w:val="left"/>
      </w:pPr>
      <w:r w:rsidRPr="00BE712C">
        <w:lastRenderedPageBreak/>
        <w:t>393.</w:t>
      </w:r>
      <w:r w:rsidRPr="00BE712C">
        <w:tab/>
        <w:t xml:space="preserve">Bournat JC, Brown CW. Mitochondrial dysfunction in obesity. </w:t>
      </w:r>
      <w:r w:rsidRPr="00BE712C">
        <w:rPr>
          <w:i/>
          <w:iCs/>
        </w:rPr>
        <w:t>Current Opinion in Endocrinology, Diabetes and Obesity</w:t>
      </w:r>
      <w:r w:rsidRPr="00BE712C">
        <w:t>. 2010;17(5):446. doi:10.1097/MED.0b013e32833c3026</w:t>
      </w:r>
    </w:p>
    <w:p w14:paraId="5D46AED8" w14:textId="77777777" w:rsidR="00BE712C" w:rsidRPr="00BE712C" w:rsidRDefault="00BE712C" w:rsidP="009906F2">
      <w:pPr>
        <w:pStyle w:val="Bibliography"/>
        <w:spacing w:after="0"/>
        <w:ind w:left="0" w:firstLine="0"/>
        <w:jc w:val="left"/>
      </w:pPr>
      <w:r w:rsidRPr="00BE712C">
        <w:t>394.</w:t>
      </w:r>
      <w:r w:rsidRPr="00BE712C">
        <w:tab/>
        <w:t xml:space="preserve">Nedergaard J, Cannon B. The Browning of White Adipose Tissue: Some Burning Issues. </w:t>
      </w:r>
      <w:r w:rsidRPr="00BE712C">
        <w:rPr>
          <w:i/>
          <w:iCs/>
        </w:rPr>
        <w:t>Cell Metabolism</w:t>
      </w:r>
      <w:r w:rsidRPr="00BE712C">
        <w:t>. 2014;20(3):396-407. doi:10.1016/j.cmet.2014.07.005</w:t>
      </w:r>
    </w:p>
    <w:p w14:paraId="7BAE6DC8" w14:textId="77777777" w:rsidR="00BE712C" w:rsidRPr="00BE712C" w:rsidRDefault="00BE712C" w:rsidP="009906F2">
      <w:pPr>
        <w:pStyle w:val="Bibliography"/>
        <w:spacing w:after="0"/>
        <w:ind w:left="0" w:firstLine="0"/>
        <w:jc w:val="left"/>
      </w:pPr>
      <w:r w:rsidRPr="00BE712C">
        <w:t>395.</w:t>
      </w:r>
      <w:r w:rsidRPr="00BE712C">
        <w:tab/>
        <w:t xml:space="preserve">Peng B yu, Wang Q, Luo Y hong, He J feng, Tan T, Zhu H. A novel and quick PCR-based method to genotype mice with a leptin receptor mutation (db/db mice). </w:t>
      </w:r>
      <w:r w:rsidRPr="00BE712C">
        <w:rPr>
          <w:i/>
          <w:iCs/>
        </w:rPr>
        <w:t>Acta Pharmacol Sin</w:t>
      </w:r>
      <w:r w:rsidRPr="00BE712C">
        <w:t>. 2018;39(1):117-123. doi:10.1038/aps.2017.52</w:t>
      </w:r>
    </w:p>
    <w:p w14:paraId="6DB67F46" w14:textId="77777777" w:rsidR="00BE712C" w:rsidRPr="00BE712C" w:rsidRDefault="00BE712C" w:rsidP="009906F2">
      <w:pPr>
        <w:pStyle w:val="Bibliography"/>
        <w:spacing w:after="0"/>
        <w:ind w:left="0" w:firstLine="0"/>
        <w:jc w:val="left"/>
      </w:pPr>
      <w:r w:rsidRPr="00BE712C">
        <w:t>396.</w:t>
      </w:r>
      <w:r w:rsidRPr="00BE712C">
        <w:tab/>
        <w:t xml:space="preserve">Suriano F, Vieira-Silva S, Falony G, et al. Novel insights into the genetically obese (ob/ob) and diabetic (db/db) mice: two sides of the same coin. </w:t>
      </w:r>
      <w:r w:rsidRPr="00BE712C">
        <w:rPr>
          <w:i/>
          <w:iCs/>
        </w:rPr>
        <w:t>Microbiome</w:t>
      </w:r>
      <w:r w:rsidRPr="00BE712C">
        <w:t>. 2021;9(1):147. doi:10.1186/s40168-021-01097-8</w:t>
      </w:r>
    </w:p>
    <w:p w14:paraId="0D3D96BF" w14:textId="77777777" w:rsidR="00BE712C" w:rsidRPr="00BE712C" w:rsidRDefault="00BE712C" w:rsidP="009906F2">
      <w:pPr>
        <w:pStyle w:val="Bibliography"/>
        <w:spacing w:after="0"/>
        <w:ind w:left="0" w:firstLine="0"/>
        <w:jc w:val="left"/>
      </w:pPr>
      <w:r w:rsidRPr="00BE712C">
        <w:t>397.</w:t>
      </w:r>
      <w:r w:rsidRPr="00BE712C">
        <w:tab/>
        <w:t xml:space="preserve">Burke SJ, Batdorf HM, Burk DH, et al. db/db Mice Exhibit Features of Human Type 2 Diabetes That Are Not Present in Weight-Matched C57BL/6J Mice Fed a Western Diet. </w:t>
      </w:r>
      <w:r w:rsidRPr="00BE712C">
        <w:rPr>
          <w:i/>
          <w:iCs/>
        </w:rPr>
        <w:t>J Diabetes Res</w:t>
      </w:r>
      <w:r w:rsidRPr="00BE712C">
        <w:t>. 2017;2017:8503754. doi:10.1155/2017/8503754</w:t>
      </w:r>
    </w:p>
    <w:p w14:paraId="0ECCC9AC" w14:textId="77777777" w:rsidR="00BE712C" w:rsidRPr="00BE712C" w:rsidRDefault="00BE712C" w:rsidP="009906F2">
      <w:pPr>
        <w:pStyle w:val="Bibliography"/>
        <w:spacing w:after="0"/>
        <w:ind w:left="0" w:firstLine="0"/>
        <w:jc w:val="left"/>
      </w:pPr>
      <w:r w:rsidRPr="00BE712C">
        <w:t>398.</w:t>
      </w:r>
      <w:r w:rsidRPr="00BE712C">
        <w:tab/>
        <w:t xml:space="preserve">Hummel KP, Dickie MM, Coleman DL. Diabetes, a New Mutation in the Mouse. </w:t>
      </w:r>
      <w:r w:rsidRPr="00BE712C">
        <w:rPr>
          <w:i/>
          <w:iCs/>
        </w:rPr>
        <w:t>Science</w:t>
      </w:r>
      <w:r w:rsidRPr="00BE712C">
        <w:t>. 1966;153(3740):1127-1128. doi:10.1126/science.153.3740.1127</w:t>
      </w:r>
    </w:p>
    <w:p w14:paraId="61618C5F" w14:textId="77777777" w:rsidR="00BE712C" w:rsidRPr="00BE712C" w:rsidRDefault="00BE712C" w:rsidP="009906F2">
      <w:pPr>
        <w:pStyle w:val="Bibliography"/>
        <w:spacing w:after="0"/>
        <w:ind w:left="0" w:firstLine="0"/>
        <w:jc w:val="left"/>
      </w:pPr>
      <w:r w:rsidRPr="00BE712C">
        <w:t>399.</w:t>
      </w:r>
      <w:r w:rsidRPr="00BE712C">
        <w:tab/>
        <w:t xml:space="preserve">Sembach FE, Fink LN, Johansen T, et al. Impact of sex on diabetic nephropathy and the renal transcriptome in UNx db/db C57BLKS mice. </w:t>
      </w:r>
      <w:r w:rsidRPr="00BE712C">
        <w:rPr>
          <w:i/>
          <w:iCs/>
        </w:rPr>
        <w:t>Physiol Rep</w:t>
      </w:r>
      <w:r w:rsidRPr="00BE712C">
        <w:t>. 2019;7(24). doi:10.14814/phy2.14333</w:t>
      </w:r>
    </w:p>
    <w:p w14:paraId="7652FDE3" w14:textId="77777777" w:rsidR="00BE712C" w:rsidRPr="00BE712C" w:rsidRDefault="00BE712C" w:rsidP="009906F2">
      <w:pPr>
        <w:pStyle w:val="Bibliography"/>
        <w:spacing w:after="0"/>
        <w:ind w:left="0" w:firstLine="0"/>
        <w:jc w:val="left"/>
      </w:pPr>
      <w:r w:rsidRPr="00BE712C">
        <w:t>400.</w:t>
      </w:r>
      <w:r w:rsidRPr="00BE712C">
        <w:tab/>
        <w:t xml:space="preserve">Casimiro I, Stull ND, Tersey SA, Mirmira RG. Phenotypic Sexual Dimorphism in Response to Dietary Fat Manipulation in C57BL/6J Mice. </w:t>
      </w:r>
      <w:r w:rsidRPr="00BE712C">
        <w:rPr>
          <w:i/>
          <w:iCs/>
        </w:rPr>
        <w:t>J Diabetes Complications</w:t>
      </w:r>
      <w:r w:rsidRPr="00BE712C">
        <w:t>. 2021;35(2):107795. doi:10.1016/j.jdiacomp.2020.107795</w:t>
      </w:r>
    </w:p>
    <w:p w14:paraId="68E2E473" w14:textId="77777777" w:rsidR="00BE712C" w:rsidRPr="00BE712C" w:rsidRDefault="00BE712C" w:rsidP="009906F2">
      <w:pPr>
        <w:pStyle w:val="Bibliography"/>
        <w:spacing w:after="0"/>
        <w:ind w:left="0" w:firstLine="0"/>
        <w:jc w:val="left"/>
      </w:pPr>
      <w:r w:rsidRPr="00BE712C">
        <w:lastRenderedPageBreak/>
        <w:t>401.</w:t>
      </w:r>
      <w:r w:rsidRPr="00BE712C">
        <w:tab/>
        <w:t xml:space="preserve">Lumish HS, O’Reilly M, Reilly MP. Sex Differences in Genomic Drivers of Adipose Distribution and Related Cardiometabolic Disorders. </w:t>
      </w:r>
      <w:r w:rsidRPr="00BE712C">
        <w:rPr>
          <w:i/>
          <w:iCs/>
        </w:rPr>
        <w:t>Arteriosclerosis, Thrombosis, and Vascular Biology</w:t>
      </w:r>
      <w:r w:rsidRPr="00BE712C">
        <w:t>. 2020;40(1):45-60. doi:10.1161/ATVBAHA.119.313154</w:t>
      </w:r>
    </w:p>
    <w:p w14:paraId="6362FAB3" w14:textId="77777777" w:rsidR="00BE712C" w:rsidRPr="00BE712C" w:rsidRDefault="00BE712C" w:rsidP="009906F2">
      <w:pPr>
        <w:pStyle w:val="Bibliography"/>
        <w:spacing w:after="0"/>
        <w:ind w:left="0" w:firstLine="0"/>
        <w:jc w:val="left"/>
      </w:pPr>
      <w:r w:rsidRPr="00BE712C">
        <w:t>402.</w:t>
      </w:r>
      <w:r w:rsidRPr="00BE712C">
        <w:tab/>
        <w:t xml:space="preserve">Gavin KM, Bessesen DH. Sex Differences in Adipose Tissue Function. </w:t>
      </w:r>
      <w:r w:rsidRPr="00BE712C">
        <w:rPr>
          <w:i/>
          <w:iCs/>
        </w:rPr>
        <w:t>Endocrinol Metab Clin North Am</w:t>
      </w:r>
      <w:r w:rsidRPr="00BE712C">
        <w:t>. 2020;49(2):215-228. doi:10.1016/j.ecl.2020.02.008</w:t>
      </w:r>
    </w:p>
    <w:p w14:paraId="67388695" w14:textId="77777777" w:rsidR="00BE712C" w:rsidRPr="00BE712C" w:rsidRDefault="00BE712C" w:rsidP="009906F2">
      <w:pPr>
        <w:pStyle w:val="Bibliography"/>
        <w:spacing w:after="0"/>
        <w:ind w:left="0" w:firstLine="0"/>
        <w:jc w:val="left"/>
      </w:pPr>
      <w:r w:rsidRPr="00BE712C">
        <w:t>403.</w:t>
      </w:r>
      <w:r w:rsidRPr="00BE712C">
        <w:tab/>
        <w:t xml:space="preserve">Chang E, Varghese M, Singer K. Gender and Sex Differences in Adipose Tissue. </w:t>
      </w:r>
      <w:r w:rsidRPr="00BE712C">
        <w:rPr>
          <w:i/>
          <w:iCs/>
        </w:rPr>
        <w:t>Curr Diab Rep</w:t>
      </w:r>
      <w:r w:rsidRPr="00BE712C">
        <w:t>. 2018;18(9):69. doi:10.1007/s11892-018-1031-3</w:t>
      </w:r>
    </w:p>
    <w:p w14:paraId="7E8FEEFF" w14:textId="77777777" w:rsidR="00BE712C" w:rsidRPr="00BE712C" w:rsidRDefault="00BE712C" w:rsidP="009906F2">
      <w:pPr>
        <w:pStyle w:val="Bibliography"/>
        <w:spacing w:after="0"/>
        <w:ind w:left="0" w:firstLine="0"/>
        <w:jc w:val="left"/>
      </w:pPr>
      <w:r w:rsidRPr="00BE712C">
        <w:t>404.</w:t>
      </w:r>
      <w:r w:rsidRPr="00BE712C">
        <w:tab/>
        <w:t xml:space="preserve">Bracht JR, Vieira-Potter VJ, De Souza Santos R, Öz OK, Palmer BF, Clegg DJ. The role of estrogens in the adipose tissue milieu. </w:t>
      </w:r>
      <w:r w:rsidRPr="00BE712C">
        <w:rPr>
          <w:i/>
          <w:iCs/>
        </w:rPr>
        <w:t>Annals of the New York Academy of Sciences</w:t>
      </w:r>
      <w:r w:rsidRPr="00BE712C">
        <w:t>. 2020;1461(1):127-143. doi:10.1111/nyas.14281</w:t>
      </w:r>
    </w:p>
    <w:p w14:paraId="72D0A9EA" w14:textId="77777777" w:rsidR="00BE712C" w:rsidRPr="00BE712C" w:rsidRDefault="00BE712C" w:rsidP="009906F2">
      <w:pPr>
        <w:pStyle w:val="Bibliography"/>
        <w:spacing w:after="0"/>
        <w:ind w:left="0" w:firstLine="0"/>
        <w:jc w:val="left"/>
      </w:pPr>
      <w:r w:rsidRPr="00BE712C">
        <w:t>405.</w:t>
      </w:r>
      <w:r w:rsidRPr="00BE712C">
        <w:tab/>
        <w:t xml:space="preserve">Yang W, Jiang W, Liao W, et al. An estrogen receptor α-derived peptide improves glucose homeostasis during obesity. </w:t>
      </w:r>
      <w:r w:rsidRPr="00BE712C">
        <w:rPr>
          <w:i/>
          <w:iCs/>
        </w:rPr>
        <w:t>Nat Commun</w:t>
      </w:r>
      <w:r w:rsidRPr="00BE712C">
        <w:t>. 2024;15:3410. doi:10.1038/s41467-024-47687-6</w:t>
      </w:r>
    </w:p>
    <w:p w14:paraId="4A136AD2" w14:textId="77777777" w:rsidR="00BE712C" w:rsidRPr="00BE712C" w:rsidRDefault="00BE712C" w:rsidP="009906F2">
      <w:pPr>
        <w:pStyle w:val="Bibliography"/>
        <w:spacing w:after="0"/>
        <w:ind w:left="0" w:firstLine="0"/>
        <w:jc w:val="left"/>
      </w:pPr>
      <w:r w:rsidRPr="00BE712C">
        <w:t>406.</w:t>
      </w:r>
      <w:r w:rsidRPr="00BE712C">
        <w:tab/>
        <w:t xml:space="preserve">Prentice AM, Black AE, Coward WA, et al. High levels of energy expenditure in obese women. </w:t>
      </w:r>
      <w:r w:rsidRPr="00BE712C">
        <w:rPr>
          <w:i/>
          <w:iCs/>
        </w:rPr>
        <w:t>Br Med J (Clin Res Ed)</w:t>
      </w:r>
      <w:r w:rsidRPr="00BE712C">
        <w:t>. 1986;292(6526):983-987. doi:10.1136/bmj.292.6526.983</w:t>
      </w:r>
    </w:p>
    <w:p w14:paraId="65F5DB05" w14:textId="77777777" w:rsidR="00BE712C" w:rsidRPr="00BE712C" w:rsidRDefault="00BE712C" w:rsidP="009906F2">
      <w:pPr>
        <w:pStyle w:val="Bibliography"/>
        <w:spacing w:after="0"/>
        <w:ind w:left="0" w:firstLine="0"/>
        <w:jc w:val="left"/>
      </w:pPr>
      <w:r w:rsidRPr="00BE712C">
        <w:t>407.</w:t>
      </w:r>
      <w:r w:rsidRPr="00BE712C">
        <w:tab/>
        <w:t xml:space="preserve">Buresh R, Berg K, Noble J. Heat Production and Storage Are Positively Correlated With Measures of Body Size/Composition and Heart Rate Drift During Vigorous Running. </w:t>
      </w:r>
      <w:r w:rsidRPr="00BE712C">
        <w:rPr>
          <w:i/>
          <w:iCs/>
        </w:rPr>
        <w:t>Research Quarterly for Exercise and Sport</w:t>
      </w:r>
      <w:r w:rsidRPr="00BE712C">
        <w:t>. 2005;76(3):267-274. doi:10.1080/02701367.2005.10599298</w:t>
      </w:r>
    </w:p>
    <w:p w14:paraId="23E03BC4" w14:textId="77777777" w:rsidR="00BE712C" w:rsidRPr="00BE712C" w:rsidRDefault="00BE712C" w:rsidP="009906F2">
      <w:pPr>
        <w:pStyle w:val="Bibliography"/>
        <w:spacing w:after="0"/>
        <w:ind w:left="0" w:firstLine="0"/>
        <w:jc w:val="left"/>
      </w:pPr>
      <w:r w:rsidRPr="00BE712C">
        <w:t>408.</w:t>
      </w:r>
      <w:r w:rsidRPr="00BE712C">
        <w:tab/>
        <w:t xml:space="preserve">Masaki T, Yoshimatsu H, Chiba S, Sakata T. Impaired response of UCP family to cold exposure in diabetic ( </w:t>
      </w:r>
      <w:r w:rsidRPr="00BE712C">
        <w:rPr>
          <w:i/>
          <w:iCs/>
        </w:rPr>
        <w:t>db/db</w:t>
      </w:r>
      <w:r w:rsidRPr="00BE712C">
        <w:t xml:space="preserve"> ) mice. </w:t>
      </w:r>
      <w:r w:rsidRPr="00BE712C">
        <w:rPr>
          <w:i/>
          <w:iCs/>
        </w:rPr>
        <w:t>American Journal of Physiology-Regulatory, Integrative and Comparative Physiology</w:t>
      </w:r>
      <w:r w:rsidRPr="00BE712C">
        <w:t>. 2000;279(4):R1305-R1309. doi:10.1152/ajpregu.2000.279.4.R1305</w:t>
      </w:r>
    </w:p>
    <w:p w14:paraId="6C6185B9" w14:textId="77777777" w:rsidR="00BE712C" w:rsidRPr="00BE712C" w:rsidRDefault="00BE712C" w:rsidP="009906F2">
      <w:pPr>
        <w:pStyle w:val="Bibliography"/>
        <w:spacing w:after="0"/>
        <w:ind w:left="0" w:firstLine="0"/>
        <w:jc w:val="left"/>
      </w:pPr>
      <w:r w:rsidRPr="00BE712C">
        <w:lastRenderedPageBreak/>
        <w:t>409.</w:t>
      </w:r>
      <w:r w:rsidRPr="00BE712C">
        <w:tab/>
        <w:t xml:space="preserve">Rousset S, Alves-Guerra MC, Mozo J, et al. The biology of mitochondrial uncoupling proteins. </w:t>
      </w:r>
      <w:r w:rsidRPr="00BE712C">
        <w:rPr>
          <w:i/>
          <w:iCs/>
        </w:rPr>
        <w:t>Diabetes</w:t>
      </w:r>
      <w:r w:rsidRPr="00BE712C">
        <w:t>. 2004;53 Suppl 1:S130-135. doi:10.2337/diabetes.53.2007.s130</w:t>
      </w:r>
    </w:p>
    <w:p w14:paraId="7453FAE5" w14:textId="77777777" w:rsidR="00BE712C" w:rsidRPr="00BE712C" w:rsidRDefault="00BE712C" w:rsidP="009906F2">
      <w:pPr>
        <w:pStyle w:val="Bibliography"/>
        <w:spacing w:after="0"/>
        <w:ind w:left="0" w:firstLine="0"/>
        <w:jc w:val="left"/>
      </w:pPr>
      <w:r w:rsidRPr="00BE712C">
        <w:t>410.</w:t>
      </w:r>
      <w:r w:rsidRPr="00BE712C">
        <w:tab/>
        <w:t xml:space="preserve">Abu Shelbayeh O, Arroum T, Morris S, Busch KB. PGC-1α Is a Master Regulator of Mitochondrial Lifecycle and ROS Stress Response. </w:t>
      </w:r>
      <w:r w:rsidRPr="00BE712C">
        <w:rPr>
          <w:i/>
          <w:iCs/>
        </w:rPr>
        <w:t>Antioxidants (Basel)</w:t>
      </w:r>
      <w:r w:rsidRPr="00BE712C">
        <w:t>. 2023;12(5):1075. doi:10.3390/antiox12051075</w:t>
      </w:r>
    </w:p>
    <w:p w14:paraId="54CD2A96" w14:textId="77777777" w:rsidR="00BE712C" w:rsidRPr="00BE712C" w:rsidRDefault="00BE712C" w:rsidP="009906F2">
      <w:pPr>
        <w:pStyle w:val="Bibliography"/>
        <w:spacing w:after="0"/>
        <w:ind w:left="0" w:firstLine="0"/>
        <w:jc w:val="left"/>
      </w:pPr>
      <w:r w:rsidRPr="00BE712C">
        <w:t>411.</w:t>
      </w:r>
      <w:r w:rsidRPr="00BE712C">
        <w:tab/>
        <w:t xml:space="preserve">Sharma BK, Patil M, Satyanarayana A. Negative Regulators of Brown Adipose Tissue (BAT)-Mediated Thermogenesis. </w:t>
      </w:r>
      <w:r w:rsidRPr="00BE712C">
        <w:rPr>
          <w:i/>
          <w:iCs/>
        </w:rPr>
        <w:t>J Cell Physiol</w:t>
      </w:r>
      <w:r w:rsidRPr="00BE712C">
        <w:t>. 2014;229(12):1901-1907. doi:10.1002/jcp.24664</w:t>
      </w:r>
    </w:p>
    <w:p w14:paraId="5DE79F05" w14:textId="77777777" w:rsidR="00BE712C" w:rsidRPr="00BE712C" w:rsidRDefault="00BE712C" w:rsidP="009906F2">
      <w:pPr>
        <w:pStyle w:val="Bibliography"/>
        <w:spacing w:after="0"/>
        <w:ind w:left="0" w:firstLine="0"/>
        <w:jc w:val="left"/>
      </w:pPr>
      <w:r w:rsidRPr="00BE712C">
        <w:t>412.</w:t>
      </w:r>
      <w:r w:rsidRPr="00BE712C">
        <w:tab/>
        <w:t xml:space="preserve">Nickelson KJ, Stromsdorfer KL, Pickering RT, et al. A Comparison of Inflammatory and Oxidative Stress Markers in Adipose Tissue from Weight-Matched Obese Male and Female Mice. </w:t>
      </w:r>
      <w:r w:rsidRPr="00BE712C">
        <w:rPr>
          <w:i/>
          <w:iCs/>
        </w:rPr>
        <w:t>Journal of Diabetes Research</w:t>
      </w:r>
      <w:r w:rsidRPr="00BE712C">
        <w:t>. 2012;2012(1):859395. doi:10.1155/2012/859395</w:t>
      </w:r>
    </w:p>
    <w:p w14:paraId="19CC7D8D" w14:textId="77777777" w:rsidR="00BE712C" w:rsidRPr="00BE712C" w:rsidRDefault="00BE712C" w:rsidP="009906F2">
      <w:pPr>
        <w:pStyle w:val="Bibliography"/>
        <w:spacing w:after="0"/>
        <w:ind w:left="0" w:firstLine="0"/>
        <w:jc w:val="left"/>
      </w:pPr>
      <w:r w:rsidRPr="00BE712C">
        <w:t>413.</w:t>
      </w:r>
      <w:r w:rsidRPr="00BE712C">
        <w:tab/>
        <w:t xml:space="preserve">Sarver DC, Saqib M, Chen F, Wong GW. Mitochondrial respiration atlas reveals differential changes in mitochondrial function across sex and age. </w:t>
      </w:r>
      <w:r w:rsidRPr="00BE712C">
        <w:rPr>
          <w:i/>
          <w:iCs/>
        </w:rPr>
        <w:t>eLife</w:t>
      </w:r>
      <w:r w:rsidRPr="00BE712C">
        <w:t>. 2024;13. doi:10.7554/eLife.96926.3</w:t>
      </w:r>
    </w:p>
    <w:p w14:paraId="54F951EE" w14:textId="77777777" w:rsidR="00BE712C" w:rsidRPr="00BE712C" w:rsidRDefault="00BE712C" w:rsidP="009906F2">
      <w:pPr>
        <w:pStyle w:val="Bibliography"/>
        <w:spacing w:after="0"/>
        <w:ind w:left="0" w:firstLine="0"/>
        <w:jc w:val="left"/>
      </w:pPr>
      <w:r w:rsidRPr="00BE712C">
        <w:t>414.</w:t>
      </w:r>
      <w:r w:rsidRPr="00BE712C">
        <w:tab/>
        <w:t xml:space="preserve">Pillon NJ, Loos RJF, Marshall SM, Zierath JR. Metabolic consequences of obesity and type 2 diabetes: Balancing genes and environment for personalized care. </w:t>
      </w:r>
      <w:r w:rsidRPr="00BE712C">
        <w:rPr>
          <w:i/>
          <w:iCs/>
        </w:rPr>
        <w:t>Cell</w:t>
      </w:r>
      <w:r w:rsidRPr="00BE712C">
        <w:t>. 2021;184(6):1530-1544. doi:10.1016/j.cell.2021.02.012</w:t>
      </w:r>
    </w:p>
    <w:p w14:paraId="7BC8EAC7" w14:textId="77777777" w:rsidR="00BE712C" w:rsidRPr="00BE712C" w:rsidRDefault="00BE712C" w:rsidP="009906F2">
      <w:pPr>
        <w:pStyle w:val="Bibliography"/>
        <w:spacing w:after="0"/>
        <w:ind w:left="0" w:firstLine="0"/>
        <w:jc w:val="left"/>
      </w:pPr>
      <w:r w:rsidRPr="00BE712C">
        <w:t>415.</w:t>
      </w:r>
      <w:r w:rsidRPr="00BE712C">
        <w:tab/>
        <w:t>Obesity and overweight. Accessed April 28, 2025. https://www.who.int/news-room/fact-sheets/detail/obesity-and-overweight</w:t>
      </w:r>
    </w:p>
    <w:p w14:paraId="65E3D3E5" w14:textId="77777777" w:rsidR="00BE712C" w:rsidRPr="00BE712C" w:rsidRDefault="00BE712C" w:rsidP="009906F2">
      <w:pPr>
        <w:pStyle w:val="Bibliography"/>
        <w:spacing w:after="0"/>
        <w:ind w:left="0" w:firstLine="0"/>
        <w:jc w:val="left"/>
      </w:pPr>
      <w:r w:rsidRPr="00BE712C">
        <w:t>416.</w:t>
      </w:r>
      <w:r w:rsidRPr="00BE712C">
        <w:tab/>
        <w:t xml:space="preserve">Reyes-Farias M, Fos-Domenech J, Serra D, Herrero L, Sánchez-Infantes D. White adipose tissue dysfunction in obesity and aging. </w:t>
      </w:r>
      <w:r w:rsidRPr="00BE712C">
        <w:rPr>
          <w:i/>
          <w:iCs/>
        </w:rPr>
        <w:t>Biochemical Pharmacology</w:t>
      </w:r>
      <w:r w:rsidRPr="00BE712C">
        <w:t>. 2021;192:114723. doi:10.1016/j.bcp.2021.114723</w:t>
      </w:r>
    </w:p>
    <w:p w14:paraId="7044DEEA" w14:textId="77777777" w:rsidR="00BE712C" w:rsidRPr="00BE712C" w:rsidRDefault="00BE712C" w:rsidP="009906F2">
      <w:pPr>
        <w:pStyle w:val="Bibliography"/>
        <w:spacing w:after="0"/>
        <w:ind w:left="0" w:firstLine="0"/>
        <w:jc w:val="left"/>
      </w:pPr>
      <w:r w:rsidRPr="00BE712C">
        <w:lastRenderedPageBreak/>
        <w:t>417.</w:t>
      </w:r>
      <w:r w:rsidRPr="00BE712C">
        <w:tab/>
        <w:t xml:space="preserve">Kawai T, Autieri MV, Scalia R. Adipose tissue inflammation and metabolic dysfunction in obesity. </w:t>
      </w:r>
      <w:r w:rsidRPr="00BE712C">
        <w:rPr>
          <w:i/>
          <w:iCs/>
        </w:rPr>
        <w:t>American Journal of Physiology-Cell Physiology</w:t>
      </w:r>
      <w:r w:rsidRPr="00BE712C">
        <w:t>. 2021;320(3):C375-C391. doi:10.1152/ajpcell.00379.2020</w:t>
      </w:r>
    </w:p>
    <w:p w14:paraId="1D28B856" w14:textId="77777777" w:rsidR="00BE712C" w:rsidRPr="00BE712C" w:rsidRDefault="00BE712C" w:rsidP="009906F2">
      <w:pPr>
        <w:pStyle w:val="Bibliography"/>
        <w:spacing w:after="0"/>
        <w:ind w:left="0" w:firstLine="0"/>
        <w:jc w:val="left"/>
      </w:pPr>
      <w:r w:rsidRPr="00BE712C">
        <w:t>418.</w:t>
      </w:r>
      <w:r w:rsidRPr="00BE712C">
        <w:tab/>
        <w:t xml:space="preserve">An SM, Cho SH, Yoon JC. Adipose Tissue and Metabolic Health. </w:t>
      </w:r>
      <w:r w:rsidRPr="00BE712C">
        <w:rPr>
          <w:i/>
          <w:iCs/>
        </w:rPr>
        <w:t>Diabetes Metab J</w:t>
      </w:r>
      <w:r w:rsidRPr="00BE712C">
        <w:t>. 2023;47(5):595-611. doi:10.4093/dmj.2023.0011</w:t>
      </w:r>
    </w:p>
    <w:p w14:paraId="3E348280" w14:textId="77777777" w:rsidR="00BE712C" w:rsidRPr="00BE712C" w:rsidRDefault="00BE712C" w:rsidP="009906F2">
      <w:pPr>
        <w:pStyle w:val="Bibliography"/>
        <w:spacing w:after="0"/>
        <w:ind w:left="0" w:firstLine="0"/>
        <w:jc w:val="left"/>
      </w:pPr>
      <w:r w:rsidRPr="00BE712C">
        <w:t>419.</w:t>
      </w:r>
      <w:r w:rsidRPr="00BE712C">
        <w:tab/>
        <w:t xml:space="preserve">Ahmed B, Sultana R, Greene MW. Adipose tissue and insulin resistance in obese. </w:t>
      </w:r>
      <w:r w:rsidRPr="00BE712C">
        <w:rPr>
          <w:i/>
          <w:iCs/>
        </w:rPr>
        <w:t>Biomedicine &amp; Pharmacotherapy</w:t>
      </w:r>
      <w:r w:rsidRPr="00BE712C">
        <w:t>. 2021;137:111315. doi:10.1016/j.biopha.2021.111315</w:t>
      </w:r>
    </w:p>
    <w:p w14:paraId="7F7F385F" w14:textId="77777777" w:rsidR="00BE712C" w:rsidRPr="00BE712C" w:rsidRDefault="00BE712C" w:rsidP="009906F2">
      <w:pPr>
        <w:pStyle w:val="Bibliography"/>
        <w:spacing w:after="0"/>
        <w:ind w:left="0" w:firstLine="0"/>
        <w:jc w:val="left"/>
      </w:pPr>
      <w:r w:rsidRPr="00BE712C">
        <w:t>420.</w:t>
      </w:r>
      <w:r w:rsidRPr="00BE712C">
        <w:tab/>
        <w:t xml:space="preserve">Kawai T, Autieri MV, Scalia R. Adipose tissue inflammation and metabolic dysfunction in obesity. </w:t>
      </w:r>
      <w:r w:rsidRPr="00BE712C">
        <w:rPr>
          <w:i/>
          <w:iCs/>
        </w:rPr>
        <w:t>Am J Physiol Cell Physiol</w:t>
      </w:r>
      <w:r w:rsidRPr="00BE712C">
        <w:t>. 2021;320(3):C375-C391. doi:10.1152/ajpcell.00379.2020</w:t>
      </w:r>
    </w:p>
    <w:p w14:paraId="4EA2867A" w14:textId="77777777" w:rsidR="00BE712C" w:rsidRPr="00BE712C" w:rsidRDefault="00BE712C" w:rsidP="009906F2">
      <w:pPr>
        <w:pStyle w:val="Bibliography"/>
        <w:spacing w:after="0"/>
        <w:ind w:left="0" w:firstLine="0"/>
        <w:jc w:val="left"/>
      </w:pPr>
      <w:r w:rsidRPr="00BE712C">
        <w:t>421.</w:t>
      </w:r>
      <w:r w:rsidRPr="00BE712C">
        <w:tab/>
        <w:t xml:space="preserve">Guebre-Egziabher F, Alix PM, Koppe L, et al. Ectopic lipid accumulation: A potential cause for metabolic disturbances and a contributor to the alteration of kidney function. </w:t>
      </w:r>
      <w:r w:rsidRPr="00BE712C">
        <w:rPr>
          <w:i/>
          <w:iCs/>
        </w:rPr>
        <w:t>Biochimie</w:t>
      </w:r>
      <w:r w:rsidRPr="00BE712C">
        <w:t>. 2013;95(11):1971-1979. doi:10.1016/j.biochi.2013.07.017</w:t>
      </w:r>
    </w:p>
    <w:p w14:paraId="4C0DDACC" w14:textId="77777777" w:rsidR="00BE712C" w:rsidRPr="00BE712C" w:rsidRDefault="00BE712C" w:rsidP="009906F2">
      <w:pPr>
        <w:pStyle w:val="Bibliography"/>
        <w:spacing w:after="0"/>
        <w:ind w:left="0" w:firstLine="0"/>
        <w:jc w:val="left"/>
      </w:pPr>
      <w:r w:rsidRPr="00BE712C">
        <w:t>422.</w:t>
      </w:r>
      <w:r w:rsidRPr="00BE712C">
        <w:tab/>
        <w:t xml:space="preserve">Cheng L, Wang J, Dai H, et al. Brown and beige adipose tissue: a novel therapeutic strategy for obesity and type 2 diabetes mellitus. </w:t>
      </w:r>
      <w:r w:rsidRPr="00BE712C">
        <w:rPr>
          <w:i/>
          <w:iCs/>
        </w:rPr>
        <w:t>Adipocyte</w:t>
      </w:r>
      <w:r w:rsidRPr="00BE712C">
        <w:t>. 10(1):48-65. doi:10.1080/21623945.2020.1870060</w:t>
      </w:r>
    </w:p>
    <w:p w14:paraId="4A8FB434" w14:textId="77777777" w:rsidR="00BE712C" w:rsidRPr="00BE712C" w:rsidRDefault="00BE712C" w:rsidP="009906F2">
      <w:pPr>
        <w:pStyle w:val="Bibliography"/>
        <w:spacing w:after="0"/>
        <w:ind w:left="0" w:firstLine="0"/>
        <w:jc w:val="left"/>
      </w:pPr>
      <w:r w:rsidRPr="00BE712C">
        <w:t>423.</w:t>
      </w:r>
      <w:r w:rsidRPr="00BE712C">
        <w:tab/>
        <w:t xml:space="preserve">Kajimura S, Spiegelman BM, Seale P. Brown and Beige Fat: Physiological Roles beyond Heat Generation. </w:t>
      </w:r>
      <w:r w:rsidRPr="00BE712C">
        <w:rPr>
          <w:i/>
          <w:iCs/>
        </w:rPr>
        <w:t>Cell Metabolism</w:t>
      </w:r>
      <w:r w:rsidRPr="00BE712C">
        <w:t>. 2015;22(4):546-559. doi:10.1016/j.cmet.2015.09.007</w:t>
      </w:r>
    </w:p>
    <w:p w14:paraId="0600FE8B" w14:textId="77777777" w:rsidR="00BE712C" w:rsidRPr="00BE712C" w:rsidRDefault="00BE712C" w:rsidP="009906F2">
      <w:pPr>
        <w:pStyle w:val="Bibliography"/>
        <w:spacing w:after="0"/>
        <w:ind w:left="0" w:firstLine="0"/>
        <w:jc w:val="left"/>
      </w:pPr>
      <w:r w:rsidRPr="00BE712C">
        <w:t>424.</w:t>
      </w:r>
      <w:r w:rsidRPr="00BE712C">
        <w:tab/>
        <w:t xml:space="preserve">Wu J, Boström P, Sparks LM, et al. Beige Adipocytes are a Distinct Type of Thermogenic Fat Cell in Mouse and Human. </w:t>
      </w:r>
      <w:r w:rsidRPr="00BE712C">
        <w:rPr>
          <w:i/>
          <w:iCs/>
        </w:rPr>
        <w:t>Cell</w:t>
      </w:r>
      <w:r w:rsidRPr="00BE712C">
        <w:t>. 2012;150(2):366-376. doi:10.1016/j.cell.2012.05.016</w:t>
      </w:r>
    </w:p>
    <w:p w14:paraId="6F31D131" w14:textId="77777777" w:rsidR="00BE712C" w:rsidRPr="00BE712C" w:rsidRDefault="00BE712C" w:rsidP="009906F2">
      <w:pPr>
        <w:pStyle w:val="Bibliography"/>
        <w:spacing w:after="0"/>
        <w:ind w:left="0" w:firstLine="0"/>
        <w:jc w:val="left"/>
      </w:pPr>
      <w:r w:rsidRPr="00BE712C">
        <w:t>425.</w:t>
      </w:r>
      <w:r w:rsidRPr="00BE712C">
        <w:tab/>
        <w:t xml:space="preserve">Harms M, Seale P. Brown and beige fat: development, function and therapeutic potential. </w:t>
      </w:r>
      <w:r w:rsidRPr="00BE712C">
        <w:rPr>
          <w:i/>
          <w:iCs/>
        </w:rPr>
        <w:t>Nat Med</w:t>
      </w:r>
      <w:r w:rsidRPr="00BE712C">
        <w:t>. 2013;19(10):1252-1263. doi:10.1038/nm.3361</w:t>
      </w:r>
    </w:p>
    <w:p w14:paraId="65333591" w14:textId="77777777" w:rsidR="00BE712C" w:rsidRPr="00BE712C" w:rsidRDefault="00BE712C" w:rsidP="009906F2">
      <w:pPr>
        <w:pStyle w:val="Bibliography"/>
        <w:spacing w:after="0"/>
        <w:ind w:left="0" w:firstLine="0"/>
        <w:jc w:val="left"/>
      </w:pPr>
      <w:r w:rsidRPr="00BE712C">
        <w:lastRenderedPageBreak/>
        <w:t>426.</w:t>
      </w:r>
      <w:r w:rsidRPr="00BE712C">
        <w:tab/>
        <w:t xml:space="preserve">Gehm BD, McAndrews JM, Chien PY, Jameson JL. Resveratrol, a polyphenolic compound found in grapes and wine, is an agonist for the estrogen receptor. </w:t>
      </w:r>
      <w:r w:rsidRPr="00BE712C">
        <w:rPr>
          <w:i/>
          <w:iCs/>
        </w:rPr>
        <w:t>Proceedings of the National Academy of Sciences</w:t>
      </w:r>
      <w:r w:rsidRPr="00BE712C">
        <w:t>. 1997;94(25):14138-14143. doi:10.1073/pnas.94.25.14138</w:t>
      </w:r>
    </w:p>
    <w:p w14:paraId="789AE3C0" w14:textId="77777777" w:rsidR="00BE712C" w:rsidRPr="00BE712C" w:rsidRDefault="00BE712C" w:rsidP="009906F2">
      <w:pPr>
        <w:pStyle w:val="Bibliography"/>
        <w:spacing w:after="0"/>
        <w:ind w:left="0" w:firstLine="0"/>
        <w:jc w:val="left"/>
      </w:pPr>
      <w:r w:rsidRPr="00BE712C">
        <w:t>427.</w:t>
      </w:r>
      <w:r w:rsidRPr="00BE712C">
        <w:tab/>
        <w:t xml:space="preserve">Singh CK, Liu X, Ahmad N. Resveratrol, in its natural combination in whole grape, for health promotion and disease management. </w:t>
      </w:r>
      <w:r w:rsidRPr="00BE712C">
        <w:rPr>
          <w:i/>
          <w:iCs/>
        </w:rPr>
        <w:t>Ann N Y Acad Sci</w:t>
      </w:r>
      <w:r w:rsidRPr="00BE712C">
        <w:t>. 2015;1348(1):150-160. doi:10.1111/nyas.12798</w:t>
      </w:r>
    </w:p>
    <w:p w14:paraId="6920220D" w14:textId="77777777" w:rsidR="00BE712C" w:rsidRPr="00BE712C" w:rsidRDefault="00BE712C" w:rsidP="009906F2">
      <w:pPr>
        <w:pStyle w:val="Bibliography"/>
        <w:spacing w:after="0"/>
        <w:ind w:left="0" w:firstLine="0"/>
        <w:jc w:val="left"/>
      </w:pPr>
      <w:r w:rsidRPr="00BE712C">
        <w:t>428.</w:t>
      </w:r>
      <w:r w:rsidRPr="00BE712C">
        <w:tab/>
        <w:t xml:space="preserve">Zu Y, Zhao L, Hao L, et al. Browning white adipose tissue using adipose stromal cell-targeted resveratrol-loaded nanoparticles for combating obesity. </w:t>
      </w:r>
      <w:r w:rsidRPr="00BE712C">
        <w:rPr>
          <w:i/>
          <w:iCs/>
        </w:rPr>
        <w:t>Journal of Controlled Release</w:t>
      </w:r>
      <w:r w:rsidRPr="00BE712C">
        <w:t>. 2021;333:339-351. doi:10.1016/j.jconrel.2021.03.022</w:t>
      </w:r>
    </w:p>
    <w:p w14:paraId="10C73CBE" w14:textId="77777777" w:rsidR="00BE712C" w:rsidRPr="00BE712C" w:rsidRDefault="00BE712C" w:rsidP="009906F2">
      <w:pPr>
        <w:pStyle w:val="Bibliography"/>
        <w:spacing w:after="0"/>
        <w:ind w:left="0" w:firstLine="0"/>
        <w:jc w:val="left"/>
      </w:pPr>
      <w:r w:rsidRPr="00BE712C">
        <w:t>429.</w:t>
      </w:r>
      <w:r w:rsidRPr="00BE712C">
        <w:tab/>
        <w:t xml:space="preserve">Baur JA, Pearson KJ, Price NL, et al. Resveratrol improves health and survival of mice on a high-calorie diet. </w:t>
      </w:r>
      <w:r w:rsidRPr="00BE712C">
        <w:rPr>
          <w:i/>
          <w:iCs/>
        </w:rPr>
        <w:t>Nature</w:t>
      </w:r>
      <w:r w:rsidRPr="00BE712C">
        <w:t>. 2006;444(7117):337-342. doi:10.1038/nature05354</w:t>
      </w:r>
    </w:p>
    <w:p w14:paraId="46720DB4" w14:textId="77777777" w:rsidR="00BE712C" w:rsidRPr="00BE712C" w:rsidRDefault="00BE712C" w:rsidP="009906F2">
      <w:pPr>
        <w:pStyle w:val="Bibliography"/>
        <w:spacing w:after="0"/>
        <w:ind w:left="0" w:firstLine="0"/>
        <w:jc w:val="left"/>
      </w:pPr>
      <w:r w:rsidRPr="00BE712C">
        <w:t>430.</w:t>
      </w:r>
      <w:r w:rsidRPr="00BE712C">
        <w:tab/>
        <w:t xml:space="preserve">Terzo M, Iantomasi M, Tsiani E. Effects of Resveratrol on Adipocytes: Evidence from In Vitro and In Vivo Studies. </w:t>
      </w:r>
      <w:r w:rsidRPr="00BE712C">
        <w:rPr>
          <w:i/>
          <w:iCs/>
        </w:rPr>
        <w:t>Molecules</w:t>
      </w:r>
      <w:r w:rsidRPr="00BE712C">
        <w:t>. 2024;29(22):5359. doi:10.3390/molecules29225359</w:t>
      </w:r>
    </w:p>
    <w:p w14:paraId="20849393" w14:textId="77777777" w:rsidR="00BE712C" w:rsidRPr="00BE712C" w:rsidRDefault="00BE712C" w:rsidP="009906F2">
      <w:pPr>
        <w:pStyle w:val="Bibliography"/>
        <w:spacing w:after="0"/>
        <w:ind w:left="0" w:firstLine="0"/>
        <w:jc w:val="left"/>
      </w:pPr>
      <w:r w:rsidRPr="00BE712C">
        <w:t>431.</w:t>
      </w:r>
      <w:r w:rsidRPr="00BE712C">
        <w:tab/>
        <w:t xml:space="preserve">Wang S, Liang X, Yang Q, et al. Resveratrol enhances brown adipocyte formation and function by activating AMP-activated protein kinase (AMPK) α1 in mice fed high-fat diet. </w:t>
      </w:r>
      <w:r w:rsidRPr="00BE712C">
        <w:rPr>
          <w:i/>
          <w:iCs/>
        </w:rPr>
        <w:t>Mol Nutr Food Res</w:t>
      </w:r>
      <w:r w:rsidRPr="00BE712C">
        <w:t>. 2017;61(4):10.1002/mnfr.201600746. doi:10.1002/mnfr.201600746</w:t>
      </w:r>
    </w:p>
    <w:p w14:paraId="191E386F" w14:textId="77777777" w:rsidR="00BE712C" w:rsidRPr="00BE712C" w:rsidRDefault="00BE712C" w:rsidP="009906F2">
      <w:pPr>
        <w:pStyle w:val="Bibliography"/>
        <w:spacing w:after="0"/>
        <w:ind w:left="0" w:firstLine="0"/>
        <w:jc w:val="left"/>
      </w:pPr>
      <w:r w:rsidRPr="00BE712C">
        <w:t>432.</w:t>
      </w:r>
      <w:r w:rsidRPr="00BE712C">
        <w:tab/>
        <w:t xml:space="preserve">Qiang L, Wang L, Kon N, et al. Brown Remodeling of White Adipose Tissue by SirT1-Dependent Deacetylation of Pparγ. </w:t>
      </w:r>
      <w:r w:rsidRPr="00BE712C">
        <w:rPr>
          <w:i/>
          <w:iCs/>
        </w:rPr>
        <w:t>Cell</w:t>
      </w:r>
      <w:r w:rsidRPr="00BE712C">
        <w:t>. 2012;150(3):620-632. doi:10.1016/j.cell.2012.06.027</w:t>
      </w:r>
    </w:p>
    <w:p w14:paraId="3767BF7C" w14:textId="77777777" w:rsidR="00BE712C" w:rsidRPr="00BE712C" w:rsidRDefault="00BE712C" w:rsidP="009906F2">
      <w:pPr>
        <w:pStyle w:val="Bibliography"/>
        <w:spacing w:after="0"/>
        <w:ind w:left="0" w:firstLine="0"/>
        <w:jc w:val="left"/>
      </w:pPr>
      <w:r w:rsidRPr="00BE712C">
        <w:t>433.</w:t>
      </w:r>
      <w:r w:rsidRPr="00BE712C">
        <w:tab/>
        <w:t xml:space="preserve">Lasar D, Rosenwald M, Kiehlmann E, et al. Peroxisome Proliferator Activated Receptor Gamma Controls Mature Brown Adipocyte Inducibility through Glycerol Kinase. </w:t>
      </w:r>
      <w:r w:rsidRPr="00BE712C">
        <w:rPr>
          <w:i/>
          <w:iCs/>
        </w:rPr>
        <w:t>Cell Reports</w:t>
      </w:r>
      <w:r w:rsidRPr="00BE712C">
        <w:t>. 2018;22(3):760-773. doi:10.1016/j.celrep.2017.12.067</w:t>
      </w:r>
    </w:p>
    <w:p w14:paraId="2229C4A0" w14:textId="77777777" w:rsidR="00BE712C" w:rsidRPr="00BE712C" w:rsidRDefault="00BE712C" w:rsidP="009906F2">
      <w:pPr>
        <w:pStyle w:val="Bibliography"/>
        <w:spacing w:after="0"/>
        <w:ind w:left="0" w:firstLine="0"/>
        <w:jc w:val="left"/>
      </w:pPr>
      <w:r w:rsidRPr="00BE712C">
        <w:lastRenderedPageBreak/>
        <w:t>434.</w:t>
      </w:r>
      <w:r w:rsidRPr="00BE712C">
        <w:tab/>
        <w:t xml:space="preserve">Mo YY, Han YX, Xu SN, et al. Adipose Tissue Plasticity: A Comprehensive Definition and Multidimensional Insight. </w:t>
      </w:r>
      <w:r w:rsidRPr="00BE712C">
        <w:rPr>
          <w:i/>
          <w:iCs/>
        </w:rPr>
        <w:t>Biomolecules</w:t>
      </w:r>
      <w:r w:rsidRPr="00BE712C">
        <w:t>. 2024;14(10):1223. doi:10.3390/biom14101223</w:t>
      </w:r>
    </w:p>
    <w:p w14:paraId="3768FA07" w14:textId="77777777" w:rsidR="00BE712C" w:rsidRPr="00BE712C" w:rsidRDefault="00BE712C" w:rsidP="009906F2">
      <w:pPr>
        <w:pStyle w:val="Bibliography"/>
        <w:spacing w:after="0"/>
        <w:ind w:left="0" w:firstLine="0"/>
        <w:jc w:val="left"/>
      </w:pPr>
      <w:r w:rsidRPr="00BE712C">
        <w:t>435.</w:t>
      </w:r>
      <w:r w:rsidRPr="00BE712C">
        <w:tab/>
        <w:t xml:space="preserve">Mita V, Cameron G, Kaitlin M, Leila E, Simin A, Singer K. Female adipose tissue has improved adaptability and metabolic health compared to males in aged obesity. </w:t>
      </w:r>
      <w:r w:rsidRPr="00BE712C">
        <w:rPr>
          <w:i/>
          <w:iCs/>
        </w:rPr>
        <w:t>Aging (Albany NY)</w:t>
      </w:r>
      <w:r w:rsidRPr="00BE712C">
        <w:t>. 2020;12(2):1725-1746. doi:10.18632/aging.102709</w:t>
      </w:r>
    </w:p>
    <w:p w14:paraId="514CB875" w14:textId="77777777" w:rsidR="00BE712C" w:rsidRPr="00BE712C" w:rsidRDefault="00BE712C" w:rsidP="009906F2">
      <w:pPr>
        <w:pStyle w:val="Bibliography"/>
        <w:spacing w:after="0"/>
        <w:ind w:left="0" w:firstLine="0"/>
        <w:jc w:val="left"/>
      </w:pPr>
      <w:r w:rsidRPr="00BE712C">
        <w:t>436.</w:t>
      </w:r>
      <w:r w:rsidRPr="00BE712C">
        <w:tab/>
        <w:t xml:space="preserve">Chang E, Varghese M, Singer K. Gender and Sex Differences in Adipose Tissue. </w:t>
      </w:r>
      <w:r w:rsidRPr="00BE712C">
        <w:rPr>
          <w:i/>
          <w:iCs/>
        </w:rPr>
        <w:t>Curr Diab Rep</w:t>
      </w:r>
      <w:r w:rsidRPr="00BE712C">
        <w:t>. 2018;18(9):69. doi:10.1007/s11892-018-1031-3</w:t>
      </w:r>
    </w:p>
    <w:p w14:paraId="074D3926" w14:textId="77777777" w:rsidR="00BE712C" w:rsidRPr="00BE712C" w:rsidRDefault="00BE712C" w:rsidP="009906F2">
      <w:pPr>
        <w:pStyle w:val="Bibliography"/>
        <w:spacing w:after="0"/>
        <w:ind w:left="0" w:firstLine="0"/>
        <w:jc w:val="left"/>
      </w:pPr>
      <w:r w:rsidRPr="00BE712C">
        <w:t>437.</w:t>
      </w:r>
      <w:r w:rsidRPr="00BE712C">
        <w:tab/>
        <w:t xml:space="preserve">Li Q, Pan Y. Differential Responses to Dietary Protein and Carbohydrate Ratio on Gut Microbiome in Obese vs. Lean Cats. </w:t>
      </w:r>
      <w:r w:rsidRPr="00BE712C">
        <w:rPr>
          <w:i/>
          <w:iCs/>
        </w:rPr>
        <w:t>Front Microbiol</w:t>
      </w:r>
      <w:r w:rsidRPr="00BE712C">
        <w:t>. 2020;11. doi:10.3389/fmicb.2020.591462</w:t>
      </w:r>
    </w:p>
    <w:p w14:paraId="389615B6" w14:textId="77777777" w:rsidR="00BE712C" w:rsidRPr="00BE712C" w:rsidRDefault="00BE712C" w:rsidP="009906F2">
      <w:pPr>
        <w:pStyle w:val="Bibliography"/>
        <w:spacing w:after="0"/>
        <w:ind w:left="0" w:firstLine="0"/>
        <w:jc w:val="left"/>
      </w:pPr>
      <w:r w:rsidRPr="00BE712C">
        <w:t>438.</w:t>
      </w:r>
      <w:r w:rsidRPr="00BE712C">
        <w:tab/>
        <w:t xml:space="preserve">Goyal A, Tariq MD, Khan AM, et al. Outcomes in diabetic vs nondiabetic patients requiring cardiac resynchronization therapy for heart failure: A meta-analysis. </w:t>
      </w:r>
      <w:r w:rsidRPr="00BE712C">
        <w:rPr>
          <w:i/>
          <w:iCs/>
        </w:rPr>
        <w:t>Heart Rhythm O2</w:t>
      </w:r>
      <w:r w:rsidRPr="00BE712C">
        <w:t>. Published online March 5, 2025. doi:10.1016/j.hroo.2025.02.020</w:t>
      </w:r>
    </w:p>
    <w:p w14:paraId="70CBB5B7" w14:textId="77777777" w:rsidR="00BE712C" w:rsidRPr="00BE712C" w:rsidRDefault="00BE712C" w:rsidP="009906F2">
      <w:pPr>
        <w:pStyle w:val="Bibliography"/>
        <w:spacing w:after="0"/>
        <w:ind w:left="0" w:firstLine="0"/>
        <w:jc w:val="left"/>
      </w:pPr>
      <w:r w:rsidRPr="00BE712C">
        <w:t>439.</w:t>
      </w:r>
      <w:r w:rsidRPr="00BE712C">
        <w:tab/>
        <w:t xml:space="preserve">Liisberg Aune U, Ruiz L, Kajimura S. Isolation and Differentiation of Stromal Vascular Cells to Beige/Brite Cells. </w:t>
      </w:r>
      <w:r w:rsidRPr="00BE712C">
        <w:rPr>
          <w:i/>
          <w:iCs/>
        </w:rPr>
        <w:t>J Vis Exp</w:t>
      </w:r>
      <w:r w:rsidRPr="00BE712C">
        <w:t>. 2013;(73):50191. doi:10.3791/50191</w:t>
      </w:r>
    </w:p>
    <w:p w14:paraId="52071C13" w14:textId="77777777" w:rsidR="00BE712C" w:rsidRPr="00BE712C" w:rsidRDefault="00BE712C" w:rsidP="009906F2">
      <w:pPr>
        <w:pStyle w:val="Bibliography"/>
        <w:spacing w:after="0"/>
        <w:ind w:left="0" w:firstLine="0"/>
        <w:jc w:val="left"/>
      </w:pPr>
      <w:r w:rsidRPr="00BE712C">
        <w:t>440.</w:t>
      </w:r>
      <w:r w:rsidRPr="00BE712C">
        <w:tab/>
        <w:t xml:space="preserve">Careau V, Halsey LG, Pontzer H, et al. Energy compensation and adiposity in humans. </w:t>
      </w:r>
      <w:r w:rsidRPr="00BE712C">
        <w:rPr>
          <w:i/>
          <w:iCs/>
        </w:rPr>
        <w:t>Current Biology</w:t>
      </w:r>
      <w:r w:rsidRPr="00BE712C">
        <w:t>. 2021;31(20):4659-4666.e2. doi:10.1016/j.cub.2021.08.016</w:t>
      </w:r>
    </w:p>
    <w:p w14:paraId="75CCE2A2" w14:textId="77777777" w:rsidR="00BE712C" w:rsidRPr="00BE712C" w:rsidRDefault="00BE712C" w:rsidP="009906F2">
      <w:pPr>
        <w:pStyle w:val="Bibliography"/>
        <w:spacing w:after="0"/>
        <w:ind w:left="0" w:firstLine="0"/>
        <w:jc w:val="left"/>
      </w:pPr>
      <w:r w:rsidRPr="00BE712C">
        <w:t>441.</w:t>
      </w:r>
      <w:r w:rsidRPr="00BE712C">
        <w:tab/>
        <w:t xml:space="preserve">Riedel K, Deussen AJ, Tolkmitt J, et al. Estrogen determines sex differences in adrenergic vessel tone by regulation of endothelial β-adrenoceptor expression. </w:t>
      </w:r>
      <w:r w:rsidRPr="00BE712C">
        <w:rPr>
          <w:i/>
          <w:iCs/>
        </w:rPr>
        <w:t>American Journal of Physiology-Heart and Circulatory Physiology</w:t>
      </w:r>
      <w:r w:rsidRPr="00BE712C">
        <w:t>. 2019;317(2):H243-H254. doi:10.1152/ajpheart.00456.2018</w:t>
      </w:r>
    </w:p>
    <w:p w14:paraId="501F69F8" w14:textId="77777777" w:rsidR="00BE712C" w:rsidRPr="00BE712C" w:rsidRDefault="00BE712C" w:rsidP="009906F2">
      <w:pPr>
        <w:pStyle w:val="Bibliography"/>
        <w:spacing w:after="0"/>
        <w:ind w:left="0" w:firstLine="0"/>
        <w:jc w:val="left"/>
      </w:pPr>
      <w:r w:rsidRPr="00BE712C">
        <w:t>442.</w:t>
      </w:r>
      <w:r w:rsidRPr="00BE712C">
        <w:tab/>
        <w:t xml:space="preserve">Klinge CM. Estrogenic Control of Mitochondrial Function and Biogenesis. </w:t>
      </w:r>
      <w:r w:rsidRPr="00BE712C">
        <w:rPr>
          <w:i/>
          <w:iCs/>
        </w:rPr>
        <w:t>J Cell Biochem</w:t>
      </w:r>
      <w:r w:rsidRPr="00BE712C">
        <w:t>. 2008;105(6):1342-1351. doi:10.1002/jcb.21936</w:t>
      </w:r>
    </w:p>
    <w:p w14:paraId="60313884" w14:textId="77777777" w:rsidR="00BE712C" w:rsidRPr="00BE712C" w:rsidRDefault="00BE712C" w:rsidP="009906F2">
      <w:pPr>
        <w:pStyle w:val="Bibliography"/>
        <w:spacing w:after="0"/>
        <w:ind w:left="0" w:firstLine="0"/>
        <w:jc w:val="left"/>
      </w:pPr>
      <w:r w:rsidRPr="00BE712C">
        <w:lastRenderedPageBreak/>
        <w:t>443.</w:t>
      </w:r>
      <w:r w:rsidRPr="00BE712C">
        <w:tab/>
        <w:t xml:space="preserve">Ventura-Clapier R, Piquereau J, Veksler V, Garnier A. Estrogens, Estrogen Receptors Effects on Cardiac and Skeletal Muscle Mitochondria. </w:t>
      </w:r>
      <w:r w:rsidRPr="00BE712C">
        <w:rPr>
          <w:i/>
          <w:iCs/>
        </w:rPr>
        <w:t>Front Endocrinol</w:t>
      </w:r>
      <w:r w:rsidRPr="00BE712C">
        <w:t>. 2019;10. doi:10.3389/fendo.2019.00557</w:t>
      </w:r>
    </w:p>
    <w:p w14:paraId="5B520F98" w14:textId="77777777" w:rsidR="00BE712C" w:rsidRPr="00BE712C" w:rsidRDefault="00BE712C" w:rsidP="009906F2">
      <w:pPr>
        <w:pStyle w:val="Bibliography"/>
        <w:spacing w:after="0"/>
        <w:ind w:left="0" w:firstLine="0"/>
        <w:jc w:val="left"/>
      </w:pPr>
      <w:r w:rsidRPr="00BE712C">
        <w:t>444.</w:t>
      </w:r>
      <w:r w:rsidRPr="00BE712C">
        <w:tab/>
        <w:t xml:space="preserve">Chouchani ET, Kazak L, Jedrychowski MP, et al. Mitochondrial ROS regulate thermogenic energy expenditure and sulfenylation of UCP1. </w:t>
      </w:r>
      <w:r w:rsidRPr="00BE712C">
        <w:rPr>
          <w:i/>
          <w:iCs/>
        </w:rPr>
        <w:t>Nature</w:t>
      </w:r>
      <w:r w:rsidRPr="00BE712C">
        <w:t>. 2016;532(7597):112-116. doi:10.1038/nature17399</w:t>
      </w:r>
    </w:p>
    <w:p w14:paraId="762D2CC8" w14:textId="77777777" w:rsidR="00BE712C" w:rsidRPr="00BE712C" w:rsidRDefault="00BE712C" w:rsidP="009906F2">
      <w:pPr>
        <w:pStyle w:val="Bibliography"/>
        <w:spacing w:after="0"/>
        <w:ind w:left="0" w:firstLine="0"/>
        <w:jc w:val="left"/>
      </w:pPr>
      <w:r w:rsidRPr="00BE712C">
        <w:t>445.</w:t>
      </w:r>
      <w:r w:rsidRPr="00BE712C">
        <w:tab/>
        <w:t xml:space="preserve">Bast-Habersbrunner A, Fromme T. Purine Nucleotides in the Regulation of Brown Adipose Tissue Activity. </w:t>
      </w:r>
      <w:r w:rsidRPr="00BE712C">
        <w:rPr>
          <w:i/>
          <w:iCs/>
        </w:rPr>
        <w:t>Front Endocrinol (Lausanne)</w:t>
      </w:r>
      <w:r w:rsidRPr="00BE712C">
        <w:t>. 2020;11:118. doi:10.3389/fendo.2020.00118</w:t>
      </w:r>
    </w:p>
    <w:p w14:paraId="3E1BEA72" w14:textId="77777777" w:rsidR="00BE712C" w:rsidRPr="00BE712C" w:rsidRDefault="00BE712C" w:rsidP="009906F2">
      <w:pPr>
        <w:pStyle w:val="Bibliography"/>
        <w:spacing w:after="0"/>
        <w:ind w:left="0" w:firstLine="0"/>
        <w:jc w:val="left"/>
      </w:pPr>
      <w:r w:rsidRPr="00BE712C">
        <w:t>446.</w:t>
      </w:r>
      <w:r w:rsidRPr="00BE712C">
        <w:tab/>
        <w:t xml:space="preserve">Chouchani ET, Kazak L, Spiegelman BM. Mitochondrial reactive oxygen species and adipose tissue thermogenesis: Bridging physiology and mechanisms. </w:t>
      </w:r>
      <w:r w:rsidRPr="00BE712C">
        <w:rPr>
          <w:i/>
          <w:iCs/>
        </w:rPr>
        <w:t>Journal of Biological Chemistry</w:t>
      </w:r>
      <w:r w:rsidRPr="00BE712C">
        <w:t>. 2017;292(41):16810-16816. doi:10.1074/jbc.R117.789628</w:t>
      </w:r>
    </w:p>
    <w:p w14:paraId="4FFDDF92" w14:textId="77777777" w:rsidR="00BE712C" w:rsidRPr="00BE712C" w:rsidRDefault="00BE712C" w:rsidP="009906F2">
      <w:pPr>
        <w:pStyle w:val="Bibliography"/>
        <w:spacing w:after="0"/>
        <w:ind w:left="0" w:firstLine="0"/>
        <w:jc w:val="left"/>
      </w:pPr>
      <w:r w:rsidRPr="00BE712C">
        <w:t>447.</w:t>
      </w:r>
      <w:r w:rsidRPr="00BE712C">
        <w:tab/>
        <w:t xml:space="preserve">Magro BS, Dias DPM. Brown and beige adipose tissue: New therapeutic targets for metabolic disorders. </w:t>
      </w:r>
      <w:r w:rsidRPr="00BE712C">
        <w:rPr>
          <w:i/>
          <w:iCs/>
        </w:rPr>
        <w:t>Health Sciences Review</w:t>
      </w:r>
      <w:r w:rsidRPr="00BE712C">
        <w:t>. 2024;10:100148. doi:10.1016/j.hsr.2024.100148</w:t>
      </w:r>
    </w:p>
    <w:p w14:paraId="5976BACE" w14:textId="77777777" w:rsidR="00BE712C" w:rsidRPr="00BE712C" w:rsidRDefault="00BE712C" w:rsidP="009906F2">
      <w:pPr>
        <w:pStyle w:val="Bibliography"/>
        <w:spacing w:after="0"/>
        <w:ind w:left="0" w:firstLine="0"/>
        <w:jc w:val="left"/>
      </w:pPr>
      <w:r w:rsidRPr="00BE712C">
        <w:t>448.</w:t>
      </w:r>
      <w:r w:rsidRPr="00BE712C">
        <w:tab/>
        <w:t xml:space="preserve">Cannon B, Nedergaard J. Brown Adipose Tissue: Function and Physiological Significance. </w:t>
      </w:r>
      <w:r w:rsidRPr="00BE712C">
        <w:rPr>
          <w:i/>
          <w:iCs/>
        </w:rPr>
        <w:t>Physiological Reviews</w:t>
      </w:r>
      <w:r w:rsidRPr="00BE712C">
        <w:t>. 2004;84(1):277-359. doi:10.1152/physrev.00015.2003</w:t>
      </w:r>
    </w:p>
    <w:p w14:paraId="3AE957B7" w14:textId="77777777" w:rsidR="00BE712C" w:rsidRPr="00BE712C" w:rsidRDefault="00BE712C" w:rsidP="009906F2">
      <w:pPr>
        <w:pStyle w:val="Bibliography"/>
        <w:spacing w:after="0"/>
        <w:ind w:left="0" w:firstLine="0"/>
        <w:jc w:val="left"/>
      </w:pPr>
      <w:r w:rsidRPr="00BE712C">
        <w:t>449.</w:t>
      </w:r>
      <w:r w:rsidRPr="00BE712C">
        <w:tab/>
        <w:t xml:space="preserve">Lowell BB, Spiegelman BM. Towards a molecular understanding of adaptive thermogenesis. </w:t>
      </w:r>
      <w:r w:rsidRPr="00BE712C">
        <w:rPr>
          <w:i/>
          <w:iCs/>
        </w:rPr>
        <w:t>Nature</w:t>
      </w:r>
      <w:r w:rsidRPr="00BE712C">
        <w:t>. 2000;404(6778):652-660. doi:10.1038/35007527</w:t>
      </w:r>
    </w:p>
    <w:p w14:paraId="24D6CA05" w14:textId="77777777" w:rsidR="00BE712C" w:rsidRPr="00BE712C" w:rsidRDefault="00BE712C" w:rsidP="009906F2">
      <w:pPr>
        <w:pStyle w:val="Bibliography"/>
        <w:spacing w:after="0"/>
        <w:ind w:left="0" w:firstLine="0"/>
        <w:jc w:val="left"/>
      </w:pPr>
      <w:r w:rsidRPr="00BE712C">
        <w:t>450.</w:t>
      </w:r>
      <w:r w:rsidRPr="00BE712C">
        <w:tab/>
        <w:t xml:space="preserve">Nicholls DG. Mitochondrial proton leaks and uncoupling proteins. </w:t>
      </w:r>
      <w:r w:rsidRPr="00BE712C">
        <w:rPr>
          <w:i/>
          <w:iCs/>
        </w:rPr>
        <w:t>Biochimica et Biophysica Acta (BBA) - Bioenergetics</w:t>
      </w:r>
      <w:r w:rsidRPr="00BE712C">
        <w:t>. 2021;1862(7):148428. doi:10.1016/j.bbabio.2021.148428</w:t>
      </w:r>
    </w:p>
    <w:p w14:paraId="5F10E0AE" w14:textId="77777777" w:rsidR="00BE712C" w:rsidRPr="00BE712C" w:rsidRDefault="00BE712C" w:rsidP="009906F2">
      <w:pPr>
        <w:pStyle w:val="Bibliography"/>
        <w:spacing w:after="0"/>
        <w:ind w:left="0" w:firstLine="0"/>
        <w:jc w:val="left"/>
      </w:pPr>
      <w:r w:rsidRPr="00BE712C">
        <w:lastRenderedPageBreak/>
        <w:t>451.</w:t>
      </w:r>
      <w:r w:rsidRPr="00BE712C">
        <w:tab/>
        <w:t xml:space="preserve">Demine S, Renard P, Arnould T. Mitochondrial Uncoupling: A Key Controller of Biological Processes in Physiology and Diseases. </w:t>
      </w:r>
      <w:r w:rsidRPr="00BE712C">
        <w:rPr>
          <w:i/>
          <w:iCs/>
        </w:rPr>
        <w:t>Cells</w:t>
      </w:r>
      <w:r w:rsidRPr="00BE712C">
        <w:t>. 2019;8(8):795. doi:10.3390/cells8080795</w:t>
      </w:r>
    </w:p>
    <w:p w14:paraId="25885C43" w14:textId="77777777" w:rsidR="00BE712C" w:rsidRPr="00BE712C" w:rsidRDefault="00BE712C" w:rsidP="009906F2">
      <w:pPr>
        <w:pStyle w:val="Bibliography"/>
        <w:spacing w:after="0"/>
        <w:ind w:left="0" w:firstLine="0"/>
        <w:jc w:val="left"/>
      </w:pPr>
      <w:r w:rsidRPr="00BE712C">
        <w:t>452.</w:t>
      </w:r>
      <w:r w:rsidRPr="00BE712C">
        <w:tab/>
        <w:t xml:space="preserve">Razzoli M, Emmett MJ, Lazar MA, Bartolomucci A. β-Adrenergic receptors control brown adipose UCP-1 tone and cold response without affecting its circadian rhythmicity. </w:t>
      </w:r>
      <w:r w:rsidRPr="00BE712C">
        <w:rPr>
          <w:i/>
          <w:iCs/>
        </w:rPr>
        <w:t>FASEB J</w:t>
      </w:r>
      <w:r w:rsidRPr="00BE712C">
        <w:t>. 2018;32(10):5640-5646. doi:10.1096/fj.201800452R</w:t>
      </w:r>
    </w:p>
    <w:p w14:paraId="7B484323" w14:textId="77777777" w:rsidR="00BE712C" w:rsidRPr="00BE712C" w:rsidRDefault="00BE712C" w:rsidP="009906F2">
      <w:pPr>
        <w:pStyle w:val="Bibliography"/>
        <w:spacing w:after="0"/>
        <w:ind w:left="0" w:firstLine="0"/>
        <w:jc w:val="left"/>
      </w:pPr>
      <w:r w:rsidRPr="00BE712C">
        <w:t>453.</w:t>
      </w:r>
      <w:r w:rsidRPr="00BE712C">
        <w:tab/>
        <w:t xml:space="preserve">Velickovic K, Lugo Leija HA, Bloor I, et al. Low temperature exposure induces browning of bone marrow stem cell derived adipocytes in vitro. </w:t>
      </w:r>
      <w:r w:rsidRPr="00BE712C">
        <w:rPr>
          <w:i/>
          <w:iCs/>
        </w:rPr>
        <w:t>Sci Rep</w:t>
      </w:r>
      <w:r w:rsidRPr="00BE712C">
        <w:t>. 2018;8(1):4974. doi:10.1038/s41598-018-23267-9</w:t>
      </w:r>
    </w:p>
    <w:p w14:paraId="1E449CE3" w14:textId="77777777" w:rsidR="00BE712C" w:rsidRPr="00BE712C" w:rsidRDefault="00BE712C" w:rsidP="009906F2">
      <w:pPr>
        <w:pStyle w:val="Bibliography"/>
        <w:spacing w:after="0"/>
        <w:ind w:left="0" w:firstLine="0"/>
        <w:jc w:val="left"/>
      </w:pPr>
      <w:r w:rsidRPr="00BE712C">
        <w:t>454.</w:t>
      </w:r>
      <w:r w:rsidRPr="00BE712C">
        <w:tab/>
        <w:t xml:space="preserve">Karami E, Rostamkhani F, Abdollahi M, Ahmadifard M. Targeting the UCP1-dependent thermogenesis pathway with CRISPR/Cas9: a new approach to obesity management. </w:t>
      </w:r>
      <w:r w:rsidRPr="00BE712C">
        <w:rPr>
          <w:i/>
          <w:iCs/>
        </w:rPr>
        <w:t>Current Research in Biotechnology</w:t>
      </w:r>
      <w:r w:rsidRPr="00BE712C">
        <w:t>. 2025;9:100295. doi:10.1016/j.crbiot.2025.100295</w:t>
      </w:r>
    </w:p>
    <w:p w14:paraId="49437E04" w14:textId="77777777" w:rsidR="00BE712C" w:rsidRPr="00BE712C" w:rsidRDefault="00BE712C" w:rsidP="009906F2">
      <w:pPr>
        <w:pStyle w:val="Bibliography"/>
        <w:spacing w:after="0"/>
        <w:ind w:left="0" w:firstLine="0"/>
        <w:jc w:val="left"/>
      </w:pPr>
      <w:r w:rsidRPr="00BE712C">
        <w:t>455.</w:t>
      </w:r>
      <w:r w:rsidRPr="00BE712C">
        <w:tab/>
        <w:t xml:space="preserve">Tews D, Pula T, Funcke JB, et al. Elevated UCP1 levels are sufficient to improve glucose uptake in human white adipocytes. </w:t>
      </w:r>
      <w:r w:rsidRPr="00BE712C">
        <w:rPr>
          <w:i/>
          <w:iCs/>
        </w:rPr>
        <w:t>Redox Biol</w:t>
      </w:r>
      <w:r w:rsidRPr="00BE712C">
        <w:t>. 2019;26:101286. doi:10.1016/j.redox.2019.101286</w:t>
      </w:r>
    </w:p>
    <w:p w14:paraId="3D463938" w14:textId="77777777" w:rsidR="00BE712C" w:rsidRPr="00BE712C" w:rsidRDefault="00BE712C" w:rsidP="009906F2">
      <w:pPr>
        <w:pStyle w:val="Bibliography"/>
        <w:spacing w:after="0"/>
        <w:ind w:left="0" w:firstLine="0"/>
        <w:jc w:val="left"/>
      </w:pPr>
      <w:r w:rsidRPr="00BE712C">
        <w:t>456.</w:t>
      </w:r>
      <w:r w:rsidRPr="00BE712C">
        <w:tab/>
        <w:t xml:space="preserve">Horino M, Ikeda K, Yamada T. The Role of Thermogenic Fat Tissue in Energy Consumption. </w:t>
      </w:r>
      <w:r w:rsidRPr="00BE712C">
        <w:rPr>
          <w:i/>
          <w:iCs/>
        </w:rPr>
        <w:t>Current Issues in Molecular Biology</w:t>
      </w:r>
      <w:r w:rsidRPr="00BE712C">
        <w:t>. 2022;44(7):3166-3179. doi:10.3390/cimb44070219</w:t>
      </w:r>
    </w:p>
    <w:p w14:paraId="4A0DE40C" w14:textId="77777777" w:rsidR="00BE712C" w:rsidRPr="00BE712C" w:rsidRDefault="00BE712C" w:rsidP="009906F2">
      <w:pPr>
        <w:pStyle w:val="Bibliography"/>
        <w:spacing w:after="0"/>
        <w:ind w:left="0" w:firstLine="0"/>
        <w:jc w:val="left"/>
      </w:pPr>
      <w:r w:rsidRPr="00BE712C">
        <w:t>457.</w:t>
      </w:r>
      <w:r w:rsidRPr="00BE712C">
        <w:tab/>
        <w:t xml:space="preserve">Quintanilla Rodriguez BS, Correa R. Rosiglitazone. In: </w:t>
      </w:r>
      <w:r w:rsidRPr="00BE712C">
        <w:rPr>
          <w:i/>
          <w:iCs/>
        </w:rPr>
        <w:t>StatPearls</w:t>
      </w:r>
      <w:r w:rsidRPr="00BE712C">
        <w:t>. StatPearls Publishing; 2025. Accessed May 23, 2025. http://www.ncbi.nlm.nih.gov/books/NBK544230/</w:t>
      </w:r>
    </w:p>
    <w:p w14:paraId="11F27DDF" w14:textId="77777777" w:rsidR="00BE712C" w:rsidRPr="00BE712C" w:rsidRDefault="00BE712C" w:rsidP="009906F2">
      <w:pPr>
        <w:pStyle w:val="Bibliography"/>
        <w:spacing w:after="0"/>
        <w:ind w:left="0" w:firstLine="0"/>
        <w:jc w:val="left"/>
      </w:pPr>
      <w:r w:rsidRPr="00BE712C">
        <w:t>458.</w:t>
      </w:r>
      <w:r w:rsidRPr="00BE712C">
        <w:tab/>
        <w:t xml:space="preserve">Lehmann JM, Moore LB, Smith-Oliver TA, Wilkison WO, Willson TM, Kliewer SA. An Antidiabetic Thiazolidinedione Is a High Affinity Ligand for Peroxisome Proliferator-activated </w:t>
      </w:r>
      <w:r w:rsidRPr="00BE712C">
        <w:lastRenderedPageBreak/>
        <w:t xml:space="preserve">Receptor γ (PPARγ) </w:t>
      </w:r>
      <w:r w:rsidRPr="00BE712C">
        <w:rPr>
          <w:rFonts w:ascii="Cambria Math" w:hAnsi="Cambria Math" w:cs="Cambria Math"/>
        </w:rPr>
        <w:t>∗</w:t>
      </w:r>
      <w:r w:rsidRPr="00BE712C">
        <w:t xml:space="preserve">. </w:t>
      </w:r>
      <w:r w:rsidRPr="00BE712C">
        <w:rPr>
          <w:i/>
          <w:iCs/>
        </w:rPr>
        <w:t>Journal of Biological Chemistry</w:t>
      </w:r>
      <w:r w:rsidRPr="00BE712C">
        <w:t>. 1995;270(22):12953-12956. doi:10.1074/jbc.270.22.12953</w:t>
      </w:r>
    </w:p>
    <w:p w14:paraId="1ED3A1DD" w14:textId="77777777" w:rsidR="00BE712C" w:rsidRPr="00BE712C" w:rsidRDefault="00BE712C" w:rsidP="009906F2">
      <w:pPr>
        <w:pStyle w:val="Bibliography"/>
        <w:spacing w:after="0"/>
        <w:ind w:left="0" w:firstLine="0"/>
        <w:jc w:val="left"/>
      </w:pPr>
      <w:r w:rsidRPr="00BE712C">
        <w:t>459.</w:t>
      </w:r>
      <w:r w:rsidRPr="00BE712C">
        <w:tab/>
        <w:t xml:space="preserve">Della-Morte D, Palmirotta ,Raffaele, Rehni ,Ashish K, et al. Pharmacogenomics and Pharmacogenetics of Thiazolidinediones: Role in Diabetes and Cardiovascular Risk Factors. </w:t>
      </w:r>
      <w:r w:rsidRPr="00BE712C">
        <w:rPr>
          <w:i/>
          <w:iCs/>
        </w:rPr>
        <w:t>Pharmacogenomics</w:t>
      </w:r>
      <w:r w:rsidRPr="00BE712C">
        <w:t>. 2014;15(16):2063-2082. doi:10.2217/pgs.14.162</w:t>
      </w:r>
    </w:p>
    <w:p w14:paraId="37F56A8F" w14:textId="77777777" w:rsidR="00BE712C" w:rsidRPr="00BE712C" w:rsidRDefault="00BE712C" w:rsidP="009906F2">
      <w:pPr>
        <w:pStyle w:val="Bibliography"/>
        <w:spacing w:after="0"/>
        <w:ind w:left="0" w:firstLine="0"/>
        <w:jc w:val="left"/>
      </w:pPr>
      <w:r w:rsidRPr="00BE712C">
        <w:t>460.</w:t>
      </w:r>
      <w:r w:rsidRPr="00BE712C">
        <w:tab/>
        <w:t xml:space="preserve">Elte JWF, Blicklé JF. Thiazolidinediones for the treatment of type 2 diabetes. </w:t>
      </w:r>
      <w:r w:rsidRPr="00BE712C">
        <w:rPr>
          <w:i/>
          <w:iCs/>
        </w:rPr>
        <w:t>European Journal of Internal Medicine</w:t>
      </w:r>
      <w:r w:rsidRPr="00BE712C">
        <w:t>. 2007;18(1):18-25. doi:10.1016/j.ejim.2006.09.007</w:t>
      </w:r>
    </w:p>
    <w:p w14:paraId="5D05D088" w14:textId="77777777" w:rsidR="00BE712C" w:rsidRPr="00BE712C" w:rsidRDefault="00BE712C" w:rsidP="009906F2">
      <w:pPr>
        <w:pStyle w:val="Bibliography"/>
        <w:spacing w:after="0"/>
        <w:ind w:left="0" w:firstLine="0"/>
        <w:jc w:val="left"/>
      </w:pPr>
      <w:r w:rsidRPr="00BE712C">
        <w:t>461.</w:t>
      </w:r>
      <w:r w:rsidRPr="00BE712C">
        <w:tab/>
        <w:t xml:space="preserve">Majuri A, Santaniemi M, Rautio K, et al. Rosiglitazone treatment increases plasma levels of adiponectin and decreases levels of resistin in overweight women with PCOS: a randomized placebo-controlled study. </w:t>
      </w:r>
      <w:r w:rsidRPr="00BE712C">
        <w:rPr>
          <w:i/>
          <w:iCs/>
        </w:rPr>
        <w:t>European Journal of Endocrinology</w:t>
      </w:r>
      <w:r w:rsidRPr="00BE712C">
        <w:t>. 2007;156(2):263-269. doi:10.1530/eje.1.02331</w:t>
      </w:r>
    </w:p>
    <w:p w14:paraId="431DD06A" w14:textId="77777777" w:rsidR="00BE712C" w:rsidRPr="00BE712C" w:rsidRDefault="00BE712C" w:rsidP="009906F2">
      <w:pPr>
        <w:pStyle w:val="Bibliography"/>
        <w:spacing w:after="0"/>
        <w:ind w:left="0" w:firstLine="0"/>
        <w:jc w:val="left"/>
      </w:pPr>
      <w:r w:rsidRPr="00BE712C">
        <w:t>462.</w:t>
      </w:r>
      <w:r w:rsidRPr="00BE712C">
        <w:tab/>
        <w:t xml:space="preserve">Martinez L, Berenguer M, Bruce MC, Le Marchand-Brustel Y, Govers R. Rosiglitazone increases cell surface GLUT4 levels in 3T3-L1 adipocytes through an enhancement of endosomal recycling. </w:t>
      </w:r>
      <w:r w:rsidRPr="00BE712C">
        <w:rPr>
          <w:i/>
          <w:iCs/>
        </w:rPr>
        <w:t>Biochemical Pharmacology</w:t>
      </w:r>
      <w:r w:rsidRPr="00BE712C">
        <w:t>. 2010;79(9):1300-1309. doi:10.1016/j.bcp.2009.12.013</w:t>
      </w:r>
    </w:p>
    <w:p w14:paraId="69D158A2" w14:textId="77777777" w:rsidR="00BE712C" w:rsidRPr="00BE712C" w:rsidRDefault="00BE712C" w:rsidP="009906F2">
      <w:pPr>
        <w:pStyle w:val="Bibliography"/>
        <w:spacing w:after="0"/>
        <w:ind w:left="0" w:firstLine="0"/>
        <w:jc w:val="left"/>
      </w:pPr>
      <w:r w:rsidRPr="00BE712C">
        <w:t>463.</w:t>
      </w:r>
      <w:r w:rsidRPr="00BE712C">
        <w:tab/>
        <w:t xml:space="preserve">Armoni M, Kritz N, Harel C, et al. Peroxisome Proliferator-activated Receptor-γ Represses GLUT4 Promoter Activity in Primary Adipocytes, and Rosiglitazone Alleviates This Effect *. </w:t>
      </w:r>
      <w:r w:rsidRPr="00BE712C">
        <w:rPr>
          <w:i/>
          <w:iCs/>
        </w:rPr>
        <w:t>Journal of Biological Chemistry</w:t>
      </w:r>
      <w:r w:rsidRPr="00BE712C">
        <w:t>. 2003;278(33):30614-30623. doi:10.1074/jbc.M304654200</w:t>
      </w:r>
    </w:p>
    <w:p w14:paraId="1F422ECC" w14:textId="77777777" w:rsidR="00BE712C" w:rsidRPr="00BE712C" w:rsidRDefault="00BE712C" w:rsidP="009906F2">
      <w:pPr>
        <w:pStyle w:val="Bibliography"/>
        <w:spacing w:after="0"/>
        <w:ind w:left="0" w:firstLine="0"/>
        <w:jc w:val="left"/>
      </w:pPr>
      <w:r w:rsidRPr="00BE712C">
        <w:t>464.</w:t>
      </w:r>
      <w:r w:rsidRPr="00BE712C">
        <w:tab/>
        <w:t xml:space="preserve">Lautamäki R, Airaksinen KEJ, Seppänen M, et al. Rosiglitazone Improves Myocardial Glucose Uptake in Patients With Type 2 Diabetes and Coronary Artery Disease. </w:t>
      </w:r>
      <w:r w:rsidRPr="00BE712C">
        <w:rPr>
          <w:i/>
          <w:iCs/>
        </w:rPr>
        <w:t>Diabetes</w:t>
      </w:r>
      <w:r w:rsidRPr="00BE712C">
        <w:t>. 2005;54(9):2787-2794. doi:10.2337/diabetes.54.9.2787</w:t>
      </w:r>
    </w:p>
    <w:p w14:paraId="490A09D2" w14:textId="77777777" w:rsidR="00BE712C" w:rsidRPr="00BE712C" w:rsidRDefault="00BE712C" w:rsidP="009906F2">
      <w:pPr>
        <w:pStyle w:val="Bibliography"/>
        <w:spacing w:after="0"/>
        <w:ind w:left="0" w:firstLine="0"/>
        <w:jc w:val="left"/>
      </w:pPr>
      <w:r w:rsidRPr="00BE712C">
        <w:lastRenderedPageBreak/>
        <w:t>465.</w:t>
      </w:r>
      <w:r w:rsidRPr="00BE712C">
        <w:tab/>
        <w:t xml:space="preserve">Lagathu C, Bastard JP, Auclair M, Maachi M, Capeau J, Caron M. Chronic interleukin-6 (IL-6) treatment increased IL-6 secretion and induced insulin resistance in adipocyte: prevention by rosiglitazone. </w:t>
      </w:r>
      <w:r w:rsidRPr="00BE712C">
        <w:rPr>
          <w:i/>
          <w:iCs/>
        </w:rPr>
        <w:t>Biochemical and Biophysical Research Communications</w:t>
      </w:r>
      <w:r w:rsidRPr="00BE712C">
        <w:t>. 2003;311(2):372-379. doi:10.1016/j.bbrc.2003.10.013</w:t>
      </w:r>
    </w:p>
    <w:p w14:paraId="2127A298" w14:textId="77777777" w:rsidR="00BE712C" w:rsidRPr="00BE712C" w:rsidRDefault="00BE712C" w:rsidP="009906F2">
      <w:pPr>
        <w:pStyle w:val="Bibliography"/>
        <w:spacing w:after="0"/>
        <w:ind w:left="0" w:firstLine="0"/>
        <w:jc w:val="left"/>
      </w:pPr>
      <w:r w:rsidRPr="00BE712C">
        <w:t>466.</w:t>
      </w:r>
      <w:r w:rsidRPr="00BE712C">
        <w:tab/>
        <w:t xml:space="preserve">Mulder P, Morrison MC, Verschuren L, et al. Reduction of obesity-associated white adipose tissue inflammation by rosiglitazone is associated with reduced non-alcoholic fatty liver disease in LDLr-deficient mice. </w:t>
      </w:r>
      <w:r w:rsidRPr="00BE712C">
        <w:rPr>
          <w:i/>
          <w:iCs/>
        </w:rPr>
        <w:t>Sci Rep</w:t>
      </w:r>
      <w:r w:rsidRPr="00BE712C">
        <w:t>. 2016;6(1):31542. doi:10.1038/srep31542</w:t>
      </w:r>
    </w:p>
    <w:p w14:paraId="08956AE1" w14:textId="77777777" w:rsidR="00BE712C" w:rsidRPr="00BE712C" w:rsidRDefault="00BE712C" w:rsidP="009906F2">
      <w:pPr>
        <w:pStyle w:val="Bibliography"/>
        <w:spacing w:after="0"/>
        <w:ind w:left="0" w:firstLine="0"/>
        <w:jc w:val="left"/>
      </w:pPr>
      <w:r w:rsidRPr="00BE712C">
        <w:t>467.</w:t>
      </w:r>
      <w:r w:rsidRPr="00BE712C">
        <w:tab/>
        <w:t xml:space="preserve">Hernandez R, Teruel T, de Alvaro C, Lorenzo M. Rosiglitazone ameliorates insulin resistance in brown adipocytes of Wistar rats by impairing TNF-α induction of p38 and p42/p44 mitogen-activated protein kinases. </w:t>
      </w:r>
      <w:r w:rsidRPr="00BE712C">
        <w:rPr>
          <w:i/>
          <w:iCs/>
        </w:rPr>
        <w:t>Diabetologia</w:t>
      </w:r>
      <w:r w:rsidRPr="00BE712C">
        <w:t>. 2004;47(9):1615-1624. doi:10.1007/s00125-004-1503-7</w:t>
      </w:r>
    </w:p>
    <w:p w14:paraId="6731DC0E" w14:textId="77777777" w:rsidR="00BE712C" w:rsidRPr="00BE712C" w:rsidRDefault="00BE712C" w:rsidP="009906F2">
      <w:pPr>
        <w:pStyle w:val="Bibliography"/>
        <w:spacing w:after="0"/>
        <w:ind w:left="0" w:firstLine="0"/>
        <w:jc w:val="left"/>
      </w:pPr>
      <w:r w:rsidRPr="00BE712C">
        <w:t>468.</w:t>
      </w:r>
      <w:r w:rsidRPr="00BE712C">
        <w:tab/>
        <w:t xml:space="preserve">PPARγ agonists and adipocyte browning—new insights. </w:t>
      </w:r>
      <w:r w:rsidRPr="00BE712C">
        <w:rPr>
          <w:i/>
          <w:iCs/>
        </w:rPr>
        <w:t>Nat Rev Endocrinol</w:t>
      </w:r>
      <w:r w:rsidRPr="00BE712C">
        <w:t>. 2015;11(3):132-132. doi:10.1038/nrendo.2014.243</w:t>
      </w:r>
    </w:p>
    <w:p w14:paraId="7ED3E644" w14:textId="77777777" w:rsidR="00BE712C" w:rsidRPr="00BE712C" w:rsidRDefault="00BE712C" w:rsidP="009906F2">
      <w:pPr>
        <w:pStyle w:val="Bibliography"/>
        <w:spacing w:after="0"/>
        <w:ind w:left="0" w:firstLine="0"/>
        <w:jc w:val="left"/>
      </w:pPr>
      <w:r w:rsidRPr="00BE712C">
        <w:t>469.</w:t>
      </w:r>
      <w:r w:rsidRPr="00BE712C">
        <w:tab/>
        <w:t xml:space="preserve">Petrovic N, Walden TB, Shabalina IG, Timmons JA, Cannon B, Nedergaard J. Chronic Peroxisome Proliferator-activated Receptor γ (PPARγ) Activation of Epididymally Derived White Adipocyte Cultures Reveals a Population of Thermogenically Competent, UCP1-containing Adipocytes Molecularly Distinct from Classic Brown Adipocytes *. </w:t>
      </w:r>
      <w:r w:rsidRPr="00BE712C">
        <w:rPr>
          <w:i/>
          <w:iCs/>
        </w:rPr>
        <w:t>Journal of Biological Chemistry</w:t>
      </w:r>
      <w:r w:rsidRPr="00BE712C">
        <w:t>. 2010;285(10):7153-7164. doi:10.1074/jbc.M109.053942</w:t>
      </w:r>
    </w:p>
    <w:p w14:paraId="2235AF19" w14:textId="77777777" w:rsidR="00BE712C" w:rsidRPr="00BE712C" w:rsidRDefault="00BE712C" w:rsidP="009906F2">
      <w:pPr>
        <w:pStyle w:val="Bibliography"/>
        <w:spacing w:after="0"/>
        <w:ind w:left="0" w:firstLine="0"/>
        <w:jc w:val="left"/>
      </w:pPr>
      <w:r w:rsidRPr="00BE712C">
        <w:t>470.</w:t>
      </w:r>
      <w:r w:rsidRPr="00BE712C">
        <w:tab/>
        <w:t xml:space="preserve">Puigserver P, Wu Z, Park CW, Graves R, Wright M, Spiegelman BM. A Cold-Inducible Coactivator of Nuclear Receptors Linked to Adaptive Thermogenesis. </w:t>
      </w:r>
      <w:r w:rsidRPr="00BE712C">
        <w:rPr>
          <w:i/>
          <w:iCs/>
        </w:rPr>
        <w:t>Cell</w:t>
      </w:r>
      <w:r w:rsidRPr="00BE712C">
        <w:t>. 1998;92(6):829-839. doi:10.1016/S0092-8674(00)81410-5</w:t>
      </w:r>
    </w:p>
    <w:p w14:paraId="008B173F" w14:textId="77777777" w:rsidR="00BE712C" w:rsidRPr="00BE712C" w:rsidRDefault="00BE712C" w:rsidP="009906F2">
      <w:pPr>
        <w:pStyle w:val="Bibliography"/>
        <w:spacing w:after="0"/>
        <w:ind w:left="0" w:firstLine="0"/>
        <w:jc w:val="left"/>
      </w:pPr>
      <w:r w:rsidRPr="00BE712C">
        <w:lastRenderedPageBreak/>
        <w:t>471.</w:t>
      </w:r>
      <w:r w:rsidRPr="00BE712C">
        <w:tab/>
        <w:t xml:space="preserve">Kajimura S, Seale P, Spiegelman BM. Transcriptional Control of Brown Fat Development. </w:t>
      </w:r>
      <w:r w:rsidRPr="00BE712C">
        <w:rPr>
          <w:i/>
          <w:iCs/>
        </w:rPr>
        <w:t>Cell Metabolism</w:t>
      </w:r>
      <w:r w:rsidRPr="00BE712C">
        <w:t>. 2010;11(4):257-262. doi:10.1016/j.cmet.2010.03.005</w:t>
      </w:r>
    </w:p>
    <w:p w14:paraId="73077219" w14:textId="77777777" w:rsidR="00BE712C" w:rsidRPr="00BE712C" w:rsidRDefault="00BE712C" w:rsidP="009906F2">
      <w:pPr>
        <w:pStyle w:val="Bibliography"/>
        <w:spacing w:after="0"/>
        <w:ind w:left="0" w:firstLine="0"/>
        <w:jc w:val="left"/>
      </w:pPr>
      <w:r w:rsidRPr="00BE712C">
        <w:t>472.</w:t>
      </w:r>
      <w:r w:rsidRPr="00BE712C">
        <w:tab/>
        <w:t xml:space="preserve">Joberty G, Fälth-Savitski M, Paulmann M, et al. A Tandem Guide RNA-Based Strategy for Efficient CRISPR Gene Editing of Cell Populations with Low Heterogeneity of Edited Alleles. </w:t>
      </w:r>
      <w:r w:rsidRPr="00BE712C">
        <w:rPr>
          <w:i/>
          <w:iCs/>
        </w:rPr>
        <w:t>CRISPR J</w:t>
      </w:r>
      <w:r w:rsidRPr="00BE712C">
        <w:t>. 2020;3(2):123-134. doi:10.1089/crispr.2019.0064</w:t>
      </w:r>
    </w:p>
    <w:p w14:paraId="7FB11B58" w14:textId="77777777" w:rsidR="00BE712C" w:rsidRPr="00BE712C" w:rsidRDefault="00BE712C" w:rsidP="009906F2">
      <w:pPr>
        <w:pStyle w:val="Bibliography"/>
        <w:spacing w:after="0"/>
        <w:ind w:left="0" w:firstLine="0"/>
        <w:jc w:val="left"/>
      </w:pPr>
      <w:r w:rsidRPr="00BE712C">
        <w:t>473.</w:t>
      </w:r>
      <w:r w:rsidRPr="00BE712C">
        <w:tab/>
        <w:t xml:space="preserve">Tontonoz P, Hu E, Spiegelman BM. Stimulation of adipogenesis in fibroblasts by PPARγ2, a lipid-activated transcription factor. </w:t>
      </w:r>
      <w:r w:rsidRPr="00BE712C">
        <w:rPr>
          <w:i/>
          <w:iCs/>
        </w:rPr>
        <w:t>Cell</w:t>
      </w:r>
      <w:r w:rsidRPr="00BE712C">
        <w:t>. 1994;79(7):1147-1156. doi:10.1016/0092-8674(94)90006-X</w:t>
      </w:r>
    </w:p>
    <w:p w14:paraId="48730ADC" w14:textId="77777777" w:rsidR="00BE712C" w:rsidRPr="00BE712C" w:rsidRDefault="00BE712C" w:rsidP="009906F2">
      <w:pPr>
        <w:pStyle w:val="Bibliography"/>
        <w:spacing w:after="0"/>
        <w:ind w:left="0" w:firstLine="0"/>
        <w:jc w:val="left"/>
      </w:pPr>
      <w:r w:rsidRPr="00BE712C">
        <w:t>474.</w:t>
      </w:r>
      <w:r w:rsidRPr="00BE712C">
        <w:tab/>
        <w:t xml:space="preserve">Lefterova MI, Haakonsson AK, Lazar MA, Mandrup S. PPARγ and the Global Map of Adipogenesis and Beyond. </w:t>
      </w:r>
      <w:r w:rsidRPr="00BE712C">
        <w:rPr>
          <w:i/>
          <w:iCs/>
        </w:rPr>
        <w:t>Trends Endocrinol Metab</w:t>
      </w:r>
      <w:r w:rsidRPr="00BE712C">
        <w:t>. 2014;25(6):293-302. doi:10.1016/j.tem.2014.04.001</w:t>
      </w:r>
    </w:p>
    <w:p w14:paraId="0074788F" w14:textId="77777777" w:rsidR="00BE712C" w:rsidRPr="00BE712C" w:rsidRDefault="00BE712C" w:rsidP="009906F2">
      <w:pPr>
        <w:pStyle w:val="Bibliography"/>
        <w:spacing w:after="0"/>
        <w:ind w:left="0" w:firstLine="0"/>
        <w:jc w:val="left"/>
      </w:pPr>
      <w:r w:rsidRPr="00BE712C">
        <w:t>475.</w:t>
      </w:r>
      <w:r w:rsidRPr="00BE712C">
        <w:tab/>
        <w:t xml:space="preserve">Esfahani M, Movahedian A, Baranchi M, Goodarzi MT. Adiponectin: an adipokine with protective features against metabolic syndrome. </w:t>
      </w:r>
      <w:r w:rsidRPr="00BE712C">
        <w:rPr>
          <w:i/>
          <w:iCs/>
        </w:rPr>
        <w:t>Iran J Basic Med Sci</w:t>
      </w:r>
      <w:r w:rsidRPr="00BE712C">
        <w:t>. 2015;18(5):430-442.</w:t>
      </w:r>
    </w:p>
    <w:p w14:paraId="0F41C93D" w14:textId="77777777" w:rsidR="00BE712C" w:rsidRPr="00BE712C" w:rsidRDefault="00BE712C" w:rsidP="009906F2">
      <w:pPr>
        <w:pStyle w:val="Bibliography"/>
        <w:spacing w:after="0"/>
        <w:ind w:left="0" w:firstLine="0"/>
        <w:jc w:val="left"/>
      </w:pPr>
      <w:r w:rsidRPr="00BE712C">
        <w:t>476.</w:t>
      </w:r>
      <w:r w:rsidRPr="00BE712C">
        <w:tab/>
        <w:t xml:space="preserve">Kazak L, Chouchani ET, Stavrovskaya IG, et al. UCP1 deficiency causes brown fat respiratory chain depletion and sensitizes mitochondria to calcium overload-induced dysfunction. </w:t>
      </w:r>
      <w:r w:rsidRPr="00BE712C">
        <w:rPr>
          <w:i/>
          <w:iCs/>
        </w:rPr>
        <w:t>Proceedings of the National Academy of Sciences</w:t>
      </w:r>
      <w:r w:rsidRPr="00BE712C">
        <w:t>. 2017;114(30):7981-7986. doi:10.1073/pnas.1705406114</w:t>
      </w:r>
    </w:p>
    <w:p w14:paraId="69D1E0FB" w14:textId="77777777" w:rsidR="00BE712C" w:rsidRPr="00BE712C" w:rsidRDefault="00BE712C" w:rsidP="009906F2">
      <w:pPr>
        <w:pStyle w:val="Bibliography"/>
        <w:spacing w:after="0"/>
        <w:ind w:left="0" w:firstLine="0"/>
        <w:jc w:val="left"/>
      </w:pPr>
      <w:r w:rsidRPr="00BE712C">
        <w:t>477.</w:t>
      </w:r>
      <w:r w:rsidRPr="00BE712C">
        <w:tab/>
        <w:t xml:space="preserve">Cheng J, Nanayakkara G, Shao Y, et al. Mitochondrial Proton Leak Plays a Critical Role in Pathogenesis of Cardiovascular Diseases. </w:t>
      </w:r>
      <w:r w:rsidRPr="00BE712C">
        <w:rPr>
          <w:i/>
          <w:iCs/>
        </w:rPr>
        <w:t>Adv Exp Med Biol</w:t>
      </w:r>
      <w:r w:rsidRPr="00BE712C">
        <w:t>. 2017;982:359-370. doi:10.1007/978-3-319-55330-6_20</w:t>
      </w:r>
    </w:p>
    <w:p w14:paraId="33B0EEE3" w14:textId="77777777" w:rsidR="00BE712C" w:rsidRPr="00BE712C" w:rsidRDefault="00BE712C" w:rsidP="009906F2">
      <w:pPr>
        <w:pStyle w:val="Bibliography"/>
        <w:spacing w:after="0"/>
        <w:ind w:left="0" w:firstLine="0"/>
        <w:jc w:val="left"/>
      </w:pPr>
      <w:r w:rsidRPr="00BE712C">
        <w:t>478.</w:t>
      </w:r>
      <w:r w:rsidRPr="00BE712C">
        <w:tab/>
        <w:t xml:space="preserve">Rousset S, Alves-Guerra MC, Mozo J, et al. The Biology of Mitochondrial Uncoupling Proteins. </w:t>
      </w:r>
      <w:r w:rsidRPr="00BE712C">
        <w:rPr>
          <w:i/>
          <w:iCs/>
        </w:rPr>
        <w:t>Diabetes</w:t>
      </w:r>
      <w:r w:rsidRPr="00BE712C">
        <w:t>. 2004;53(suppl_1):S130-S135. doi:10.2337/diabetes.53.2007.S130</w:t>
      </w:r>
    </w:p>
    <w:p w14:paraId="25C959A0" w14:textId="77777777" w:rsidR="00BE712C" w:rsidRPr="00BE712C" w:rsidRDefault="00BE712C" w:rsidP="009906F2">
      <w:pPr>
        <w:pStyle w:val="Bibliography"/>
        <w:spacing w:after="0"/>
        <w:ind w:left="0" w:firstLine="0"/>
        <w:jc w:val="left"/>
      </w:pPr>
      <w:r w:rsidRPr="00BE712C">
        <w:lastRenderedPageBreak/>
        <w:t>479.</w:t>
      </w:r>
      <w:r w:rsidRPr="00BE712C">
        <w:tab/>
        <w:t xml:space="preserve">Nicholls DG. Mitochondrial proton leaks and uncoupling proteins. </w:t>
      </w:r>
      <w:r w:rsidRPr="00BE712C">
        <w:rPr>
          <w:i/>
          <w:iCs/>
        </w:rPr>
        <w:t>Biochimica et Biophysica Acta (BBA) - Bioenergetics</w:t>
      </w:r>
      <w:r w:rsidRPr="00BE712C">
        <w:t>. 2021;1862(7):148428. doi:10.1016/j.bbabio.2021.148428</w:t>
      </w:r>
    </w:p>
    <w:p w14:paraId="38801CD4" w14:textId="77777777" w:rsidR="00BE712C" w:rsidRPr="00BE712C" w:rsidRDefault="00BE712C" w:rsidP="009906F2">
      <w:pPr>
        <w:pStyle w:val="Bibliography"/>
        <w:spacing w:after="0"/>
        <w:ind w:left="0" w:firstLine="0"/>
        <w:jc w:val="left"/>
      </w:pPr>
      <w:r w:rsidRPr="00BE712C">
        <w:t>480.</w:t>
      </w:r>
      <w:r w:rsidRPr="00BE712C">
        <w:tab/>
        <w:t xml:space="preserve">Merlin J, Sato M, Chia LY, et al. Rosiglitazone and a β3-Adrenoceptor Agonist Are Both Required for Functional Browning of White Adipocytes in Culture. </w:t>
      </w:r>
      <w:r w:rsidRPr="00BE712C">
        <w:rPr>
          <w:i/>
          <w:iCs/>
        </w:rPr>
        <w:t>Front Endocrinol (Lausanne)</w:t>
      </w:r>
      <w:r w:rsidRPr="00BE712C">
        <w:t>. 2018;9:249. doi:10.3389/fendo.2018.00249</w:t>
      </w:r>
    </w:p>
    <w:p w14:paraId="25DEB25B" w14:textId="77777777" w:rsidR="00BE712C" w:rsidRPr="00BE712C" w:rsidRDefault="00BE712C" w:rsidP="009906F2">
      <w:pPr>
        <w:pStyle w:val="Bibliography"/>
        <w:spacing w:after="0"/>
        <w:ind w:left="0" w:firstLine="0"/>
        <w:jc w:val="left"/>
      </w:pPr>
      <w:r w:rsidRPr="00BE712C">
        <w:t>481.</w:t>
      </w:r>
      <w:r w:rsidRPr="00BE712C">
        <w:tab/>
        <w:t xml:space="preserve">Abu Shelbayeh O, Arroum T, Morris S, Busch KB. PGC-1α Is a Master Regulator of Mitochondrial Lifecycle and ROS Stress Response. </w:t>
      </w:r>
      <w:r w:rsidRPr="00BE712C">
        <w:rPr>
          <w:i/>
          <w:iCs/>
        </w:rPr>
        <w:t>Antioxidants (Basel)</w:t>
      </w:r>
      <w:r w:rsidRPr="00BE712C">
        <w:t>. 2023;12(5):1075. doi:10.3390/antiox12051075</w:t>
      </w:r>
    </w:p>
    <w:p w14:paraId="6B6D0F85" w14:textId="77777777" w:rsidR="00BE712C" w:rsidRPr="00BE712C" w:rsidRDefault="00BE712C" w:rsidP="009906F2">
      <w:pPr>
        <w:pStyle w:val="Bibliography"/>
        <w:spacing w:after="0"/>
        <w:ind w:left="0" w:firstLine="0"/>
        <w:jc w:val="left"/>
      </w:pPr>
      <w:r w:rsidRPr="00BE712C">
        <w:t>482.</w:t>
      </w:r>
      <w:r w:rsidRPr="00BE712C">
        <w:tab/>
        <w:t xml:space="preserve">Yao L, Cui X, Chen Q, et al. Cold-Inducible SIRT6 Regulates Thermogenesis of Brown and Beige Fat. </w:t>
      </w:r>
      <w:r w:rsidRPr="00BE712C">
        <w:rPr>
          <w:i/>
          <w:iCs/>
        </w:rPr>
        <w:t>Cell Reports</w:t>
      </w:r>
      <w:r w:rsidRPr="00BE712C">
        <w:t>. 2017;20(3):641-654. doi:10.1016/j.celrep.2017.06.069</w:t>
      </w:r>
    </w:p>
    <w:p w14:paraId="51F93F93" w14:textId="77777777" w:rsidR="00BE712C" w:rsidRPr="00BE712C" w:rsidRDefault="00BE712C" w:rsidP="009906F2">
      <w:pPr>
        <w:pStyle w:val="Bibliography"/>
        <w:spacing w:after="0"/>
        <w:ind w:left="0" w:firstLine="0"/>
        <w:jc w:val="left"/>
      </w:pPr>
      <w:r w:rsidRPr="00BE712C">
        <w:t>483.</w:t>
      </w:r>
      <w:r w:rsidRPr="00BE712C">
        <w:tab/>
        <w:t xml:space="preserve">Dempersmier J, Sambeat A, Gulyaeva O, et al. Cold-Inducible Zfp516 Activates UCP1 Transcription to Promote Browning of White Fat and Development of Brown Fat. </w:t>
      </w:r>
      <w:r w:rsidRPr="00BE712C">
        <w:rPr>
          <w:i/>
          <w:iCs/>
        </w:rPr>
        <w:t>Molecular Cell</w:t>
      </w:r>
      <w:r w:rsidRPr="00BE712C">
        <w:t>. 2015;57(2):235-246. doi:10.1016/j.molcel.2014.12.005</w:t>
      </w:r>
    </w:p>
    <w:p w14:paraId="6208D7B9" w14:textId="77777777" w:rsidR="00BE712C" w:rsidRPr="00BE712C" w:rsidRDefault="00BE712C" w:rsidP="009906F2">
      <w:pPr>
        <w:pStyle w:val="Bibliography"/>
        <w:spacing w:after="0"/>
        <w:ind w:left="0" w:firstLine="0"/>
        <w:jc w:val="left"/>
      </w:pPr>
      <w:r w:rsidRPr="00BE712C">
        <w:t>484.</w:t>
      </w:r>
      <w:r w:rsidRPr="00BE712C">
        <w:tab/>
        <w:t xml:space="preserve">Peng XR, Gennemark P, O’Mahony G, Bartesaghi S. Unlock the Thermogenic Potential of Adipose Tissue: Pharmacological Modulation and Implications for Treatment of Diabetes and Obesity. </w:t>
      </w:r>
      <w:r w:rsidRPr="00BE712C">
        <w:rPr>
          <w:i/>
          <w:iCs/>
        </w:rPr>
        <w:t>Front Endocrinol</w:t>
      </w:r>
      <w:r w:rsidRPr="00BE712C">
        <w:t>. 2015;6. doi:10.3389/fendo.2015.00174</w:t>
      </w:r>
    </w:p>
    <w:p w14:paraId="0848AE93" w14:textId="77777777" w:rsidR="00BE712C" w:rsidRPr="00BE712C" w:rsidRDefault="00BE712C" w:rsidP="009906F2">
      <w:pPr>
        <w:pStyle w:val="Bibliography"/>
        <w:spacing w:after="0"/>
        <w:ind w:left="0" w:firstLine="0"/>
        <w:jc w:val="left"/>
      </w:pPr>
      <w:r w:rsidRPr="00BE712C">
        <w:t>485.</w:t>
      </w:r>
      <w:r w:rsidRPr="00BE712C">
        <w:tab/>
        <w:t xml:space="preserve">Wang S, Goodspeed L, Turk KE, Houston B, den Hartigh LJ. Rosiglitazone Improves Insulin Resistance Mediated by 10,12 Conjugated Linoleic Acid in a Male Mouse Model of Metabolic Syndrome. </w:t>
      </w:r>
      <w:r w:rsidRPr="00BE712C">
        <w:rPr>
          <w:i/>
          <w:iCs/>
        </w:rPr>
        <w:t>Endocrinology</w:t>
      </w:r>
      <w:r w:rsidRPr="00BE712C">
        <w:t>. 2017;158(9):2848-2859. doi:10.1210/en.2017-00213</w:t>
      </w:r>
    </w:p>
    <w:p w14:paraId="675DF320" w14:textId="77777777" w:rsidR="00BE712C" w:rsidRPr="00BE712C" w:rsidRDefault="00BE712C" w:rsidP="009906F2">
      <w:pPr>
        <w:pStyle w:val="Bibliography"/>
        <w:spacing w:after="0"/>
        <w:ind w:left="0" w:firstLine="0"/>
        <w:jc w:val="left"/>
      </w:pPr>
      <w:r w:rsidRPr="00BE712C">
        <w:lastRenderedPageBreak/>
        <w:t>486.</w:t>
      </w:r>
      <w:r w:rsidRPr="00BE712C">
        <w:tab/>
        <w:t xml:space="preserve">Fryklund C, Morén B, Neuhaus M, Periwal V, Stenkula KG. Rosiglitazone treatment enhances intracellular actin dynamics and glucose transport in hypertrophic adipocytes. </w:t>
      </w:r>
      <w:r w:rsidRPr="00BE712C">
        <w:rPr>
          <w:i/>
          <w:iCs/>
        </w:rPr>
        <w:t>Life Sciences</w:t>
      </w:r>
      <w:r w:rsidRPr="00BE712C">
        <w:t>. 2022;299:120537. doi:10.1016/j.lfs.2022.120537</w:t>
      </w:r>
    </w:p>
    <w:p w14:paraId="1A44F588" w14:textId="77777777" w:rsidR="00BE712C" w:rsidRPr="00BE712C" w:rsidRDefault="00BE712C" w:rsidP="009906F2">
      <w:pPr>
        <w:pStyle w:val="Bibliography"/>
        <w:spacing w:after="0"/>
        <w:ind w:left="0" w:firstLine="0"/>
        <w:jc w:val="left"/>
      </w:pPr>
      <w:r w:rsidRPr="00BE712C">
        <w:t>487.</w:t>
      </w:r>
      <w:r w:rsidRPr="00BE712C">
        <w:tab/>
        <w:t xml:space="preserve">Yang S, Luo T, Zhou H, et al. Rosiglitazone Inhibits Expression and Secretion of PEDF in Adipose Tissue and Liver of Male SD Rats Via a PPAR-γ Independent Mechanism. </w:t>
      </w:r>
      <w:r w:rsidRPr="00BE712C">
        <w:rPr>
          <w:i/>
          <w:iCs/>
        </w:rPr>
        <w:t>Endocrinology</w:t>
      </w:r>
      <w:r w:rsidRPr="00BE712C">
        <w:t>. 2014;155(3):941-950. doi:10.1210/en.2013-1813</w:t>
      </w:r>
    </w:p>
    <w:p w14:paraId="628C3341" w14:textId="77777777" w:rsidR="00BE712C" w:rsidRPr="00BE712C" w:rsidRDefault="00BE712C" w:rsidP="009906F2">
      <w:pPr>
        <w:pStyle w:val="Bibliography"/>
        <w:spacing w:after="0"/>
        <w:ind w:left="0" w:firstLine="0"/>
        <w:jc w:val="left"/>
      </w:pPr>
      <w:r w:rsidRPr="00BE712C">
        <w:t>488.</w:t>
      </w:r>
      <w:r w:rsidRPr="00BE712C">
        <w:tab/>
        <w:t xml:space="preserve">Stanford KI, Middelbeek RJW, Townsend KL, et al. Brown adipose tissue regulates glucose homeostasis and insulin sensitivity. </w:t>
      </w:r>
      <w:r w:rsidRPr="00BE712C">
        <w:rPr>
          <w:i/>
          <w:iCs/>
        </w:rPr>
        <w:t>J Clin Invest</w:t>
      </w:r>
      <w:r w:rsidRPr="00BE712C">
        <w:t>. 2013;123(1):215-223. doi:10.1172/JCI62308</w:t>
      </w:r>
    </w:p>
    <w:p w14:paraId="37971E14" w14:textId="77777777" w:rsidR="00BE712C" w:rsidRPr="00BE712C" w:rsidRDefault="00BE712C" w:rsidP="009906F2">
      <w:pPr>
        <w:pStyle w:val="Bibliography"/>
        <w:spacing w:after="0"/>
        <w:ind w:left="0" w:firstLine="0"/>
        <w:jc w:val="left"/>
      </w:pPr>
      <w:r w:rsidRPr="00BE712C">
        <w:t>489.</w:t>
      </w:r>
      <w:r w:rsidRPr="00BE712C">
        <w:tab/>
        <w:t xml:space="preserve">Peres Valgas da Silva C, Shettigar VK, Baer LA, et al. Brown adipose tissue prevents glucose intolerance and cardiac remodeling in high-fat-fed mice after a mild myocardial infarction. </w:t>
      </w:r>
      <w:r w:rsidRPr="00BE712C">
        <w:rPr>
          <w:i/>
          <w:iCs/>
        </w:rPr>
        <w:t>Int J Obes</w:t>
      </w:r>
      <w:r w:rsidRPr="00BE712C">
        <w:t>. 2022;46(2):350-358. doi:10.1038/s41366-021-00999-9</w:t>
      </w:r>
    </w:p>
    <w:p w14:paraId="3B69BA76" w14:textId="77777777" w:rsidR="00BE712C" w:rsidRPr="00BE712C" w:rsidRDefault="00BE712C" w:rsidP="009906F2">
      <w:pPr>
        <w:pStyle w:val="Bibliography"/>
        <w:spacing w:after="0"/>
        <w:ind w:left="0" w:firstLine="0"/>
        <w:jc w:val="left"/>
      </w:pPr>
      <w:r w:rsidRPr="00BE712C">
        <w:t>490.</w:t>
      </w:r>
      <w:r w:rsidRPr="00BE712C">
        <w:tab/>
        <w:t xml:space="preserve">Joberty G, Fälth-Savitski M, Paulmann M, et al. A Tandem Guide RNA-Based Strategy for Efficient CRISPR Gene Editing of Cell Populations with Low Heterogeneity of Edited Alleles. </w:t>
      </w:r>
      <w:r w:rsidRPr="00BE712C">
        <w:rPr>
          <w:i/>
          <w:iCs/>
        </w:rPr>
        <w:t>CRISPR J</w:t>
      </w:r>
      <w:r w:rsidRPr="00BE712C">
        <w:t>. 2020;3(2):123-134. doi:10.1089/crispr.2019.0064</w:t>
      </w:r>
    </w:p>
    <w:p w14:paraId="6223087F" w14:textId="77777777" w:rsidR="00BE712C" w:rsidRPr="00BE712C" w:rsidRDefault="00BE712C" w:rsidP="009906F2">
      <w:pPr>
        <w:pStyle w:val="Bibliography"/>
        <w:spacing w:after="0"/>
        <w:ind w:left="0" w:firstLine="0"/>
        <w:jc w:val="left"/>
      </w:pPr>
      <w:r w:rsidRPr="00BE712C">
        <w:t>491.</w:t>
      </w:r>
      <w:r w:rsidRPr="00BE712C">
        <w:tab/>
        <w:t xml:space="preserve">Guo C, Ma X, Gao F, Guo Y. Off-target effects in CRISPR/Cas9 gene editing. </w:t>
      </w:r>
      <w:r w:rsidRPr="00BE712C">
        <w:rPr>
          <w:i/>
          <w:iCs/>
        </w:rPr>
        <w:t>Front Bioeng Biotechnol</w:t>
      </w:r>
      <w:r w:rsidRPr="00BE712C">
        <w:t>. 2023;11:1143157. doi:10.3389/fbioe.2023.1143157</w:t>
      </w:r>
    </w:p>
    <w:p w14:paraId="7D536C16" w14:textId="707E9856" w:rsidR="00F24541" w:rsidRDefault="00B81AFB" w:rsidP="009906F2">
      <w:pPr>
        <w:pStyle w:val="Bibliography"/>
        <w:spacing w:after="0"/>
        <w:ind w:left="-264" w:firstLine="0"/>
        <w:jc w:val="left"/>
        <w:rPr>
          <w:lang w:eastAsia="zh-CN"/>
        </w:rPr>
      </w:pPr>
      <w:r>
        <w:rPr>
          <w:lang w:eastAsia="zh-CN"/>
        </w:rPr>
        <w:fldChar w:fldCharType="end"/>
      </w:r>
    </w:p>
    <w:p w14:paraId="43A7129A" w14:textId="77777777" w:rsidR="00F24541" w:rsidRDefault="00F24541">
      <w:pPr>
        <w:ind w:left="720" w:hanging="720"/>
        <w:jc w:val="left"/>
        <w:rPr>
          <w:lang w:eastAsia="zh-CN"/>
        </w:rPr>
      </w:pPr>
      <w:r>
        <w:rPr>
          <w:lang w:eastAsia="zh-CN"/>
        </w:rPr>
        <w:br w:type="page"/>
      </w:r>
    </w:p>
    <w:p w14:paraId="2956581A" w14:textId="77777777" w:rsidR="00CA4E6F" w:rsidRPr="00312C85" w:rsidRDefault="00CA4E6F" w:rsidP="00BE712C">
      <w:pPr>
        <w:pStyle w:val="Bibliography"/>
        <w:spacing w:after="0"/>
        <w:ind w:left="-264" w:firstLine="0"/>
        <w:jc w:val="left"/>
        <w:rPr>
          <w:lang w:eastAsia="zh-CN"/>
        </w:rPr>
      </w:pPr>
    </w:p>
    <w:p w14:paraId="2AD0EF04" w14:textId="77777777" w:rsidR="00AE6043" w:rsidRPr="00DB2C42" w:rsidRDefault="00AE6043" w:rsidP="00F37087">
      <w:pPr>
        <w:pStyle w:val="Heading1"/>
      </w:pPr>
      <w:bookmarkStart w:id="314" w:name="_Toc200810468"/>
      <w:bookmarkStart w:id="315" w:name="_Toc204848707"/>
      <w:r w:rsidRPr="00DB2C42">
        <w:t>VITA</w:t>
      </w:r>
      <w:bookmarkEnd w:id="306"/>
      <w:bookmarkEnd w:id="314"/>
      <w:bookmarkEnd w:id="315"/>
    </w:p>
    <w:p w14:paraId="7C6034F1" w14:textId="16DB1DF0" w:rsidR="00AE6743" w:rsidRPr="00AE6743" w:rsidRDefault="00AE6743" w:rsidP="00847BA5">
      <w:pPr>
        <w:ind w:firstLine="720"/>
        <w:jc w:val="left"/>
        <w:rPr>
          <w:lang w:eastAsia="zh-CN"/>
        </w:rPr>
      </w:pPr>
      <w:r w:rsidRPr="00AE6743">
        <w:rPr>
          <w:lang w:eastAsia="zh-CN"/>
        </w:rPr>
        <w:t xml:space="preserve">Xinyun Xu was born in </w:t>
      </w:r>
      <w:r w:rsidR="005F026F">
        <w:rPr>
          <w:lang w:eastAsia="zh-CN"/>
        </w:rPr>
        <w:t>Changzhou</w:t>
      </w:r>
      <w:r w:rsidRPr="00AE6743">
        <w:rPr>
          <w:lang w:eastAsia="zh-CN"/>
        </w:rPr>
        <w:t xml:space="preserve">, China. She earned a Bachelor of Science degree in Nutrition from </w:t>
      </w:r>
      <w:r w:rsidR="00AE26F7" w:rsidRPr="002D2488">
        <w:rPr>
          <w:lang w:eastAsia="zh-CN"/>
        </w:rPr>
        <w:t>the</w:t>
      </w:r>
      <w:r w:rsidR="002D2488" w:rsidRPr="002D2488">
        <w:rPr>
          <w:lang w:eastAsia="zh-CN"/>
        </w:rPr>
        <w:t xml:space="preserve"> University of Tennessee, Knoxville</w:t>
      </w:r>
      <w:r w:rsidR="002D2488">
        <w:rPr>
          <w:lang w:eastAsia="zh-CN"/>
        </w:rPr>
        <w:t xml:space="preserve"> </w:t>
      </w:r>
      <w:r w:rsidRPr="00AE6743">
        <w:rPr>
          <w:lang w:eastAsia="zh-CN"/>
        </w:rPr>
        <w:t xml:space="preserve">in </w:t>
      </w:r>
      <w:r w:rsidR="002D2488">
        <w:rPr>
          <w:lang w:eastAsia="zh-CN"/>
        </w:rPr>
        <w:t>2020</w:t>
      </w:r>
      <w:r w:rsidR="00AE26F7">
        <w:rPr>
          <w:lang w:eastAsia="zh-CN"/>
        </w:rPr>
        <w:t>.</w:t>
      </w:r>
      <w:r w:rsidRPr="00AE6743">
        <w:rPr>
          <w:lang w:eastAsia="zh-CN"/>
        </w:rPr>
        <w:t xml:space="preserve"> </w:t>
      </w:r>
      <w:r w:rsidR="00AE26F7" w:rsidRPr="00AE26F7">
        <w:rPr>
          <w:lang w:eastAsia="zh-CN"/>
        </w:rPr>
        <w:t>Following this,</w:t>
      </w:r>
      <w:r w:rsidR="00AE26F7">
        <w:rPr>
          <w:lang w:eastAsia="zh-CN"/>
        </w:rPr>
        <w:t xml:space="preserve"> </w:t>
      </w:r>
      <w:r w:rsidRPr="00AE6743">
        <w:rPr>
          <w:lang w:eastAsia="zh-CN"/>
        </w:rPr>
        <w:t xml:space="preserve">she was admitted to the PhD program in </w:t>
      </w:r>
      <w:r w:rsidR="00AE26F7">
        <w:rPr>
          <w:lang w:eastAsia="zh-CN"/>
        </w:rPr>
        <w:t xml:space="preserve">Biomedical </w:t>
      </w:r>
      <w:r w:rsidRPr="00AE6743">
        <w:rPr>
          <w:lang w:eastAsia="zh-CN"/>
        </w:rPr>
        <w:t xml:space="preserve">Nutrition </w:t>
      </w:r>
      <w:r w:rsidR="00AE26F7">
        <w:rPr>
          <w:lang w:eastAsia="zh-CN"/>
        </w:rPr>
        <w:t xml:space="preserve">Science </w:t>
      </w:r>
      <w:r w:rsidRPr="00AE6743">
        <w:rPr>
          <w:lang w:eastAsia="zh-CN"/>
        </w:rPr>
        <w:t>at the University of Tennessee, Knoxville, under the mentorship of Dr. Ling Zhao. Her doctoral research focused on obesity, diabetes, thermogenesis, and the browning of white adipose tissue.</w:t>
      </w:r>
      <w:r w:rsidR="00D1528E">
        <w:rPr>
          <w:lang w:eastAsia="zh-CN"/>
        </w:rPr>
        <w:t xml:space="preserve"> </w:t>
      </w:r>
      <w:r w:rsidRPr="00AE6743">
        <w:rPr>
          <w:lang w:eastAsia="zh-CN"/>
        </w:rPr>
        <w:t xml:space="preserve">Her work involved both </w:t>
      </w:r>
      <w:r w:rsidR="004B354A" w:rsidRPr="004B354A">
        <w:rPr>
          <w:i/>
          <w:lang w:eastAsia="zh-CN"/>
        </w:rPr>
        <w:t>in vivo</w:t>
      </w:r>
      <w:r w:rsidRPr="00AE6743">
        <w:rPr>
          <w:lang w:eastAsia="zh-CN"/>
        </w:rPr>
        <w:t xml:space="preserve"> and </w:t>
      </w:r>
      <w:r w:rsidR="004B354A" w:rsidRPr="004B354A">
        <w:rPr>
          <w:i/>
          <w:lang w:eastAsia="zh-CN"/>
        </w:rPr>
        <w:t>in vitro</w:t>
      </w:r>
      <w:r w:rsidRPr="00AE6743">
        <w:rPr>
          <w:lang w:eastAsia="zh-CN"/>
        </w:rPr>
        <w:t xml:space="preserve"> models, including studies on adipose-derived stromal cells,</w:t>
      </w:r>
      <w:r w:rsidR="00D1528E">
        <w:rPr>
          <w:lang w:eastAsia="zh-CN"/>
        </w:rPr>
        <w:t xml:space="preserve"> varies mouse models</w:t>
      </w:r>
      <w:r w:rsidRPr="00AE6743">
        <w:rPr>
          <w:lang w:eastAsia="zh-CN"/>
        </w:rPr>
        <w:t xml:space="preserve">, </w:t>
      </w:r>
      <w:r w:rsidR="002D2571">
        <w:rPr>
          <w:lang w:eastAsia="zh-CN"/>
        </w:rPr>
        <w:t>CRISPR/Cas9 gene editing</w:t>
      </w:r>
      <w:r w:rsidRPr="00AE6743">
        <w:rPr>
          <w:lang w:eastAsia="zh-CN"/>
        </w:rPr>
        <w:t>, and the metabolic effects of phytonutrients such as resveratrol. Her research interests include adipose tissue, insulin sensitivity, energy metabolism, sex differences in metabolic regulation, and molecular</w:t>
      </w:r>
      <w:r w:rsidR="00B84F09">
        <w:rPr>
          <w:lang w:eastAsia="zh-CN"/>
        </w:rPr>
        <w:t xml:space="preserve"> biology</w:t>
      </w:r>
      <w:r w:rsidRPr="00AE6743">
        <w:rPr>
          <w:lang w:eastAsia="zh-CN"/>
        </w:rPr>
        <w:t>.</w:t>
      </w:r>
    </w:p>
    <w:p w14:paraId="1F078CF3" w14:textId="77777777" w:rsidR="003D63DF" w:rsidRPr="00DB2C42" w:rsidRDefault="003D63DF" w:rsidP="009765AB">
      <w:pPr>
        <w:pStyle w:val="Bibliography"/>
      </w:pPr>
    </w:p>
    <w:sectPr w:rsidR="003D63DF" w:rsidRPr="00DB2C42" w:rsidSect="00CA4E6F">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250330" w14:textId="77777777" w:rsidR="00AB1248" w:rsidRDefault="00AB1248" w:rsidP="005E54E2">
      <w:r>
        <w:separator/>
      </w:r>
    </w:p>
    <w:p w14:paraId="21F80967" w14:textId="77777777" w:rsidR="00AB1248" w:rsidRDefault="00AB1248" w:rsidP="005E54E2"/>
    <w:p w14:paraId="438D7A67" w14:textId="77777777" w:rsidR="00AB1248" w:rsidRDefault="00AB1248" w:rsidP="005E54E2"/>
    <w:p w14:paraId="259D8DEC" w14:textId="77777777" w:rsidR="00AB1248" w:rsidRDefault="00AB1248" w:rsidP="005E54E2"/>
  </w:endnote>
  <w:endnote w:type="continuationSeparator" w:id="0">
    <w:p w14:paraId="2D7B8D28" w14:textId="77777777" w:rsidR="00AB1248" w:rsidRDefault="00AB1248" w:rsidP="005E54E2">
      <w:r>
        <w:continuationSeparator/>
      </w:r>
    </w:p>
    <w:p w14:paraId="77E30FCB" w14:textId="77777777" w:rsidR="00AB1248" w:rsidRDefault="00AB1248" w:rsidP="005E54E2"/>
    <w:p w14:paraId="5CE1DDE6" w14:textId="77777777" w:rsidR="00AB1248" w:rsidRDefault="00AB1248" w:rsidP="005E54E2"/>
    <w:p w14:paraId="600AA3D5" w14:textId="77777777" w:rsidR="00AB1248" w:rsidRDefault="00AB124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6354D" w14:textId="411E05AB" w:rsidR="00F177EB" w:rsidRDefault="00387656" w:rsidP="00515BBE">
    <w:pPr>
      <w:pStyle w:val="Footer"/>
      <w:jc w:val="right"/>
    </w:pPr>
    <w:r w:rsidRPr="000E3772">
      <w:fldChar w:fldCharType="begin"/>
    </w:r>
    <w:r w:rsidRPr="000E3772">
      <w:instrText xml:space="preserve"> PAGE   \* MERGEFORMAT </w:instrText>
    </w:r>
    <w:r w:rsidRPr="000E3772">
      <w:fldChar w:fldCharType="separate"/>
    </w:r>
    <w:r w:rsidR="000E3772">
      <w:rPr>
        <w:noProof/>
      </w:rPr>
      <w:t>13</w:t>
    </w:r>
    <w:r w:rsidRPr="000E377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7175FD" w14:textId="77777777" w:rsidR="00AB1248" w:rsidRDefault="00AB1248" w:rsidP="005E54E2">
      <w:r>
        <w:separator/>
      </w:r>
    </w:p>
    <w:p w14:paraId="27C86532" w14:textId="77777777" w:rsidR="00AB1248" w:rsidRDefault="00AB1248" w:rsidP="005E54E2"/>
    <w:p w14:paraId="4DDEF36C" w14:textId="77777777" w:rsidR="00AB1248" w:rsidRDefault="00AB1248" w:rsidP="005E54E2"/>
    <w:p w14:paraId="7D2D6247" w14:textId="77777777" w:rsidR="00AB1248" w:rsidRDefault="00AB1248" w:rsidP="005E54E2"/>
  </w:footnote>
  <w:footnote w:type="continuationSeparator" w:id="0">
    <w:p w14:paraId="5C89F64C" w14:textId="77777777" w:rsidR="00AB1248" w:rsidRDefault="00AB1248" w:rsidP="005E54E2">
      <w:r>
        <w:continuationSeparator/>
      </w:r>
    </w:p>
    <w:p w14:paraId="33BAA51D" w14:textId="77777777" w:rsidR="00AB1248" w:rsidRDefault="00AB1248" w:rsidP="005E54E2"/>
    <w:p w14:paraId="1A5D2BC5" w14:textId="77777777" w:rsidR="00AB1248" w:rsidRDefault="00AB1248" w:rsidP="005E54E2"/>
    <w:p w14:paraId="0364DD11" w14:textId="77777777" w:rsidR="00AB1248" w:rsidRDefault="00AB1248"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7DD2D" w14:textId="77777777" w:rsidR="00824A47" w:rsidRDefault="00824A47" w:rsidP="00D63D48">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2512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D415956"/>
    <w:multiLevelType w:val="multilevel"/>
    <w:tmpl w:val="12C4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AB4A99"/>
    <w:multiLevelType w:val="multilevel"/>
    <w:tmpl w:val="91BE8AF4"/>
    <w:lvl w:ilvl="0">
      <w:start w:val="1"/>
      <w:numFmt w:val="decimal"/>
      <w:pStyle w:val="Heading1"/>
      <w:suff w:val="nothing"/>
      <w:lvlText w:val="%1"/>
      <w:lvlJc w:val="left"/>
      <w:pPr>
        <w:ind w:left="2322" w:hanging="432"/>
      </w:pPr>
      <w:rPr>
        <w:rFonts w:hint="default"/>
        <w:vanish/>
      </w:rPr>
    </w:lvl>
    <w:lvl w:ilvl="1">
      <w:start w:val="1"/>
      <w:numFmt w:val="decimal"/>
      <w:pStyle w:val="Heading2"/>
      <w:lvlText w:val="%1.%2"/>
      <w:lvlJc w:val="left"/>
      <w:pPr>
        <w:ind w:left="576" w:hanging="576"/>
      </w:pPr>
      <w:rPr>
        <w:rFonts w:hint="default"/>
        <w:vanish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3AEE7AFE"/>
    <w:multiLevelType w:val="multilevel"/>
    <w:tmpl w:val="E550F0C0"/>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AF33E3C"/>
    <w:multiLevelType w:val="hybridMultilevel"/>
    <w:tmpl w:val="A9408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76860"/>
    <w:multiLevelType w:val="multilevel"/>
    <w:tmpl w:val="3BFCC034"/>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6" w15:restartNumberingAfterBreak="0">
    <w:nsid w:val="3E31300F"/>
    <w:multiLevelType w:val="hybridMultilevel"/>
    <w:tmpl w:val="F9BA18FC"/>
    <w:lvl w:ilvl="0" w:tplc="ED64AE46">
      <w:start w:val="1"/>
      <w:numFmt w:val="decimal"/>
      <w:lvlText w:val="%1."/>
      <w:lvlJc w:val="left"/>
      <w:pPr>
        <w:tabs>
          <w:tab w:val="num" w:pos="720"/>
        </w:tabs>
        <w:ind w:left="720" w:hanging="360"/>
      </w:pPr>
    </w:lvl>
    <w:lvl w:ilvl="1" w:tplc="32A66A9E" w:tentative="1">
      <w:start w:val="1"/>
      <w:numFmt w:val="decimal"/>
      <w:lvlText w:val="%2."/>
      <w:lvlJc w:val="left"/>
      <w:pPr>
        <w:tabs>
          <w:tab w:val="num" w:pos="1440"/>
        </w:tabs>
        <w:ind w:left="1440" w:hanging="360"/>
      </w:pPr>
    </w:lvl>
    <w:lvl w:ilvl="2" w:tplc="B7D26950" w:tentative="1">
      <w:start w:val="1"/>
      <w:numFmt w:val="decimal"/>
      <w:lvlText w:val="%3."/>
      <w:lvlJc w:val="left"/>
      <w:pPr>
        <w:tabs>
          <w:tab w:val="num" w:pos="2160"/>
        </w:tabs>
        <w:ind w:left="2160" w:hanging="360"/>
      </w:pPr>
    </w:lvl>
    <w:lvl w:ilvl="3" w:tplc="AD7CEEEC" w:tentative="1">
      <w:start w:val="1"/>
      <w:numFmt w:val="decimal"/>
      <w:lvlText w:val="%4."/>
      <w:lvlJc w:val="left"/>
      <w:pPr>
        <w:tabs>
          <w:tab w:val="num" w:pos="2880"/>
        </w:tabs>
        <w:ind w:left="2880" w:hanging="360"/>
      </w:pPr>
    </w:lvl>
    <w:lvl w:ilvl="4" w:tplc="96ACCC8C" w:tentative="1">
      <w:start w:val="1"/>
      <w:numFmt w:val="decimal"/>
      <w:lvlText w:val="%5."/>
      <w:lvlJc w:val="left"/>
      <w:pPr>
        <w:tabs>
          <w:tab w:val="num" w:pos="3600"/>
        </w:tabs>
        <w:ind w:left="3600" w:hanging="360"/>
      </w:pPr>
    </w:lvl>
    <w:lvl w:ilvl="5" w:tplc="C02AA942" w:tentative="1">
      <w:start w:val="1"/>
      <w:numFmt w:val="decimal"/>
      <w:lvlText w:val="%6."/>
      <w:lvlJc w:val="left"/>
      <w:pPr>
        <w:tabs>
          <w:tab w:val="num" w:pos="4320"/>
        </w:tabs>
        <w:ind w:left="4320" w:hanging="360"/>
      </w:pPr>
    </w:lvl>
    <w:lvl w:ilvl="6" w:tplc="D5466DAE" w:tentative="1">
      <w:start w:val="1"/>
      <w:numFmt w:val="decimal"/>
      <w:lvlText w:val="%7."/>
      <w:lvlJc w:val="left"/>
      <w:pPr>
        <w:tabs>
          <w:tab w:val="num" w:pos="5040"/>
        </w:tabs>
        <w:ind w:left="5040" w:hanging="360"/>
      </w:pPr>
    </w:lvl>
    <w:lvl w:ilvl="7" w:tplc="21AE9B10" w:tentative="1">
      <w:start w:val="1"/>
      <w:numFmt w:val="decimal"/>
      <w:lvlText w:val="%8."/>
      <w:lvlJc w:val="left"/>
      <w:pPr>
        <w:tabs>
          <w:tab w:val="num" w:pos="5760"/>
        </w:tabs>
        <w:ind w:left="5760" w:hanging="360"/>
      </w:pPr>
    </w:lvl>
    <w:lvl w:ilvl="8" w:tplc="3A308B5C" w:tentative="1">
      <w:start w:val="1"/>
      <w:numFmt w:val="decimal"/>
      <w:lvlText w:val="%9."/>
      <w:lvlJc w:val="left"/>
      <w:pPr>
        <w:tabs>
          <w:tab w:val="num" w:pos="6480"/>
        </w:tabs>
        <w:ind w:left="6480" w:hanging="360"/>
      </w:pPr>
    </w:lvl>
  </w:abstractNum>
  <w:abstractNum w:abstractNumId="7" w15:restartNumberingAfterBreak="0">
    <w:nsid w:val="40640C77"/>
    <w:multiLevelType w:val="multilevel"/>
    <w:tmpl w:val="CCB28814"/>
    <w:styleLink w:val="CurrentList7"/>
    <w:lvl w:ilvl="0">
      <w:start w:val="1"/>
      <w:numFmt w:val="decimal"/>
      <w:lvlText w:val="%1."/>
      <w:lvlJc w:val="left"/>
      <w:pPr>
        <w:ind w:left="360" w:hanging="360"/>
      </w:pPr>
      <w:rPr>
        <w:rFonts w:hint="default"/>
        <w:vanish w:val="0"/>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2D81B4C"/>
    <w:multiLevelType w:val="multilevel"/>
    <w:tmpl w:val="4838F1F2"/>
    <w:numStyleLink w:val="CurrentList1"/>
  </w:abstractNum>
  <w:abstractNum w:abstractNumId="9" w15:restartNumberingAfterBreak="0">
    <w:nsid w:val="43DE5229"/>
    <w:multiLevelType w:val="multilevel"/>
    <w:tmpl w:val="4838F1F2"/>
    <w:styleLink w:val="CurrentList1"/>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10" w15:restartNumberingAfterBreak="0">
    <w:nsid w:val="473919E6"/>
    <w:multiLevelType w:val="multilevel"/>
    <w:tmpl w:val="34AC00C6"/>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11" w15:restartNumberingAfterBreak="0">
    <w:nsid w:val="4BBA6B7E"/>
    <w:multiLevelType w:val="multilevel"/>
    <w:tmpl w:val="36FCCA2A"/>
    <w:styleLink w:val="CurrentList5"/>
    <w:lvl w:ilvl="0">
      <w:start w:val="1"/>
      <w:numFmt w:val="decimal"/>
      <w:lvlText w:val="%1."/>
      <w:lvlJc w:val="left"/>
      <w:pPr>
        <w:ind w:left="360" w:hanging="360"/>
      </w:pPr>
      <w:rPr>
        <w:rFonts w:hint="default"/>
        <w:vanish w:val="0"/>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4575C8"/>
    <w:multiLevelType w:val="multilevel"/>
    <w:tmpl w:val="B9D499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8660284"/>
    <w:multiLevelType w:val="multilevel"/>
    <w:tmpl w:val="9FDEB434"/>
    <w:styleLink w:val="CurrentList6"/>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14" w15:restartNumberingAfterBreak="0">
    <w:nsid w:val="60F13B24"/>
    <w:multiLevelType w:val="multilevel"/>
    <w:tmpl w:val="91422A8C"/>
    <w:styleLink w:val="CurrentList4"/>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15" w15:restartNumberingAfterBreak="0">
    <w:nsid w:val="67416993"/>
    <w:multiLevelType w:val="multilevel"/>
    <w:tmpl w:val="84426458"/>
    <w:styleLink w:val="CurrentList2"/>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16" w15:restartNumberingAfterBreak="0">
    <w:nsid w:val="6B754711"/>
    <w:multiLevelType w:val="multilevel"/>
    <w:tmpl w:val="9FDEB434"/>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17" w15:restartNumberingAfterBreak="0">
    <w:nsid w:val="6FB71D53"/>
    <w:multiLevelType w:val="multilevel"/>
    <w:tmpl w:val="363268D8"/>
    <w:styleLink w:val="CurrentList3"/>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num w:numId="1" w16cid:durableId="251135383">
    <w:abstractNumId w:val="6"/>
  </w:num>
  <w:num w:numId="2" w16cid:durableId="567426208">
    <w:abstractNumId w:val="4"/>
  </w:num>
  <w:num w:numId="3" w16cid:durableId="144932530">
    <w:abstractNumId w:val="5"/>
  </w:num>
  <w:num w:numId="4" w16cid:durableId="135227644">
    <w:abstractNumId w:val="12"/>
  </w:num>
  <w:num w:numId="5" w16cid:durableId="701367376">
    <w:abstractNumId w:val="10"/>
  </w:num>
  <w:num w:numId="6" w16cid:durableId="1796026649">
    <w:abstractNumId w:val="2"/>
  </w:num>
  <w:num w:numId="7" w16cid:durableId="22707162">
    <w:abstractNumId w:val="3"/>
  </w:num>
  <w:num w:numId="8" w16cid:durableId="1224368392">
    <w:abstractNumId w:val="9"/>
  </w:num>
  <w:num w:numId="9" w16cid:durableId="2627619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5858740">
    <w:abstractNumId w:val="8"/>
  </w:num>
  <w:num w:numId="11" w16cid:durableId="575869613">
    <w:abstractNumId w:val="0"/>
  </w:num>
  <w:num w:numId="12" w16cid:durableId="1920212651">
    <w:abstractNumId w:val="16"/>
  </w:num>
  <w:num w:numId="13" w16cid:durableId="1810245995">
    <w:abstractNumId w:val="15"/>
  </w:num>
  <w:num w:numId="14" w16cid:durableId="116409067">
    <w:abstractNumId w:val="17"/>
  </w:num>
  <w:num w:numId="15" w16cid:durableId="426080042">
    <w:abstractNumId w:val="14"/>
  </w:num>
  <w:num w:numId="16" w16cid:durableId="2133863932">
    <w:abstractNumId w:val="11"/>
  </w:num>
  <w:num w:numId="17" w16cid:durableId="464084628">
    <w:abstractNumId w:val="13"/>
  </w:num>
  <w:num w:numId="18" w16cid:durableId="1863349671">
    <w:abstractNumId w:val="7"/>
  </w:num>
  <w:num w:numId="19" w16cid:durableId="1086809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1BB3"/>
    <w:rsid w:val="0000296A"/>
    <w:rsid w:val="000033A9"/>
    <w:rsid w:val="00003F6A"/>
    <w:rsid w:val="00004349"/>
    <w:rsid w:val="00006813"/>
    <w:rsid w:val="00007692"/>
    <w:rsid w:val="0001111F"/>
    <w:rsid w:val="000114E2"/>
    <w:rsid w:val="00011C58"/>
    <w:rsid w:val="00011F0F"/>
    <w:rsid w:val="00013438"/>
    <w:rsid w:val="000137AD"/>
    <w:rsid w:val="00014A3E"/>
    <w:rsid w:val="000153FE"/>
    <w:rsid w:val="00015665"/>
    <w:rsid w:val="000156E9"/>
    <w:rsid w:val="000158A1"/>
    <w:rsid w:val="0001595E"/>
    <w:rsid w:val="00015A33"/>
    <w:rsid w:val="000166A9"/>
    <w:rsid w:val="00016BC5"/>
    <w:rsid w:val="00017EE7"/>
    <w:rsid w:val="0002066E"/>
    <w:rsid w:val="00021C93"/>
    <w:rsid w:val="00022E39"/>
    <w:rsid w:val="00024229"/>
    <w:rsid w:val="000257C8"/>
    <w:rsid w:val="0003090C"/>
    <w:rsid w:val="000321D8"/>
    <w:rsid w:val="000326B1"/>
    <w:rsid w:val="00032DC7"/>
    <w:rsid w:val="00032F9D"/>
    <w:rsid w:val="00033A31"/>
    <w:rsid w:val="000342BC"/>
    <w:rsid w:val="00034A7E"/>
    <w:rsid w:val="00035FDD"/>
    <w:rsid w:val="000360ED"/>
    <w:rsid w:val="0003672C"/>
    <w:rsid w:val="00040668"/>
    <w:rsid w:val="0004190C"/>
    <w:rsid w:val="00046F8C"/>
    <w:rsid w:val="00050E05"/>
    <w:rsid w:val="00051F28"/>
    <w:rsid w:val="0005249D"/>
    <w:rsid w:val="00052A96"/>
    <w:rsid w:val="00054268"/>
    <w:rsid w:val="000543EA"/>
    <w:rsid w:val="00054E4D"/>
    <w:rsid w:val="000560E6"/>
    <w:rsid w:val="00057004"/>
    <w:rsid w:val="0005723D"/>
    <w:rsid w:val="00057395"/>
    <w:rsid w:val="00060A6A"/>
    <w:rsid w:val="00063A89"/>
    <w:rsid w:val="00064A6B"/>
    <w:rsid w:val="00065AD6"/>
    <w:rsid w:val="0006761D"/>
    <w:rsid w:val="00071BF9"/>
    <w:rsid w:val="00071FB8"/>
    <w:rsid w:val="000722B1"/>
    <w:rsid w:val="000732DE"/>
    <w:rsid w:val="000744CD"/>
    <w:rsid w:val="000747E2"/>
    <w:rsid w:val="000756DE"/>
    <w:rsid w:val="00076716"/>
    <w:rsid w:val="00076A95"/>
    <w:rsid w:val="000801ED"/>
    <w:rsid w:val="00080E1C"/>
    <w:rsid w:val="000819D2"/>
    <w:rsid w:val="00081DC6"/>
    <w:rsid w:val="00082C56"/>
    <w:rsid w:val="00083229"/>
    <w:rsid w:val="00083421"/>
    <w:rsid w:val="00083BF6"/>
    <w:rsid w:val="00084BBB"/>
    <w:rsid w:val="00084DD9"/>
    <w:rsid w:val="0008565D"/>
    <w:rsid w:val="0008592B"/>
    <w:rsid w:val="00086332"/>
    <w:rsid w:val="00087038"/>
    <w:rsid w:val="00087DCD"/>
    <w:rsid w:val="00090F8F"/>
    <w:rsid w:val="0009152B"/>
    <w:rsid w:val="000929CB"/>
    <w:rsid w:val="000938A2"/>
    <w:rsid w:val="00093AD6"/>
    <w:rsid w:val="00094D00"/>
    <w:rsid w:val="00097675"/>
    <w:rsid w:val="000977EE"/>
    <w:rsid w:val="00097FED"/>
    <w:rsid w:val="000A1BA1"/>
    <w:rsid w:val="000A4791"/>
    <w:rsid w:val="000A508B"/>
    <w:rsid w:val="000A5379"/>
    <w:rsid w:val="000A65AF"/>
    <w:rsid w:val="000A741B"/>
    <w:rsid w:val="000B1C37"/>
    <w:rsid w:val="000B2837"/>
    <w:rsid w:val="000B3917"/>
    <w:rsid w:val="000B3B76"/>
    <w:rsid w:val="000B4096"/>
    <w:rsid w:val="000B5741"/>
    <w:rsid w:val="000B5C42"/>
    <w:rsid w:val="000C05F0"/>
    <w:rsid w:val="000C2421"/>
    <w:rsid w:val="000C2591"/>
    <w:rsid w:val="000C3082"/>
    <w:rsid w:val="000C3FD8"/>
    <w:rsid w:val="000C4700"/>
    <w:rsid w:val="000C4752"/>
    <w:rsid w:val="000C6BB9"/>
    <w:rsid w:val="000C7CDA"/>
    <w:rsid w:val="000D0B9C"/>
    <w:rsid w:val="000D1567"/>
    <w:rsid w:val="000D1B22"/>
    <w:rsid w:val="000D5BED"/>
    <w:rsid w:val="000D5D71"/>
    <w:rsid w:val="000D7FFB"/>
    <w:rsid w:val="000E0766"/>
    <w:rsid w:val="000E160A"/>
    <w:rsid w:val="000E1A75"/>
    <w:rsid w:val="000E20C8"/>
    <w:rsid w:val="000E2120"/>
    <w:rsid w:val="000E2B87"/>
    <w:rsid w:val="000E2C90"/>
    <w:rsid w:val="000E3174"/>
    <w:rsid w:val="000E3772"/>
    <w:rsid w:val="000E4C1F"/>
    <w:rsid w:val="000E5346"/>
    <w:rsid w:val="000E5758"/>
    <w:rsid w:val="000E5A56"/>
    <w:rsid w:val="000E690E"/>
    <w:rsid w:val="000E75A6"/>
    <w:rsid w:val="000F364B"/>
    <w:rsid w:val="000F5C91"/>
    <w:rsid w:val="001001AD"/>
    <w:rsid w:val="0010111D"/>
    <w:rsid w:val="0010217F"/>
    <w:rsid w:val="001025A1"/>
    <w:rsid w:val="00103ABB"/>
    <w:rsid w:val="00103BAB"/>
    <w:rsid w:val="00104CA6"/>
    <w:rsid w:val="001057CD"/>
    <w:rsid w:val="0011183B"/>
    <w:rsid w:val="001124CD"/>
    <w:rsid w:val="001145F6"/>
    <w:rsid w:val="00114790"/>
    <w:rsid w:val="0011525C"/>
    <w:rsid w:val="00115D97"/>
    <w:rsid w:val="00115FC4"/>
    <w:rsid w:val="0011626E"/>
    <w:rsid w:val="00116A88"/>
    <w:rsid w:val="00123382"/>
    <w:rsid w:val="001236B6"/>
    <w:rsid w:val="00124A79"/>
    <w:rsid w:val="0012645C"/>
    <w:rsid w:val="00126564"/>
    <w:rsid w:val="00126ABB"/>
    <w:rsid w:val="00126B6D"/>
    <w:rsid w:val="00132316"/>
    <w:rsid w:val="0013276F"/>
    <w:rsid w:val="00132D78"/>
    <w:rsid w:val="0013338E"/>
    <w:rsid w:val="00135FDD"/>
    <w:rsid w:val="00137588"/>
    <w:rsid w:val="00141195"/>
    <w:rsid w:val="001412F1"/>
    <w:rsid w:val="00143209"/>
    <w:rsid w:val="00144934"/>
    <w:rsid w:val="00144C55"/>
    <w:rsid w:val="00146660"/>
    <w:rsid w:val="00151F71"/>
    <w:rsid w:val="00154246"/>
    <w:rsid w:val="001554A9"/>
    <w:rsid w:val="00156140"/>
    <w:rsid w:val="001561A6"/>
    <w:rsid w:val="00156FF8"/>
    <w:rsid w:val="00160114"/>
    <w:rsid w:val="00163F34"/>
    <w:rsid w:val="00164B50"/>
    <w:rsid w:val="00165189"/>
    <w:rsid w:val="001654A1"/>
    <w:rsid w:val="00165CA1"/>
    <w:rsid w:val="00166C56"/>
    <w:rsid w:val="00167D19"/>
    <w:rsid w:val="0017485E"/>
    <w:rsid w:val="0017498A"/>
    <w:rsid w:val="00175752"/>
    <w:rsid w:val="0017794F"/>
    <w:rsid w:val="00177B4F"/>
    <w:rsid w:val="00177FE9"/>
    <w:rsid w:val="00180C29"/>
    <w:rsid w:val="00181B21"/>
    <w:rsid w:val="0018227E"/>
    <w:rsid w:val="0018314F"/>
    <w:rsid w:val="00183565"/>
    <w:rsid w:val="0018429B"/>
    <w:rsid w:val="001848AF"/>
    <w:rsid w:val="00184BD6"/>
    <w:rsid w:val="001854FB"/>
    <w:rsid w:val="00186622"/>
    <w:rsid w:val="00186F77"/>
    <w:rsid w:val="00187818"/>
    <w:rsid w:val="001916F0"/>
    <w:rsid w:val="001927DF"/>
    <w:rsid w:val="00192D52"/>
    <w:rsid w:val="00193642"/>
    <w:rsid w:val="001938E8"/>
    <w:rsid w:val="00193A3F"/>
    <w:rsid w:val="001951AE"/>
    <w:rsid w:val="00195530"/>
    <w:rsid w:val="00195FF0"/>
    <w:rsid w:val="00197AD9"/>
    <w:rsid w:val="00197E29"/>
    <w:rsid w:val="001A16EE"/>
    <w:rsid w:val="001A1AFC"/>
    <w:rsid w:val="001A24FB"/>
    <w:rsid w:val="001A339A"/>
    <w:rsid w:val="001A48E3"/>
    <w:rsid w:val="001A6F49"/>
    <w:rsid w:val="001B1034"/>
    <w:rsid w:val="001B108D"/>
    <w:rsid w:val="001B17E6"/>
    <w:rsid w:val="001B372E"/>
    <w:rsid w:val="001B4CCE"/>
    <w:rsid w:val="001B54E8"/>
    <w:rsid w:val="001B559B"/>
    <w:rsid w:val="001B6503"/>
    <w:rsid w:val="001B7E6C"/>
    <w:rsid w:val="001C039F"/>
    <w:rsid w:val="001C13BC"/>
    <w:rsid w:val="001C1E37"/>
    <w:rsid w:val="001C227C"/>
    <w:rsid w:val="001C2A45"/>
    <w:rsid w:val="001C39F6"/>
    <w:rsid w:val="001C3A27"/>
    <w:rsid w:val="001C3CC4"/>
    <w:rsid w:val="001C4864"/>
    <w:rsid w:val="001C65C3"/>
    <w:rsid w:val="001C66FE"/>
    <w:rsid w:val="001C6953"/>
    <w:rsid w:val="001D1B56"/>
    <w:rsid w:val="001D244F"/>
    <w:rsid w:val="001D4908"/>
    <w:rsid w:val="001D5088"/>
    <w:rsid w:val="001D6904"/>
    <w:rsid w:val="001D6A2C"/>
    <w:rsid w:val="001D76D2"/>
    <w:rsid w:val="001D78BA"/>
    <w:rsid w:val="001E025C"/>
    <w:rsid w:val="001E16E3"/>
    <w:rsid w:val="001E1B7B"/>
    <w:rsid w:val="001E5B86"/>
    <w:rsid w:val="001E5E3D"/>
    <w:rsid w:val="001E5F69"/>
    <w:rsid w:val="001F0DA6"/>
    <w:rsid w:val="001F1A70"/>
    <w:rsid w:val="001F1EF7"/>
    <w:rsid w:val="001F2B9B"/>
    <w:rsid w:val="001F2E3D"/>
    <w:rsid w:val="001F3718"/>
    <w:rsid w:val="001F3F4B"/>
    <w:rsid w:val="001F43C1"/>
    <w:rsid w:val="001F522F"/>
    <w:rsid w:val="001F590A"/>
    <w:rsid w:val="001F6302"/>
    <w:rsid w:val="0020074C"/>
    <w:rsid w:val="00201A71"/>
    <w:rsid w:val="00201C5E"/>
    <w:rsid w:val="002067F8"/>
    <w:rsid w:val="002077A0"/>
    <w:rsid w:val="00210BA4"/>
    <w:rsid w:val="00211368"/>
    <w:rsid w:val="00211B60"/>
    <w:rsid w:val="00211D90"/>
    <w:rsid w:val="0021370C"/>
    <w:rsid w:val="002139E1"/>
    <w:rsid w:val="00213D93"/>
    <w:rsid w:val="00214772"/>
    <w:rsid w:val="00214DD4"/>
    <w:rsid w:val="00215956"/>
    <w:rsid w:val="00215C1D"/>
    <w:rsid w:val="002176E5"/>
    <w:rsid w:val="00217701"/>
    <w:rsid w:val="00217C10"/>
    <w:rsid w:val="00220061"/>
    <w:rsid w:val="002206B4"/>
    <w:rsid w:val="00220EB6"/>
    <w:rsid w:val="0022210F"/>
    <w:rsid w:val="00223C74"/>
    <w:rsid w:val="00223E02"/>
    <w:rsid w:val="00225247"/>
    <w:rsid w:val="00225B6E"/>
    <w:rsid w:val="0022692A"/>
    <w:rsid w:val="002270B9"/>
    <w:rsid w:val="00227838"/>
    <w:rsid w:val="00230C35"/>
    <w:rsid w:val="00230C41"/>
    <w:rsid w:val="00231836"/>
    <w:rsid w:val="002333CA"/>
    <w:rsid w:val="00234347"/>
    <w:rsid w:val="0023470D"/>
    <w:rsid w:val="00234FC8"/>
    <w:rsid w:val="0023549F"/>
    <w:rsid w:val="00236B5C"/>
    <w:rsid w:val="00236E6D"/>
    <w:rsid w:val="00237602"/>
    <w:rsid w:val="002429E5"/>
    <w:rsid w:val="00246AF3"/>
    <w:rsid w:val="002502FF"/>
    <w:rsid w:val="002520E0"/>
    <w:rsid w:val="0025240C"/>
    <w:rsid w:val="00252871"/>
    <w:rsid w:val="00252B86"/>
    <w:rsid w:val="00253B75"/>
    <w:rsid w:val="00254131"/>
    <w:rsid w:val="00254328"/>
    <w:rsid w:val="0025701C"/>
    <w:rsid w:val="00257BF4"/>
    <w:rsid w:val="00257F65"/>
    <w:rsid w:val="00261184"/>
    <w:rsid w:val="00261B0C"/>
    <w:rsid w:val="00261B12"/>
    <w:rsid w:val="00261C7A"/>
    <w:rsid w:val="00262E48"/>
    <w:rsid w:val="00264F15"/>
    <w:rsid w:val="00265504"/>
    <w:rsid w:val="0026765C"/>
    <w:rsid w:val="002727C4"/>
    <w:rsid w:val="0027310D"/>
    <w:rsid w:val="00273EC7"/>
    <w:rsid w:val="0027425D"/>
    <w:rsid w:val="00275474"/>
    <w:rsid w:val="00276A6E"/>
    <w:rsid w:val="00277885"/>
    <w:rsid w:val="00280CEF"/>
    <w:rsid w:val="00281110"/>
    <w:rsid w:val="00281437"/>
    <w:rsid w:val="0028205E"/>
    <w:rsid w:val="002843A1"/>
    <w:rsid w:val="00285685"/>
    <w:rsid w:val="002856A3"/>
    <w:rsid w:val="002861EC"/>
    <w:rsid w:val="0028757A"/>
    <w:rsid w:val="00287BE1"/>
    <w:rsid w:val="00290E45"/>
    <w:rsid w:val="0029416C"/>
    <w:rsid w:val="00297073"/>
    <w:rsid w:val="002A12F0"/>
    <w:rsid w:val="002A1F23"/>
    <w:rsid w:val="002A243A"/>
    <w:rsid w:val="002A3264"/>
    <w:rsid w:val="002A5F95"/>
    <w:rsid w:val="002A634E"/>
    <w:rsid w:val="002A7B1A"/>
    <w:rsid w:val="002B0492"/>
    <w:rsid w:val="002B1789"/>
    <w:rsid w:val="002B24BB"/>
    <w:rsid w:val="002B26F5"/>
    <w:rsid w:val="002B2B1E"/>
    <w:rsid w:val="002B306B"/>
    <w:rsid w:val="002B374F"/>
    <w:rsid w:val="002B57E8"/>
    <w:rsid w:val="002B5EA8"/>
    <w:rsid w:val="002B6D7F"/>
    <w:rsid w:val="002B78F5"/>
    <w:rsid w:val="002B7E61"/>
    <w:rsid w:val="002C0CAC"/>
    <w:rsid w:val="002C13D1"/>
    <w:rsid w:val="002C1C85"/>
    <w:rsid w:val="002C2230"/>
    <w:rsid w:val="002C2B35"/>
    <w:rsid w:val="002C32A4"/>
    <w:rsid w:val="002C4071"/>
    <w:rsid w:val="002C4506"/>
    <w:rsid w:val="002C5CCB"/>
    <w:rsid w:val="002C79B0"/>
    <w:rsid w:val="002C7DBE"/>
    <w:rsid w:val="002D05DA"/>
    <w:rsid w:val="002D1950"/>
    <w:rsid w:val="002D23F8"/>
    <w:rsid w:val="002D2488"/>
    <w:rsid w:val="002D2571"/>
    <w:rsid w:val="002D2F49"/>
    <w:rsid w:val="002D2F66"/>
    <w:rsid w:val="002D3189"/>
    <w:rsid w:val="002D4419"/>
    <w:rsid w:val="002D45EB"/>
    <w:rsid w:val="002D460E"/>
    <w:rsid w:val="002D70AC"/>
    <w:rsid w:val="002D72A5"/>
    <w:rsid w:val="002D75C1"/>
    <w:rsid w:val="002E0C33"/>
    <w:rsid w:val="002E1802"/>
    <w:rsid w:val="002E1EE5"/>
    <w:rsid w:val="002E2492"/>
    <w:rsid w:val="002E3207"/>
    <w:rsid w:val="002E33A9"/>
    <w:rsid w:val="002E3C92"/>
    <w:rsid w:val="002E4943"/>
    <w:rsid w:val="002E5522"/>
    <w:rsid w:val="002E5D20"/>
    <w:rsid w:val="002E5F14"/>
    <w:rsid w:val="002E69E7"/>
    <w:rsid w:val="002F109F"/>
    <w:rsid w:val="002F15F5"/>
    <w:rsid w:val="002F2840"/>
    <w:rsid w:val="002F424F"/>
    <w:rsid w:val="002F6C76"/>
    <w:rsid w:val="00302AC6"/>
    <w:rsid w:val="003037AB"/>
    <w:rsid w:val="00304BD0"/>
    <w:rsid w:val="003050D2"/>
    <w:rsid w:val="00305BEE"/>
    <w:rsid w:val="00306F1E"/>
    <w:rsid w:val="003071AC"/>
    <w:rsid w:val="003079C9"/>
    <w:rsid w:val="00307D77"/>
    <w:rsid w:val="003108E5"/>
    <w:rsid w:val="00312C85"/>
    <w:rsid w:val="00313376"/>
    <w:rsid w:val="00313E9E"/>
    <w:rsid w:val="003150D5"/>
    <w:rsid w:val="003206F1"/>
    <w:rsid w:val="00320F78"/>
    <w:rsid w:val="0032181E"/>
    <w:rsid w:val="00326649"/>
    <w:rsid w:val="003266CB"/>
    <w:rsid w:val="003303A9"/>
    <w:rsid w:val="00330463"/>
    <w:rsid w:val="003309CA"/>
    <w:rsid w:val="00332061"/>
    <w:rsid w:val="00334400"/>
    <w:rsid w:val="003348A6"/>
    <w:rsid w:val="003350FF"/>
    <w:rsid w:val="003356BE"/>
    <w:rsid w:val="00335CDD"/>
    <w:rsid w:val="00335FF5"/>
    <w:rsid w:val="00336C04"/>
    <w:rsid w:val="00340237"/>
    <w:rsid w:val="00340CC0"/>
    <w:rsid w:val="00343880"/>
    <w:rsid w:val="00343F0D"/>
    <w:rsid w:val="00345EC1"/>
    <w:rsid w:val="003467F3"/>
    <w:rsid w:val="003472ED"/>
    <w:rsid w:val="0035042F"/>
    <w:rsid w:val="00350CD5"/>
    <w:rsid w:val="003525B4"/>
    <w:rsid w:val="00352E6E"/>
    <w:rsid w:val="00353592"/>
    <w:rsid w:val="00354146"/>
    <w:rsid w:val="003544C2"/>
    <w:rsid w:val="003555D3"/>
    <w:rsid w:val="0035768F"/>
    <w:rsid w:val="003578D1"/>
    <w:rsid w:val="00360404"/>
    <w:rsid w:val="00360B3C"/>
    <w:rsid w:val="00362481"/>
    <w:rsid w:val="0036251E"/>
    <w:rsid w:val="0036344C"/>
    <w:rsid w:val="00363E52"/>
    <w:rsid w:val="00364522"/>
    <w:rsid w:val="00364538"/>
    <w:rsid w:val="00364EC9"/>
    <w:rsid w:val="00366255"/>
    <w:rsid w:val="003671B9"/>
    <w:rsid w:val="0037232D"/>
    <w:rsid w:val="00373039"/>
    <w:rsid w:val="00373919"/>
    <w:rsid w:val="0037428E"/>
    <w:rsid w:val="00374637"/>
    <w:rsid w:val="00374C55"/>
    <w:rsid w:val="00375209"/>
    <w:rsid w:val="003760C9"/>
    <w:rsid w:val="00376857"/>
    <w:rsid w:val="00380076"/>
    <w:rsid w:val="0038177C"/>
    <w:rsid w:val="003836EB"/>
    <w:rsid w:val="003844F6"/>
    <w:rsid w:val="00385CD5"/>
    <w:rsid w:val="00387024"/>
    <w:rsid w:val="00387656"/>
    <w:rsid w:val="00387D0A"/>
    <w:rsid w:val="003907F8"/>
    <w:rsid w:val="00391685"/>
    <w:rsid w:val="00391893"/>
    <w:rsid w:val="0039273C"/>
    <w:rsid w:val="0039302B"/>
    <w:rsid w:val="00393A7D"/>
    <w:rsid w:val="00393D25"/>
    <w:rsid w:val="00394464"/>
    <w:rsid w:val="00394C56"/>
    <w:rsid w:val="00395CAA"/>
    <w:rsid w:val="00395F5D"/>
    <w:rsid w:val="003A0065"/>
    <w:rsid w:val="003A0752"/>
    <w:rsid w:val="003A184B"/>
    <w:rsid w:val="003A1C74"/>
    <w:rsid w:val="003A2786"/>
    <w:rsid w:val="003A4131"/>
    <w:rsid w:val="003A4653"/>
    <w:rsid w:val="003A4BD2"/>
    <w:rsid w:val="003A51C5"/>
    <w:rsid w:val="003A5405"/>
    <w:rsid w:val="003A5C82"/>
    <w:rsid w:val="003A7880"/>
    <w:rsid w:val="003B066E"/>
    <w:rsid w:val="003B141F"/>
    <w:rsid w:val="003B1A20"/>
    <w:rsid w:val="003B1B73"/>
    <w:rsid w:val="003B38C0"/>
    <w:rsid w:val="003B3A2A"/>
    <w:rsid w:val="003B74AD"/>
    <w:rsid w:val="003C070F"/>
    <w:rsid w:val="003C09C7"/>
    <w:rsid w:val="003C1575"/>
    <w:rsid w:val="003C23C6"/>
    <w:rsid w:val="003C2447"/>
    <w:rsid w:val="003C26C0"/>
    <w:rsid w:val="003C2A39"/>
    <w:rsid w:val="003C2B16"/>
    <w:rsid w:val="003C3FCC"/>
    <w:rsid w:val="003C43B1"/>
    <w:rsid w:val="003C45F4"/>
    <w:rsid w:val="003C7FC5"/>
    <w:rsid w:val="003D07F7"/>
    <w:rsid w:val="003D0E16"/>
    <w:rsid w:val="003D0F9B"/>
    <w:rsid w:val="003D17DC"/>
    <w:rsid w:val="003D21C8"/>
    <w:rsid w:val="003D3C59"/>
    <w:rsid w:val="003D4245"/>
    <w:rsid w:val="003D4705"/>
    <w:rsid w:val="003D5275"/>
    <w:rsid w:val="003D5B5D"/>
    <w:rsid w:val="003D63DF"/>
    <w:rsid w:val="003D6DD4"/>
    <w:rsid w:val="003D7331"/>
    <w:rsid w:val="003D737F"/>
    <w:rsid w:val="003D7838"/>
    <w:rsid w:val="003E095F"/>
    <w:rsid w:val="003E0E0B"/>
    <w:rsid w:val="003E137C"/>
    <w:rsid w:val="003E3352"/>
    <w:rsid w:val="003E4734"/>
    <w:rsid w:val="003E62C4"/>
    <w:rsid w:val="003E64DE"/>
    <w:rsid w:val="003E714C"/>
    <w:rsid w:val="003E7409"/>
    <w:rsid w:val="003F0177"/>
    <w:rsid w:val="003F0489"/>
    <w:rsid w:val="003F0888"/>
    <w:rsid w:val="003F0F49"/>
    <w:rsid w:val="003F12F0"/>
    <w:rsid w:val="003F215B"/>
    <w:rsid w:val="003F21AB"/>
    <w:rsid w:val="003F236E"/>
    <w:rsid w:val="003F3B9F"/>
    <w:rsid w:val="003F526C"/>
    <w:rsid w:val="003F52E0"/>
    <w:rsid w:val="003F7474"/>
    <w:rsid w:val="0040050E"/>
    <w:rsid w:val="00404616"/>
    <w:rsid w:val="00405475"/>
    <w:rsid w:val="004054DF"/>
    <w:rsid w:val="0040584F"/>
    <w:rsid w:val="00405F60"/>
    <w:rsid w:val="004060E2"/>
    <w:rsid w:val="00406647"/>
    <w:rsid w:val="00406F6E"/>
    <w:rsid w:val="00407B6A"/>
    <w:rsid w:val="00412D0D"/>
    <w:rsid w:val="00413245"/>
    <w:rsid w:val="004140C0"/>
    <w:rsid w:val="00414400"/>
    <w:rsid w:val="00415527"/>
    <w:rsid w:val="004156C7"/>
    <w:rsid w:val="00416A84"/>
    <w:rsid w:val="004170BF"/>
    <w:rsid w:val="00420EA9"/>
    <w:rsid w:val="00421CD4"/>
    <w:rsid w:val="00422932"/>
    <w:rsid w:val="00422E88"/>
    <w:rsid w:val="0042365A"/>
    <w:rsid w:val="00423EA7"/>
    <w:rsid w:val="00425850"/>
    <w:rsid w:val="004262E0"/>
    <w:rsid w:val="00426C85"/>
    <w:rsid w:val="0042779F"/>
    <w:rsid w:val="00427833"/>
    <w:rsid w:val="00430BEE"/>
    <w:rsid w:val="00430F3C"/>
    <w:rsid w:val="00430F69"/>
    <w:rsid w:val="0043148B"/>
    <w:rsid w:val="004335E8"/>
    <w:rsid w:val="004345E7"/>
    <w:rsid w:val="00434764"/>
    <w:rsid w:val="00434B65"/>
    <w:rsid w:val="00434D77"/>
    <w:rsid w:val="0043748E"/>
    <w:rsid w:val="00440935"/>
    <w:rsid w:val="0044196E"/>
    <w:rsid w:val="00442AF7"/>
    <w:rsid w:val="0044360A"/>
    <w:rsid w:val="00446186"/>
    <w:rsid w:val="004461EC"/>
    <w:rsid w:val="00446841"/>
    <w:rsid w:val="00446CFE"/>
    <w:rsid w:val="00447750"/>
    <w:rsid w:val="00447DA0"/>
    <w:rsid w:val="00451103"/>
    <w:rsid w:val="00451313"/>
    <w:rsid w:val="00451795"/>
    <w:rsid w:val="004538CD"/>
    <w:rsid w:val="00453BBA"/>
    <w:rsid w:val="00454C9C"/>
    <w:rsid w:val="00455695"/>
    <w:rsid w:val="00456E9F"/>
    <w:rsid w:val="00461846"/>
    <w:rsid w:val="00461E18"/>
    <w:rsid w:val="004631FF"/>
    <w:rsid w:val="0046427E"/>
    <w:rsid w:val="00464370"/>
    <w:rsid w:val="00465E3B"/>
    <w:rsid w:val="0046684D"/>
    <w:rsid w:val="00467045"/>
    <w:rsid w:val="00467201"/>
    <w:rsid w:val="00470EC3"/>
    <w:rsid w:val="0047106D"/>
    <w:rsid w:val="00472638"/>
    <w:rsid w:val="00474210"/>
    <w:rsid w:val="00474FB5"/>
    <w:rsid w:val="00475E9F"/>
    <w:rsid w:val="00475F7D"/>
    <w:rsid w:val="0047681C"/>
    <w:rsid w:val="00477976"/>
    <w:rsid w:val="00480B96"/>
    <w:rsid w:val="00480E53"/>
    <w:rsid w:val="004810AB"/>
    <w:rsid w:val="004812D2"/>
    <w:rsid w:val="0048303E"/>
    <w:rsid w:val="00485383"/>
    <w:rsid w:val="004859E6"/>
    <w:rsid w:val="00487384"/>
    <w:rsid w:val="0049004B"/>
    <w:rsid w:val="00490C1A"/>
    <w:rsid w:val="0049159E"/>
    <w:rsid w:val="00491825"/>
    <w:rsid w:val="004920F6"/>
    <w:rsid w:val="0049229D"/>
    <w:rsid w:val="00494389"/>
    <w:rsid w:val="004974DC"/>
    <w:rsid w:val="00497636"/>
    <w:rsid w:val="00497CA9"/>
    <w:rsid w:val="004A0B12"/>
    <w:rsid w:val="004A18B7"/>
    <w:rsid w:val="004A27CA"/>
    <w:rsid w:val="004A4301"/>
    <w:rsid w:val="004A4E4E"/>
    <w:rsid w:val="004A5153"/>
    <w:rsid w:val="004A5F8E"/>
    <w:rsid w:val="004A67E8"/>
    <w:rsid w:val="004A79BA"/>
    <w:rsid w:val="004A7B8B"/>
    <w:rsid w:val="004A7B96"/>
    <w:rsid w:val="004B354A"/>
    <w:rsid w:val="004B42C8"/>
    <w:rsid w:val="004B4BEB"/>
    <w:rsid w:val="004B53E5"/>
    <w:rsid w:val="004B63D9"/>
    <w:rsid w:val="004C1D0D"/>
    <w:rsid w:val="004C2071"/>
    <w:rsid w:val="004C3D65"/>
    <w:rsid w:val="004C429E"/>
    <w:rsid w:val="004C454F"/>
    <w:rsid w:val="004C7425"/>
    <w:rsid w:val="004D01CF"/>
    <w:rsid w:val="004D02B7"/>
    <w:rsid w:val="004D26E3"/>
    <w:rsid w:val="004D4CC4"/>
    <w:rsid w:val="004D515E"/>
    <w:rsid w:val="004D5CAE"/>
    <w:rsid w:val="004D6472"/>
    <w:rsid w:val="004D6A48"/>
    <w:rsid w:val="004E025A"/>
    <w:rsid w:val="004E3B94"/>
    <w:rsid w:val="004E45CA"/>
    <w:rsid w:val="004E4C98"/>
    <w:rsid w:val="004E4F8A"/>
    <w:rsid w:val="004E5474"/>
    <w:rsid w:val="004E548E"/>
    <w:rsid w:val="004E6B54"/>
    <w:rsid w:val="004E7518"/>
    <w:rsid w:val="004E7CEF"/>
    <w:rsid w:val="004E7DBC"/>
    <w:rsid w:val="004F1BD3"/>
    <w:rsid w:val="004F3667"/>
    <w:rsid w:val="004F390E"/>
    <w:rsid w:val="004F3AF0"/>
    <w:rsid w:val="004F443A"/>
    <w:rsid w:val="004F54C1"/>
    <w:rsid w:val="004F7097"/>
    <w:rsid w:val="004F7230"/>
    <w:rsid w:val="00500103"/>
    <w:rsid w:val="00500BB5"/>
    <w:rsid w:val="00500BC6"/>
    <w:rsid w:val="00500BEF"/>
    <w:rsid w:val="00503797"/>
    <w:rsid w:val="00503A5D"/>
    <w:rsid w:val="00503C8B"/>
    <w:rsid w:val="005049EE"/>
    <w:rsid w:val="005052F6"/>
    <w:rsid w:val="00505691"/>
    <w:rsid w:val="005057F7"/>
    <w:rsid w:val="005072D6"/>
    <w:rsid w:val="00510958"/>
    <w:rsid w:val="005112C2"/>
    <w:rsid w:val="005115F6"/>
    <w:rsid w:val="005128B7"/>
    <w:rsid w:val="00514286"/>
    <w:rsid w:val="00514836"/>
    <w:rsid w:val="005155CA"/>
    <w:rsid w:val="00515BBE"/>
    <w:rsid w:val="00516DBF"/>
    <w:rsid w:val="0052141A"/>
    <w:rsid w:val="00523D91"/>
    <w:rsid w:val="00523E46"/>
    <w:rsid w:val="00523FDD"/>
    <w:rsid w:val="005249AC"/>
    <w:rsid w:val="00524E27"/>
    <w:rsid w:val="00525BC6"/>
    <w:rsid w:val="00526151"/>
    <w:rsid w:val="00526CAD"/>
    <w:rsid w:val="00526E15"/>
    <w:rsid w:val="005321B2"/>
    <w:rsid w:val="00534E6F"/>
    <w:rsid w:val="00534E8D"/>
    <w:rsid w:val="00535D43"/>
    <w:rsid w:val="0054028D"/>
    <w:rsid w:val="0054111C"/>
    <w:rsid w:val="00541F5B"/>
    <w:rsid w:val="005430EF"/>
    <w:rsid w:val="005442BF"/>
    <w:rsid w:val="005444D6"/>
    <w:rsid w:val="005444EF"/>
    <w:rsid w:val="00544B75"/>
    <w:rsid w:val="00546184"/>
    <w:rsid w:val="00546B55"/>
    <w:rsid w:val="0054745D"/>
    <w:rsid w:val="005518EF"/>
    <w:rsid w:val="00551A99"/>
    <w:rsid w:val="00552963"/>
    <w:rsid w:val="005545BC"/>
    <w:rsid w:val="00554C67"/>
    <w:rsid w:val="00557A24"/>
    <w:rsid w:val="00560155"/>
    <w:rsid w:val="00560390"/>
    <w:rsid w:val="00561845"/>
    <w:rsid w:val="0056213E"/>
    <w:rsid w:val="005637DE"/>
    <w:rsid w:val="00564161"/>
    <w:rsid w:val="005641E9"/>
    <w:rsid w:val="00564217"/>
    <w:rsid w:val="00564624"/>
    <w:rsid w:val="00565C96"/>
    <w:rsid w:val="005660B9"/>
    <w:rsid w:val="00566FC0"/>
    <w:rsid w:val="005719AB"/>
    <w:rsid w:val="00573FDD"/>
    <w:rsid w:val="005743BC"/>
    <w:rsid w:val="0057464F"/>
    <w:rsid w:val="00574A63"/>
    <w:rsid w:val="005763CE"/>
    <w:rsid w:val="00576596"/>
    <w:rsid w:val="0058016D"/>
    <w:rsid w:val="005805CF"/>
    <w:rsid w:val="005817A4"/>
    <w:rsid w:val="00581855"/>
    <w:rsid w:val="005821A9"/>
    <w:rsid w:val="00583A04"/>
    <w:rsid w:val="00584BE7"/>
    <w:rsid w:val="0058714A"/>
    <w:rsid w:val="005877AC"/>
    <w:rsid w:val="005904C9"/>
    <w:rsid w:val="005913B9"/>
    <w:rsid w:val="005919C3"/>
    <w:rsid w:val="0059295E"/>
    <w:rsid w:val="00594274"/>
    <w:rsid w:val="005949D4"/>
    <w:rsid w:val="00594A35"/>
    <w:rsid w:val="0059680C"/>
    <w:rsid w:val="00597AD2"/>
    <w:rsid w:val="00597D3F"/>
    <w:rsid w:val="005A0FB3"/>
    <w:rsid w:val="005A1FF8"/>
    <w:rsid w:val="005A23BF"/>
    <w:rsid w:val="005A3921"/>
    <w:rsid w:val="005A4D4C"/>
    <w:rsid w:val="005A74C9"/>
    <w:rsid w:val="005A7A7E"/>
    <w:rsid w:val="005B048F"/>
    <w:rsid w:val="005B2140"/>
    <w:rsid w:val="005B255E"/>
    <w:rsid w:val="005B3801"/>
    <w:rsid w:val="005B48F6"/>
    <w:rsid w:val="005B6153"/>
    <w:rsid w:val="005B6AEA"/>
    <w:rsid w:val="005B79E9"/>
    <w:rsid w:val="005C235D"/>
    <w:rsid w:val="005C30F2"/>
    <w:rsid w:val="005C4C75"/>
    <w:rsid w:val="005C4FBE"/>
    <w:rsid w:val="005C55C1"/>
    <w:rsid w:val="005D11E8"/>
    <w:rsid w:val="005D3873"/>
    <w:rsid w:val="005D4E0B"/>
    <w:rsid w:val="005D66AD"/>
    <w:rsid w:val="005D7C11"/>
    <w:rsid w:val="005E1643"/>
    <w:rsid w:val="005E1ACD"/>
    <w:rsid w:val="005E1AEC"/>
    <w:rsid w:val="005E2BD4"/>
    <w:rsid w:val="005E328B"/>
    <w:rsid w:val="005E33D2"/>
    <w:rsid w:val="005E4912"/>
    <w:rsid w:val="005E4C48"/>
    <w:rsid w:val="005E54E2"/>
    <w:rsid w:val="005E6F1F"/>
    <w:rsid w:val="005E7538"/>
    <w:rsid w:val="005F026F"/>
    <w:rsid w:val="005F1ACF"/>
    <w:rsid w:val="005F2287"/>
    <w:rsid w:val="005F371A"/>
    <w:rsid w:val="005F3B93"/>
    <w:rsid w:val="005F44D1"/>
    <w:rsid w:val="005F54A5"/>
    <w:rsid w:val="005F7466"/>
    <w:rsid w:val="00600C70"/>
    <w:rsid w:val="00601565"/>
    <w:rsid w:val="00601FA8"/>
    <w:rsid w:val="00605FF6"/>
    <w:rsid w:val="00606B59"/>
    <w:rsid w:val="00606D46"/>
    <w:rsid w:val="00607CD4"/>
    <w:rsid w:val="00610AA6"/>
    <w:rsid w:val="006119B0"/>
    <w:rsid w:val="00611A6D"/>
    <w:rsid w:val="00611B90"/>
    <w:rsid w:val="006138D3"/>
    <w:rsid w:val="00614BAB"/>
    <w:rsid w:val="00614D94"/>
    <w:rsid w:val="00614E4D"/>
    <w:rsid w:val="00614E6E"/>
    <w:rsid w:val="0061668B"/>
    <w:rsid w:val="00620A36"/>
    <w:rsid w:val="00621129"/>
    <w:rsid w:val="00622269"/>
    <w:rsid w:val="00623631"/>
    <w:rsid w:val="00624E4A"/>
    <w:rsid w:val="00625055"/>
    <w:rsid w:val="0063049C"/>
    <w:rsid w:val="006308DD"/>
    <w:rsid w:val="00630B58"/>
    <w:rsid w:val="006312B2"/>
    <w:rsid w:val="006318E9"/>
    <w:rsid w:val="00633086"/>
    <w:rsid w:val="00633916"/>
    <w:rsid w:val="00634F80"/>
    <w:rsid w:val="006362A0"/>
    <w:rsid w:val="0063677B"/>
    <w:rsid w:val="00637FE5"/>
    <w:rsid w:val="006403F2"/>
    <w:rsid w:val="00641D2B"/>
    <w:rsid w:val="00641D41"/>
    <w:rsid w:val="0064309D"/>
    <w:rsid w:val="0064320E"/>
    <w:rsid w:val="00645E89"/>
    <w:rsid w:val="00646C87"/>
    <w:rsid w:val="0064728C"/>
    <w:rsid w:val="00647F74"/>
    <w:rsid w:val="00650570"/>
    <w:rsid w:val="0065099A"/>
    <w:rsid w:val="00652687"/>
    <w:rsid w:val="00652A7A"/>
    <w:rsid w:val="00653E56"/>
    <w:rsid w:val="00654662"/>
    <w:rsid w:val="00655A55"/>
    <w:rsid w:val="0065661E"/>
    <w:rsid w:val="006575C8"/>
    <w:rsid w:val="0066054E"/>
    <w:rsid w:val="00661E59"/>
    <w:rsid w:val="006620D0"/>
    <w:rsid w:val="006625C9"/>
    <w:rsid w:val="0066266E"/>
    <w:rsid w:val="00662D3E"/>
    <w:rsid w:val="00664100"/>
    <w:rsid w:val="006642A2"/>
    <w:rsid w:val="00665297"/>
    <w:rsid w:val="00665C7E"/>
    <w:rsid w:val="00670033"/>
    <w:rsid w:val="00672DDD"/>
    <w:rsid w:val="00676C91"/>
    <w:rsid w:val="00677447"/>
    <w:rsid w:val="00677A2A"/>
    <w:rsid w:val="006803C0"/>
    <w:rsid w:val="0068142E"/>
    <w:rsid w:val="00683437"/>
    <w:rsid w:val="0068351E"/>
    <w:rsid w:val="00683A5D"/>
    <w:rsid w:val="00683CDF"/>
    <w:rsid w:val="006858A8"/>
    <w:rsid w:val="00686445"/>
    <w:rsid w:val="00690A1C"/>
    <w:rsid w:val="00690B77"/>
    <w:rsid w:val="00693972"/>
    <w:rsid w:val="00693B5E"/>
    <w:rsid w:val="00695506"/>
    <w:rsid w:val="006964EB"/>
    <w:rsid w:val="006A096D"/>
    <w:rsid w:val="006A0A94"/>
    <w:rsid w:val="006A1623"/>
    <w:rsid w:val="006A1EBE"/>
    <w:rsid w:val="006A2D25"/>
    <w:rsid w:val="006A395A"/>
    <w:rsid w:val="006A3EB6"/>
    <w:rsid w:val="006A7A60"/>
    <w:rsid w:val="006B0B66"/>
    <w:rsid w:val="006B1888"/>
    <w:rsid w:val="006B1B16"/>
    <w:rsid w:val="006B239E"/>
    <w:rsid w:val="006B325F"/>
    <w:rsid w:val="006B493F"/>
    <w:rsid w:val="006B49E9"/>
    <w:rsid w:val="006B4CB0"/>
    <w:rsid w:val="006B54BA"/>
    <w:rsid w:val="006B6386"/>
    <w:rsid w:val="006B65D1"/>
    <w:rsid w:val="006B6709"/>
    <w:rsid w:val="006B742E"/>
    <w:rsid w:val="006B7BDB"/>
    <w:rsid w:val="006B7E84"/>
    <w:rsid w:val="006C2412"/>
    <w:rsid w:val="006C25DE"/>
    <w:rsid w:val="006C4000"/>
    <w:rsid w:val="006C621F"/>
    <w:rsid w:val="006C651A"/>
    <w:rsid w:val="006C6F6F"/>
    <w:rsid w:val="006D09D3"/>
    <w:rsid w:val="006D10C0"/>
    <w:rsid w:val="006D175F"/>
    <w:rsid w:val="006D1CAC"/>
    <w:rsid w:val="006D23E8"/>
    <w:rsid w:val="006D3A18"/>
    <w:rsid w:val="006D3ED7"/>
    <w:rsid w:val="006D5AFF"/>
    <w:rsid w:val="006D5EE8"/>
    <w:rsid w:val="006D60F9"/>
    <w:rsid w:val="006E0EE7"/>
    <w:rsid w:val="006E2D99"/>
    <w:rsid w:val="006E3475"/>
    <w:rsid w:val="006E3EEC"/>
    <w:rsid w:val="006E4059"/>
    <w:rsid w:val="006E56E8"/>
    <w:rsid w:val="006E5B01"/>
    <w:rsid w:val="006E5C1C"/>
    <w:rsid w:val="006E5D20"/>
    <w:rsid w:val="006E6769"/>
    <w:rsid w:val="006E735F"/>
    <w:rsid w:val="006E7D8F"/>
    <w:rsid w:val="006F0004"/>
    <w:rsid w:val="006F1B7A"/>
    <w:rsid w:val="006F2C14"/>
    <w:rsid w:val="006F4175"/>
    <w:rsid w:val="006F5545"/>
    <w:rsid w:val="006F5991"/>
    <w:rsid w:val="006F5AA4"/>
    <w:rsid w:val="007006D9"/>
    <w:rsid w:val="007039A2"/>
    <w:rsid w:val="00703C0D"/>
    <w:rsid w:val="00703F62"/>
    <w:rsid w:val="0070416D"/>
    <w:rsid w:val="00705DC2"/>
    <w:rsid w:val="00706329"/>
    <w:rsid w:val="0070735C"/>
    <w:rsid w:val="0070751E"/>
    <w:rsid w:val="00707B5D"/>
    <w:rsid w:val="00711200"/>
    <w:rsid w:val="00713A8D"/>
    <w:rsid w:val="00713D9E"/>
    <w:rsid w:val="00713F98"/>
    <w:rsid w:val="00715813"/>
    <w:rsid w:val="007168B7"/>
    <w:rsid w:val="00716F1C"/>
    <w:rsid w:val="00720741"/>
    <w:rsid w:val="0072397F"/>
    <w:rsid w:val="0072652D"/>
    <w:rsid w:val="00727250"/>
    <w:rsid w:val="00727DD7"/>
    <w:rsid w:val="00731922"/>
    <w:rsid w:val="00731ACB"/>
    <w:rsid w:val="007321D8"/>
    <w:rsid w:val="00733F44"/>
    <w:rsid w:val="007368AD"/>
    <w:rsid w:val="00740575"/>
    <w:rsid w:val="0074133D"/>
    <w:rsid w:val="0074414D"/>
    <w:rsid w:val="00744AE4"/>
    <w:rsid w:val="00745494"/>
    <w:rsid w:val="00745BF0"/>
    <w:rsid w:val="00745DF6"/>
    <w:rsid w:val="00746056"/>
    <w:rsid w:val="007464E9"/>
    <w:rsid w:val="00746824"/>
    <w:rsid w:val="00750D49"/>
    <w:rsid w:val="00750F46"/>
    <w:rsid w:val="007510E6"/>
    <w:rsid w:val="0075196D"/>
    <w:rsid w:val="00753B15"/>
    <w:rsid w:val="00753E52"/>
    <w:rsid w:val="0075558C"/>
    <w:rsid w:val="00755670"/>
    <w:rsid w:val="0075718D"/>
    <w:rsid w:val="0076150A"/>
    <w:rsid w:val="0076153C"/>
    <w:rsid w:val="00761EFA"/>
    <w:rsid w:val="00763393"/>
    <w:rsid w:val="00764873"/>
    <w:rsid w:val="00764B32"/>
    <w:rsid w:val="0076540E"/>
    <w:rsid w:val="007659A6"/>
    <w:rsid w:val="00765B8C"/>
    <w:rsid w:val="007669CE"/>
    <w:rsid w:val="00767B5F"/>
    <w:rsid w:val="00770DA7"/>
    <w:rsid w:val="00772535"/>
    <w:rsid w:val="00772CB5"/>
    <w:rsid w:val="00773533"/>
    <w:rsid w:val="00773609"/>
    <w:rsid w:val="0077373C"/>
    <w:rsid w:val="00775553"/>
    <w:rsid w:val="0077573E"/>
    <w:rsid w:val="0077613D"/>
    <w:rsid w:val="007778DD"/>
    <w:rsid w:val="00777E86"/>
    <w:rsid w:val="00777EFF"/>
    <w:rsid w:val="00781055"/>
    <w:rsid w:val="00781E66"/>
    <w:rsid w:val="007831AA"/>
    <w:rsid w:val="00783A2C"/>
    <w:rsid w:val="00784775"/>
    <w:rsid w:val="00784BE2"/>
    <w:rsid w:val="00787617"/>
    <w:rsid w:val="007924E0"/>
    <w:rsid w:val="007927CF"/>
    <w:rsid w:val="007933B5"/>
    <w:rsid w:val="00793457"/>
    <w:rsid w:val="0079392B"/>
    <w:rsid w:val="007939E3"/>
    <w:rsid w:val="00794135"/>
    <w:rsid w:val="00796364"/>
    <w:rsid w:val="00796693"/>
    <w:rsid w:val="00797699"/>
    <w:rsid w:val="0079785C"/>
    <w:rsid w:val="007A014C"/>
    <w:rsid w:val="007A07A3"/>
    <w:rsid w:val="007A0E37"/>
    <w:rsid w:val="007A0F41"/>
    <w:rsid w:val="007A2D4F"/>
    <w:rsid w:val="007A3421"/>
    <w:rsid w:val="007A598A"/>
    <w:rsid w:val="007A5CD6"/>
    <w:rsid w:val="007A6861"/>
    <w:rsid w:val="007A716A"/>
    <w:rsid w:val="007B2DE6"/>
    <w:rsid w:val="007B34FC"/>
    <w:rsid w:val="007B3D81"/>
    <w:rsid w:val="007B77BE"/>
    <w:rsid w:val="007C1048"/>
    <w:rsid w:val="007C14F0"/>
    <w:rsid w:val="007C1D72"/>
    <w:rsid w:val="007C3075"/>
    <w:rsid w:val="007C3977"/>
    <w:rsid w:val="007C3F7C"/>
    <w:rsid w:val="007C410A"/>
    <w:rsid w:val="007C48D0"/>
    <w:rsid w:val="007C4987"/>
    <w:rsid w:val="007C5B58"/>
    <w:rsid w:val="007C6054"/>
    <w:rsid w:val="007C666A"/>
    <w:rsid w:val="007C67ED"/>
    <w:rsid w:val="007C68D2"/>
    <w:rsid w:val="007C7591"/>
    <w:rsid w:val="007D06C1"/>
    <w:rsid w:val="007D1C2E"/>
    <w:rsid w:val="007D1C7E"/>
    <w:rsid w:val="007D2212"/>
    <w:rsid w:val="007D34AF"/>
    <w:rsid w:val="007D3700"/>
    <w:rsid w:val="007D3F41"/>
    <w:rsid w:val="007D44F4"/>
    <w:rsid w:val="007D596B"/>
    <w:rsid w:val="007D5CD5"/>
    <w:rsid w:val="007D5F95"/>
    <w:rsid w:val="007D6427"/>
    <w:rsid w:val="007E0146"/>
    <w:rsid w:val="007E0F15"/>
    <w:rsid w:val="007E0F7D"/>
    <w:rsid w:val="007E1E60"/>
    <w:rsid w:val="007E5995"/>
    <w:rsid w:val="007F0110"/>
    <w:rsid w:val="007F1E6D"/>
    <w:rsid w:val="007F6AE9"/>
    <w:rsid w:val="007F7B85"/>
    <w:rsid w:val="007F7F03"/>
    <w:rsid w:val="00800319"/>
    <w:rsid w:val="0080222C"/>
    <w:rsid w:val="008034D6"/>
    <w:rsid w:val="00804823"/>
    <w:rsid w:val="00804D09"/>
    <w:rsid w:val="00804D4E"/>
    <w:rsid w:val="00804ECC"/>
    <w:rsid w:val="008055B9"/>
    <w:rsid w:val="008055F3"/>
    <w:rsid w:val="008058B3"/>
    <w:rsid w:val="00806841"/>
    <w:rsid w:val="00806F9C"/>
    <w:rsid w:val="00810128"/>
    <w:rsid w:val="00810612"/>
    <w:rsid w:val="00811BE1"/>
    <w:rsid w:val="008127C1"/>
    <w:rsid w:val="00815099"/>
    <w:rsid w:val="0081539B"/>
    <w:rsid w:val="008164E1"/>
    <w:rsid w:val="00816726"/>
    <w:rsid w:val="00820680"/>
    <w:rsid w:val="0082142F"/>
    <w:rsid w:val="00821B29"/>
    <w:rsid w:val="00822A50"/>
    <w:rsid w:val="00824A47"/>
    <w:rsid w:val="0082503E"/>
    <w:rsid w:val="00825326"/>
    <w:rsid w:val="00825756"/>
    <w:rsid w:val="00825933"/>
    <w:rsid w:val="00825B88"/>
    <w:rsid w:val="00826B12"/>
    <w:rsid w:val="00826D54"/>
    <w:rsid w:val="00827A90"/>
    <w:rsid w:val="00831AB4"/>
    <w:rsid w:val="00831BE4"/>
    <w:rsid w:val="00833D18"/>
    <w:rsid w:val="00834266"/>
    <w:rsid w:val="00834985"/>
    <w:rsid w:val="00834CBF"/>
    <w:rsid w:val="00835D26"/>
    <w:rsid w:val="00836F89"/>
    <w:rsid w:val="00842065"/>
    <w:rsid w:val="008435F3"/>
    <w:rsid w:val="00843FA2"/>
    <w:rsid w:val="008460A7"/>
    <w:rsid w:val="00846459"/>
    <w:rsid w:val="00846BA3"/>
    <w:rsid w:val="00847BA5"/>
    <w:rsid w:val="00847BDB"/>
    <w:rsid w:val="00852AFE"/>
    <w:rsid w:val="00854683"/>
    <w:rsid w:val="00855659"/>
    <w:rsid w:val="008557BE"/>
    <w:rsid w:val="0085704D"/>
    <w:rsid w:val="0085757D"/>
    <w:rsid w:val="00857AF6"/>
    <w:rsid w:val="00857F33"/>
    <w:rsid w:val="00863435"/>
    <w:rsid w:val="0086349E"/>
    <w:rsid w:val="00864954"/>
    <w:rsid w:val="00865556"/>
    <w:rsid w:val="00866B6B"/>
    <w:rsid w:val="008718C8"/>
    <w:rsid w:val="00872827"/>
    <w:rsid w:val="0087349A"/>
    <w:rsid w:val="008736C6"/>
    <w:rsid w:val="008746B5"/>
    <w:rsid w:val="0087532D"/>
    <w:rsid w:val="0087538D"/>
    <w:rsid w:val="00880D90"/>
    <w:rsid w:val="00880DF8"/>
    <w:rsid w:val="0088119A"/>
    <w:rsid w:val="0088191A"/>
    <w:rsid w:val="00881CD0"/>
    <w:rsid w:val="00881F02"/>
    <w:rsid w:val="008855B4"/>
    <w:rsid w:val="00885F67"/>
    <w:rsid w:val="008865B6"/>
    <w:rsid w:val="00886616"/>
    <w:rsid w:val="00886ACF"/>
    <w:rsid w:val="00890034"/>
    <w:rsid w:val="00890BB7"/>
    <w:rsid w:val="00891DE7"/>
    <w:rsid w:val="0089368C"/>
    <w:rsid w:val="00893D81"/>
    <w:rsid w:val="008947F1"/>
    <w:rsid w:val="008949E3"/>
    <w:rsid w:val="008950D7"/>
    <w:rsid w:val="00895229"/>
    <w:rsid w:val="00895DF4"/>
    <w:rsid w:val="0089646F"/>
    <w:rsid w:val="008A32A9"/>
    <w:rsid w:val="008A425D"/>
    <w:rsid w:val="008A4CDD"/>
    <w:rsid w:val="008A5E6B"/>
    <w:rsid w:val="008A7971"/>
    <w:rsid w:val="008A7E67"/>
    <w:rsid w:val="008B0388"/>
    <w:rsid w:val="008B0A19"/>
    <w:rsid w:val="008B14FC"/>
    <w:rsid w:val="008B1A4D"/>
    <w:rsid w:val="008B1B5E"/>
    <w:rsid w:val="008B1C51"/>
    <w:rsid w:val="008B1DA0"/>
    <w:rsid w:val="008B26D0"/>
    <w:rsid w:val="008B2E3C"/>
    <w:rsid w:val="008B5931"/>
    <w:rsid w:val="008B6D46"/>
    <w:rsid w:val="008C0BAC"/>
    <w:rsid w:val="008C3053"/>
    <w:rsid w:val="008C308F"/>
    <w:rsid w:val="008C32BF"/>
    <w:rsid w:val="008C342E"/>
    <w:rsid w:val="008C6364"/>
    <w:rsid w:val="008D0A54"/>
    <w:rsid w:val="008D0C27"/>
    <w:rsid w:val="008D146B"/>
    <w:rsid w:val="008D1B7D"/>
    <w:rsid w:val="008D2FF8"/>
    <w:rsid w:val="008D584E"/>
    <w:rsid w:val="008D589C"/>
    <w:rsid w:val="008E052F"/>
    <w:rsid w:val="008E0FE7"/>
    <w:rsid w:val="008E1975"/>
    <w:rsid w:val="008E1C52"/>
    <w:rsid w:val="008E20D5"/>
    <w:rsid w:val="008E22D7"/>
    <w:rsid w:val="008E23C4"/>
    <w:rsid w:val="008E3319"/>
    <w:rsid w:val="008E3C1B"/>
    <w:rsid w:val="008E462A"/>
    <w:rsid w:val="008E4951"/>
    <w:rsid w:val="008E4DA0"/>
    <w:rsid w:val="008E7085"/>
    <w:rsid w:val="008F0690"/>
    <w:rsid w:val="008F28DF"/>
    <w:rsid w:val="008F362F"/>
    <w:rsid w:val="008F3CC3"/>
    <w:rsid w:val="008F60C3"/>
    <w:rsid w:val="008F66B5"/>
    <w:rsid w:val="008F72C0"/>
    <w:rsid w:val="0090366D"/>
    <w:rsid w:val="00903EC4"/>
    <w:rsid w:val="00904969"/>
    <w:rsid w:val="00905C23"/>
    <w:rsid w:val="009066C0"/>
    <w:rsid w:val="00910D4A"/>
    <w:rsid w:val="009117C0"/>
    <w:rsid w:val="00912F61"/>
    <w:rsid w:val="009134E2"/>
    <w:rsid w:val="00915818"/>
    <w:rsid w:val="00916009"/>
    <w:rsid w:val="009164F3"/>
    <w:rsid w:val="00917DD1"/>
    <w:rsid w:val="0092253E"/>
    <w:rsid w:val="00923D1C"/>
    <w:rsid w:val="0092408A"/>
    <w:rsid w:val="009254D6"/>
    <w:rsid w:val="00925CCA"/>
    <w:rsid w:val="0092669B"/>
    <w:rsid w:val="009306CC"/>
    <w:rsid w:val="00930E88"/>
    <w:rsid w:val="0093141E"/>
    <w:rsid w:val="0093163E"/>
    <w:rsid w:val="009323CC"/>
    <w:rsid w:val="009327C4"/>
    <w:rsid w:val="00933A0F"/>
    <w:rsid w:val="00934CE6"/>
    <w:rsid w:val="00936436"/>
    <w:rsid w:val="00936AE1"/>
    <w:rsid w:val="00937647"/>
    <w:rsid w:val="00937719"/>
    <w:rsid w:val="00937783"/>
    <w:rsid w:val="009403BE"/>
    <w:rsid w:val="00940DA2"/>
    <w:rsid w:val="009411D1"/>
    <w:rsid w:val="00943158"/>
    <w:rsid w:val="009432BF"/>
    <w:rsid w:val="00943404"/>
    <w:rsid w:val="009461F6"/>
    <w:rsid w:val="00946801"/>
    <w:rsid w:val="009542C6"/>
    <w:rsid w:val="00954C95"/>
    <w:rsid w:val="00955A6A"/>
    <w:rsid w:val="0095739A"/>
    <w:rsid w:val="00960535"/>
    <w:rsid w:val="0096141F"/>
    <w:rsid w:val="00962D72"/>
    <w:rsid w:val="00966BAC"/>
    <w:rsid w:val="00967CF5"/>
    <w:rsid w:val="00967D28"/>
    <w:rsid w:val="00967FC5"/>
    <w:rsid w:val="00970DE6"/>
    <w:rsid w:val="00970FB9"/>
    <w:rsid w:val="00971C39"/>
    <w:rsid w:val="00975E37"/>
    <w:rsid w:val="00975ED0"/>
    <w:rsid w:val="009765AB"/>
    <w:rsid w:val="00976EB2"/>
    <w:rsid w:val="0097764F"/>
    <w:rsid w:val="00980DB2"/>
    <w:rsid w:val="009830DE"/>
    <w:rsid w:val="00984AD4"/>
    <w:rsid w:val="00985159"/>
    <w:rsid w:val="0098633F"/>
    <w:rsid w:val="00987168"/>
    <w:rsid w:val="00987902"/>
    <w:rsid w:val="00987CC1"/>
    <w:rsid w:val="0099012A"/>
    <w:rsid w:val="009906F2"/>
    <w:rsid w:val="009921FA"/>
    <w:rsid w:val="00992937"/>
    <w:rsid w:val="00992D35"/>
    <w:rsid w:val="00995D63"/>
    <w:rsid w:val="009971CC"/>
    <w:rsid w:val="00997277"/>
    <w:rsid w:val="009978B8"/>
    <w:rsid w:val="009979D8"/>
    <w:rsid w:val="009A09D7"/>
    <w:rsid w:val="009A2ABE"/>
    <w:rsid w:val="009A44D8"/>
    <w:rsid w:val="009A4C5B"/>
    <w:rsid w:val="009A5313"/>
    <w:rsid w:val="009A548E"/>
    <w:rsid w:val="009A6A2F"/>
    <w:rsid w:val="009A7936"/>
    <w:rsid w:val="009A79DE"/>
    <w:rsid w:val="009B29A4"/>
    <w:rsid w:val="009B2C55"/>
    <w:rsid w:val="009B3739"/>
    <w:rsid w:val="009B4BED"/>
    <w:rsid w:val="009C7523"/>
    <w:rsid w:val="009C755C"/>
    <w:rsid w:val="009C780F"/>
    <w:rsid w:val="009D13A0"/>
    <w:rsid w:val="009D13D8"/>
    <w:rsid w:val="009D181F"/>
    <w:rsid w:val="009D3B10"/>
    <w:rsid w:val="009D4460"/>
    <w:rsid w:val="009D794C"/>
    <w:rsid w:val="009D7A9F"/>
    <w:rsid w:val="009E0B66"/>
    <w:rsid w:val="009E18D0"/>
    <w:rsid w:val="009E1C29"/>
    <w:rsid w:val="009E24A1"/>
    <w:rsid w:val="009E2677"/>
    <w:rsid w:val="009E5895"/>
    <w:rsid w:val="009E6963"/>
    <w:rsid w:val="009E6FE7"/>
    <w:rsid w:val="009F168D"/>
    <w:rsid w:val="009F39AE"/>
    <w:rsid w:val="009F4E58"/>
    <w:rsid w:val="009F4ECF"/>
    <w:rsid w:val="009F53E0"/>
    <w:rsid w:val="009F5A9E"/>
    <w:rsid w:val="00A0005C"/>
    <w:rsid w:val="00A00939"/>
    <w:rsid w:val="00A00F53"/>
    <w:rsid w:val="00A0336A"/>
    <w:rsid w:val="00A0400C"/>
    <w:rsid w:val="00A07780"/>
    <w:rsid w:val="00A12048"/>
    <w:rsid w:val="00A125F3"/>
    <w:rsid w:val="00A2183C"/>
    <w:rsid w:val="00A22516"/>
    <w:rsid w:val="00A2369A"/>
    <w:rsid w:val="00A25353"/>
    <w:rsid w:val="00A26621"/>
    <w:rsid w:val="00A30234"/>
    <w:rsid w:val="00A30F5D"/>
    <w:rsid w:val="00A32EBF"/>
    <w:rsid w:val="00A332DB"/>
    <w:rsid w:val="00A33D1B"/>
    <w:rsid w:val="00A344A6"/>
    <w:rsid w:val="00A34889"/>
    <w:rsid w:val="00A34F04"/>
    <w:rsid w:val="00A34F5F"/>
    <w:rsid w:val="00A4585C"/>
    <w:rsid w:val="00A45D32"/>
    <w:rsid w:val="00A45F8B"/>
    <w:rsid w:val="00A46A68"/>
    <w:rsid w:val="00A500E4"/>
    <w:rsid w:val="00A50EE9"/>
    <w:rsid w:val="00A50F5A"/>
    <w:rsid w:val="00A50FDB"/>
    <w:rsid w:val="00A51C3A"/>
    <w:rsid w:val="00A52553"/>
    <w:rsid w:val="00A536AC"/>
    <w:rsid w:val="00A536B2"/>
    <w:rsid w:val="00A54127"/>
    <w:rsid w:val="00A547B9"/>
    <w:rsid w:val="00A54F33"/>
    <w:rsid w:val="00A559B5"/>
    <w:rsid w:val="00A55DD6"/>
    <w:rsid w:val="00A56102"/>
    <w:rsid w:val="00A5729E"/>
    <w:rsid w:val="00A62988"/>
    <w:rsid w:val="00A65C96"/>
    <w:rsid w:val="00A65DD7"/>
    <w:rsid w:val="00A65DE9"/>
    <w:rsid w:val="00A660E5"/>
    <w:rsid w:val="00A66122"/>
    <w:rsid w:val="00A66504"/>
    <w:rsid w:val="00A7005C"/>
    <w:rsid w:val="00A72073"/>
    <w:rsid w:val="00A72496"/>
    <w:rsid w:val="00A73CB5"/>
    <w:rsid w:val="00A746DE"/>
    <w:rsid w:val="00A749CE"/>
    <w:rsid w:val="00A74F10"/>
    <w:rsid w:val="00A753C2"/>
    <w:rsid w:val="00A75B02"/>
    <w:rsid w:val="00A75F5A"/>
    <w:rsid w:val="00A7679A"/>
    <w:rsid w:val="00A77AA8"/>
    <w:rsid w:val="00A80E74"/>
    <w:rsid w:val="00A82769"/>
    <w:rsid w:val="00A84631"/>
    <w:rsid w:val="00A847CB"/>
    <w:rsid w:val="00A84FDF"/>
    <w:rsid w:val="00A86F48"/>
    <w:rsid w:val="00A90057"/>
    <w:rsid w:val="00A90B7D"/>
    <w:rsid w:val="00A90F63"/>
    <w:rsid w:val="00A928BF"/>
    <w:rsid w:val="00A92F65"/>
    <w:rsid w:val="00A93C06"/>
    <w:rsid w:val="00A943C0"/>
    <w:rsid w:val="00A95131"/>
    <w:rsid w:val="00A95F5F"/>
    <w:rsid w:val="00A9723D"/>
    <w:rsid w:val="00AA1312"/>
    <w:rsid w:val="00AA1526"/>
    <w:rsid w:val="00AA24B1"/>
    <w:rsid w:val="00AA3736"/>
    <w:rsid w:val="00AA384E"/>
    <w:rsid w:val="00AA3E0C"/>
    <w:rsid w:val="00AA45E6"/>
    <w:rsid w:val="00AA61BB"/>
    <w:rsid w:val="00AA6289"/>
    <w:rsid w:val="00AA77D7"/>
    <w:rsid w:val="00AA79D0"/>
    <w:rsid w:val="00AA7FC8"/>
    <w:rsid w:val="00AB1248"/>
    <w:rsid w:val="00AB26C6"/>
    <w:rsid w:val="00AB3EF3"/>
    <w:rsid w:val="00AB4352"/>
    <w:rsid w:val="00AB640D"/>
    <w:rsid w:val="00AB6429"/>
    <w:rsid w:val="00AB75EE"/>
    <w:rsid w:val="00AC1751"/>
    <w:rsid w:val="00AC1B3F"/>
    <w:rsid w:val="00AC25A3"/>
    <w:rsid w:val="00AC2D8B"/>
    <w:rsid w:val="00AC457F"/>
    <w:rsid w:val="00AC4FF6"/>
    <w:rsid w:val="00AC6637"/>
    <w:rsid w:val="00AC7807"/>
    <w:rsid w:val="00AD0A33"/>
    <w:rsid w:val="00AD15FA"/>
    <w:rsid w:val="00AD1B4E"/>
    <w:rsid w:val="00AD1EEE"/>
    <w:rsid w:val="00AD31BE"/>
    <w:rsid w:val="00AD3C65"/>
    <w:rsid w:val="00AD41B2"/>
    <w:rsid w:val="00AD56B4"/>
    <w:rsid w:val="00AD68FF"/>
    <w:rsid w:val="00AD78AC"/>
    <w:rsid w:val="00AE087B"/>
    <w:rsid w:val="00AE0982"/>
    <w:rsid w:val="00AE1D2C"/>
    <w:rsid w:val="00AE26F7"/>
    <w:rsid w:val="00AE2DF2"/>
    <w:rsid w:val="00AE2E90"/>
    <w:rsid w:val="00AE3943"/>
    <w:rsid w:val="00AE4094"/>
    <w:rsid w:val="00AE4528"/>
    <w:rsid w:val="00AE5018"/>
    <w:rsid w:val="00AE6043"/>
    <w:rsid w:val="00AE642E"/>
    <w:rsid w:val="00AE6743"/>
    <w:rsid w:val="00AE6B10"/>
    <w:rsid w:val="00AE6DDF"/>
    <w:rsid w:val="00AE7847"/>
    <w:rsid w:val="00AE7BE5"/>
    <w:rsid w:val="00AF19D4"/>
    <w:rsid w:val="00AF50A0"/>
    <w:rsid w:val="00AF5296"/>
    <w:rsid w:val="00AF5F98"/>
    <w:rsid w:val="00AF7A99"/>
    <w:rsid w:val="00B00250"/>
    <w:rsid w:val="00B007DA"/>
    <w:rsid w:val="00B008BC"/>
    <w:rsid w:val="00B00C5E"/>
    <w:rsid w:val="00B028D2"/>
    <w:rsid w:val="00B02A03"/>
    <w:rsid w:val="00B03FA4"/>
    <w:rsid w:val="00B03FCD"/>
    <w:rsid w:val="00B04C49"/>
    <w:rsid w:val="00B06F26"/>
    <w:rsid w:val="00B07524"/>
    <w:rsid w:val="00B07806"/>
    <w:rsid w:val="00B10507"/>
    <w:rsid w:val="00B113E7"/>
    <w:rsid w:val="00B11479"/>
    <w:rsid w:val="00B115C3"/>
    <w:rsid w:val="00B11D42"/>
    <w:rsid w:val="00B12927"/>
    <w:rsid w:val="00B14008"/>
    <w:rsid w:val="00B14851"/>
    <w:rsid w:val="00B154B1"/>
    <w:rsid w:val="00B206A7"/>
    <w:rsid w:val="00B21DB1"/>
    <w:rsid w:val="00B21EBF"/>
    <w:rsid w:val="00B22298"/>
    <w:rsid w:val="00B2315E"/>
    <w:rsid w:val="00B24C7B"/>
    <w:rsid w:val="00B25585"/>
    <w:rsid w:val="00B25A21"/>
    <w:rsid w:val="00B3030C"/>
    <w:rsid w:val="00B31BC4"/>
    <w:rsid w:val="00B35B7C"/>
    <w:rsid w:val="00B36790"/>
    <w:rsid w:val="00B36A83"/>
    <w:rsid w:val="00B375B0"/>
    <w:rsid w:val="00B37F6D"/>
    <w:rsid w:val="00B42556"/>
    <w:rsid w:val="00B427F1"/>
    <w:rsid w:val="00B4336F"/>
    <w:rsid w:val="00B444D5"/>
    <w:rsid w:val="00B461C7"/>
    <w:rsid w:val="00B47067"/>
    <w:rsid w:val="00B47B32"/>
    <w:rsid w:val="00B47DA9"/>
    <w:rsid w:val="00B502F3"/>
    <w:rsid w:val="00B504BD"/>
    <w:rsid w:val="00B50CF0"/>
    <w:rsid w:val="00B5100A"/>
    <w:rsid w:val="00B51134"/>
    <w:rsid w:val="00B51A50"/>
    <w:rsid w:val="00B52E71"/>
    <w:rsid w:val="00B53C15"/>
    <w:rsid w:val="00B543CD"/>
    <w:rsid w:val="00B55FDF"/>
    <w:rsid w:val="00B56D27"/>
    <w:rsid w:val="00B60779"/>
    <w:rsid w:val="00B60E28"/>
    <w:rsid w:val="00B6391A"/>
    <w:rsid w:val="00B6536D"/>
    <w:rsid w:val="00B654C2"/>
    <w:rsid w:val="00B70210"/>
    <w:rsid w:val="00B70583"/>
    <w:rsid w:val="00B71845"/>
    <w:rsid w:val="00B71D68"/>
    <w:rsid w:val="00B71EFF"/>
    <w:rsid w:val="00B723C7"/>
    <w:rsid w:val="00B737C2"/>
    <w:rsid w:val="00B74324"/>
    <w:rsid w:val="00B7746D"/>
    <w:rsid w:val="00B77762"/>
    <w:rsid w:val="00B80691"/>
    <w:rsid w:val="00B8172A"/>
    <w:rsid w:val="00B81778"/>
    <w:rsid w:val="00B81AFB"/>
    <w:rsid w:val="00B81BEE"/>
    <w:rsid w:val="00B8274B"/>
    <w:rsid w:val="00B83530"/>
    <w:rsid w:val="00B8401B"/>
    <w:rsid w:val="00B84F09"/>
    <w:rsid w:val="00B868D9"/>
    <w:rsid w:val="00B86BB0"/>
    <w:rsid w:val="00B87E3E"/>
    <w:rsid w:val="00B90095"/>
    <w:rsid w:val="00B90956"/>
    <w:rsid w:val="00B92C4F"/>
    <w:rsid w:val="00B92CEC"/>
    <w:rsid w:val="00B95B5A"/>
    <w:rsid w:val="00B9668E"/>
    <w:rsid w:val="00B96B7E"/>
    <w:rsid w:val="00B9704B"/>
    <w:rsid w:val="00BA1319"/>
    <w:rsid w:val="00BA1940"/>
    <w:rsid w:val="00BA1FD0"/>
    <w:rsid w:val="00BA390F"/>
    <w:rsid w:val="00BA393F"/>
    <w:rsid w:val="00BA4D3D"/>
    <w:rsid w:val="00BA5262"/>
    <w:rsid w:val="00BA5C01"/>
    <w:rsid w:val="00BA6577"/>
    <w:rsid w:val="00BB1056"/>
    <w:rsid w:val="00BB349B"/>
    <w:rsid w:val="00BB3CC6"/>
    <w:rsid w:val="00BB7651"/>
    <w:rsid w:val="00BB7BDE"/>
    <w:rsid w:val="00BC0400"/>
    <w:rsid w:val="00BC11A5"/>
    <w:rsid w:val="00BC2962"/>
    <w:rsid w:val="00BC59C8"/>
    <w:rsid w:val="00BD216D"/>
    <w:rsid w:val="00BD2603"/>
    <w:rsid w:val="00BD2E13"/>
    <w:rsid w:val="00BD3522"/>
    <w:rsid w:val="00BD366D"/>
    <w:rsid w:val="00BD43E6"/>
    <w:rsid w:val="00BD4D1D"/>
    <w:rsid w:val="00BD5776"/>
    <w:rsid w:val="00BD58D7"/>
    <w:rsid w:val="00BE1F9C"/>
    <w:rsid w:val="00BE3706"/>
    <w:rsid w:val="00BE38C9"/>
    <w:rsid w:val="00BE3963"/>
    <w:rsid w:val="00BE5D37"/>
    <w:rsid w:val="00BE712C"/>
    <w:rsid w:val="00BF0360"/>
    <w:rsid w:val="00BF2A59"/>
    <w:rsid w:val="00BF6197"/>
    <w:rsid w:val="00BF681A"/>
    <w:rsid w:val="00C00B32"/>
    <w:rsid w:val="00C019FF"/>
    <w:rsid w:val="00C052B8"/>
    <w:rsid w:val="00C06157"/>
    <w:rsid w:val="00C0799A"/>
    <w:rsid w:val="00C07C3A"/>
    <w:rsid w:val="00C117C8"/>
    <w:rsid w:val="00C11D0D"/>
    <w:rsid w:val="00C12308"/>
    <w:rsid w:val="00C12AD3"/>
    <w:rsid w:val="00C12D4F"/>
    <w:rsid w:val="00C133FF"/>
    <w:rsid w:val="00C17312"/>
    <w:rsid w:val="00C17730"/>
    <w:rsid w:val="00C20745"/>
    <w:rsid w:val="00C21577"/>
    <w:rsid w:val="00C21D4A"/>
    <w:rsid w:val="00C22012"/>
    <w:rsid w:val="00C22B4B"/>
    <w:rsid w:val="00C23520"/>
    <w:rsid w:val="00C255A4"/>
    <w:rsid w:val="00C26544"/>
    <w:rsid w:val="00C269D2"/>
    <w:rsid w:val="00C27B5F"/>
    <w:rsid w:val="00C303CB"/>
    <w:rsid w:val="00C30D60"/>
    <w:rsid w:val="00C33088"/>
    <w:rsid w:val="00C346CF"/>
    <w:rsid w:val="00C35903"/>
    <w:rsid w:val="00C365D7"/>
    <w:rsid w:val="00C408A0"/>
    <w:rsid w:val="00C41EC5"/>
    <w:rsid w:val="00C4274E"/>
    <w:rsid w:val="00C44849"/>
    <w:rsid w:val="00C4535B"/>
    <w:rsid w:val="00C47A44"/>
    <w:rsid w:val="00C509C3"/>
    <w:rsid w:val="00C50A17"/>
    <w:rsid w:val="00C54472"/>
    <w:rsid w:val="00C56BA4"/>
    <w:rsid w:val="00C57080"/>
    <w:rsid w:val="00C60889"/>
    <w:rsid w:val="00C61853"/>
    <w:rsid w:val="00C61857"/>
    <w:rsid w:val="00C61E03"/>
    <w:rsid w:val="00C62844"/>
    <w:rsid w:val="00C62D0B"/>
    <w:rsid w:val="00C62F19"/>
    <w:rsid w:val="00C641E9"/>
    <w:rsid w:val="00C65078"/>
    <w:rsid w:val="00C66C09"/>
    <w:rsid w:val="00C70EAE"/>
    <w:rsid w:val="00C71914"/>
    <w:rsid w:val="00C72A3D"/>
    <w:rsid w:val="00C75424"/>
    <w:rsid w:val="00C77DDC"/>
    <w:rsid w:val="00C80FEE"/>
    <w:rsid w:val="00C81848"/>
    <w:rsid w:val="00C83B65"/>
    <w:rsid w:val="00C84B02"/>
    <w:rsid w:val="00C8610D"/>
    <w:rsid w:val="00C86DB8"/>
    <w:rsid w:val="00C90DF6"/>
    <w:rsid w:val="00C92894"/>
    <w:rsid w:val="00C929A7"/>
    <w:rsid w:val="00C93D92"/>
    <w:rsid w:val="00C93E97"/>
    <w:rsid w:val="00C958C6"/>
    <w:rsid w:val="00C96B15"/>
    <w:rsid w:val="00C97254"/>
    <w:rsid w:val="00CA1857"/>
    <w:rsid w:val="00CA220A"/>
    <w:rsid w:val="00CA2ADA"/>
    <w:rsid w:val="00CA4E6F"/>
    <w:rsid w:val="00CA61E9"/>
    <w:rsid w:val="00CA6349"/>
    <w:rsid w:val="00CA743F"/>
    <w:rsid w:val="00CB07F3"/>
    <w:rsid w:val="00CB6386"/>
    <w:rsid w:val="00CB6B77"/>
    <w:rsid w:val="00CC1634"/>
    <w:rsid w:val="00CC1CF7"/>
    <w:rsid w:val="00CC2D0A"/>
    <w:rsid w:val="00CC3835"/>
    <w:rsid w:val="00CC7CB9"/>
    <w:rsid w:val="00CD04AF"/>
    <w:rsid w:val="00CD18BC"/>
    <w:rsid w:val="00CD233A"/>
    <w:rsid w:val="00CD277A"/>
    <w:rsid w:val="00CD50B5"/>
    <w:rsid w:val="00CD5968"/>
    <w:rsid w:val="00CD61C1"/>
    <w:rsid w:val="00CD73A9"/>
    <w:rsid w:val="00CE0F34"/>
    <w:rsid w:val="00CE17DC"/>
    <w:rsid w:val="00CE2915"/>
    <w:rsid w:val="00CE3094"/>
    <w:rsid w:val="00CE35DA"/>
    <w:rsid w:val="00CE395F"/>
    <w:rsid w:val="00CE3A3E"/>
    <w:rsid w:val="00CE4693"/>
    <w:rsid w:val="00CE4D4B"/>
    <w:rsid w:val="00CE768B"/>
    <w:rsid w:val="00CF0A48"/>
    <w:rsid w:val="00CF1266"/>
    <w:rsid w:val="00CF15A5"/>
    <w:rsid w:val="00CF20C0"/>
    <w:rsid w:val="00CF3162"/>
    <w:rsid w:val="00CF3916"/>
    <w:rsid w:val="00CF45CE"/>
    <w:rsid w:val="00CF462C"/>
    <w:rsid w:val="00D0077B"/>
    <w:rsid w:val="00D00B7E"/>
    <w:rsid w:val="00D031F4"/>
    <w:rsid w:val="00D03B53"/>
    <w:rsid w:val="00D04756"/>
    <w:rsid w:val="00D054A3"/>
    <w:rsid w:val="00D06F12"/>
    <w:rsid w:val="00D072BE"/>
    <w:rsid w:val="00D073F3"/>
    <w:rsid w:val="00D07496"/>
    <w:rsid w:val="00D0765A"/>
    <w:rsid w:val="00D10104"/>
    <w:rsid w:val="00D101FF"/>
    <w:rsid w:val="00D1515E"/>
    <w:rsid w:val="00D1518D"/>
    <w:rsid w:val="00D1528E"/>
    <w:rsid w:val="00D16B91"/>
    <w:rsid w:val="00D17304"/>
    <w:rsid w:val="00D177D3"/>
    <w:rsid w:val="00D21EF3"/>
    <w:rsid w:val="00D23BDD"/>
    <w:rsid w:val="00D26760"/>
    <w:rsid w:val="00D26C34"/>
    <w:rsid w:val="00D30326"/>
    <w:rsid w:val="00D32065"/>
    <w:rsid w:val="00D32E0D"/>
    <w:rsid w:val="00D34141"/>
    <w:rsid w:val="00D35A07"/>
    <w:rsid w:val="00D35B1E"/>
    <w:rsid w:val="00D401AF"/>
    <w:rsid w:val="00D40A49"/>
    <w:rsid w:val="00D410BC"/>
    <w:rsid w:val="00D41205"/>
    <w:rsid w:val="00D417EE"/>
    <w:rsid w:val="00D41E05"/>
    <w:rsid w:val="00D42F2F"/>
    <w:rsid w:val="00D45CAB"/>
    <w:rsid w:val="00D462CE"/>
    <w:rsid w:val="00D466A6"/>
    <w:rsid w:val="00D46790"/>
    <w:rsid w:val="00D468E2"/>
    <w:rsid w:val="00D50D4E"/>
    <w:rsid w:val="00D515DE"/>
    <w:rsid w:val="00D51C13"/>
    <w:rsid w:val="00D52F2F"/>
    <w:rsid w:val="00D54467"/>
    <w:rsid w:val="00D557AF"/>
    <w:rsid w:val="00D60C5B"/>
    <w:rsid w:val="00D624AE"/>
    <w:rsid w:val="00D63D48"/>
    <w:rsid w:val="00D63EA6"/>
    <w:rsid w:val="00D6504C"/>
    <w:rsid w:val="00D677AA"/>
    <w:rsid w:val="00D707F6"/>
    <w:rsid w:val="00D70D30"/>
    <w:rsid w:val="00D726F6"/>
    <w:rsid w:val="00D73B34"/>
    <w:rsid w:val="00D73F4D"/>
    <w:rsid w:val="00D745F7"/>
    <w:rsid w:val="00D75C90"/>
    <w:rsid w:val="00D765F7"/>
    <w:rsid w:val="00D772A8"/>
    <w:rsid w:val="00D77A5E"/>
    <w:rsid w:val="00D8196C"/>
    <w:rsid w:val="00D819D8"/>
    <w:rsid w:val="00D82E57"/>
    <w:rsid w:val="00D84F73"/>
    <w:rsid w:val="00D855E0"/>
    <w:rsid w:val="00D86AEE"/>
    <w:rsid w:val="00D86F2F"/>
    <w:rsid w:val="00D87A5F"/>
    <w:rsid w:val="00D91C27"/>
    <w:rsid w:val="00D92809"/>
    <w:rsid w:val="00D94923"/>
    <w:rsid w:val="00D94B6C"/>
    <w:rsid w:val="00D9682D"/>
    <w:rsid w:val="00D97610"/>
    <w:rsid w:val="00D97666"/>
    <w:rsid w:val="00D97FEE"/>
    <w:rsid w:val="00DA00BB"/>
    <w:rsid w:val="00DA0F24"/>
    <w:rsid w:val="00DA15C5"/>
    <w:rsid w:val="00DA347F"/>
    <w:rsid w:val="00DA4FDA"/>
    <w:rsid w:val="00DA7FE9"/>
    <w:rsid w:val="00DB0337"/>
    <w:rsid w:val="00DB0781"/>
    <w:rsid w:val="00DB2C42"/>
    <w:rsid w:val="00DB464E"/>
    <w:rsid w:val="00DB5F4B"/>
    <w:rsid w:val="00DB60DC"/>
    <w:rsid w:val="00DB6D86"/>
    <w:rsid w:val="00DB7EF8"/>
    <w:rsid w:val="00DC0426"/>
    <w:rsid w:val="00DC0AFC"/>
    <w:rsid w:val="00DC0B28"/>
    <w:rsid w:val="00DC0CE8"/>
    <w:rsid w:val="00DC50EC"/>
    <w:rsid w:val="00DC5228"/>
    <w:rsid w:val="00DC5925"/>
    <w:rsid w:val="00DC60FA"/>
    <w:rsid w:val="00DC6CB4"/>
    <w:rsid w:val="00DD00DE"/>
    <w:rsid w:val="00DD0826"/>
    <w:rsid w:val="00DD15C9"/>
    <w:rsid w:val="00DD1EAC"/>
    <w:rsid w:val="00DD2464"/>
    <w:rsid w:val="00DD34AF"/>
    <w:rsid w:val="00DE14DC"/>
    <w:rsid w:val="00DE1D50"/>
    <w:rsid w:val="00DE1DF9"/>
    <w:rsid w:val="00DE217F"/>
    <w:rsid w:val="00DE23AF"/>
    <w:rsid w:val="00DE4215"/>
    <w:rsid w:val="00DE6730"/>
    <w:rsid w:val="00DE7FD4"/>
    <w:rsid w:val="00DF3B9A"/>
    <w:rsid w:val="00DF7838"/>
    <w:rsid w:val="00DF7C87"/>
    <w:rsid w:val="00E00E3E"/>
    <w:rsid w:val="00E0147F"/>
    <w:rsid w:val="00E019F5"/>
    <w:rsid w:val="00E02632"/>
    <w:rsid w:val="00E02BB2"/>
    <w:rsid w:val="00E04080"/>
    <w:rsid w:val="00E05157"/>
    <w:rsid w:val="00E051BF"/>
    <w:rsid w:val="00E055E8"/>
    <w:rsid w:val="00E056F5"/>
    <w:rsid w:val="00E07CC9"/>
    <w:rsid w:val="00E102E9"/>
    <w:rsid w:val="00E1033F"/>
    <w:rsid w:val="00E10B3F"/>
    <w:rsid w:val="00E10BE8"/>
    <w:rsid w:val="00E11E61"/>
    <w:rsid w:val="00E13A85"/>
    <w:rsid w:val="00E13F6D"/>
    <w:rsid w:val="00E14F3D"/>
    <w:rsid w:val="00E150AA"/>
    <w:rsid w:val="00E15973"/>
    <w:rsid w:val="00E16F2C"/>
    <w:rsid w:val="00E170F6"/>
    <w:rsid w:val="00E17598"/>
    <w:rsid w:val="00E21661"/>
    <w:rsid w:val="00E222EA"/>
    <w:rsid w:val="00E2447F"/>
    <w:rsid w:val="00E253ED"/>
    <w:rsid w:val="00E25FFF"/>
    <w:rsid w:val="00E27B76"/>
    <w:rsid w:val="00E33BB4"/>
    <w:rsid w:val="00E34675"/>
    <w:rsid w:val="00E40F66"/>
    <w:rsid w:val="00E41603"/>
    <w:rsid w:val="00E41BDE"/>
    <w:rsid w:val="00E41FFA"/>
    <w:rsid w:val="00E42DEF"/>
    <w:rsid w:val="00E4316A"/>
    <w:rsid w:val="00E459DC"/>
    <w:rsid w:val="00E4643C"/>
    <w:rsid w:val="00E468CF"/>
    <w:rsid w:val="00E52D9F"/>
    <w:rsid w:val="00E52FE5"/>
    <w:rsid w:val="00E53792"/>
    <w:rsid w:val="00E540BB"/>
    <w:rsid w:val="00E55174"/>
    <w:rsid w:val="00E55228"/>
    <w:rsid w:val="00E5681C"/>
    <w:rsid w:val="00E579B9"/>
    <w:rsid w:val="00E60958"/>
    <w:rsid w:val="00E633BE"/>
    <w:rsid w:val="00E6373F"/>
    <w:rsid w:val="00E638C6"/>
    <w:rsid w:val="00E64AC7"/>
    <w:rsid w:val="00E657E5"/>
    <w:rsid w:val="00E67FB5"/>
    <w:rsid w:val="00E74E72"/>
    <w:rsid w:val="00E76624"/>
    <w:rsid w:val="00E76673"/>
    <w:rsid w:val="00E768D5"/>
    <w:rsid w:val="00E810F8"/>
    <w:rsid w:val="00E8294D"/>
    <w:rsid w:val="00E82AD7"/>
    <w:rsid w:val="00E84669"/>
    <w:rsid w:val="00E85457"/>
    <w:rsid w:val="00E876F2"/>
    <w:rsid w:val="00E90DFE"/>
    <w:rsid w:val="00E91D7A"/>
    <w:rsid w:val="00E923F1"/>
    <w:rsid w:val="00E9242B"/>
    <w:rsid w:val="00E92719"/>
    <w:rsid w:val="00E93DB9"/>
    <w:rsid w:val="00E94042"/>
    <w:rsid w:val="00E964F2"/>
    <w:rsid w:val="00EA0769"/>
    <w:rsid w:val="00EA0808"/>
    <w:rsid w:val="00EA178D"/>
    <w:rsid w:val="00EA183C"/>
    <w:rsid w:val="00EA438C"/>
    <w:rsid w:val="00EA4446"/>
    <w:rsid w:val="00EA464C"/>
    <w:rsid w:val="00EA4C54"/>
    <w:rsid w:val="00EA5199"/>
    <w:rsid w:val="00EA6319"/>
    <w:rsid w:val="00EA6B64"/>
    <w:rsid w:val="00EB00DD"/>
    <w:rsid w:val="00EB0EB1"/>
    <w:rsid w:val="00EB2814"/>
    <w:rsid w:val="00EB5475"/>
    <w:rsid w:val="00EB67C3"/>
    <w:rsid w:val="00EC26CD"/>
    <w:rsid w:val="00EC37A4"/>
    <w:rsid w:val="00EC3A41"/>
    <w:rsid w:val="00EC4B19"/>
    <w:rsid w:val="00EC686E"/>
    <w:rsid w:val="00EC7027"/>
    <w:rsid w:val="00EC76F2"/>
    <w:rsid w:val="00ED0FA3"/>
    <w:rsid w:val="00ED116A"/>
    <w:rsid w:val="00ED1489"/>
    <w:rsid w:val="00ED2F11"/>
    <w:rsid w:val="00ED3B15"/>
    <w:rsid w:val="00ED5647"/>
    <w:rsid w:val="00ED5762"/>
    <w:rsid w:val="00ED5A28"/>
    <w:rsid w:val="00ED79D7"/>
    <w:rsid w:val="00ED79EF"/>
    <w:rsid w:val="00ED7A05"/>
    <w:rsid w:val="00EE1ABD"/>
    <w:rsid w:val="00EE334C"/>
    <w:rsid w:val="00EE452E"/>
    <w:rsid w:val="00EE6B2A"/>
    <w:rsid w:val="00EE7BA6"/>
    <w:rsid w:val="00EF09AF"/>
    <w:rsid w:val="00EF117B"/>
    <w:rsid w:val="00EF2204"/>
    <w:rsid w:val="00EF5EA7"/>
    <w:rsid w:val="00EF6F24"/>
    <w:rsid w:val="00EF7165"/>
    <w:rsid w:val="00EF765F"/>
    <w:rsid w:val="00F02153"/>
    <w:rsid w:val="00F025A8"/>
    <w:rsid w:val="00F03D98"/>
    <w:rsid w:val="00F04019"/>
    <w:rsid w:val="00F05243"/>
    <w:rsid w:val="00F058DF"/>
    <w:rsid w:val="00F05EBF"/>
    <w:rsid w:val="00F063AE"/>
    <w:rsid w:val="00F10DC8"/>
    <w:rsid w:val="00F10F0F"/>
    <w:rsid w:val="00F12523"/>
    <w:rsid w:val="00F12746"/>
    <w:rsid w:val="00F12908"/>
    <w:rsid w:val="00F12FC1"/>
    <w:rsid w:val="00F133A9"/>
    <w:rsid w:val="00F1364F"/>
    <w:rsid w:val="00F15675"/>
    <w:rsid w:val="00F177EB"/>
    <w:rsid w:val="00F208CD"/>
    <w:rsid w:val="00F21250"/>
    <w:rsid w:val="00F22748"/>
    <w:rsid w:val="00F23123"/>
    <w:rsid w:val="00F236F3"/>
    <w:rsid w:val="00F2398D"/>
    <w:rsid w:val="00F23EFE"/>
    <w:rsid w:val="00F243B0"/>
    <w:rsid w:val="00F24541"/>
    <w:rsid w:val="00F25A15"/>
    <w:rsid w:val="00F262B7"/>
    <w:rsid w:val="00F2692D"/>
    <w:rsid w:val="00F26C23"/>
    <w:rsid w:val="00F2793E"/>
    <w:rsid w:val="00F33548"/>
    <w:rsid w:val="00F33BA3"/>
    <w:rsid w:val="00F3443D"/>
    <w:rsid w:val="00F36C5B"/>
    <w:rsid w:val="00F37087"/>
    <w:rsid w:val="00F416A1"/>
    <w:rsid w:val="00F42F95"/>
    <w:rsid w:val="00F45FB9"/>
    <w:rsid w:val="00F46CE1"/>
    <w:rsid w:val="00F47565"/>
    <w:rsid w:val="00F47FBE"/>
    <w:rsid w:val="00F503C5"/>
    <w:rsid w:val="00F504FD"/>
    <w:rsid w:val="00F50782"/>
    <w:rsid w:val="00F50932"/>
    <w:rsid w:val="00F50BDF"/>
    <w:rsid w:val="00F50CF6"/>
    <w:rsid w:val="00F51090"/>
    <w:rsid w:val="00F53068"/>
    <w:rsid w:val="00F5471F"/>
    <w:rsid w:val="00F55E26"/>
    <w:rsid w:val="00F56DCC"/>
    <w:rsid w:val="00F57521"/>
    <w:rsid w:val="00F634A3"/>
    <w:rsid w:val="00F65890"/>
    <w:rsid w:val="00F65CB6"/>
    <w:rsid w:val="00F664C7"/>
    <w:rsid w:val="00F7039D"/>
    <w:rsid w:val="00F70716"/>
    <w:rsid w:val="00F710F9"/>
    <w:rsid w:val="00F71430"/>
    <w:rsid w:val="00F71ADC"/>
    <w:rsid w:val="00F7204D"/>
    <w:rsid w:val="00F75B2C"/>
    <w:rsid w:val="00F7620F"/>
    <w:rsid w:val="00F76835"/>
    <w:rsid w:val="00F76F2D"/>
    <w:rsid w:val="00F777D6"/>
    <w:rsid w:val="00F8049C"/>
    <w:rsid w:val="00F812BF"/>
    <w:rsid w:val="00F817D8"/>
    <w:rsid w:val="00F83AC5"/>
    <w:rsid w:val="00F8445B"/>
    <w:rsid w:val="00F84A94"/>
    <w:rsid w:val="00F86BFE"/>
    <w:rsid w:val="00F86D41"/>
    <w:rsid w:val="00F8778B"/>
    <w:rsid w:val="00F87F40"/>
    <w:rsid w:val="00F90B7B"/>
    <w:rsid w:val="00F917BB"/>
    <w:rsid w:val="00F928F8"/>
    <w:rsid w:val="00F929D2"/>
    <w:rsid w:val="00F96187"/>
    <w:rsid w:val="00F9691E"/>
    <w:rsid w:val="00F9755D"/>
    <w:rsid w:val="00FA084A"/>
    <w:rsid w:val="00FA0AE4"/>
    <w:rsid w:val="00FA10E1"/>
    <w:rsid w:val="00FA19E5"/>
    <w:rsid w:val="00FA54BC"/>
    <w:rsid w:val="00FA6796"/>
    <w:rsid w:val="00FA6B66"/>
    <w:rsid w:val="00FA6B6C"/>
    <w:rsid w:val="00FA75A5"/>
    <w:rsid w:val="00FA7A32"/>
    <w:rsid w:val="00FB0F55"/>
    <w:rsid w:val="00FB3B55"/>
    <w:rsid w:val="00FB4D7B"/>
    <w:rsid w:val="00FB4DBA"/>
    <w:rsid w:val="00FB562E"/>
    <w:rsid w:val="00FB62B8"/>
    <w:rsid w:val="00FB667E"/>
    <w:rsid w:val="00FC0DE1"/>
    <w:rsid w:val="00FC0FAF"/>
    <w:rsid w:val="00FC2B3B"/>
    <w:rsid w:val="00FC39DF"/>
    <w:rsid w:val="00FC4299"/>
    <w:rsid w:val="00FC5A1B"/>
    <w:rsid w:val="00FC7334"/>
    <w:rsid w:val="00FC754A"/>
    <w:rsid w:val="00FD0366"/>
    <w:rsid w:val="00FD1891"/>
    <w:rsid w:val="00FD2821"/>
    <w:rsid w:val="00FD2DAC"/>
    <w:rsid w:val="00FD3B5B"/>
    <w:rsid w:val="00FD4965"/>
    <w:rsid w:val="00FD4FD8"/>
    <w:rsid w:val="00FD5408"/>
    <w:rsid w:val="00FD602B"/>
    <w:rsid w:val="00FE0168"/>
    <w:rsid w:val="00FE06EB"/>
    <w:rsid w:val="00FE405A"/>
    <w:rsid w:val="00FE552D"/>
    <w:rsid w:val="00FE65AA"/>
    <w:rsid w:val="00FE74EC"/>
    <w:rsid w:val="00FF043A"/>
    <w:rsid w:val="00FF1665"/>
    <w:rsid w:val="00FF195C"/>
    <w:rsid w:val="00FF2209"/>
    <w:rsid w:val="00FF260E"/>
    <w:rsid w:val="00FF321A"/>
    <w:rsid w:val="00FF3613"/>
    <w:rsid w:val="00FF3C0B"/>
    <w:rsid w:val="00FF4CD4"/>
    <w:rsid w:val="00FF5025"/>
    <w:rsid w:val="00FF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4"/>
        <w:szCs w:val="24"/>
        <w:lang w:val="en-US" w:eastAsia="en-US" w:bidi="ar-SA"/>
      </w:rPr>
    </w:rPrDefault>
    <w:pPrDefault>
      <w:pPr>
        <w:spacing w:line="480" w:lineRule="auto"/>
        <w:ind w:left="720" w:hanging="72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4161"/>
    <w:pPr>
      <w:ind w:left="0" w:firstLine="0"/>
      <w:jc w:val="both"/>
    </w:pPr>
  </w:style>
  <w:style w:type="paragraph" w:styleId="Heading1">
    <w:name w:val="heading 1"/>
    <w:basedOn w:val="Normal"/>
    <w:next w:val="Normal"/>
    <w:link w:val="Heading1Char"/>
    <w:autoRedefine/>
    <w:uiPriority w:val="9"/>
    <w:qFormat/>
    <w:rsid w:val="00EC3A41"/>
    <w:pPr>
      <w:numPr>
        <w:numId w:val="6"/>
      </w:numPr>
      <w:autoSpaceDE w:val="0"/>
      <w:autoSpaceDN w:val="0"/>
      <w:adjustRightInd w:val="0"/>
      <w:ind w:left="0" w:firstLine="0"/>
      <w:jc w:val="center"/>
      <w:outlineLvl w:val="0"/>
    </w:pPr>
    <w:rPr>
      <w:b/>
      <w:bCs/>
      <w:caps/>
    </w:rPr>
  </w:style>
  <w:style w:type="paragraph" w:styleId="Heading2">
    <w:name w:val="heading 2"/>
    <w:basedOn w:val="Normal"/>
    <w:next w:val="Normal"/>
    <w:link w:val="Heading2Char"/>
    <w:autoRedefine/>
    <w:uiPriority w:val="9"/>
    <w:qFormat/>
    <w:rsid w:val="007669CE"/>
    <w:pPr>
      <w:keepNext/>
      <w:numPr>
        <w:ilvl w:val="1"/>
        <w:numId w:val="6"/>
      </w:numPr>
      <w:ind w:left="0" w:firstLine="0"/>
      <w:outlineLvl w:val="1"/>
    </w:pPr>
    <w:rPr>
      <w:b/>
      <w:bCs/>
      <w:color w:val="212121"/>
      <w:lang w:eastAsia="zh-CN"/>
    </w:rPr>
  </w:style>
  <w:style w:type="paragraph" w:styleId="Heading3">
    <w:name w:val="heading 3"/>
    <w:basedOn w:val="Normal"/>
    <w:next w:val="Normal"/>
    <w:link w:val="Heading3Char"/>
    <w:autoRedefine/>
    <w:uiPriority w:val="9"/>
    <w:qFormat/>
    <w:rsid w:val="007669CE"/>
    <w:pPr>
      <w:keepNext/>
      <w:numPr>
        <w:ilvl w:val="2"/>
        <w:numId w:val="6"/>
      </w:numPr>
      <w:ind w:left="0" w:firstLine="0"/>
      <w:outlineLvl w:val="2"/>
    </w:pPr>
    <w:rPr>
      <w:b/>
      <w:bCs/>
      <w:i/>
      <w:szCs w:val="26"/>
    </w:rPr>
  </w:style>
  <w:style w:type="paragraph" w:styleId="Heading4">
    <w:name w:val="heading 4"/>
    <w:basedOn w:val="Normal"/>
    <w:next w:val="Normal"/>
    <w:link w:val="Heading4Char"/>
    <w:autoRedefine/>
    <w:uiPriority w:val="9"/>
    <w:unhideWhenUsed/>
    <w:qFormat/>
    <w:rsid w:val="00477976"/>
    <w:pPr>
      <w:keepNext/>
      <w:keepLines/>
      <w:numPr>
        <w:ilvl w:val="3"/>
        <w:numId w:val="6"/>
      </w:numPr>
      <w:jc w:val="left"/>
      <w:outlineLvl w:val="3"/>
    </w:pPr>
    <w:rPr>
      <w:rFonts w:eastAsiaTheme="majorEastAsia" w:cstheme="majorBidi"/>
      <w:b/>
      <w:i/>
      <w:iCs/>
      <w:color w:val="000000" w:themeColor="text1"/>
      <w:kern w:val="2"/>
      <w:lang w:eastAsia="zh-CN"/>
      <w14:ligatures w14:val="standardContextual"/>
    </w:rPr>
  </w:style>
  <w:style w:type="paragraph" w:styleId="Heading5">
    <w:name w:val="heading 5"/>
    <w:basedOn w:val="Normal"/>
    <w:next w:val="Normal"/>
    <w:link w:val="Heading5Char"/>
    <w:uiPriority w:val="9"/>
    <w:semiHidden/>
    <w:unhideWhenUsed/>
    <w:qFormat/>
    <w:rsid w:val="00220061"/>
    <w:pPr>
      <w:keepNext/>
      <w:keepLines/>
      <w:numPr>
        <w:ilvl w:val="4"/>
        <w:numId w:val="6"/>
      </w:numPr>
      <w:spacing w:before="80" w:after="40" w:line="278" w:lineRule="auto"/>
      <w:outlineLvl w:val="4"/>
    </w:pPr>
    <w:rPr>
      <w:rFonts w:asciiTheme="minorHAnsi" w:eastAsiaTheme="majorEastAsia" w:hAnsiTheme="minorHAnsi" w:cstheme="majorBidi"/>
      <w:color w:val="365F9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220061"/>
    <w:pPr>
      <w:keepNext/>
      <w:keepLines/>
      <w:numPr>
        <w:ilvl w:val="5"/>
        <w:numId w:val="6"/>
      </w:numPr>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220061"/>
    <w:pPr>
      <w:keepNext/>
      <w:keepLines/>
      <w:numPr>
        <w:ilvl w:val="6"/>
        <w:numId w:val="6"/>
      </w:numPr>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220061"/>
    <w:pPr>
      <w:keepNext/>
      <w:keepLines/>
      <w:numPr>
        <w:ilvl w:val="7"/>
        <w:numId w:val="6"/>
      </w:numPr>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220061"/>
    <w:pPr>
      <w:keepNext/>
      <w:keepLines/>
      <w:numPr>
        <w:ilvl w:val="8"/>
        <w:numId w:val="6"/>
      </w:numPr>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7C4987"/>
    <w:pPr>
      <w:tabs>
        <w:tab w:val="center" w:pos="4320"/>
        <w:tab w:val="right" w:pos="8640"/>
      </w:tabs>
      <w:jc w:val="center"/>
    </w:pPr>
    <w:rPr>
      <w:b/>
      <w:sz w:val="40"/>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autoRedefine/>
    <w:qFormat/>
    <w:rsid w:val="00546B55"/>
    <w:pPr>
      <w:keepNext/>
      <w:spacing w:before="240" w:after="240" w:line="240" w:lineRule="auto"/>
      <w:jc w:val="left"/>
    </w:pPr>
    <w:rPr>
      <w:b/>
      <w:bCs/>
    </w:rPr>
  </w:style>
  <w:style w:type="paragraph" w:styleId="TableofFigures">
    <w:name w:val="table of figures"/>
    <w:basedOn w:val="Normal"/>
    <w:next w:val="Normal"/>
    <w:uiPriority w:val="99"/>
    <w:rsid w:val="006C25D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83A5D"/>
    <w:pPr>
      <w:tabs>
        <w:tab w:val="right" w:leader="dot" w:pos="8630"/>
      </w:tabs>
      <w:spacing w:before="120"/>
    </w:pPr>
    <w:rPr>
      <w:rFonts w:cstheme="minorHAnsi"/>
      <w:b/>
      <w:bCs/>
      <w:i/>
      <w:iCs/>
    </w:rPr>
  </w:style>
  <w:style w:type="paragraph" w:styleId="TOC2">
    <w:name w:val="toc 2"/>
    <w:basedOn w:val="Normal"/>
    <w:next w:val="Normal"/>
    <w:autoRedefine/>
    <w:uiPriority w:val="39"/>
    <w:rsid w:val="00683A5D"/>
    <w:pPr>
      <w:spacing w:before="120"/>
      <w:ind w:left="240"/>
    </w:pPr>
    <w:rPr>
      <w:rFonts w:cstheme="minorHAnsi"/>
      <w:b/>
      <w:bCs/>
      <w:sz w:val="22"/>
      <w:szCs w:val="22"/>
    </w:rPr>
  </w:style>
  <w:style w:type="paragraph" w:styleId="TOC3">
    <w:name w:val="toc 3"/>
    <w:basedOn w:val="Normal"/>
    <w:next w:val="Normal"/>
    <w:autoRedefine/>
    <w:uiPriority w:val="39"/>
    <w:rsid w:val="00683A5D"/>
    <w:pPr>
      <w:ind w:left="480"/>
    </w:pPr>
    <w:rPr>
      <w:rFonts w:cstheme="minorHAnsi"/>
      <w:sz w:val="20"/>
      <w:szCs w:val="20"/>
    </w:rPr>
  </w:style>
  <w:style w:type="paragraph" w:styleId="TOC4">
    <w:name w:val="toc 4"/>
    <w:basedOn w:val="Normal"/>
    <w:next w:val="Normal"/>
    <w:autoRedefine/>
    <w:uiPriority w:val="39"/>
    <w:rsid w:val="00683A5D"/>
    <w:rPr>
      <w:rFonts w:cstheme="minorHAnsi"/>
      <w:sz w:val="20"/>
      <w:szCs w:val="20"/>
    </w:rPr>
  </w:style>
  <w:style w:type="paragraph" w:styleId="TOC5">
    <w:name w:val="toc 5"/>
    <w:basedOn w:val="Normal"/>
    <w:next w:val="Normal"/>
    <w:autoRedefine/>
    <w:uiPriority w:val="39"/>
    <w:rsid w:val="00683A5D"/>
    <w:pPr>
      <w:ind w:left="960"/>
    </w:pPr>
    <w:rPr>
      <w:rFonts w:cstheme="minorHAnsi"/>
      <w:sz w:val="20"/>
      <w:szCs w:val="20"/>
    </w:rPr>
  </w:style>
  <w:style w:type="paragraph" w:styleId="TOC6">
    <w:name w:val="toc 6"/>
    <w:basedOn w:val="Normal"/>
    <w:next w:val="Normal"/>
    <w:autoRedefine/>
    <w:uiPriority w:val="39"/>
    <w:rsid w:val="00683A5D"/>
    <w:pPr>
      <w:ind w:left="1200"/>
    </w:pPr>
    <w:rPr>
      <w:rFonts w:cstheme="minorHAnsi"/>
      <w:sz w:val="20"/>
      <w:szCs w:val="20"/>
    </w:rPr>
  </w:style>
  <w:style w:type="paragraph" w:styleId="TOC7">
    <w:name w:val="toc 7"/>
    <w:basedOn w:val="Normal"/>
    <w:next w:val="Normal"/>
    <w:autoRedefine/>
    <w:uiPriority w:val="39"/>
    <w:rsid w:val="00683A5D"/>
    <w:pPr>
      <w:ind w:left="1440"/>
    </w:pPr>
    <w:rPr>
      <w:rFonts w:cstheme="minorHAnsi"/>
      <w:sz w:val="20"/>
      <w:szCs w:val="20"/>
    </w:rPr>
  </w:style>
  <w:style w:type="paragraph" w:styleId="TOC8">
    <w:name w:val="toc 8"/>
    <w:basedOn w:val="Normal"/>
    <w:next w:val="Normal"/>
    <w:autoRedefine/>
    <w:uiPriority w:val="39"/>
    <w:rsid w:val="00683A5D"/>
    <w:pPr>
      <w:ind w:left="1680"/>
    </w:pPr>
    <w:rPr>
      <w:rFonts w:cstheme="minorHAnsi"/>
      <w:sz w:val="20"/>
      <w:szCs w:val="20"/>
    </w:rPr>
  </w:style>
  <w:style w:type="paragraph" w:styleId="TOC9">
    <w:name w:val="toc 9"/>
    <w:basedOn w:val="Normal"/>
    <w:next w:val="Normal"/>
    <w:autoRedefine/>
    <w:uiPriority w:val="39"/>
    <w:rsid w:val="00683A5D"/>
    <w:pPr>
      <w:ind w:left="1920"/>
    </w:pPr>
    <w:rPr>
      <w:rFonts w:cstheme="minorHAnsi"/>
      <w:sz w:val="20"/>
      <w:szCs w:val="20"/>
    </w:rPr>
  </w:style>
  <w:style w:type="character" w:customStyle="1" w:styleId="Heading1Char">
    <w:name w:val="Heading 1 Char"/>
    <w:link w:val="Heading1"/>
    <w:uiPriority w:val="9"/>
    <w:rsid w:val="00EC3A41"/>
    <w:rPr>
      <w:b/>
      <w:bCs/>
      <w:caps/>
    </w:rPr>
  </w:style>
  <w:style w:type="character" w:customStyle="1" w:styleId="Heading3Char">
    <w:name w:val="Heading 3 Char"/>
    <w:link w:val="Heading3"/>
    <w:uiPriority w:val="9"/>
    <w:rsid w:val="007669CE"/>
    <w:rPr>
      <w:b/>
      <w:bCs/>
      <w:i/>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970DE6"/>
    <w:rPr>
      <w:color w:val="800080" w:themeColor="followedHyperlink"/>
      <w:u w:val="single"/>
    </w:rPr>
  </w:style>
  <w:style w:type="paragraph" w:customStyle="1" w:styleId="TableParagraph">
    <w:name w:val="Table Paragraph"/>
    <w:basedOn w:val="Normal"/>
    <w:uiPriority w:val="1"/>
    <w:qFormat/>
    <w:rsid w:val="00434D77"/>
    <w:pPr>
      <w:widowControl w:val="0"/>
      <w:autoSpaceDE w:val="0"/>
      <w:autoSpaceDN w:val="0"/>
      <w:spacing w:before="56"/>
      <w:ind w:left="200"/>
    </w:pPr>
    <w:rPr>
      <w:rFonts w:eastAsia="Arial"/>
      <w:sz w:val="22"/>
      <w:szCs w:val="22"/>
    </w:rPr>
  </w:style>
  <w:style w:type="paragraph" w:styleId="NoSpacing">
    <w:name w:val="No Spacing"/>
    <w:uiPriority w:val="1"/>
    <w:qFormat/>
    <w:rsid w:val="00573FDD"/>
    <w:rPr>
      <w:rFonts w:asciiTheme="minorHAnsi" w:eastAsiaTheme="minorEastAsia" w:hAnsiTheme="minorHAnsi" w:cstheme="minorBidi"/>
      <w:kern w:val="2"/>
      <w:lang w:eastAsia="zh-CN"/>
      <w14:ligatures w14:val="standardContextual"/>
    </w:rPr>
  </w:style>
  <w:style w:type="paragraph" w:styleId="ListParagraph">
    <w:name w:val="List Paragraph"/>
    <w:basedOn w:val="Normal"/>
    <w:uiPriority w:val="34"/>
    <w:qFormat/>
    <w:rsid w:val="00FF043A"/>
    <w:pPr>
      <w:contextualSpacing/>
    </w:pPr>
    <w:rPr>
      <w:rFonts w:eastAsia="Times New Roman"/>
      <w:lang w:eastAsia="zh-CN"/>
    </w:rPr>
  </w:style>
  <w:style w:type="paragraph" w:styleId="NormalWeb">
    <w:name w:val="Normal (Web)"/>
    <w:basedOn w:val="Normal"/>
    <w:uiPriority w:val="99"/>
    <w:semiHidden/>
    <w:unhideWhenUsed/>
    <w:rsid w:val="0081539B"/>
    <w:pPr>
      <w:spacing w:before="100" w:beforeAutospacing="1" w:after="100" w:afterAutospacing="1"/>
    </w:pPr>
    <w:rPr>
      <w:rFonts w:eastAsia="Times New Roman"/>
      <w:lang w:eastAsia="zh-CN"/>
    </w:rPr>
  </w:style>
  <w:style w:type="paragraph" w:styleId="Bibliography">
    <w:name w:val="Bibliography"/>
    <w:basedOn w:val="Normal"/>
    <w:next w:val="Normal"/>
    <w:uiPriority w:val="37"/>
    <w:unhideWhenUsed/>
    <w:rsid w:val="002C2230"/>
    <w:pPr>
      <w:tabs>
        <w:tab w:val="left" w:pos="260"/>
        <w:tab w:val="left" w:pos="380"/>
      </w:tabs>
      <w:spacing w:after="240"/>
      <w:ind w:left="264" w:hanging="264"/>
    </w:pPr>
  </w:style>
  <w:style w:type="paragraph" w:styleId="Revision">
    <w:name w:val="Revision"/>
    <w:hidden/>
    <w:uiPriority w:val="99"/>
    <w:semiHidden/>
    <w:rsid w:val="00015665"/>
    <w:rPr>
      <w:rFonts w:ascii="Arial" w:hAnsi="Arial" w:cs="Arial"/>
    </w:rPr>
  </w:style>
  <w:style w:type="paragraph" w:styleId="EndnoteText">
    <w:name w:val="endnote text"/>
    <w:basedOn w:val="Normal"/>
    <w:link w:val="EndnoteTextChar"/>
    <w:semiHidden/>
    <w:unhideWhenUsed/>
    <w:rsid w:val="0063049C"/>
    <w:rPr>
      <w:sz w:val="20"/>
      <w:szCs w:val="20"/>
    </w:rPr>
  </w:style>
  <w:style w:type="character" w:customStyle="1" w:styleId="EndnoteTextChar">
    <w:name w:val="Endnote Text Char"/>
    <w:basedOn w:val="DefaultParagraphFont"/>
    <w:link w:val="EndnoteText"/>
    <w:semiHidden/>
    <w:rsid w:val="0063049C"/>
    <w:rPr>
      <w:rFonts w:ascii="Arial" w:hAnsi="Arial" w:cs="Arial"/>
    </w:rPr>
  </w:style>
  <w:style w:type="character" w:styleId="EndnoteReference">
    <w:name w:val="endnote reference"/>
    <w:basedOn w:val="DefaultParagraphFont"/>
    <w:semiHidden/>
    <w:unhideWhenUsed/>
    <w:rsid w:val="0063049C"/>
    <w:rPr>
      <w:vertAlign w:val="superscript"/>
    </w:rPr>
  </w:style>
  <w:style w:type="paragraph" w:styleId="FootnoteText">
    <w:name w:val="footnote text"/>
    <w:basedOn w:val="Normal"/>
    <w:link w:val="FootnoteTextChar"/>
    <w:semiHidden/>
    <w:unhideWhenUsed/>
    <w:rsid w:val="0063049C"/>
    <w:rPr>
      <w:sz w:val="20"/>
      <w:szCs w:val="20"/>
    </w:rPr>
  </w:style>
  <w:style w:type="character" w:customStyle="1" w:styleId="FootnoteTextChar">
    <w:name w:val="Footnote Text Char"/>
    <w:basedOn w:val="DefaultParagraphFont"/>
    <w:link w:val="FootnoteText"/>
    <w:semiHidden/>
    <w:rsid w:val="0063049C"/>
    <w:rPr>
      <w:rFonts w:ascii="Arial" w:hAnsi="Arial" w:cs="Arial"/>
    </w:rPr>
  </w:style>
  <w:style w:type="character" w:styleId="FootnoteReference">
    <w:name w:val="footnote reference"/>
    <w:basedOn w:val="DefaultParagraphFont"/>
    <w:semiHidden/>
    <w:unhideWhenUsed/>
    <w:rsid w:val="0063049C"/>
    <w:rPr>
      <w:vertAlign w:val="superscript"/>
    </w:rPr>
  </w:style>
  <w:style w:type="character" w:customStyle="1" w:styleId="Heading4Char">
    <w:name w:val="Heading 4 Char"/>
    <w:basedOn w:val="DefaultParagraphFont"/>
    <w:link w:val="Heading4"/>
    <w:uiPriority w:val="9"/>
    <w:rsid w:val="00477976"/>
    <w:rPr>
      <w:rFonts w:eastAsiaTheme="majorEastAsia" w:cstheme="majorBidi"/>
      <w:b/>
      <w:i/>
      <w:iCs/>
      <w:color w:val="000000" w:themeColor="text1"/>
      <w:kern w:val="2"/>
      <w:lang w:eastAsia="zh-CN"/>
      <w14:ligatures w14:val="standardContextual"/>
    </w:rPr>
  </w:style>
  <w:style w:type="character" w:customStyle="1" w:styleId="Heading5Char">
    <w:name w:val="Heading 5 Char"/>
    <w:basedOn w:val="DefaultParagraphFont"/>
    <w:link w:val="Heading5"/>
    <w:uiPriority w:val="9"/>
    <w:semiHidden/>
    <w:rsid w:val="0022692A"/>
    <w:rPr>
      <w:rFonts w:asciiTheme="minorHAnsi" w:eastAsiaTheme="majorEastAsia" w:hAnsiTheme="minorHAnsi" w:cstheme="majorBidi"/>
      <w:color w:val="365F91" w:themeColor="accent1" w:themeShade="BF"/>
      <w:kern w:val="2"/>
      <w:sz w:val="24"/>
      <w:szCs w:val="24"/>
      <w:lang w:eastAsia="zh-CN"/>
      <w14:ligatures w14:val="standardContextual"/>
    </w:rPr>
  </w:style>
  <w:style w:type="character" w:customStyle="1" w:styleId="Heading6Char">
    <w:name w:val="Heading 6 Char"/>
    <w:basedOn w:val="DefaultParagraphFont"/>
    <w:link w:val="Heading6"/>
    <w:uiPriority w:val="9"/>
    <w:semiHidden/>
    <w:rsid w:val="0022692A"/>
    <w:rPr>
      <w:rFonts w:asciiTheme="minorHAnsi" w:eastAsiaTheme="majorEastAsia" w:hAnsiTheme="minorHAnsi" w:cstheme="majorBidi"/>
      <w:i/>
      <w:iCs/>
      <w:color w:val="595959" w:themeColor="text1" w:themeTint="A6"/>
      <w:kern w:val="2"/>
      <w:sz w:val="24"/>
      <w:szCs w:val="24"/>
      <w:lang w:eastAsia="zh-CN"/>
      <w14:ligatures w14:val="standardContextual"/>
    </w:rPr>
  </w:style>
  <w:style w:type="character" w:customStyle="1" w:styleId="Heading7Char">
    <w:name w:val="Heading 7 Char"/>
    <w:basedOn w:val="DefaultParagraphFont"/>
    <w:link w:val="Heading7"/>
    <w:uiPriority w:val="9"/>
    <w:semiHidden/>
    <w:rsid w:val="0022692A"/>
    <w:rPr>
      <w:rFonts w:asciiTheme="minorHAnsi" w:eastAsiaTheme="majorEastAsia" w:hAnsiTheme="minorHAnsi" w:cstheme="majorBidi"/>
      <w:color w:val="595959" w:themeColor="text1" w:themeTint="A6"/>
      <w:kern w:val="2"/>
      <w:sz w:val="24"/>
      <w:szCs w:val="24"/>
      <w:lang w:eastAsia="zh-CN"/>
      <w14:ligatures w14:val="standardContextual"/>
    </w:rPr>
  </w:style>
  <w:style w:type="character" w:customStyle="1" w:styleId="Heading8Char">
    <w:name w:val="Heading 8 Char"/>
    <w:basedOn w:val="DefaultParagraphFont"/>
    <w:link w:val="Heading8"/>
    <w:uiPriority w:val="9"/>
    <w:semiHidden/>
    <w:rsid w:val="0022692A"/>
    <w:rPr>
      <w:rFonts w:asciiTheme="minorHAnsi" w:eastAsiaTheme="majorEastAsia" w:hAnsiTheme="minorHAnsi" w:cstheme="majorBidi"/>
      <w:i/>
      <w:iCs/>
      <w:color w:val="272727" w:themeColor="text1" w:themeTint="D8"/>
      <w:kern w:val="2"/>
      <w:sz w:val="24"/>
      <w:szCs w:val="24"/>
      <w:lang w:eastAsia="zh-CN"/>
      <w14:ligatures w14:val="standardContextual"/>
    </w:rPr>
  </w:style>
  <w:style w:type="character" w:customStyle="1" w:styleId="Heading9Char">
    <w:name w:val="Heading 9 Char"/>
    <w:basedOn w:val="DefaultParagraphFont"/>
    <w:link w:val="Heading9"/>
    <w:uiPriority w:val="9"/>
    <w:semiHidden/>
    <w:rsid w:val="0022692A"/>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customStyle="1" w:styleId="Heading2Char">
    <w:name w:val="Heading 2 Char"/>
    <w:basedOn w:val="DefaultParagraphFont"/>
    <w:link w:val="Heading2"/>
    <w:uiPriority w:val="9"/>
    <w:rsid w:val="007669CE"/>
    <w:rPr>
      <w:b/>
      <w:bCs/>
      <w:color w:val="212121"/>
      <w:lang w:eastAsia="zh-CN"/>
    </w:rPr>
  </w:style>
  <w:style w:type="paragraph" w:styleId="Subtitle">
    <w:name w:val="Subtitle"/>
    <w:basedOn w:val="Normal"/>
    <w:next w:val="Normal"/>
    <w:link w:val="SubtitleChar"/>
    <w:uiPriority w:val="11"/>
    <w:qFormat/>
    <w:rsid w:val="0022692A"/>
    <w:pPr>
      <w:numPr>
        <w:ilvl w:val="1"/>
      </w:numPr>
      <w:spacing w:after="160" w:line="278" w:lineRule="auto"/>
      <w:ind w:left="720" w:hanging="720"/>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22692A"/>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paragraph" w:styleId="Quote">
    <w:name w:val="Quote"/>
    <w:basedOn w:val="Normal"/>
    <w:next w:val="Normal"/>
    <w:link w:val="QuoteChar"/>
    <w:uiPriority w:val="29"/>
    <w:qFormat/>
    <w:rsid w:val="0022692A"/>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22692A"/>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styleId="IntenseEmphasis">
    <w:name w:val="Intense Emphasis"/>
    <w:basedOn w:val="DefaultParagraphFont"/>
    <w:uiPriority w:val="21"/>
    <w:qFormat/>
    <w:rsid w:val="0022692A"/>
    <w:rPr>
      <w:i/>
      <w:iCs/>
      <w:color w:val="365F91" w:themeColor="accent1" w:themeShade="BF"/>
    </w:rPr>
  </w:style>
  <w:style w:type="paragraph" w:styleId="IntenseQuote">
    <w:name w:val="Intense Quote"/>
    <w:basedOn w:val="Normal"/>
    <w:next w:val="Normal"/>
    <w:link w:val="IntenseQuoteChar"/>
    <w:uiPriority w:val="30"/>
    <w:qFormat/>
    <w:rsid w:val="0022692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22692A"/>
    <w:rPr>
      <w:rFonts w:asciiTheme="minorHAnsi" w:eastAsiaTheme="minorEastAsia" w:hAnsiTheme="minorHAnsi" w:cstheme="minorBidi"/>
      <w:i/>
      <w:iCs/>
      <w:color w:val="365F91" w:themeColor="accent1" w:themeShade="BF"/>
      <w:kern w:val="2"/>
      <w:sz w:val="24"/>
      <w:szCs w:val="24"/>
      <w:lang w:eastAsia="zh-CN"/>
      <w14:ligatures w14:val="standardContextual"/>
    </w:rPr>
  </w:style>
  <w:style w:type="character" w:styleId="IntenseReference">
    <w:name w:val="Intense Reference"/>
    <w:basedOn w:val="DefaultParagraphFont"/>
    <w:uiPriority w:val="32"/>
    <w:qFormat/>
    <w:rsid w:val="0022692A"/>
    <w:rPr>
      <w:b/>
      <w:bCs/>
      <w:smallCaps/>
      <w:color w:val="365F91" w:themeColor="accent1" w:themeShade="BF"/>
      <w:spacing w:val="5"/>
    </w:rPr>
  </w:style>
  <w:style w:type="character" w:styleId="PlaceholderText">
    <w:name w:val="Placeholder Text"/>
    <w:basedOn w:val="DefaultParagraphFont"/>
    <w:uiPriority w:val="99"/>
    <w:semiHidden/>
    <w:rsid w:val="0022692A"/>
    <w:rPr>
      <w:color w:val="666666"/>
    </w:rPr>
  </w:style>
  <w:style w:type="character" w:styleId="PageNumber">
    <w:name w:val="page number"/>
    <w:basedOn w:val="DefaultParagraphFont"/>
    <w:uiPriority w:val="99"/>
    <w:semiHidden/>
    <w:unhideWhenUsed/>
    <w:rsid w:val="0022692A"/>
  </w:style>
  <w:style w:type="character" w:styleId="CommentReference">
    <w:name w:val="annotation reference"/>
    <w:basedOn w:val="DefaultParagraphFont"/>
    <w:uiPriority w:val="99"/>
    <w:semiHidden/>
    <w:unhideWhenUsed/>
    <w:rsid w:val="00912F61"/>
    <w:rPr>
      <w:sz w:val="16"/>
      <w:szCs w:val="16"/>
    </w:rPr>
  </w:style>
  <w:style w:type="paragraph" w:styleId="CommentText">
    <w:name w:val="annotation text"/>
    <w:basedOn w:val="Normal"/>
    <w:link w:val="CommentTextChar"/>
    <w:uiPriority w:val="99"/>
    <w:unhideWhenUsed/>
    <w:rsid w:val="00912F61"/>
    <w:pPr>
      <w:spacing w:after="160"/>
    </w:pPr>
    <w:rPr>
      <w:rFonts w:asciiTheme="minorHAnsi" w:eastAsiaTheme="minorEastAsia" w:hAnsiTheme="minorHAnsi" w:cstheme="minorBidi"/>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12F61"/>
    <w:rPr>
      <w:rFonts w:asciiTheme="minorHAnsi" w:eastAsiaTheme="minorEastAsia" w:hAnsiTheme="minorHAnsi" w:cstheme="minorBidi"/>
      <w:kern w:val="2"/>
      <w:lang w:eastAsia="zh-CN"/>
      <w14:ligatures w14:val="standardContextual"/>
    </w:rPr>
  </w:style>
  <w:style w:type="character" w:styleId="Strong">
    <w:name w:val="Strong"/>
    <w:basedOn w:val="DefaultParagraphFont"/>
    <w:uiPriority w:val="22"/>
    <w:qFormat/>
    <w:rsid w:val="005877AC"/>
    <w:rPr>
      <w:b/>
      <w:bCs/>
    </w:rPr>
  </w:style>
  <w:style w:type="paragraph" w:styleId="CommentSubject">
    <w:name w:val="annotation subject"/>
    <w:basedOn w:val="CommentText"/>
    <w:next w:val="CommentText"/>
    <w:link w:val="CommentSubjectChar"/>
    <w:uiPriority w:val="99"/>
    <w:semiHidden/>
    <w:unhideWhenUsed/>
    <w:rsid w:val="005877AC"/>
    <w:rPr>
      <w:b/>
      <w:bCs/>
    </w:rPr>
  </w:style>
  <w:style w:type="character" w:customStyle="1" w:styleId="CommentSubjectChar">
    <w:name w:val="Comment Subject Char"/>
    <w:basedOn w:val="CommentTextChar"/>
    <w:link w:val="CommentSubject"/>
    <w:uiPriority w:val="99"/>
    <w:semiHidden/>
    <w:rsid w:val="005877AC"/>
    <w:rPr>
      <w:rFonts w:asciiTheme="minorHAnsi" w:eastAsiaTheme="minorEastAsia" w:hAnsiTheme="minorHAnsi" w:cstheme="minorBidi"/>
      <w:b/>
      <w:bCs/>
      <w:kern w:val="2"/>
      <w:lang w:eastAsia="zh-CN"/>
      <w14:ligatures w14:val="standardContextual"/>
    </w:rPr>
  </w:style>
  <w:style w:type="character" w:styleId="Emphasis">
    <w:name w:val="Emphasis"/>
    <w:basedOn w:val="DefaultParagraphFont"/>
    <w:qFormat/>
    <w:rsid w:val="00F12523"/>
    <w:rPr>
      <w:i/>
      <w:iCs/>
    </w:rPr>
  </w:style>
  <w:style w:type="numbering" w:customStyle="1" w:styleId="CurrentList1">
    <w:name w:val="Current List1"/>
    <w:uiPriority w:val="99"/>
    <w:rsid w:val="00220061"/>
    <w:pPr>
      <w:numPr>
        <w:numId w:val="8"/>
      </w:numPr>
    </w:pPr>
  </w:style>
  <w:style w:type="numbering" w:styleId="111111">
    <w:name w:val="Outline List 2"/>
    <w:basedOn w:val="NoList"/>
    <w:semiHidden/>
    <w:unhideWhenUsed/>
    <w:rsid w:val="00220061"/>
    <w:pPr>
      <w:numPr>
        <w:numId w:val="11"/>
      </w:numPr>
    </w:pPr>
  </w:style>
  <w:style w:type="numbering" w:customStyle="1" w:styleId="CurrentList2">
    <w:name w:val="Current List2"/>
    <w:uiPriority w:val="99"/>
    <w:rsid w:val="00220061"/>
    <w:pPr>
      <w:numPr>
        <w:numId w:val="13"/>
      </w:numPr>
    </w:pPr>
  </w:style>
  <w:style w:type="numbering" w:customStyle="1" w:styleId="CurrentList3">
    <w:name w:val="Current List3"/>
    <w:uiPriority w:val="99"/>
    <w:rsid w:val="00220061"/>
    <w:pPr>
      <w:numPr>
        <w:numId w:val="14"/>
      </w:numPr>
    </w:pPr>
  </w:style>
  <w:style w:type="numbering" w:customStyle="1" w:styleId="CurrentList4">
    <w:name w:val="Current List4"/>
    <w:uiPriority w:val="99"/>
    <w:rsid w:val="00220061"/>
    <w:pPr>
      <w:numPr>
        <w:numId w:val="15"/>
      </w:numPr>
    </w:pPr>
  </w:style>
  <w:style w:type="numbering" w:customStyle="1" w:styleId="CurrentList5">
    <w:name w:val="Current List5"/>
    <w:uiPriority w:val="99"/>
    <w:rsid w:val="00220061"/>
    <w:pPr>
      <w:numPr>
        <w:numId w:val="16"/>
      </w:numPr>
    </w:pPr>
  </w:style>
  <w:style w:type="numbering" w:customStyle="1" w:styleId="CurrentList6">
    <w:name w:val="Current List6"/>
    <w:uiPriority w:val="99"/>
    <w:rsid w:val="00220061"/>
    <w:pPr>
      <w:numPr>
        <w:numId w:val="17"/>
      </w:numPr>
    </w:pPr>
  </w:style>
  <w:style w:type="numbering" w:customStyle="1" w:styleId="CurrentList7">
    <w:name w:val="Current List7"/>
    <w:uiPriority w:val="99"/>
    <w:rsid w:val="00220061"/>
    <w:pPr>
      <w:numPr>
        <w:numId w:val="18"/>
      </w:numPr>
    </w:pPr>
  </w:style>
  <w:style w:type="character" w:customStyle="1" w:styleId="name">
    <w:name w:val="name"/>
    <w:basedOn w:val="DefaultParagraphFont"/>
    <w:rsid w:val="00F133A9"/>
  </w:style>
  <w:style w:type="paragraph" w:customStyle="1" w:styleId="full-docsum">
    <w:name w:val="full-docsum"/>
    <w:basedOn w:val="Normal"/>
    <w:rsid w:val="00F133A9"/>
    <w:pPr>
      <w:spacing w:before="100" w:beforeAutospacing="1" w:after="100" w:afterAutospacing="1" w:line="240" w:lineRule="auto"/>
    </w:pPr>
    <w:rPr>
      <w:rFonts w:eastAsia="Times New Roman"/>
    </w:rPr>
  </w:style>
  <w:style w:type="character" w:customStyle="1" w:styleId="docsum-authors">
    <w:name w:val="docsum-authors"/>
    <w:basedOn w:val="DefaultParagraphFont"/>
    <w:rsid w:val="00F133A9"/>
  </w:style>
  <w:style w:type="character" w:customStyle="1" w:styleId="docsum-journal-citation">
    <w:name w:val="docsum-journal-citation"/>
    <w:basedOn w:val="DefaultParagraphFont"/>
    <w:rsid w:val="00F133A9"/>
  </w:style>
  <w:style w:type="character" w:customStyle="1" w:styleId="citation-part">
    <w:name w:val="citation-part"/>
    <w:basedOn w:val="DefaultParagraphFont"/>
    <w:rsid w:val="00F133A9"/>
  </w:style>
  <w:style w:type="character" w:customStyle="1" w:styleId="docsum-pmid">
    <w:name w:val="docsum-pmid"/>
    <w:basedOn w:val="DefaultParagraphFont"/>
    <w:rsid w:val="00F133A9"/>
  </w:style>
  <w:style w:type="character" w:customStyle="1" w:styleId="publication-type">
    <w:name w:val="publication-type"/>
    <w:basedOn w:val="DefaultParagraphFont"/>
    <w:rsid w:val="00F133A9"/>
  </w:style>
  <w:style w:type="character" w:customStyle="1" w:styleId="free-resources">
    <w:name w:val="free-resources"/>
    <w:basedOn w:val="DefaultParagraphFont"/>
    <w:rsid w:val="00F133A9"/>
  </w:style>
  <w:style w:type="character" w:customStyle="1" w:styleId="HeaderChar">
    <w:name w:val="Header Char"/>
    <w:basedOn w:val="DefaultParagraphFont"/>
    <w:link w:val="Header"/>
    <w:rsid w:val="009765AB"/>
    <w:rPr>
      <w:b/>
      <w:sz w:val="40"/>
    </w:rPr>
  </w:style>
  <w:style w:type="character" w:customStyle="1" w:styleId="TitleChar1">
    <w:name w:val="Title Char1"/>
    <w:basedOn w:val="DefaultParagraphFont"/>
    <w:uiPriority w:val="10"/>
    <w:rsid w:val="009765AB"/>
    <w:rPr>
      <w:rFonts w:asciiTheme="majorHAnsi" w:eastAsiaTheme="majorEastAsia" w:hAnsiTheme="majorHAnsi" w:cstheme="majorBidi"/>
      <w:spacing w:val="-10"/>
      <w:kern w:val="28"/>
      <w:sz w:val="56"/>
      <w:szCs w:val="56"/>
    </w:rPr>
  </w:style>
  <w:style w:type="paragraph" w:customStyle="1" w:styleId="xmsonormal">
    <w:name w:val="x_msonormal"/>
    <w:basedOn w:val="Normal"/>
    <w:rsid w:val="00B206A7"/>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323">
      <w:bodyDiv w:val="1"/>
      <w:marLeft w:val="0"/>
      <w:marRight w:val="0"/>
      <w:marTop w:val="0"/>
      <w:marBottom w:val="0"/>
      <w:divBdr>
        <w:top w:val="none" w:sz="0" w:space="0" w:color="auto"/>
        <w:left w:val="none" w:sz="0" w:space="0" w:color="auto"/>
        <w:bottom w:val="none" w:sz="0" w:space="0" w:color="auto"/>
        <w:right w:val="none" w:sz="0" w:space="0" w:color="auto"/>
      </w:divBdr>
    </w:div>
    <w:div w:id="13044133">
      <w:bodyDiv w:val="1"/>
      <w:marLeft w:val="0"/>
      <w:marRight w:val="0"/>
      <w:marTop w:val="0"/>
      <w:marBottom w:val="0"/>
      <w:divBdr>
        <w:top w:val="none" w:sz="0" w:space="0" w:color="auto"/>
        <w:left w:val="none" w:sz="0" w:space="0" w:color="auto"/>
        <w:bottom w:val="none" w:sz="0" w:space="0" w:color="auto"/>
        <w:right w:val="none" w:sz="0" w:space="0" w:color="auto"/>
      </w:divBdr>
    </w:div>
    <w:div w:id="90857621">
      <w:bodyDiv w:val="1"/>
      <w:marLeft w:val="0"/>
      <w:marRight w:val="0"/>
      <w:marTop w:val="0"/>
      <w:marBottom w:val="0"/>
      <w:divBdr>
        <w:top w:val="none" w:sz="0" w:space="0" w:color="auto"/>
        <w:left w:val="none" w:sz="0" w:space="0" w:color="auto"/>
        <w:bottom w:val="none" w:sz="0" w:space="0" w:color="auto"/>
        <w:right w:val="none" w:sz="0" w:space="0" w:color="auto"/>
      </w:divBdr>
    </w:div>
    <w:div w:id="118182971">
      <w:bodyDiv w:val="1"/>
      <w:marLeft w:val="0"/>
      <w:marRight w:val="0"/>
      <w:marTop w:val="0"/>
      <w:marBottom w:val="0"/>
      <w:divBdr>
        <w:top w:val="none" w:sz="0" w:space="0" w:color="auto"/>
        <w:left w:val="none" w:sz="0" w:space="0" w:color="auto"/>
        <w:bottom w:val="none" w:sz="0" w:space="0" w:color="auto"/>
        <w:right w:val="none" w:sz="0" w:space="0" w:color="auto"/>
      </w:divBdr>
    </w:div>
    <w:div w:id="148641727">
      <w:bodyDiv w:val="1"/>
      <w:marLeft w:val="0"/>
      <w:marRight w:val="0"/>
      <w:marTop w:val="0"/>
      <w:marBottom w:val="0"/>
      <w:divBdr>
        <w:top w:val="none" w:sz="0" w:space="0" w:color="auto"/>
        <w:left w:val="none" w:sz="0" w:space="0" w:color="auto"/>
        <w:bottom w:val="none" w:sz="0" w:space="0" w:color="auto"/>
        <w:right w:val="none" w:sz="0" w:space="0" w:color="auto"/>
      </w:divBdr>
    </w:div>
    <w:div w:id="150757453">
      <w:bodyDiv w:val="1"/>
      <w:marLeft w:val="0"/>
      <w:marRight w:val="0"/>
      <w:marTop w:val="0"/>
      <w:marBottom w:val="0"/>
      <w:divBdr>
        <w:top w:val="none" w:sz="0" w:space="0" w:color="auto"/>
        <w:left w:val="none" w:sz="0" w:space="0" w:color="auto"/>
        <w:bottom w:val="none" w:sz="0" w:space="0" w:color="auto"/>
        <w:right w:val="none" w:sz="0" w:space="0" w:color="auto"/>
      </w:divBdr>
      <w:divsChild>
        <w:div w:id="1329409206">
          <w:marLeft w:val="0"/>
          <w:marRight w:val="0"/>
          <w:marTop w:val="0"/>
          <w:marBottom w:val="0"/>
          <w:divBdr>
            <w:top w:val="none" w:sz="0" w:space="0" w:color="auto"/>
            <w:left w:val="none" w:sz="0" w:space="0" w:color="auto"/>
            <w:bottom w:val="none" w:sz="0" w:space="0" w:color="auto"/>
            <w:right w:val="none" w:sz="0" w:space="0" w:color="auto"/>
          </w:divBdr>
          <w:divsChild>
            <w:div w:id="1156458698">
              <w:marLeft w:val="0"/>
              <w:marRight w:val="0"/>
              <w:marTop w:val="0"/>
              <w:marBottom w:val="0"/>
              <w:divBdr>
                <w:top w:val="none" w:sz="0" w:space="0" w:color="auto"/>
                <w:left w:val="none" w:sz="0" w:space="0" w:color="auto"/>
                <w:bottom w:val="none" w:sz="0" w:space="0" w:color="auto"/>
                <w:right w:val="none" w:sz="0" w:space="0" w:color="auto"/>
              </w:divBdr>
            </w:div>
          </w:divsChild>
        </w:div>
        <w:div w:id="675230163">
          <w:marLeft w:val="0"/>
          <w:marRight w:val="0"/>
          <w:marTop w:val="0"/>
          <w:marBottom w:val="0"/>
          <w:divBdr>
            <w:top w:val="none" w:sz="0" w:space="0" w:color="auto"/>
            <w:left w:val="none" w:sz="0" w:space="0" w:color="auto"/>
            <w:bottom w:val="none" w:sz="0" w:space="0" w:color="auto"/>
            <w:right w:val="none" w:sz="0" w:space="0" w:color="auto"/>
          </w:divBdr>
          <w:divsChild>
            <w:div w:id="141874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4880">
      <w:bodyDiv w:val="1"/>
      <w:marLeft w:val="0"/>
      <w:marRight w:val="0"/>
      <w:marTop w:val="0"/>
      <w:marBottom w:val="0"/>
      <w:divBdr>
        <w:top w:val="none" w:sz="0" w:space="0" w:color="auto"/>
        <w:left w:val="none" w:sz="0" w:space="0" w:color="auto"/>
        <w:bottom w:val="none" w:sz="0" w:space="0" w:color="auto"/>
        <w:right w:val="none" w:sz="0" w:space="0" w:color="auto"/>
      </w:divBdr>
    </w:div>
    <w:div w:id="170725553">
      <w:bodyDiv w:val="1"/>
      <w:marLeft w:val="0"/>
      <w:marRight w:val="0"/>
      <w:marTop w:val="0"/>
      <w:marBottom w:val="0"/>
      <w:divBdr>
        <w:top w:val="none" w:sz="0" w:space="0" w:color="auto"/>
        <w:left w:val="none" w:sz="0" w:space="0" w:color="auto"/>
        <w:bottom w:val="none" w:sz="0" w:space="0" w:color="auto"/>
        <w:right w:val="none" w:sz="0" w:space="0" w:color="auto"/>
      </w:divBdr>
    </w:div>
    <w:div w:id="272715929">
      <w:bodyDiv w:val="1"/>
      <w:marLeft w:val="0"/>
      <w:marRight w:val="0"/>
      <w:marTop w:val="0"/>
      <w:marBottom w:val="0"/>
      <w:divBdr>
        <w:top w:val="none" w:sz="0" w:space="0" w:color="auto"/>
        <w:left w:val="none" w:sz="0" w:space="0" w:color="auto"/>
        <w:bottom w:val="none" w:sz="0" w:space="0" w:color="auto"/>
        <w:right w:val="none" w:sz="0" w:space="0" w:color="auto"/>
      </w:divBdr>
    </w:div>
    <w:div w:id="297878725">
      <w:bodyDiv w:val="1"/>
      <w:marLeft w:val="0"/>
      <w:marRight w:val="0"/>
      <w:marTop w:val="0"/>
      <w:marBottom w:val="0"/>
      <w:divBdr>
        <w:top w:val="none" w:sz="0" w:space="0" w:color="auto"/>
        <w:left w:val="none" w:sz="0" w:space="0" w:color="auto"/>
        <w:bottom w:val="none" w:sz="0" w:space="0" w:color="auto"/>
        <w:right w:val="none" w:sz="0" w:space="0" w:color="auto"/>
      </w:divBdr>
    </w:div>
    <w:div w:id="355623531">
      <w:bodyDiv w:val="1"/>
      <w:marLeft w:val="0"/>
      <w:marRight w:val="0"/>
      <w:marTop w:val="0"/>
      <w:marBottom w:val="0"/>
      <w:divBdr>
        <w:top w:val="none" w:sz="0" w:space="0" w:color="auto"/>
        <w:left w:val="none" w:sz="0" w:space="0" w:color="auto"/>
        <w:bottom w:val="none" w:sz="0" w:space="0" w:color="auto"/>
        <w:right w:val="none" w:sz="0" w:space="0" w:color="auto"/>
      </w:divBdr>
    </w:div>
    <w:div w:id="379523190">
      <w:bodyDiv w:val="1"/>
      <w:marLeft w:val="0"/>
      <w:marRight w:val="0"/>
      <w:marTop w:val="0"/>
      <w:marBottom w:val="0"/>
      <w:divBdr>
        <w:top w:val="none" w:sz="0" w:space="0" w:color="auto"/>
        <w:left w:val="none" w:sz="0" w:space="0" w:color="auto"/>
        <w:bottom w:val="none" w:sz="0" w:space="0" w:color="auto"/>
        <w:right w:val="none" w:sz="0" w:space="0" w:color="auto"/>
      </w:divBdr>
    </w:div>
    <w:div w:id="447235643">
      <w:bodyDiv w:val="1"/>
      <w:marLeft w:val="0"/>
      <w:marRight w:val="0"/>
      <w:marTop w:val="0"/>
      <w:marBottom w:val="0"/>
      <w:divBdr>
        <w:top w:val="none" w:sz="0" w:space="0" w:color="auto"/>
        <w:left w:val="none" w:sz="0" w:space="0" w:color="auto"/>
        <w:bottom w:val="none" w:sz="0" w:space="0" w:color="auto"/>
        <w:right w:val="none" w:sz="0" w:space="0" w:color="auto"/>
      </w:divBdr>
    </w:div>
    <w:div w:id="501432919">
      <w:bodyDiv w:val="1"/>
      <w:marLeft w:val="0"/>
      <w:marRight w:val="0"/>
      <w:marTop w:val="0"/>
      <w:marBottom w:val="0"/>
      <w:divBdr>
        <w:top w:val="none" w:sz="0" w:space="0" w:color="auto"/>
        <w:left w:val="none" w:sz="0" w:space="0" w:color="auto"/>
        <w:bottom w:val="none" w:sz="0" w:space="0" w:color="auto"/>
        <w:right w:val="none" w:sz="0" w:space="0" w:color="auto"/>
      </w:divBdr>
    </w:div>
    <w:div w:id="531385834">
      <w:bodyDiv w:val="1"/>
      <w:marLeft w:val="0"/>
      <w:marRight w:val="0"/>
      <w:marTop w:val="0"/>
      <w:marBottom w:val="0"/>
      <w:divBdr>
        <w:top w:val="none" w:sz="0" w:space="0" w:color="auto"/>
        <w:left w:val="none" w:sz="0" w:space="0" w:color="auto"/>
        <w:bottom w:val="none" w:sz="0" w:space="0" w:color="auto"/>
        <w:right w:val="none" w:sz="0" w:space="0" w:color="auto"/>
      </w:divBdr>
    </w:div>
    <w:div w:id="572159072">
      <w:bodyDiv w:val="1"/>
      <w:marLeft w:val="0"/>
      <w:marRight w:val="0"/>
      <w:marTop w:val="0"/>
      <w:marBottom w:val="0"/>
      <w:divBdr>
        <w:top w:val="none" w:sz="0" w:space="0" w:color="auto"/>
        <w:left w:val="none" w:sz="0" w:space="0" w:color="auto"/>
        <w:bottom w:val="none" w:sz="0" w:space="0" w:color="auto"/>
        <w:right w:val="none" w:sz="0" w:space="0" w:color="auto"/>
      </w:divBdr>
    </w:div>
    <w:div w:id="575630171">
      <w:bodyDiv w:val="1"/>
      <w:marLeft w:val="0"/>
      <w:marRight w:val="0"/>
      <w:marTop w:val="0"/>
      <w:marBottom w:val="0"/>
      <w:divBdr>
        <w:top w:val="none" w:sz="0" w:space="0" w:color="auto"/>
        <w:left w:val="none" w:sz="0" w:space="0" w:color="auto"/>
        <w:bottom w:val="none" w:sz="0" w:space="0" w:color="auto"/>
        <w:right w:val="none" w:sz="0" w:space="0" w:color="auto"/>
      </w:divBdr>
    </w:div>
    <w:div w:id="61860891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2226072">
      <w:bodyDiv w:val="1"/>
      <w:marLeft w:val="0"/>
      <w:marRight w:val="0"/>
      <w:marTop w:val="0"/>
      <w:marBottom w:val="0"/>
      <w:divBdr>
        <w:top w:val="none" w:sz="0" w:space="0" w:color="auto"/>
        <w:left w:val="none" w:sz="0" w:space="0" w:color="auto"/>
        <w:bottom w:val="none" w:sz="0" w:space="0" w:color="auto"/>
        <w:right w:val="none" w:sz="0" w:space="0" w:color="auto"/>
      </w:divBdr>
    </w:div>
    <w:div w:id="682170304">
      <w:bodyDiv w:val="1"/>
      <w:marLeft w:val="0"/>
      <w:marRight w:val="0"/>
      <w:marTop w:val="0"/>
      <w:marBottom w:val="0"/>
      <w:divBdr>
        <w:top w:val="none" w:sz="0" w:space="0" w:color="auto"/>
        <w:left w:val="none" w:sz="0" w:space="0" w:color="auto"/>
        <w:bottom w:val="none" w:sz="0" w:space="0" w:color="auto"/>
        <w:right w:val="none" w:sz="0" w:space="0" w:color="auto"/>
      </w:divBdr>
    </w:div>
    <w:div w:id="729308401">
      <w:bodyDiv w:val="1"/>
      <w:marLeft w:val="0"/>
      <w:marRight w:val="0"/>
      <w:marTop w:val="0"/>
      <w:marBottom w:val="0"/>
      <w:divBdr>
        <w:top w:val="none" w:sz="0" w:space="0" w:color="auto"/>
        <w:left w:val="none" w:sz="0" w:space="0" w:color="auto"/>
        <w:bottom w:val="none" w:sz="0" w:space="0" w:color="auto"/>
        <w:right w:val="none" w:sz="0" w:space="0" w:color="auto"/>
      </w:divBdr>
    </w:div>
    <w:div w:id="748163494">
      <w:bodyDiv w:val="1"/>
      <w:marLeft w:val="0"/>
      <w:marRight w:val="0"/>
      <w:marTop w:val="0"/>
      <w:marBottom w:val="0"/>
      <w:divBdr>
        <w:top w:val="none" w:sz="0" w:space="0" w:color="auto"/>
        <w:left w:val="none" w:sz="0" w:space="0" w:color="auto"/>
        <w:bottom w:val="none" w:sz="0" w:space="0" w:color="auto"/>
        <w:right w:val="none" w:sz="0" w:space="0" w:color="auto"/>
      </w:divBdr>
    </w:div>
    <w:div w:id="771558874">
      <w:bodyDiv w:val="1"/>
      <w:marLeft w:val="0"/>
      <w:marRight w:val="0"/>
      <w:marTop w:val="0"/>
      <w:marBottom w:val="0"/>
      <w:divBdr>
        <w:top w:val="none" w:sz="0" w:space="0" w:color="auto"/>
        <w:left w:val="none" w:sz="0" w:space="0" w:color="auto"/>
        <w:bottom w:val="none" w:sz="0" w:space="0" w:color="auto"/>
        <w:right w:val="none" w:sz="0" w:space="0" w:color="auto"/>
      </w:divBdr>
    </w:div>
    <w:div w:id="791899442">
      <w:bodyDiv w:val="1"/>
      <w:marLeft w:val="0"/>
      <w:marRight w:val="0"/>
      <w:marTop w:val="0"/>
      <w:marBottom w:val="0"/>
      <w:divBdr>
        <w:top w:val="none" w:sz="0" w:space="0" w:color="auto"/>
        <w:left w:val="none" w:sz="0" w:space="0" w:color="auto"/>
        <w:bottom w:val="none" w:sz="0" w:space="0" w:color="auto"/>
        <w:right w:val="none" w:sz="0" w:space="0" w:color="auto"/>
      </w:divBdr>
    </w:div>
    <w:div w:id="832916641">
      <w:bodyDiv w:val="1"/>
      <w:marLeft w:val="0"/>
      <w:marRight w:val="0"/>
      <w:marTop w:val="0"/>
      <w:marBottom w:val="0"/>
      <w:divBdr>
        <w:top w:val="none" w:sz="0" w:space="0" w:color="auto"/>
        <w:left w:val="none" w:sz="0" w:space="0" w:color="auto"/>
        <w:bottom w:val="none" w:sz="0" w:space="0" w:color="auto"/>
        <w:right w:val="none" w:sz="0" w:space="0" w:color="auto"/>
      </w:divBdr>
    </w:div>
    <w:div w:id="872502888">
      <w:bodyDiv w:val="1"/>
      <w:marLeft w:val="0"/>
      <w:marRight w:val="0"/>
      <w:marTop w:val="0"/>
      <w:marBottom w:val="0"/>
      <w:divBdr>
        <w:top w:val="none" w:sz="0" w:space="0" w:color="auto"/>
        <w:left w:val="none" w:sz="0" w:space="0" w:color="auto"/>
        <w:bottom w:val="none" w:sz="0" w:space="0" w:color="auto"/>
        <w:right w:val="none" w:sz="0" w:space="0" w:color="auto"/>
      </w:divBdr>
      <w:divsChild>
        <w:div w:id="211624330">
          <w:marLeft w:val="0"/>
          <w:marRight w:val="0"/>
          <w:marTop w:val="0"/>
          <w:marBottom w:val="0"/>
          <w:divBdr>
            <w:top w:val="none" w:sz="0" w:space="0" w:color="auto"/>
            <w:left w:val="none" w:sz="0" w:space="0" w:color="auto"/>
            <w:bottom w:val="none" w:sz="0" w:space="0" w:color="auto"/>
            <w:right w:val="none" w:sz="0" w:space="0" w:color="auto"/>
          </w:divBdr>
          <w:divsChild>
            <w:div w:id="2018539585">
              <w:marLeft w:val="0"/>
              <w:marRight w:val="0"/>
              <w:marTop w:val="0"/>
              <w:marBottom w:val="0"/>
              <w:divBdr>
                <w:top w:val="none" w:sz="0" w:space="0" w:color="auto"/>
                <w:left w:val="none" w:sz="0" w:space="0" w:color="auto"/>
                <w:bottom w:val="none" w:sz="0" w:space="0" w:color="auto"/>
                <w:right w:val="none" w:sz="0" w:space="0" w:color="auto"/>
              </w:divBdr>
            </w:div>
          </w:divsChild>
        </w:div>
        <w:div w:id="1879583641">
          <w:marLeft w:val="0"/>
          <w:marRight w:val="0"/>
          <w:marTop w:val="0"/>
          <w:marBottom w:val="0"/>
          <w:divBdr>
            <w:top w:val="none" w:sz="0" w:space="0" w:color="auto"/>
            <w:left w:val="none" w:sz="0" w:space="0" w:color="auto"/>
            <w:bottom w:val="none" w:sz="0" w:space="0" w:color="auto"/>
            <w:right w:val="none" w:sz="0" w:space="0" w:color="auto"/>
          </w:divBdr>
          <w:divsChild>
            <w:div w:id="70872612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000039294">
      <w:bodyDiv w:val="1"/>
      <w:marLeft w:val="0"/>
      <w:marRight w:val="0"/>
      <w:marTop w:val="0"/>
      <w:marBottom w:val="0"/>
      <w:divBdr>
        <w:top w:val="none" w:sz="0" w:space="0" w:color="auto"/>
        <w:left w:val="none" w:sz="0" w:space="0" w:color="auto"/>
        <w:bottom w:val="none" w:sz="0" w:space="0" w:color="auto"/>
        <w:right w:val="none" w:sz="0" w:space="0" w:color="auto"/>
      </w:divBdr>
    </w:div>
    <w:div w:id="1050568795">
      <w:bodyDiv w:val="1"/>
      <w:marLeft w:val="0"/>
      <w:marRight w:val="0"/>
      <w:marTop w:val="0"/>
      <w:marBottom w:val="0"/>
      <w:divBdr>
        <w:top w:val="none" w:sz="0" w:space="0" w:color="auto"/>
        <w:left w:val="none" w:sz="0" w:space="0" w:color="auto"/>
        <w:bottom w:val="none" w:sz="0" w:space="0" w:color="auto"/>
        <w:right w:val="none" w:sz="0" w:space="0" w:color="auto"/>
      </w:divBdr>
    </w:div>
    <w:div w:id="1059859019">
      <w:bodyDiv w:val="1"/>
      <w:marLeft w:val="0"/>
      <w:marRight w:val="0"/>
      <w:marTop w:val="0"/>
      <w:marBottom w:val="0"/>
      <w:divBdr>
        <w:top w:val="none" w:sz="0" w:space="0" w:color="auto"/>
        <w:left w:val="none" w:sz="0" w:space="0" w:color="auto"/>
        <w:bottom w:val="none" w:sz="0" w:space="0" w:color="auto"/>
        <w:right w:val="none" w:sz="0" w:space="0" w:color="auto"/>
      </w:divBdr>
    </w:div>
    <w:div w:id="1160123137">
      <w:bodyDiv w:val="1"/>
      <w:marLeft w:val="0"/>
      <w:marRight w:val="0"/>
      <w:marTop w:val="0"/>
      <w:marBottom w:val="0"/>
      <w:divBdr>
        <w:top w:val="none" w:sz="0" w:space="0" w:color="auto"/>
        <w:left w:val="none" w:sz="0" w:space="0" w:color="auto"/>
        <w:bottom w:val="none" w:sz="0" w:space="0" w:color="auto"/>
        <w:right w:val="none" w:sz="0" w:space="0" w:color="auto"/>
      </w:divBdr>
    </w:div>
    <w:div w:id="1184708376">
      <w:bodyDiv w:val="1"/>
      <w:marLeft w:val="0"/>
      <w:marRight w:val="0"/>
      <w:marTop w:val="0"/>
      <w:marBottom w:val="0"/>
      <w:divBdr>
        <w:top w:val="none" w:sz="0" w:space="0" w:color="auto"/>
        <w:left w:val="none" w:sz="0" w:space="0" w:color="auto"/>
        <w:bottom w:val="none" w:sz="0" w:space="0" w:color="auto"/>
        <w:right w:val="none" w:sz="0" w:space="0" w:color="auto"/>
      </w:divBdr>
    </w:div>
    <w:div w:id="1201169598">
      <w:bodyDiv w:val="1"/>
      <w:marLeft w:val="0"/>
      <w:marRight w:val="0"/>
      <w:marTop w:val="0"/>
      <w:marBottom w:val="0"/>
      <w:divBdr>
        <w:top w:val="none" w:sz="0" w:space="0" w:color="auto"/>
        <w:left w:val="none" w:sz="0" w:space="0" w:color="auto"/>
        <w:bottom w:val="none" w:sz="0" w:space="0" w:color="auto"/>
        <w:right w:val="none" w:sz="0" w:space="0" w:color="auto"/>
      </w:divBdr>
    </w:div>
    <w:div w:id="1221284031">
      <w:bodyDiv w:val="1"/>
      <w:marLeft w:val="0"/>
      <w:marRight w:val="0"/>
      <w:marTop w:val="0"/>
      <w:marBottom w:val="0"/>
      <w:divBdr>
        <w:top w:val="none" w:sz="0" w:space="0" w:color="auto"/>
        <w:left w:val="none" w:sz="0" w:space="0" w:color="auto"/>
        <w:bottom w:val="none" w:sz="0" w:space="0" w:color="auto"/>
        <w:right w:val="none" w:sz="0" w:space="0" w:color="auto"/>
      </w:divBdr>
    </w:div>
    <w:div w:id="1231885563">
      <w:bodyDiv w:val="1"/>
      <w:marLeft w:val="0"/>
      <w:marRight w:val="0"/>
      <w:marTop w:val="0"/>
      <w:marBottom w:val="0"/>
      <w:divBdr>
        <w:top w:val="none" w:sz="0" w:space="0" w:color="auto"/>
        <w:left w:val="none" w:sz="0" w:space="0" w:color="auto"/>
        <w:bottom w:val="none" w:sz="0" w:space="0" w:color="auto"/>
        <w:right w:val="none" w:sz="0" w:space="0" w:color="auto"/>
      </w:divBdr>
    </w:div>
    <w:div w:id="1239679405">
      <w:bodyDiv w:val="1"/>
      <w:marLeft w:val="0"/>
      <w:marRight w:val="0"/>
      <w:marTop w:val="0"/>
      <w:marBottom w:val="0"/>
      <w:divBdr>
        <w:top w:val="none" w:sz="0" w:space="0" w:color="auto"/>
        <w:left w:val="none" w:sz="0" w:space="0" w:color="auto"/>
        <w:bottom w:val="none" w:sz="0" w:space="0" w:color="auto"/>
        <w:right w:val="none" w:sz="0" w:space="0" w:color="auto"/>
      </w:divBdr>
    </w:div>
    <w:div w:id="1243374318">
      <w:bodyDiv w:val="1"/>
      <w:marLeft w:val="0"/>
      <w:marRight w:val="0"/>
      <w:marTop w:val="0"/>
      <w:marBottom w:val="0"/>
      <w:divBdr>
        <w:top w:val="none" w:sz="0" w:space="0" w:color="auto"/>
        <w:left w:val="none" w:sz="0" w:space="0" w:color="auto"/>
        <w:bottom w:val="none" w:sz="0" w:space="0" w:color="auto"/>
        <w:right w:val="none" w:sz="0" w:space="0" w:color="auto"/>
      </w:divBdr>
    </w:div>
    <w:div w:id="1273826737">
      <w:bodyDiv w:val="1"/>
      <w:marLeft w:val="0"/>
      <w:marRight w:val="0"/>
      <w:marTop w:val="0"/>
      <w:marBottom w:val="0"/>
      <w:divBdr>
        <w:top w:val="none" w:sz="0" w:space="0" w:color="auto"/>
        <w:left w:val="none" w:sz="0" w:space="0" w:color="auto"/>
        <w:bottom w:val="none" w:sz="0" w:space="0" w:color="auto"/>
        <w:right w:val="none" w:sz="0" w:space="0" w:color="auto"/>
      </w:divBdr>
    </w:div>
    <w:div w:id="1292907746">
      <w:bodyDiv w:val="1"/>
      <w:marLeft w:val="0"/>
      <w:marRight w:val="0"/>
      <w:marTop w:val="0"/>
      <w:marBottom w:val="0"/>
      <w:divBdr>
        <w:top w:val="none" w:sz="0" w:space="0" w:color="auto"/>
        <w:left w:val="none" w:sz="0" w:space="0" w:color="auto"/>
        <w:bottom w:val="none" w:sz="0" w:space="0" w:color="auto"/>
        <w:right w:val="none" w:sz="0" w:space="0" w:color="auto"/>
      </w:divBdr>
    </w:div>
    <w:div w:id="1310208788">
      <w:bodyDiv w:val="1"/>
      <w:marLeft w:val="0"/>
      <w:marRight w:val="0"/>
      <w:marTop w:val="0"/>
      <w:marBottom w:val="0"/>
      <w:divBdr>
        <w:top w:val="none" w:sz="0" w:space="0" w:color="auto"/>
        <w:left w:val="none" w:sz="0" w:space="0" w:color="auto"/>
        <w:bottom w:val="none" w:sz="0" w:space="0" w:color="auto"/>
        <w:right w:val="none" w:sz="0" w:space="0" w:color="auto"/>
      </w:divBdr>
    </w:div>
    <w:div w:id="1354456282">
      <w:bodyDiv w:val="1"/>
      <w:marLeft w:val="0"/>
      <w:marRight w:val="0"/>
      <w:marTop w:val="0"/>
      <w:marBottom w:val="0"/>
      <w:divBdr>
        <w:top w:val="none" w:sz="0" w:space="0" w:color="auto"/>
        <w:left w:val="none" w:sz="0" w:space="0" w:color="auto"/>
        <w:bottom w:val="none" w:sz="0" w:space="0" w:color="auto"/>
        <w:right w:val="none" w:sz="0" w:space="0" w:color="auto"/>
      </w:divBdr>
    </w:div>
    <w:div w:id="1578322838">
      <w:bodyDiv w:val="1"/>
      <w:marLeft w:val="0"/>
      <w:marRight w:val="0"/>
      <w:marTop w:val="0"/>
      <w:marBottom w:val="0"/>
      <w:divBdr>
        <w:top w:val="none" w:sz="0" w:space="0" w:color="auto"/>
        <w:left w:val="none" w:sz="0" w:space="0" w:color="auto"/>
        <w:bottom w:val="none" w:sz="0" w:space="0" w:color="auto"/>
        <w:right w:val="none" w:sz="0" w:space="0" w:color="auto"/>
      </w:divBdr>
    </w:div>
    <w:div w:id="1583372806">
      <w:bodyDiv w:val="1"/>
      <w:marLeft w:val="0"/>
      <w:marRight w:val="0"/>
      <w:marTop w:val="0"/>
      <w:marBottom w:val="0"/>
      <w:divBdr>
        <w:top w:val="none" w:sz="0" w:space="0" w:color="auto"/>
        <w:left w:val="none" w:sz="0" w:space="0" w:color="auto"/>
        <w:bottom w:val="none" w:sz="0" w:space="0" w:color="auto"/>
        <w:right w:val="none" w:sz="0" w:space="0" w:color="auto"/>
      </w:divBdr>
    </w:div>
    <w:div w:id="1636448306">
      <w:bodyDiv w:val="1"/>
      <w:marLeft w:val="0"/>
      <w:marRight w:val="0"/>
      <w:marTop w:val="0"/>
      <w:marBottom w:val="0"/>
      <w:divBdr>
        <w:top w:val="none" w:sz="0" w:space="0" w:color="auto"/>
        <w:left w:val="none" w:sz="0" w:space="0" w:color="auto"/>
        <w:bottom w:val="none" w:sz="0" w:space="0" w:color="auto"/>
        <w:right w:val="none" w:sz="0" w:space="0" w:color="auto"/>
      </w:divBdr>
    </w:div>
    <w:div w:id="1653486856">
      <w:bodyDiv w:val="1"/>
      <w:marLeft w:val="0"/>
      <w:marRight w:val="0"/>
      <w:marTop w:val="0"/>
      <w:marBottom w:val="0"/>
      <w:divBdr>
        <w:top w:val="none" w:sz="0" w:space="0" w:color="auto"/>
        <w:left w:val="none" w:sz="0" w:space="0" w:color="auto"/>
        <w:bottom w:val="none" w:sz="0" w:space="0" w:color="auto"/>
        <w:right w:val="none" w:sz="0" w:space="0" w:color="auto"/>
      </w:divBdr>
    </w:div>
    <w:div w:id="1656060438">
      <w:bodyDiv w:val="1"/>
      <w:marLeft w:val="0"/>
      <w:marRight w:val="0"/>
      <w:marTop w:val="0"/>
      <w:marBottom w:val="0"/>
      <w:divBdr>
        <w:top w:val="none" w:sz="0" w:space="0" w:color="auto"/>
        <w:left w:val="none" w:sz="0" w:space="0" w:color="auto"/>
        <w:bottom w:val="none" w:sz="0" w:space="0" w:color="auto"/>
        <w:right w:val="none" w:sz="0" w:space="0" w:color="auto"/>
      </w:divBdr>
    </w:div>
    <w:div w:id="1751073287">
      <w:bodyDiv w:val="1"/>
      <w:marLeft w:val="0"/>
      <w:marRight w:val="0"/>
      <w:marTop w:val="0"/>
      <w:marBottom w:val="0"/>
      <w:divBdr>
        <w:top w:val="none" w:sz="0" w:space="0" w:color="auto"/>
        <w:left w:val="none" w:sz="0" w:space="0" w:color="auto"/>
        <w:bottom w:val="none" w:sz="0" w:space="0" w:color="auto"/>
        <w:right w:val="none" w:sz="0" w:space="0" w:color="auto"/>
      </w:divBdr>
    </w:div>
    <w:div w:id="1823082148">
      <w:bodyDiv w:val="1"/>
      <w:marLeft w:val="0"/>
      <w:marRight w:val="0"/>
      <w:marTop w:val="0"/>
      <w:marBottom w:val="0"/>
      <w:divBdr>
        <w:top w:val="none" w:sz="0" w:space="0" w:color="auto"/>
        <w:left w:val="none" w:sz="0" w:space="0" w:color="auto"/>
        <w:bottom w:val="none" w:sz="0" w:space="0" w:color="auto"/>
        <w:right w:val="none" w:sz="0" w:space="0" w:color="auto"/>
      </w:divBdr>
    </w:div>
    <w:div w:id="1836215287">
      <w:bodyDiv w:val="1"/>
      <w:marLeft w:val="0"/>
      <w:marRight w:val="0"/>
      <w:marTop w:val="0"/>
      <w:marBottom w:val="0"/>
      <w:divBdr>
        <w:top w:val="none" w:sz="0" w:space="0" w:color="auto"/>
        <w:left w:val="none" w:sz="0" w:space="0" w:color="auto"/>
        <w:bottom w:val="none" w:sz="0" w:space="0" w:color="auto"/>
        <w:right w:val="none" w:sz="0" w:space="0" w:color="auto"/>
      </w:divBdr>
    </w:div>
    <w:div w:id="1921676843">
      <w:bodyDiv w:val="1"/>
      <w:marLeft w:val="0"/>
      <w:marRight w:val="0"/>
      <w:marTop w:val="0"/>
      <w:marBottom w:val="0"/>
      <w:divBdr>
        <w:top w:val="none" w:sz="0" w:space="0" w:color="auto"/>
        <w:left w:val="none" w:sz="0" w:space="0" w:color="auto"/>
        <w:bottom w:val="none" w:sz="0" w:space="0" w:color="auto"/>
        <w:right w:val="none" w:sz="0" w:space="0" w:color="auto"/>
      </w:divBdr>
    </w:div>
    <w:div w:id="1960840487">
      <w:bodyDiv w:val="1"/>
      <w:marLeft w:val="0"/>
      <w:marRight w:val="0"/>
      <w:marTop w:val="0"/>
      <w:marBottom w:val="0"/>
      <w:divBdr>
        <w:top w:val="none" w:sz="0" w:space="0" w:color="auto"/>
        <w:left w:val="none" w:sz="0" w:space="0" w:color="auto"/>
        <w:bottom w:val="none" w:sz="0" w:space="0" w:color="auto"/>
        <w:right w:val="none" w:sz="0" w:space="0" w:color="auto"/>
      </w:divBdr>
    </w:div>
    <w:div w:id="1974477461">
      <w:bodyDiv w:val="1"/>
      <w:marLeft w:val="0"/>
      <w:marRight w:val="0"/>
      <w:marTop w:val="0"/>
      <w:marBottom w:val="0"/>
      <w:divBdr>
        <w:top w:val="none" w:sz="0" w:space="0" w:color="auto"/>
        <w:left w:val="none" w:sz="0" w:space="0" w:color="auto"/>
        <w:bottom w:val="none" w:sz="0" w:space="0" w:color="auto"/>
        <w:right w:val="none" w:sz="0" w:space="0" w:color="auto"/>
      </w:divBdr>
    </w:div>
    <w:div w:id="2001080941">
      <w:bodyDiv w:val="1"/>
      <w:marLeft w:val="0"/>
      <w:marRight w:val="0"/>
      <w:marTop w:val="0"/>
      <w:marBottom w:val="0"/>
      <w:divBdr>
        <w:top w:val="none" w:sz="0" w:space="0" w:color="auto"/>
        <w:left w:val="none" w:sz="0" w:space="0" w:color="auto"/>
        <w:bottom w:val="none" w:sz="0" w:space="0" w:color="auto"/>
        <w:right w:val="none" w:sz="0" w:space="0" w:color="auto"/>
      </w:divBdr>
    </w:div>
    <w:div w:id="2010138780">
      <w:bodyDiv w:val="1"/>
      <w:marLeft w:val="0"/>
      <w:marRight w:val="0"/>
      <w:marTop w:val="0"/>
      <w:marBottom w:val="0"/>
      <w:divBdr>
        <w:top w:val="none" w:sz="0" w:space="0" w:color="auto"/>
        <w:left w:val="none" w:sz="0" w:space="0" w:color="auto"/>
        <w:bottom w:val="none" w:sz="0" w:space="0" w:color="auto"/>
        <w:right w:val="none" w:sz="0" w:space="0" w:color="auto"/>
      </w:divBdr>
    </w:div>
    <w:div w:id="2060783638">
      <w:bodyDiv w:val="1"/>
      <w:marLeft w:val="0"/>
      <w:marRight w:val="0"/>
      <w:marTop w:val="0"/>
      <w:marBottom w:val="0"/>
      <w:divBdr>
        <w:top w:val="none" w:sz="0" w:space="0" w:color="auto"/>
        <w:left w:val="none" w:sz="0" w:space="0" w:color="auto"/>
        <w:bottom w:val="none" w:sz="0" w:space="0" w:color="auto"/>
        <w:right w:val="none" w:sz="0" w:space="0" w:color="auto"/>
      </w:divBdr>
    </w:div>
    <w:div w:id="2084135018">
      <w:bodyDiv w:val="1"/>
      <w:marLeft w:val="0"/>
      <w:marRight w:val="0"/>
      <w:marTop w:val="0"/>
      <w:marBottom w:val="0"/>
      <w:divBdr>
        <w:top w:val="none" w:sz="0" w:space="0" w:color="auto"/>
        <w:left w:val="none" w:sz="0" w:space="0" w:color="auto"/>
        <w:bottom w:val="none" w:sz="0" w:space="0" w:color="auto"/>
        <w:right w:val="none" w:sz="0" w:space="0" w:color="auto"/>
      </w:divBdr>
    </w:div>
    <w:div w:id="2110614539">
      <w:bodyDiv w:val="1"/>
      <w:marLeft w:val="0"/>
      <w:marRight w:val="0"/>
      <w:marTop w:val="0"/>
      <w:marBottom w:val="0"/>
      <w:divBdr>
        <w:top w:val="none" w:sz="0" w:space="0" w:color="auto"/>
        <w:left w:val="none" w:sz="0" w:space="0" w:color="auto"/>
        <w:bottom w:val="none" w:sz="0" w:space="0" w:color="auto"/>
        <w:right w:val="none" w:sz="0" w:space="0" w:color="auto"/>
      </w:divBdr>
      <w:divsChild>
        <w:div w:id="2126266966">
          <w:marLeft w:val="806"/>
          <w:marRight w:val="0"/>
          <w:marTop w:val="115"/>
          <w:marBottom w:val="0"/>
          <w:divBdr>
            <w:top w:val="none" w:sz="0" w:space="0" w:color="auto"/>
            <w:left w:val="none" w:sz="0" w:space="0" w:color="auto"/>
            <w:bottom w:val="none" w:sz="0" w:space="0" w:color="auto"/>
            <w:right w:val="none" w:sz="0" w:space="0" w:color="auto"/>
          </w:divBdr>
        </w:div>
      </w:divsChild>
    </w:div>
    <w:div w:id="214349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genecopoeia.com/wp-content/uploads/2016/05/CP-LvC9NU-09.p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A32A28-3295-D249-BBF6-8E8E8A72994A}">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61BE6B98355A04EB40844F9A3F7B118" ma:contentTypeVersion="3" ma:contentTypeDescription="Create a new document." ma:contentTypeScope="" ma:versionID="de55f5cb35775c2be2200d4dd3a5b79f">
  <xsd:schema xmlns:xsd="http://www.w3.org/2001/XMLSchema" xmlns:xs="http://www.w3.org/2001/XMLSchema" xmlns:p="http://schemas.microsoft.com/office/2006/metadata/properties" xmlns:ns2="c4d0f409-ef54-4fa6-916a-298a52e7d5bf" targetNamespace="http://schemas.microsoft.com/office/2006/metadata/properties" ma:root="true" ma:fieldsID="f0e9f251055317c93d483afdacbea5bb" ns2:_="">
    <xsd:import namespace="c4d0f409-ef54-4fa6-916a-298a52e7d5b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0f409-ef54-4fa6-916a-298a52e7d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3.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4.xml><?xml version="1.0" encoding="utf-8"?>
<ds:datastoreItem xmlns:ds="http://schemas.openxmlformats.org/officeDocument/2006/customXml" ds:itemID="{59F8B443-2219-4EE1-9D7C-63A3A12F3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0f409-ef54-4fa6-916a-298a52e7d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1724</TotalTime>
  <Pages>206</Pages>
  <Words>278882</Words>
  <Characters>1589628</Characters>
  <Application>Microsoft Office Word</Application>
  <DocSecurity>0</DocSecurity>
  <Lines>13246</Lines>
  <Paragraphs>3729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1864781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Xu, Xinyun</dc:creator>
  <cp:lastModifiedBy>Xu, Xinyun</cp:lastModifiedBy>
  <cp:revision>62</cp:revision>
  <dcterms:created xsi:type="dcterms:W3CDTF">2025-08-02T03:15:00Z</dcterms:created>
  <dcterms:modified xsi:type="dcterms:W3CDTF">2025-08-04T14:50:00Z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0x010100661BE6B98355A04EB40844F9A3F7B118</vt:lpwstr>
  </property>
  <property fmtid="{D5CDD505-2E9C-101B-9397-08002B2CF9AE}" pid="3" name="ZOTERO_PREF_1">
    <vt:lpwstr>&lt;data data-version="3" zotero-version="7.0.22"&gt;&lt;session id="Sa7n8bSn"/&gt;&lt;style id="http://www.zotero.org/styles/american-medical-association" hasBibliography="1" bibliographyStyleHasBeenSet="1"/&gt;&lt;prefs&gt;&lt;pref name="fieldType" value="Field"/&gt;&lt;pref name="dela</vt:lpwstr>
  </property>
  <property fmtid="{D5CDD505-2E9C-101B-9397-08002B2CF9AE}" pid="4" name="grammarly_documentId">
    <vt:lpwstr>documentId_5574</vt:lpwstr>
  </property>
  <property fmtid="{D5CDD505-2E9C-101B-9397-08002B2CF9AE}" pid="5" name="grammarly_documentContext">
    <vt:lpwstr>{"goals":[],"domain":"general","emotions":[],"dialect":"american"}</vt:lpwstr>
  </property>
  <property fmtid="{D5CDD505-2E9C-101B-9397-08002B2CF9AE}" pid="6" name="GrammarlyDocumentId">
    <vt:lpwstr>76ad8b73-92ef-49ca-b113-73d4dc665b19</vt:lpwstr>
  </property>
  <property fmtid="{D5CDD505-2E9C-101B-9397-08002B2CF9AE}" pid="7" name="ZOTERO_PREF_2">
    <vt:lpwstr>yCitationUpdates" value="true"/&gt;&lt;pref name="dontAskDelayCitationUpdates" value="true"/&gt;&lt;/prefs&gt;&lt;/data&gt;</vt:lpwstr>
  </property>
</Properties>
</file>