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48D5" w14:textId="0DACEC65" w:rsidR="00725446" w:rsidRPr="00725446" w:rsidRDefault="00725446" w:rsidP="00725446">
      <w:pPr>
        <w:jc w:val="center"/>
        <w:rPr>
          <w:rFonts w:ascii="Times New Roman" w:hAnsi="Times New Roman" w:cs="Times New Roman"/>
        </w:rPr>
      </w:pPr>
      <w:r>
        <w:rPr>
          <w:rFonts w:ascii="Times New Roman" w:hAnsi="Times New Roman" w:cs="Times New Roman"/>
        </w:rPr>
        <w:t>BlackRock Company Analysis</w:t>
      </w:r>
    </w:p>
    <w:p w14:paraId="184BA564" w14:textId="77777777" w:rsidR="00725446" w:rsidRDefault="00725446">
      <w:pPr>
        <w:rPr>
          <w:rFonts w:ascii="Times New Roman" w:eastAsia="Times New Roman" w:hAnsi="Times New Roman" w:cs="Times New Roman"/>
          <w:b/>
        </w:rPr>
      </w:pPr>
    </w:p>
    <w:p w14:paraId="686201F7" w14:textId="41E0446C" w:rsidR="00A352B4" w:rsidRDefault="00000000">
      <w:pPr>
        <w:rPr>
          <w:rFonts w:ascii="Times New Roman" w:eastAsia="Times New Roman" w:hAnsi="Times New Roman" w:cs="Times New Roman"/>
          <w:b/>
        </w:rPr>
      </w:pPr>
      <w:r>
        <w:rPr>
          <w:rFonts w:ascii="Times New Roman" w:eastAsia="Times New Roman" w:hAnsi="Times New Roman" w:cs="Times New Roman"/>
          <w:b/>
        </w:rPr>
        <w:t>Introduction</w:t>
      </w:r>
    </w:p>
    <w:p w14:paraId="12F244B0"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BlackRock, the world’s largest asset management firm with approximately $11.5 trillion in assets, has become a prominent player in the industry, growing from a risk management and fixed-income firm starting in 1988 to a global powerhouse offering a diverse range of investment products and services, like their Aladdin program. This report provides a comprehensive analysis of the company overview, external factors, and internal competitive positioning through a series of evaluation tools, including the Business Model Canvas, Strategy Analysis, STEEP, Five Forces Model, Strategic Group Map, VRIO, and Value Chain Analysis. By examining the internal resources and capabilities, external pressures, and industry dynamics of BlackRock, this report aims to uncover the drivers of BlackRock’s success, evaluate their competitive advantages, and identify the opportunities and threats within the currently volatile financial industry. This deep dive into BlackRock’s strategy and capabilities highlights their role as an innovative and globally reaching firm navigating a complex market. By analyzing these areas, a recommendation will be made for BlackRock on what they should do next to continue to be the industry leader in asset management. </w:t>
      </w:r>
    </w:p>
    <w:p w14:paraId="7341D340" w14:textId="77777777" w:rsidR="00A352B4" w:rsidRDefault="00A352B4">
      <w:pPr>
        <w:rPr>
          <w:rFonts w:ascii="Times New Roman" w:eastAsia="Times New Roman" w:hAnsi="Times New Roman" w:cs="Times New Roman"/>
        </w:rPr>
      </w:pPr>
    </w:p>
    <w:p w14:paraId="3F522ABF"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Company Overview</w:t>
      </w:r>
    </w:p>
    <w:p w14:paraId="4E3EBBD3"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rPr>
        <w:t xml:space="preserve">BlackRock was founded in 1988 by 7 people, headlined by Larry Fink, as an enterprise risk and fixed-income asset management firm. It received $5 million in funding from Blackstone Financial Management in exchange for a 50% stake in the business. By 1989, BlackRock's assets had quadrupled to $2.7 billion. As BlackRock grew, they moved into other segments of the industry and began to sell their proprietary technology, Aladdin, which stands for Asset, Liability, and Debt and Derivative Investment Network. Aladdin initially was built to analyze risk but has expanded to improving communication, efficiency, and decision-making in the investment process. BlackRock made its initial public offering on the New York Stock Exchange in 1999 for $14 a share while having $165 billion in assets under management. Part of this growth can be attributed to BlackRock’s expansion through relationships with global institutions. During 2000, BlackRock expanded its role from an asset management company to a technology and software provider by selling Aladdin to other firms. BlackRock completed its first major acquisition in the 2000s by acquiring State Street Research and Management holding company SSRM Holdings, Inc. and merged with Merrill Lynch’s Investment Managers division of PNC. Through these mergers and acquisitions, BlackRock expanded its presence in retail and international business. The financial crisis of 2008 opened a new opportunity for BlackRock to assist the Head of the Federal Reserve Bank of New York and analyze Bear Stearn’s mortgage-backed securities assets to determine their value. In turn, BlackRock played a vital role in providing global institutions advice on navigating the financial crisis. Growing its role as a technology provider, BlackRock focused on developing Aladdin Wealth which focuses on providing portfolio construction to financial advisors by selling this system to wealth managers. In 2017, BlackRock backed its commitment to the importance of purpose in long-term profitability through Investment Stewardship. This initiative drove BlackRock beyond proxy voting and engaged with companies to push for long-term solutions that drive financial performance. In 2018, BlackRock launched its first Artificial Intelligence lab to accelerate AI use, machine learning, and data science to improve outcomes for investors and the firm. Recently, BlackRock increased its focus on retirement by creating the BlackRock Retirement Solutions Group because two-thirds of the assets BlackRock manages relate to retirement accounts. As of February 2025, BlackRock has grown to become </w:t>
      </w:r>
      <w:r>
        <w:rPr>
          <w:rFonts w:ascii="Times New Roman" w:eastAsia="Times New Roman" w:hAnsi="Times New Roman" w:cs="Times New Roman"/>
        </w:rPr>
        <w:lastRenderedPageBreak/>
        <w:t xml:space="preserve">the world’s largest asset manager having $11.5 trillion in assets under management. Through its growth in the industry, BlackRock has become an investment management firm that serves a variety of clients like individuals, corporations, and institutions through a wide range of investment options that include stocks, private market investments, real estate, and bonds. </w:t>
      </w:r>
    </w:p>
    <w:p w14:paraId="57B870B5" w14:textId="77777777" w:rsidR="00A352B4" w:rsidRDefault="00A352B4">
      <w:pPr>
        <w:rPr>
          <w:rFonts w:ascii="Times New Roman" w:eastAsia="Times New Roman" w:hAnsi="Times New Roman" w:cs="Times New Roman"/>
        </w:rPr>
      </w:pPr>
    </w:p>
    <w:p w14:paraId="59C8AE89"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 xml:space="preserve">Why BlackRock </w:t>
      </w:r>
    </w:p>
    <w:p w14:paraId="02DCB55C"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Several factors drove our decision to do a deeper dive into BlackRock. Since BlackRock is the world’s largest asset manager, they are in a unique position to help shape the global financial environment. This allows them to influence companies across the globe because they hold a relatively large percentage of shares of multiple companies. Due to these large holdings, any decision made by BlackRock has the potential to shake up markets and influence governance policies. This has caused intriguing concerns about whether BlackRock has excessive influence over global markets. In addition, BlackRock has become an innovative company, for example developing Aladdin, which allowed them to expand beyond asset management. This is particularly interesting because it allows BlackRock to use more data-driven decisions in-house and become a technology provider to partners and clients. Finally, BlackRock’s rise to a global superpower </w:t>
      </w:r>
      <w:proofErr w:type="gramStart"/>
      <w:r>
        <w:rPr>
          <w:rFonts w:ascii="Times New Roman" w:eastAsia="Times New Roman" w:hAnsi="Times New Roman" w:cs="Times New Roman"/>
        </w:rPr>
        <w:t>in regards to</w:t>
      </w:r>
      <w:proofErr w:type="gramEnd"/>
      <w:r>
        <w:rPr>
          <w:rFonts w:ascii="Times New Roman" w:eastAsia="Times New Roman" w:hAnsi="Times New Roman" w:cs="Times New Roman"/>
        </w:rPr>
        <w:t xml:space="preserve"> investment and management has made us want to learn more about the reasons for their expansion in other segments, like technology and AI, and how these decisions relate to their overall strategy and view of future market and industry trends. </w:t>
      </w:r>
    </w:p>
    <w:p w14:paraId="68263A00" w14:textId="77777777" w:rsidR="00A352B4" w:rsidRDefault="00A352B4">
      <w:pPr>
        <w:rPr>
          <w:rFonts w:ascii="Times New Roman" w:eastAsia="Times New Roman" w:hAnsi="Times New Roman" w:cs="Times New Roman"/>
        </w:rPr>
      </w:pPr>
    </w:p>
    <w:p w14:paraId="1D8BF8F5" w14:textId="77777777" w:rsidR="00A352B4" w:rsidRDefault="00A352B4">
      <w:pPr>
        <w:rPr>
          <w:rFonts w:ascii="Times New Roman" w:eastAsia="Times New Roman" w:hAnsi="Times New Roman" w:cs="Times New Roman"/>
          <w:b/>
        </w:rPr>
      </w:pPr>
    </w:p>
    <w:p w14:paraId="1DDA8927"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Business Model Canvas</w:t>
      </w:r>
    </w:p>
    <w:p w14:paraId="63CC4ED8"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The business model canvas is a tool used to assess the company’s actions and how they deliver on their value proposition. The main categories used in this tool are key partners, activities, resources, value propositions, customer relationships, customer segments, channels, cost structure, and revenue streams. This approach provides a more holistic view of the key elements of the company and identifies areas that need to be aligned to create new or maximize existing value. It is used by individuals when first starting a new business model for a new company or implementing a new strategy to an existing business to determine how different elements need to be adjusted to deliver value to the new strategy. </w:t>
      </w:r>
    </w:p>
    <w:p w14:paraId="2FF99EB8" w14:textId="77777777" w:rsidR="00A352B4" w:rsidRDefault="00A352B4">
      <w:pPr>
        <w:rPr>
          <w:rFonts w:ascii="Times New Roman" w:eastAsia="Times New Roman" w:hAnsi="Times New Roman" w:cs="Times New Roman"/>
        </w:rPr>
      </w:pPr>
    </w:p>
    <w:p w14:paraId="164AC20D"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BlackRock Business Canvas Model</w:t>
      </w:r>
    </w:p>
    <w:tbl>
      <w:tblPr>
        <w:tblStyle w:val="a"/>
        <w:tblpPr w:leftFromText="180" w:rightFromText="180" w:topFromText="180" w:bottomFromText="180" w:vertAnchor="text" w:tblpX="-1380"/>
        <w:tblW w:w="12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2430"/>
        <w:gridCol w:w="1140"/>
        <w:gridCol w:w="1515"/>
        <w:gridCol w:w="2325"/>
        <w:gridCol w:w="2175"/>
      </w:tblGrid>
      <w:tr w:rsidR="00A352B4" w14:paraId="58110985" w14:textId="77777777">
        <w:trPr>
          <w:trHeight w:val="400"/>
        </w:trPr>
        <w:tc>
          <w:tcPr>
            <w:tcW w:w="2550" w:type="dxa"/>
            <w:vMerge w:val="restart"/>
          </w:tcPr>
          <w:p w14:paraId="4D0331F5"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Key Partners</w:t>
            </w:r>
          </w:p>
          <w:p w14:paraId="0EA0578D"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Microsoft</w:t>
            </w:r>
          </w:p>
          <w:p w14:paraId="384B8401"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Governments </w:t>
            </w:r>
          </w:p>
          <w:p w14:paraId="4413F4A7"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Financial Institutions </w:t>
            </w:r>
          </w:p>
          <w:p w14:paraId="4C9D7FC9"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Industry Regulation Organizations</w:t>
            </w:r>
          </w:p>
          <w:p w14:paraId="513C290C"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Snowflake</w:t>
            </w:r>
          </w:p>
          <w:p w14:paraId="0BFF81D6"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Kyriba</w:t>
            </w:r>
          </w:p>
          <w:p w14:paraId="6424A55D"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Coinbase</w:t>
            </w:r>
          </w:p>
          <w:p w14:paraId="6CE8CA95" w14:textId="77777777" w:rsidR="00A352B4" w:rsidRDefault="00000000">
            <w:pPr>
              <w:widowControl w:val="0"/>
              <w:numPr>
                <w:ilvl w:val="0"/>
                <w:numId w:val="10"/>
              </w:numPr>
              <w:spacing w:line="240" w:lineRule="auto"/>
              <w:ind w:left="450"/>
              <w:rPr>
                <w:rFonts w:ascii="Times New Roman" w:eastAsia="Times New Roman" w:hAnsi="Times New Roman" w:cs="Times New Roman"/>
              </w:rPr>
            </w:pPr>
            <w:r>
              <w:rPr>
                <w:rFonts w:ascii="Times New Roman" w:eastAsia="Times New Roman" w:hAnsi="Times New Roman" w:cs="Times New Roman"/>
              </w:rPr>
              <w:t>Intercontinental Exchange</w:t>
            </w:r>
          </w:p>
        </w:tc>
        <w:tc>
          <w:tcPr>
            <w:tcW w:w="2430" w:type="dxa"/>
          </w:tcPr>
          <w:p w14:paraId="39B0A240" w14:textId="77777777" w:rsidR="00A352B4"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Key Activities</w:t>
            </w:r>
          </w:p>
          <w:p w14:paraId="484D4F49" w14:textId="77777777" w:rsidR="00A352B4" w:rsidRDefault="00000000">
            <w:pPr>
              <w:widowControl w:val="0"/>
              <w:numPr>
                <w:ilvl w:val="0"/>
                <w:numId w:val="6"/>
              </w:numPr>
              <w:spacing w:line="240" w:lineRule="auto"/>
              <w:ind w:left="450"/>
              <w:rPr>
                <w:rFonts w:ascii="Times New Roman" w:eastAsia="Times New Roman" w:hAnsi="Times New Roman" w:cs="Times New Roman"/>
              </w:rPr>
            </w:pPr>
            <w:r>
              <w:rPr>
                <w:rFonts w:ascii="Times New Roman" w:eastAsia="Times New Roman" w:hAnsi="Times New Roman" w:cs="Times New Roman"/>
              </w:rPr>
              <w:t>Asset Management</w:t>
            </w:r>
          </w:p>
          <w:p w14:paraId="58E77BC9" w14:textId="77777777" w:rsidR="00A352B4" w:rsidRDefault="00000000">
            <w:pPr>
              <w:widowControl w:val="0"/>
              <w:numPr>
                <w:ilvl w:val="0"/>
                <w:numId w:val="6"/>
              </w:numPr>
              <w:spacing w:line="240" w:lineRule="auto"/>
              <w:ind w:left="450"/>
              <w:rPr>
                <w:rFonts w:ascii="Times New Roman" w:eastAsia="Times New Roman" w:hAnsi="Times New Roman" w:cs="Times New Roman"/>
              </w:rPr>
            </w:pPr>
            <w:r>
              <w:rPr>
                <w:rFonts w:ascii="Times New Roman" w:eastAsia="Times New Roman" w:hAnsi="Times New Roman" w:cs="Times New Roman"/>
              </w:rPr>
              <w:t>Risk Management</w:t>
            </w:r>
          </w:p>
          <w:p w14:paraId="4384A6CF" w14:textId="77777777" w:rsidR="00A352B4" w:rsidRDefault="00000000">
            <w:pPr>
              <w:widowControl w:val="0"/>
              <w:numPr>
                <w:ilvl w:val="0"/>
                <w:numId w:val="6"/>
              </w:numPr>
              <w:spacing w:line="240" w:lineRule="auto"/>
              <w:ind w:left="450"/>
              <w:rPr>
                <w:rFonts w:ascii="Times New Roman" w:eastAsia="Times New Roman" w:hAnsi="Times New Roman" w:cs="Times New Roman"/>
              </w:rPr>
            </w:pPr>
            <w:r>
              <w:rPr>
                <w:rFonts w:ascii="Times New Roman" w:eastAsia="Times New Roman" w:hAnsi="Times New Roman" w:cs="Times New Roman"/>
              </w:rPr>
              <w:t>Financial Market Research</w:t>
            </w:r>
          </w:p>
          <w:p w14:paraId="53003667" w14:textId="77777777" w:rsidR="00A352B4" w:rsidRDefault="00000000">
            <w:pPr>
              <w:widowControl w:val="0"/>
              <w:numPr>
                <w:ilvl w:val="0"/>
                <w:numId w:val="6"/>
              </w:numPr>
              <w:spacing w:line="240" w:lineRule="auto"/>
              <w:ind w:left="450"/>
              <w:rPr>
                <w:rFonts w:ascii="Times New Roman" w:eastAsia="Times New Roman" w:hAnsi="Times New Roman" w:cs="Times New Roman"/>
              </w:rPr>
            </w:pPr>
            <w:r>
              <w:rPr>
                <w:rFonts w:ascii="Times New Roman" w:eastAsia="Times New Roman" w:hAnsi="Times New Roman" w:cs="Times New Roman"/>
              </w:rPr>
              <w:t>Research and Development</w:t>
            </w:r>
          </w:p>
          <w:p w14:paraId="4A33FA23" w14:textId="77777777" w:rsidR="00A352B4" w:rsidRDefault="00000000">
            <w:pPr>
              <w:widowControl w:val="0"/>
              <w:numPr>
                <w:ilvl w:val="0"/>
                <w:numId w:val="6"/>
              </w:numPr>
              <w:spacing w:line="240" w:lineRule="auto"/>
              <w:ind w:left="450"/>
              <w:rPr>
                <w:rFonts w:ascii="Times New Roman" w:eastAsia="Times New Roman" w:hAnsi="Times New Roman" w:cs="Times New Roman"/>
              </w:rPr>
            </w:pPr>
            <w:r>
              <w:rPr>
                <w:rFonts w:ascii="Times New Roman" w:eastAsia="Times New Roman" w:hAnsi="Times New Roman" w:cs="Times New Roman"/>
              </w:rPr>
              <w:t>Client Acquisition</w:t>
            </w:r>
          </w:p>
        </w:tc>
        <w:tc>
          <w:tcPr>
            <w:tcW w:w="2655" w:type="dxa"/>
            <w:gridSpan w:val="2"/>
            <w:vMerge w:val="restart"/>
          </w:tcPr>
          <w:p w14:paraId="4710000F"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Value Propositions</w:t>
            </w:r>
          </w:p>
          <w:p w14:paraId="4BDF1624"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Wide </w:t>
            </w:r>
            <w:proofErr w:type="gramStart"/>
            <w:r>
              <w:rPr>
                <w:rFonts w:ascii="Times New Roman" w:eastAsia="Times New Roman" w:hAnsi="Times New Roman" w:cs="Times New Roman"/>
              </w:rPr>
              <w:t>knowledge-base</w:t>
            </w:r>
            <w:proofErr w:type="gramEnd"/>
          </w:p>
          <w:p w14:paraId="486142FC"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Trusted advisors </w:t>
            </w:r>
          </w:p>
          <w:p w14:paraId="5653AA91"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Alpha-generating financial products</w:t>
            </w:r>
          </w:p>
          <w:p w14:paraId="62C36187"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Client-Centered</w:t>
            </w:r>
          </w:p>
          <w:p w14:paraId="7C81649C"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Variety of Investment types</w:t>
            </w:r>
          </w:p>
          <w:p w14:paraId="0AFDBC72"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Focus on long-term investing</w:t>
            </w:r>
          </w:p>
          <w:p w14:paraId="433319FC"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Advanced Technology</w:t>
            </w:r>
          </w:p>
          <w:p w14:paraId="1A78B7B5" w14:textId="77777777" w:rsidR="00A352B4" w:rsidRDefault="00000000">
            <w:pPr>
              <w:widowControl w:val="0"/>
              <w:numPr>
                <w:ilvl w:val="0"/>
                <w:numId w:val="2"/>
              </w:numPr>
              <w:spacing w:line="240" w:lineRule="auto"/>
              <w:ind w:left="450"/>
              <w:rPr>
                <w:rFonts w:ascii="Times New Roman" w:eastAsia="Times New Roman" w:hAnsi="Times New Roman" w:cs="Times New Roman"/>
              </w:rPr>
            </w:pPr>
            <w:r>
              <w:rPr>
                <w:rFonts w:ascii="Times New Roman" w:eastAsia="Times New Roman" w:hAnsi="Times New Roman" w:cs="Times New Roman"/>
              </w:rPr>
              <w:t>Multiple Services</w:t>
            </w:r>
          </w:p>
        </w:tc>
        <w:tc>
          <w:tcPr>
            <w:tcW w:w="2325" w:type="dxa"/>
          </w:tcPr>
          <w:p w14:paraId="242C6875"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Customer Relationships</w:t>
            </w:r>
          </w:p>
          <w:p w14:paraId="56B011D7" w14:textId="77777777" w:rsidR="00A352B4" w:rsidRDefault="00000000">
            <w:pPr>
              <w:widowControl w:val="0"/>
              <w:numPr>
                <w:ilvl w:val="0"/>
                <w:numId w:val="11"/>
              </w:numPr>
              <w:spacing w:line="240" w:lineRule="auto"/>
              <w:ind w:left="450"/>
              <w:rPr>
                <w:rFonts w:ascii="Times New Roman" w:eastAsia="Times New Roman" w:hAnsi="Times New Roman" w:cs="Times New Roman"/>
              </w:rPr>
            </w:pPr>
            <w:r>
              <w:rPr>
                <w:rFonts w:ascii="Times New Roman" w:eastAsia="Times New Roman" w:hAnsi="Times New Roman" w:cs="Times New Roman"/>
              </w:rPr>
              <w:t>Aperio subscribers</w:t>
            </w:r>
          </w:p>
          <w:p w14:paraId="3BA94DEE" w14:textId="77777777" w:rsidR="00A352B4" w:rsidRDefault="00000000">
            <w:pPr>
              <w:widowControl w:val="0"/>
              <w:numPr>
                <w:ilvl w:val="0"/>
                <w:numId w:val="11"/>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Financial institution representatives </w:t>
            </w:r>
          </w:p>
          <w:p w14:paraId="691F81B8" w14:textId="77777777" w:rsidR="00A352B4" w:rsidRDefault="00000000">
            <w:pPr>
              <w:widowControl w:val="0"/>
              <w:numPr>
                <w:ilvl w:val="0"/>
                <w:numId w:val="11"/>
              </w:numPr>
              <w:spacing w:line="240" w:lineRule="auto"/>
              <w:ind w:left="450"/>
              <w:rPr>
                <w:rFonts w:ascii="Times New Roman" w:eastAsia="Times New Roman" w:hAnsi="Times New Roman" w:cs="Times New Roman"/>
              </w:rPr>
            </w:pPr>
            <w:r>
              <w:rPr>
                <w:rFonts w:ascii="Times New Roman" w:eastAsia="Times New Roman" w:hAnsi="Times New Roman" w:cs="Times New Roman"/>
              </w:rPr>
              <w:t>Educational Investment Platform</w:t>
            </w:r>
          </w:p>
          <w:p w14:paraId="78C05D03" w14:textId="77777777" w:rsidR="00A352B4" w:rsidRDefault="00000000">
            <w:pPr>
              <w:widowControl w:val="0"/>
              <w:numPr>
                <w:ilvl w:val="0"/>
                <w:numId w:val="11"/>
              </w:numPr>
              <w:spacing w:line="240" w:lineRule="auto"/>
              <w:ind w:left="450"/>
              <w:rPr>
                <w:rFonts w:ascii="Times New Roman" w:eastAsia="Times New Roman" w:hAnsi="Times New Roman" w:cs="Times New Roman"/>
              </w:rPr>
            </w:pPr>
            <w:r>
              <w:rPr>
                <w:rFonts w:ascii="Times New Roman" w:eastAsia="Times New Roman" w:hAnsi="Times New Roman" w:cs="Times New Roman"/>
              </w:rPr>
              <w:t>Servicing and customized advice</w:t>
            </w:r>
          </w:p>
        </w:tc>
        <w:tc>
          <w:tcPr>
            <w:tcW w:w="2175" w:type="dxa"/>
            <w:vMerge w:val="restart"/>
          </w:tcPr>
          <w:p w14:paraId="06BD2EE2"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Customer Segments</w:t>
            </w:r>
          </w:p>
          <w:p w14:paraId="22BC5212"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Young investors</w:t>
            </w:r>
          </w:p>
          <w:p w14:paraId="2DA53855"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Retirement-</w:t>
            </w:r>
            <w:proofErr w:type="gramStart"/>
            <w:r>
              <w:rPr>
                <w:rFonts w:ascii="Times New Roman" w:eastAsia="Times New Roman" w:hAnsi="Times New Roman" w:cs="Times New Roman"/>
              </w:rPr>
              <w:t>age  investors</w:t>
            </w:r>
            <w:proofErr w:type="gramEnd"/>
          </w:p>
          <w:p w14:paraId="366EECC5"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Companies</w:t>
            </w:r>
          </w:p>
          <w:p w14:paraId="587E1DE0"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Younger married couples</w:t>
            </w:r>
          </w:p>
          <w:p w14:paraId="794D122F"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Established families</w:t>
            </w:r>
          </w:p>
          <w:p w14:paraId="1CBF7FED"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Global investors</w:t>
            </w:r>
          </w:p>
          <w:p w14:paraId="799B5B78" w14:textId="77777777" w:rsidR="00A352B4" w:rsidRDefault="00000000">
            <w:pPr>
              <w:widowControl w:val="0"/>
              <w:numPr>
                <w:ilvl w:val="0"/>
                <w:numId w:val="19"/>
              </w:numPr>
              <w:spacing w:line="240" w:lineRule="auto"/>
              <w:ind w:left="450"/>
              <w:rPr>
                <w:rFonts w:ascii="Times New Roman" w:eastAsia="Times New Roman" w:hAnsi="Times New Roman" w:cs="Times New Roman"/>
              </w:rPr>
            </w:pPr>
            <w:r>
              <w:rPr>
                <w:rFonts w:ascii="Times New Roman" w:eastAsia="Times New Roman" w:hAnsi="Times New Roman" w:cs="Times New Roman"/>
              </w:rPr>
              <w:t>Institutional Investors</w:t>
            </w:r>
          </w:p>
        </w:tc>
      </w:tr>
      <w:tr w:rsidR="00A352B4" w14:paraId="15EFACA6" w14:textId="77777777">
        <w:trPr>
          <w:trHeight w:val="400"/>
        </w:trPr>
        <w:tc>
          <w:tcPr>
            <w:tcW w:w="2550" w:type="dxa"/>
            <w:vMerge/>
          </w:tcPr>
          <w:p w14:paraId="20A72822" w14:textId="77777777" w:rsidR="00A352B4" w:rsidRDefault="00A352B4">
            <w:pPr>
              <w:widowControl w:val="0"/>
              <w:spacing w:line="240" w:lineRule="auto"/>
              <w:rPr>
                <w:rFonts w:ascii="Times New Roman" w:eastAsia="Times New Roman" w:hAnsi="Times New Roman" w:cs="Times New Roman"/>
              </w:rPr>
            </w:pPr>
          </w:p>
        </w:tc>
        <w:tc>
          <w:tcPr>
            <w:tcW w:w="2430" w:type="dxa"/>
          </w:tcPr>
          <w:p w14:paraId="47BB5AA5"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Key Resources</w:t>
            </w:r>
          </w:p>
          <w:p w14:paraId="799151EA" w14:textId="77777777" w:rsidR="00A352B4" w:rsidRDefault="00000000">
            <w:pPr>
              <w:widowControl w:val="0"/>
              <w:numPr>
                <w:ilvl w:val="0"/>
                <w:numId w:val="4"/>
              </w:numPr>
              <w:spacing w:line="240" w:lineRule="auto"/>
              <w:ind w:left="450"/>
              <w:rPr>
                <w:rFonts w:ascii="Times New Roman" w:eastAsia="Times New Roman" w:hAnsi="Times New Roman" w:cs="Times New Roman"/>
              </w:rPr>
            </w:pPr>
            <w:r>
              <w:rPr>
                <w:rFonts w:ascii="Times New Roman" w:eastAsia="Times New Roman" w:hAnsi="Times New Roman" w:cs="Times New Roman"/>
              </w:rPr>
              <w:t>Human Capital</w:t>
            </w:r>
          </w:p>
          <w:p w14:paraId="57008660" w14:textId="77777777" w:rsidR="00A352B4" w:rsidRDefault="00000000">
            <w:pPr>
              <w:widowControl w:val="0"/>
              <w:numPr>
                <w:ilvl w:val="0"/>
                <w:numId w:val="4"/>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Research Technology </w:t>
            </w:r>
          </w:p>
          <w:p w14:paraId="4A300131" w14:textId="77777777" w:rsidR="00A352B4" w:rsidRDefault="00000000">
            <w:pPr>
              <w:widowControl w:val="0"/>
              <w:numPr>
                <w:ilvl w:val="0"/>
                <w:numId w:val="4"/>
              </w:numPr>
              <w:spacing w:line="240" w:lineRule="auto"/>
              <w:ind w:left="450"/>
              <w:rPr>
                <w:rFonts w:ascii="Times New Roman" w:eastAsia="Times New Roman" w:hAnsi="Times New Roman" w:cs="Times New Roman"/>
              </w:rPr>
            </w:pPr>
            <w:r>
              <w:rPr>
                <w:rFonts w:ascii="Times New Roman" w:eastAsia="Times New Roman" w:hAnsi="Times New Roman" w:cs="Times New Roman"/>
              </w:rPr>
              <w:t>Intellectual Property (AI, research)</w:t>
            </w:r>
          </w:p>
          <w:p w14:paraId="2EAA995B" w14:textId="77777777" w:rsidR="00A352B4" w:rsidRDefault="00000000">
            <w:pPr>
              <w:widowControl w:val="0"/>
              <w:numPr>
                <w:ilvl w:val="0"/>
                <w:numId w:val="4"/>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Financial analytics technology </w:t>
            </w:r>
          </w:p>
          <w:p w14:paraId="61CA08C1" w14:textId="77777777" w:rsidR="00A352B4" w:rsidRDefault="00000000">
            <w:pPr>
              <w:widowControl w:val="0"/>
              <w:numPr>
                <w:ilvl w:val="0"/>
                <w:numId w:val="4"/>
              </w:numPr>
              <w:spacing w:line="240" w:lineRule="auto"/>
              <w:ind w:left="450"/>
              <w:rPr>
                <w:rFonts w:ascii="Times New Roman" w:eastAsia="Times New Roman" w:hAnsi="Times New Roman" w:cs="Times New Roman"/>
              </w:rPr>
            </w:pPr>
            <w:r>
              <w:rPr>
                <w:rFonts w:ascii="Times New Roman" w:eastAsia="Times New Roman" w:hAnsi="Times New Roman" w:cs="Times New Roman"/>
              </w:rPr>
              <w:t>Assets under management</w:t>
            </w:r>
          </w:p>
        </w:tc>
        <w:tc>
          <w:tcPr>
            <w:tcW w:w="2655" w:type="dxa"/>
            <w:gridSpan w:val="2"/>
            <w:vMerge/>
          </w:tcPr>
          <w:p w14:paraId="1EBEC602" w14:textId="77777777" w:rsidR="00A352B4" w:rsidRDefault="00A352B4">
            <w:pPr>
              <w:widowControl w:val="0"/>
              <w:spacing w:line="240" w:lineRule="auto"/>
              <w:rPr>
                <w:rFonts w:ascii="Times New Roman" w:eastAsia="Times New Roman" w:hAnsi="Times New Roman" w:cs="Times New Roman"/>
              </w:rPr>
            </w:pPr>
          </w:p>
        </w:tc>
        <w:tc>
          <w:tcPr>
            <w:tcW w:w="2325" w:type="dxa"/>
          </w:tcPr>
          <w:p w14:paraId="17BEF1CD"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Channels</w:t>
            </w:r>
          </w:p>
          <w:p w14:paraId="134F0C5C"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ETFs</w:t>
            </w:r>
          </w:p>
          <w:p w14:paraId="5A99D274"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Target-Date funds</w:t>
            </w:r>
          </w:p>
          <w:p w14:paraId="5A2B8C59"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 xml:space="preserve">Common stock </w:t>
            </w:r>
          </w:p>
          <w:p w14:paraId="53B414DD"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Fixed income products</w:t>
            </w:r>
          </w:p>
          <w:p w14:paraId="3E9136A8"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Financial planning/advising</w:t>
            </w:r>
          </w:p>
          <w:p w14:paraId="63EA92BC"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Aladdin (risk measuring tool)</w:t>
            </w:r>
          </w:p>
          <w:p w14:paraId="390C2FFB"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Aperio (portfolio analysis tool)</w:t>
            </w:r>
          </w:p>
          <w:p w14:paraId="2399896D"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Phone Investing App</w:t>
            </w:r>
          </w:p>
          <w:p w14:paraId="5439DAE3"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Website</w:t>
            </w:r>
          </w:p>
          <w:p w14:paraId="4A8F0A76" w14:textId="77777777" w:rsidR="00A352B4" w:rsidRDefault="00000000">
            <w:pPr>
              <w:widowControl w:val="0"/>
              <w:numPr>
                <w:ilvl w:val="0"/>
                <w:numId w:val="3"/>
              </w:numPr>
              <w:spacing w:line="240" w:lineRule="auto"/>
              <w:ind w:left="450"/>
              <w:rPr>
                <w:rFonts w:ascii="Times New Roman" w:eastAsia="Times New Roman" w:hAnsi="Times New Roman" w:cs="Times New Roman"/>
              </w:rPr>
            </w:pPr>
            <w:r>
              <w:rPr>
                <w:rFonts w:ascii="Times New Roman" w:eastAsia="Times New Roman" w:hAnsi="Times New Roman" w:cs="Times New Roman"/>
              </w:rPr>
              <w:t>Family Offices</w:t>
            </w:r>
          </w:p>
        </w:tc>
        <w:tc>
          <w:tcPr>
            <w:tcW w:w="2175" w:type="dxa"/>
            <w:vMerge/>
          </w:tcPr>
          <w:p w14:paraId="6C911C18" w14:textId="77777777" w:rsidR="00A352B4" w:rsidRDefault="00A352B4">
            <w:pPr>
              <w:widowControl w:val="0"/>
              <w:spacing w:line="240" w:lineRule="auto"/>
              <w:rPr>
                <w:rFonts w:ascii="Times New Roman" w:eastAsia="Times New Roman" w:hAnsi="Times New Roman" w:cs="Times New Roman"/>
              </w:rPr>
            </w:pPr>
          </w:p>
        </w:tc>
      </w:tr>
      <w:tr w:rsidR="00A352B4" w14:paraId="1FB8E0EB" w14:textId="77777777">
        <w:trPr>
          <w:trHeight w:val="400"/>
        </w:trPr>
        <w:tc>
          <w:tcPr>
            <w:tcW w:w="6120" w:type="dxa"/>
            <w:gridSpan w:val="3"/>
          </w:tcPr>
          <w:p w14:paraId="26BF0D62"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Cost Structure</w:t>
            </w:r>
          </w:p>
          <w:p w14:paraId="0A714178"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Market transaction fees </w:t>
            </w:r>
          </w:p>
          <w:p w14:paraId="35E95C68"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Fixed office expenses </w:t>
            </w:r>
          </w:p>
          <w:p w14:paraId="548AC404"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Research and marketing expenses </w:t>
            </w:r>
          </w:p>
          <w:p w14:paraId="6A8EBD2B"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Regional-specific expenses (taxes, operational fees,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w:t>
            </w:r>
          </w:p>
          <w:p w14:paraId="00FC1429"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Compliance Costs</w:t>
            </w:r>
          </w:p>
          <w:p w14:paraId="619E0DD5" w14:textId="77777777" w:rsidR="00A352B4" w:rsidRDefault="00000000">
            <w:pPr>
              <w:widowControl w:val="0"/>
              <w:numPr>
                <w:ilvl w:val="0"/>
                <w:numId w:val="18"/>
              </w:numPr>
              <w:spacing w:line="240" w:lineRule="auto"/>
              <w:rPr>
                <w:rFonts w:ascii="Times New Roman" w:eastAsia="Times New Roman" w:hAnsi="Times New Roman" w:cs="Times New Roman"/>
              </w:rPr>
            </w:pPr>
            <w:r>
              <w:rPr>
                <w:rFonts w:ascii="Times New Roman" w:eastAsia="Times New Roman" w:hAnsi="Times New Roman" w:cs="Times New Roman"/>
              </w:rPr>
              <w:t>Employee Compensation</w:t>
            </w:r>
          </w:p>
        </w:tc>
        <w:tc>
          <w:tcPr>
            <w:tcW w:w="6015" w:type="dxa"/>
            <w:gridSpan w:val="3"/>
          </w:tcPr>
          <w:p w14:paraId="07859347"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Revenue Streams</w:t>
            </w:r>
          </w:p>
          <w:p w14:paraId="2A6FC324"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Trading Fees on Financial Products</w:t>
            </w:r>
          </w:p>
          <w:p w14:paraId="1C9E0656"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Advising fees</w:t>
            </w:r>
          </w:p>
          <w:p w14:paraId="7565C4F1"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Aperio subscription fees</w:t>
            </w:r>
          </w:p>
          <w:p w14:paraId="5C413820"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Aladdin subscription fees </w:t>
            </w:r>
          </w:p>
          <w:p w14:paraId="4D131717"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Consulting Fees</w:t>
            </w:r>
          </w:p>
          <w:p w14:paraId="7069A3AC" w14:textId="77777777" w:rsidR="00A352B4" w:rsidRDefault="00000000">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Security Lending</w:t>
            </w:r>
          </w:p>
        </w:tc>
      </w:tr>
    </w:tbl>
    <w:p w14:paraId="12994C59"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The Business Model Canvas above is broken down into 8 different segments that contribute to the value proposition in the center. The value proposition distinguishes BlackRock from its competitors and how it will provide value to the consumer. The key partners, activities, and resources are organizations, actions, and necessities needed for the day-to-day operations of BlackRock. These partners include technological organizations for the continued development of AI and data analytics, financial institutions, and exchanges like Coinbase to diversify investment opportunities.</w:t>
      </w:r>
      <w:r>
        <w:rPr>
          <w:rFonts w:ascii="Times New Roman" w:eastAsia="Times New Roman" w:hAnsi="Times New Roman" w:cs="Times New Roman"/>
          <w:vertAlign w:val="superscript"/>
        </w:rPr>
        <w:t>14</w:t>
      </w:r>
      <w:r>
        <w:rPr>
          <w:rFonts w:ascii="Times New Roman" w:eastAsia="Times New Roman" w:hAnsi="Times New Roman" w:cs="Times New Roman"/>
        </w:rPr>
        <w:t xml:space="preserve"> Their key activities are managing investments, market research, and R&amp;D for in-house software applications which it achieves with its key resources of human capital, intellectual property, and large volume of assets under management. The cost structure and revenue streams are the expenses and revenues of the organization which include operational costs, transaction fees, and marketing expenses. The customer segments are the groups of consumers that BlackRock serves. This group is quite diverse, spanning from individual investors with different investment appetites to corporations and larger institutions like endowments and pension funds. </w:t>
      </w:r>
      <w:r>
        <w:rPr>
          <w:rFonts w:ascii="Times New Roman" w:eastAsia="Times New Roman" w:hAnsi="Times New Roman" w:cs="Times New Roman"/>
        </w:rPr>
        <w:lastRenderedPageBreak/>
        <w:t>The customer relationships are the type of relations that BlackRock establishes with customers, which are also quite diverse given the many differences among their target customers. BlackRock utilizes its technological services, educational investment platforms, and customized investment plans from financial advisors to create and sustain these relationships. Channels are the mechanisms that BlackRock uses to distribute its products to the customer to generate revenue, which includes its website, mobile investing app, Aladdin (risk management software), Aperio (portfolio management software), and its financial advising capabilities.</w:t>
      </w:r>
      <w:r>
        <w:rPr>
          <w:rFonts w:ascii="Times New Roman" w:eastAsia="Times New Roman" w:hAnsi="Times New Roman" w:cs="Times New Roman"/>
          <w:vertAlign w:val="superscript"/>
        </w:rPr>
        <w:t>10</w:t>
      </w:r>
      <w:r>
        <w:rPr>
          <w:rFonts w:ascii="Times New Roman" w:eastAsia="Times New Roman" w:hAnsi="Times New Roman" w:cs="Times New Roman"/>
        </w:rPr>
        <w:t xml:space="preserve"> Each of these segments overall contributes to specific parts of its value proposition, which primarily focuses on being a client-centered firm that creates long-term returns for a variety of investments driven by backed data and risk analytics through its trusted advisor and global reach. </w:t>
      </w:r>
    </w:p>
    <w:p w14:paraId="1E12B5EB" w14:textId="77777777" w:rsidR="00A352B4" w:rsidRDefault="00A352B4">
      <w:pPr>
        <w:rPr>
          <w:rFonts w:ascii="Times New Roman" w:eastAsia="Times New Roman" w:hAnsi="Times New Roman" w:cs="Times New Roman"/>
        </w:rPr>
      </w:pPr>
    </w:p>
    <w:p w14:paraId="4ED9CC11"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From our analysis of BlackRock’s Business Canvas Model, we have concluded that they are a very innovative company that prioritizes customer financial well-being. This innovation can be seen in the use of their software, Aladdin, which combined risk analytics and portfolio management in a way that was new to the industry in the 1980s. This continued development of their software allowed BlackRock to expand its revenue streams beyond management and advisory fees to software licensing and subscriptions. In addition, BlackRock has a continued interest in being transparent and reducing risk for customer investments. This can be seen in their continued research and investment in risk and data analytics software, including artificial intelligence, to seek the best investments for long-term returns. They also want to be a customer-focused firm by serving a large variety of customers seen by individual investors, old and young, corporations, institutional investors, and global investors. They achieve this by having a large variety of channels like websites, family offices, and investment options available through applications that give the customer customized investment plans based on their desired risk level. To have investment opportunities, BlackRock values its economies of scale.</w:t>
      </w:r>
      <w:r>
        <w:rPr>
          <w:rFonts w:ascii="Times New Roman" w:eastAsia="Times New Roman" w:hAnsi="Times New Roman" w:cs="Times New Roman"/>
          <w:vertAlign w:val="superscript"/>
        </w:rPr>
        <w:t>9</w:t>
      </w:r>
      <w:r>
        <w:rPr>
          <w:rFonts w:ascii="Times New Roman" w:eastAsia="Times New Roman" w:hAnsi="Times New Roman" w:cs="Times New Roman"/>
        </w:rPr>
        <w:t xml:space="preserve"> Growing themselves to become the largest asset management company makes them a secure organization in the eyes of investors to place their money and retain their status of a trusted advisor. In addition, this scale allows BlackRock to invest in diverse sectors across the globe, making it resistant to market fluctuations and risk in a singular geographical region. To sum up, based on our Business Model Canvas for BlackRock and the outside commentary we have read, we believe BlackRock is a consumer-focused, research-driven, innovative, and global company that does a great job of leveraging its resources to continue bringing value to the company and its shareholders. </w:t>
      </w:r>
    </w:p>
    <w:p w14:paraId="14767DE6" w14:textId="77777777" w:rsidR="00A352B4" w:rsidRDefault="00A352B4">
      <w:pPr>
        <w:rPr>
          <w:rFonts w:ascii="Times New Roman" w:eastAsia="Times New Roman" w:hAnsi="Times New Roman" w:cs="Times New Roman"/>
        </w:rPr>
      </w:pPr>
    </w:p>
    <w:p w14:paraId="20C88C3D"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Strategy Analysis</w:t>
      </w:r>
    </w:p>
    <w:p w14:paraId="48B8D607"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The corporate strategy analysis is used to assess and revise a business’s strategy and direction. It highlights the objective or goals of the business, its scope, where the company will compete, and its advantage, specifically what makes it better than competitors. Analyzing corporate strategy through this lens allows businesses to carefully construct a communicable strategy statement throughout their organization that effectively directs the action of each employee.</w:t>
      </w:r>
    </w:p>
    <w:p w14:paraId="75F7AA86" w14:textId="77777777" w:rsidR="00A352B4" w:rsidRDefault="00A352B4">
      <w:pPr>
        <w:rPr>
          <w:rFonts w:ascii="Times New Roman" w:eastAsia="Times New Roman" w:hAnsi="Times New Roman" w:cs="Times New Roman"/>
        </w:rPr>
      </w:pPr>
    </w:p>
    <w:p w14:paraId="3955CAAB"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BlackRock Strategic Analysis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52B4" w14:paraId="3FA7B224" w14:textId="77777777">
        <w:tc>
          <w:tcPr>
            <w:tcW w:w="9360" w:type="dxa"/>
            <w:shd w:val="clear" w:color="auto" w:fill="auto"/>
            <w:tcMar>
              <w:top w:w="100" w:type="dxa"/>
              <w:left w:w="100" w:type="dxa"/>
              <w:bottom w:w="100" w:type="dxa"/>
              <w:right w:w="100" w:type="dxa"/>
            </w:tcMar>
          </w:tcPr>
          <w:p w14:paraId="2B4CE2DB" w14:textId="77777777" w:rsidR="00A352B4"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Objective: </w:t>
            </w:r>
            <w:r>
              <w:rPr>
                <w:rFonts w:ascii="Times New Roman" w:eastAsia="Times New Roman" w:hAnsi="Times New Roman" w:cs="Times New Roman"/>
              </w:rPr>
              <w:t>BlackRock’s objective is to become the largest asset management firm by sustainable and responsible business practices, maximizing long-term investment returns, and enhancing technology for data-driven decision-making.</w:t>
            </w:r>
          </w:p>
        </w:tc>
      </w:tr>
      <w:tr w:rsidR="00A352B4" w14:paraId="3DB48A0F" w14:textId="77777777">
        <w:tc>
          <w:tcPr>
            <w:tcW w:w="9360" w:type="dxa"/>
            <w:shd w:val="clear" w:color="auto" w:fill="auto"/>
            <w:tcMar>
              <w:top w:w="100" w:type="dxa"/>
              <w:left w:w="100" w:type="dxa"/>
              <w:bottom w:w="100" w:type="dxa"/>
              <w:right w:w="100" w:type="dxa"/>
            </w:tcMar>
          </w:tcPr>
          <w:p w14:paraId="1F69ECF7" w14:textId="77777777" w:rsidR="00A352B4"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Scope: </w:t>
            </w:r>
            <w:r>
              <w:rPr>
                <w:rFonts w:ascii="Times New Roman" w:eastAsia="Times New Roman" w:hAnsi="Times New Roman" w:cs="Times New Roman"/>
              </w:rPr>
              <w:t xml:space="preserve">BlackRock operates internationally in 38 countries and offers a wide range of assets including stocks, ETFs, private equity, real estate, bonds, and commodities, and seeks broad customer segments both risky and risk-averse investors built by the variety of investments offered for different risk appetites. </w:t>
            </w:r>
          </w:p>
        </w:tc>
      </w:tr>
      <w:tr w:rsidR="00A352B4" w14:paraId="61004B23" w14:textId="77777777">
        <w:tc>
          <w:tcPr>
            <w:tcW w:w="9360" w:type="dxa"/>
            <w:shd w:val="clear" w:color="auto" w:fill="auto"/>
            <w:tcMar>
              <w:top w:w="100" w:type="dxa"/>
              <w:left w:w="100" w:type="dxa"/>
              <w:bottom w:w="100" w:type="dxa"/>
              <w:right w:w="100" w:type="dxa"/>
            </w:tcMar>
          </w:tcPr>
          <w:p w14:paraId="5221427B" w14:textId="77777777" w:rsidR="00A352B4"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Advantage: </w:t>
            </w:r>
            <w:r>
              <w:rPr>
                <w:rFonts w:ascii="Times New Roman" w:eastAsia="Times New Roman" w:hAnsi="Times New Roman" w:cs="Times New Roman"/>
              </w:rPr>
              <w:t xml:space="preserve">BlackRock has gained an edge from its economies of scale offering lower costs than others, the Aladdin software that provides portfolio management tools and risk analysis giving an edge in detailed decision making, and its diversification that delivers returns while reducing risk. </w:t>
            </w:r>
          </w:p>
        </w:tc>
      </w:tr>
    </w:tbl>
    <w:p w14:paraId="634F717A" w14:textId="77777777" w:rsidR="00A352B4" w:rsidRDefault="00A352B4">
      <w:pPr>
        <w:rPr>
          <w:rFonts w:ascii="Times New Roman" w:eastAsia="Times New Roman" w:hAnsi="Times New Roman" w:cs="Times New Roman"/>
          <w:b/>
        </w:rPr>
      </w:pPr>
    </w:p>
    <w:p w14:paraId="79C14782"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From the analysis above and recent decisions by BlackRock, the stated strategy aligns with their emergent strategy which is evident through the recent actions they have completed. BlackRock’s objective of becoming the largest asset management firm drives its actions in acquisitions. Recently, they bought a private credit firm, HPS Investment Partners, for $12 billion which their CEO, Larry Fink, said would allow them to expand the number of public and private investment products available to BlackRock customers.</w:t>
      </w:r>
      <w:r>
        <w:rPr>
          <w:rFonts w:ascii="Times New Roman" w:eastAsia="Times New Roman" w:hAnsi="Times New Roman" w:cs="Times New Roman"/>
          <w:vertAlign w:val="superscript"/>
        </w:rPr>
        <w:t>5</w:t>
      </w:r>
      <w:r>
        <w:rPr>
          <w:rFonts w:ascii="Times New Roman" w:eastAsia="Times New Roman" w:hAnsi="Times New Roman" w:cs="Times New Roman"/>
        </w:rPr>
        <w:t xml:space="preserve"> This directly builds into BlackRock’s advantage of economies of scale by expanding its assets under management. Not only does BlackRock use its Aladdin program to make data-driven decisions, </w:t>
      </w:r>
      <w:proofErr w:type="gramStart"/>
      <w:r>
        <w:rPr>
          <w:rFonts w:ascii="Times New Roman" w:eastAsia="Times New Roman" w:hAnsi="Times New Roman" w:cs="Times New Roman"/>
        </w:rPr>
        <w:t>they have</w:t>
      </w:r>
      <w:proofErr w:type="gramEnd"/>
      <w:r>
        <w:rPr>
          <w:rFonts w:ascii="Times New Roman" w:eastAsia="Times New Roman" w:hAnsi="Times New Roman" w:cs="Times New Roman"/>
        </w:rPr>
        <w:t xml:space="preserve"> recently partnered with Microsoft to build data centers and AI infrastructure which they view as a multi trillion long-term investment opportunity.</w:t>
      </w:r>
      <w:r>
        <w:rPr>
          <w:rFonts w:ascii="Times New Roman" w:eastAsia="Times New Roman" w:hAnsi="Times New Roman" w:cs="Times New Roman"/>
          <w:vertAlign w:val="superscript"/>
        </w:rPr>
        <w:t>14</w:t>
      </w:r>
      <w:r>
        <w:rPr>
          <w:rFonts w:ascii="Times New Roman" w:eastAsia="Times New Roman" w:hAnsi="Times New Roman" w:cs="Times New Roman"/>
        </w:rPr>
        <w:t xml:space="preserve"> This action aligns almost perfectly with BlackRock’s planned strategy by enhancing technology to drive data analytics of the riskiness of investments for customers. In addition, these data centers tie in well with BlackRock’s AI labs which are being used to integrate AI into its decision-making process. BlackRock also recognizes the priorities of its customers and has appointed a new head of sustainable and transition solutions role for its business in Europe, the Middle East, and Africa.</w:t>
      </w:r>
      <w:r>
        <w:rPr>
          <w:rFonts w:ascii="Times New Roman" w:eastAsia="Times New Roman" w:hAnsi="Times New Roman" w:cs="Times New Roman"/>
          <w:vertAlign w:val="superscript"/>
        </w:rPr>
        <w:t>11</w:t>
      </w:r>
      <w:r>
        <w:rPr>
          <w:rFonts w:ascii="Times New Roman" w:eastAsia="Times New Roman" w:hAnsi="Times New Roman" w:cs="Times New Roman"/>
        </w:rPr>
        <w:t xml:space="preserve"> This aligns with its goals of utilizing sustainable business practices and expanding its global footprint by meeting the demands of the clients in the region where sustainable and transition investing is greatest. Throughout BlackRock’s history and up through recently, their emergent strategy exemplifies their planned strategy showing that BlackRock values the importance of committing to their words through their actions. </w:t>
      </w:r>
    </w:p>
    <w:p w14:paraId="06E13F8A" w14:textId="77777777" w:rsidR="00A352B4" w:rsidRDefault="00A352B4">
      <w:pPr>
        <w:rPr>
          <w:rFonts w:ascii="Times New Roman" w:eastAsia="Times New Roman" w:hAnsi="Times New Roman" w:cs="Times New Roman"/>
          <w:b/>
        </w:rPr>
      </w:pPr>
    </w:p>
    <w:p w14:paraId="0A4F479C"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BlackRock’s main objective is at the heart of everything they do, it influences every facet of their business dealings and operations, as the main objective does for any business. They are specifically dedicated to sustainable growth, shareholder value both internally and for their customers, and technological innovation. As an investment firm, BlackRock needs to follow through on their stated strategy, so customers view them as a safe and secure firm. By backing up their strategy with transparent actions. BlackRock builds and maintains trust with their customers ensuring them that their investments are managed with </w:t>
      </w:r>
      <w:proofErr w:type="gramStart"/>
      <w:r>
        <w:rPr>
          <w:rFonts w:ascii="Times New Roman" w:eastAsia="Times New Roman" w:hAnsi="Times New Roman" w:cs="Times New Roman"/>
        </w:rPr>
        <w:t>expertise,  a</w:t>
      </w:r>
      <w:proofErr w:type="gramEnd"/>
      <w:r>
        <w:rPr>
          <w:rFonts w:ascii="Times New Roman" w:eastAsia="Times New Roman" w:hAnsi="Times New Roman" w:cs="Times New Roman"/>
        </w:rPr>
        <w:t xml:space="preserve"> long-term focus, and the ability to deliver value. A SWOT analysis done on BlackRock that is now on Yahoo Finance points out that their size is one of their major strengths, as it allows them to have a major influence on the industry itself and, as mentioned previously, secure economies of scale.</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This would suggest that their growth-centered business objective would continue to be a priority for them, as it also helps contribute to their competitive advantage as a business. BlackRock grows by pursuing the other major components of its objective. It needs to be able to innovate to make smart financial decisions that maximize the long-term returns of its investments to continue to be a trusted resource that all investors can turn to. BlackRock’s planned and emergent strategy focuses on growth, innovation, and creating value for its customers reinforcing its main objective of being the largest asset management company. </w:t>
      </w:r>
    </w:p>
    <w:p w14:paraId="1E7AE12C" w14:textId="77777777" w:rsidR="00A352B4" w:rsidRDefault="00A352B4">
      <w:pPr>
        <w:rPr>
          <w:rFonts w:ascii="Times New Roman" w:eastAsia="Times New Roman" w:hAnsi="Times New Roman" w:cs="Times New Roman"/>
        </w:rPr>
      </w:pPr>
    </w:p>
    <w:p w14:paraId="6B1D22FC"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Since BlackRock’s main objective is to become the largest asset management firm, they have aligned their key business activities and resources to maximize their market potential through economies of scale and data-driven by Aladdin. However, there are forces that will affect their ability to achieve such an objective that are also outside of their control, such as the macro-environment surrounding the industry itself. Understanding BlackRock’s current position within the asset management industry provides valuable context for evaluating the environment in which it operates. As a global leader in asset management, BlackRock is constantly affected by external forces, such as economic, political, and technological forces, that shape both risks and opportunities. To remain at the forefront, the firm must anticipate, adapt to, and strategically respond to these external dynamics. The following section applies macro-level analysis tools, including the STEEP analysis, Porter’s Five Forces and Strategic Group Map, to examine how the broader environment influences BlackRock’s current and future strategies. This analysis serves as a foundation for identifying areas where BlackRock can capitalize on opportunities in the overall industry and strengthen its weak points against threats from other firms and macroeconomic forces. </w:t>
      </w:r>
    </w:p>
    <w:p w14:paraId="57D3FAC2" w14:textId="77777777" w:rsidR="00A352B4" w:rsidRDefault="00A352B4">
      <w:pPr>
        <w:rPr>
          <w:rFonts w:ascii="Times New Roman" w:eastAsia="Times New Roman" w:hAnsi="Times New Roman" w:cs="Times New Roman"/>
        </w:rPr>
      </w:pPr>
    </w:p>
    <w:p w14:paraId="7A47BCD0"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STEEP Analysis</w:t>
      </w:r>
    </w:p>
    <w:p w14:paraId="2D237DB0"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The STEEP analysis is used to identify what is currently going on in the environment and what is likely to happen in the future in the area where a business operates. This analysis accounts for changes and trends in the sociocultural, technological, economic, environmental, and political environment. Having a manager focus on a macro-environment analysis allows them to think beyond the immediate business operations, derive insight, and anticipate potential external factors that could affect the business to tailor strategic decisions and operations.</w:t>
      </w:r>
    </w:p>
    <w:p w14:paraId="459981CF" w14:textId="77777777" w:rsidR="00A352B4" w:rsidRDefault="00A352B4">
      <w:pPr>
        <w:rPr>
          <w:rFonts w:ascii="Times New Roman" w:eastAsia="Times New Roman" w:hAnsi="Times New Roman" w:cs="Times New Roman"/>
          <w:b/>
        </w:rPr>
      </w:pPr>
    </w:p>
    <w:p w14:paraId="2D15B6DF"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BlackRock’s STEEP Analysis</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52B4" w14:paraId="65CE59B7" w14:textId="77777777">
        <w:tc>
          <w:tcPr>
            <w:tcW w:w="9360" w:type="dxa"/>
            <w:shd w:val="clear" w:color="auto" w:fill="auto"/>
            <w:tcMar>
              <w:top w:w="100" w:type="dxa"/>
              <w:left w:w="100" w:type="dxa"/>
              <w:bottom w:w="100" w:type="dxa"/>
              <w:right w:w="100" w:type="dxa"/>
            </w:tcMar>
          </w:tcPr>
          <w:p w14:paraId="3515463B" w14:textId="77777777" w:rsidR="00A352B4"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Sociocultural</w:t>
            </w:r>
            <w:r>
              <w:rPr>
                <w:rFonts w:ascii="Times New Roman" w:eastAsia="Times New Roman" w:hAnsi="Times New Roman" w:cs="Times New Roman"/>
              </w:rPr>
              <w:t xml:space="preserve"> </w:t>
            </w:r>
          </w:p>
          <w:p w14:paraId="0C340846" w14:textId="77777777" w:rsidR="00A352B4" w:rsidRDefault="00000000">
            <w:pPr>
              <w:widowControl w:val="0"/>
              <w:numPr>
                <w:ilvl w:val="0"/>
                <w:numId w:val="16"/>
              </w:numPr>
              <w:spacing w:line="240" w:lineRule="auto"/>
              <w:rPr>
                <w:rFonts w:ascii="Times New Roman" w:eastAsia="Times New Roman" w:hAnsi="Times New Roman" w:cs="Times New Roman"/>
              </w:rPr>
            </w:pPr>
            <w:r>
              <w:rPr>
                <w:rFonts w:ascii="Times New Roman" w:eastAsia="Times New Roman" w:hAnsi="Times New Roman" w:cs="Times New Roman"/>
              </w:rPr>
              <w:t>Shifting demographics to a larger portion of the elderly in comparison to adolescents (Threat)</w:t>
            </w:r>
            <w:r>
              <w:rPr>
                <w:rFonts w:ascii="Times New Roman" w:eastAsia="Times New Roman" w:hAnsi="Times New Roman" w:cs="Times New Roman"/>
                <w:vertAlign w:val="superscript"/>
              </w:rPr>
              <w:t>42, 24</w:t>
            </w:r>
          </w:p>
          <w:p w14:paraId="432E19CE" w14:textId="77777777" w:rsidR="00A352B4" w:rsidRDefault="00000000">
            <w:pPr>
              <w:widowControl w:val="0"/>
              <w:numPr>
                <w:ilvl w:val="0"/>
                <w:numId w:val="16"/>
              </w:numPr>
              <w:spacing w:line="240" w:lineRule="auto"/>
              <w:rPr>
                <w:rFonts w:ascii="Times New Roman" w:eastAsia="Times New Roman" w:hAnsi="Times New Roman" w:cs="Times New Roman"/>
              </w:rPr>
            </w:pPr>
            <w:r>
              <w:rPr>
                <w:rFonts w:ascii="Times New Roman" w:eastAsia="Times New Roman" w:hAnsi="Times New Roman" w:cs="Times New Roman"/>
              </w:rPr>
              <w:t>Prevalence of views concerning social responsibility towards clean energy and environmentally friendly policies (Opportunity)</w:t>
            </w:r>
            <w:r>
              <w:rPr>
                <w:rFonts w:ascii="Times New Roman" w:eastAsia="Times New Roman" w:hAnsi="Times New Roman" w:cs="Times New Roman"/>
                <w:vertAlign w:val="superscript"/>
              </w:rPr>
              <w:t>10, 34</w:t>
            </w:r>
          </w:p>
          <w:p w14:paraId="5AA0CC66" w14:textId="77777777" w:rsidR="00A352B4" w:rsidRDefault="00000000">
            <w:pPr>
              <w:widowControl w:val="0"/>
              <w:numPr>
                <w:ilvl w:val="0"/>
                <w:numId w:val="16"/>
              </w:numPr>
              <w:spacing w:line="240" w:lineRule="auto"/>
              <w:rPr>
                <w:rFonts w:ascii="Times New Roman" w:eastAsia="Times New Roman" w:hAnsi="Times New Roman" w:cs="Times New Roman"/>
              </w:rPr>
            </w:pPr>
            <w:r>
              <w:rPr>
                <w:rFonts w:ascii="Times New Roman" w:eastAsia="Times New Roman" w:hAnsi="Times New Roman" w:cs="Times New Roman"/>
              </w:rPr>
              <w:t>Consumer preferences towards remote work and digital automated investment opportunities (Opportunity)</w:t>
            </w:r>
            <w:r>
              <w:rPr>
                <w:rFonts w:ascii="Times New Roman" w:eastAsia="Times New Roman" w:hAnsi="Times New Roman" w:cs="Times New Roman"/>
                <w:vertAlign w:val="superscript"/>
              </w:rPr>
              <w:t>29, 24</w:t>
            </w:r>
          </w:p>
        </w:tc>
      </w:tr>
      <w:tr w:rsidR="00A352B4" w14:paraId="3723EB84" w14:textId="77777777">
        <w:tc>
          <w:tcPr>
            <w:tcW w:w="9360" w:type="dxa"/>
            <w:shd w:val="clear" w:color="auto" w:fill="auto"/>
            <w:tcMar>
              <w:top w:w="100" w:type="dxa"/>
              <w:left w:w="100" w:type="dxa"/>
              <w:bottom w:w="100" w:type="dxa"/>
              <w:right w:w="100" w:type="dxa"/>
            </w:tcMar>
          </w:tcPr>
          <w:p w14:paraId="3854BA91"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Technological</w:t>
            </w:r>
          </w:p>
          <w:p w14:paraId="25861489" w14:textId="77777777" w:rsidR="00A352B4" w:rsidRDefault="00000000">
            <w:pPr>
              <w:widowControl w:val="0"/>
              <w:numPr>
                <w:ilvl w:val="0"/>
                <w:numId w:val="14"/>
              </w:numPr>
              <w:spacing w:line="240" w:lineRule="auto"/>
              <w:rPr>
                <w:rFonts w:ascii="Times New Roman" w:eastAsia="Times New Roman" w:hAnsi="Times New Roman" w:cs="Times New Roman"/>
              </w:rPr>
            </w:pPr>
            <w:r>
              <w:rPr>
                <w:rFonts w:ascii="Times New Roman" w:eastAsia="Times New Roman" w:hAnsi="Times New Roman" w:cs="Times New Roman"/>
              </w:rPr>
              <w:t>The boom of AI and machine learning (Opportunity)</w:t>
            </w:r>
            <w:r>
              <w:rPr>
                <w:rFonts w:ascii="Times New Roman" w:eastAsia="Times New Roman" w:hAnsi="Times New Roman" w:cs="Times New Roman"/>
                <w:vertAlign w:val="superscript"/>
              </w:rPr>
              <w:t>43, 4</w:t>
            </w:r>
          </w:p>
          <w:p w14:paraId="23CE86AA" w14:textId="77777777" w:rsidR="00A352B4" w:rsidRDefault="00000000">
            <w:pPr>
              <w:widowControl w:val="0"/>
              <w:numPr>
                <w:ilvl w:val="0"/>
                <w:numId w:val="14"/>
              </w:numPr>
              <w:spacing w:line="240" w:lineRule="auto"/>
              <w:rPr>
                <w:rFonts w:ascii="Times New Roman" w:eastAsia="Times New Roman" w:hAnsi="Times New Roman" w:cs="Times New Roman"/>
              </w:rPr>
            </w:pPr>
            <w:r>
              <w:rPr>
                <w:rFonts w:ascii="Times New Roman" w:eastAsia="Times New Roman" w:hAnsi="Times New Roman" w:cs="Times New Roman"/>
              </w:rPr>
              <w:t>Increased interest in investment in cryptocurrency (Opportunity)</w:t>
            </w:r>
            <w:r>
              <w:rPr>
                <w:rFonts w:ascii="Times New Roman" w:eastAsia="Times New Roman" w:hAnsi="Times New Roman" w:cs="Times New Roman"/>
                <w:vertAlign w:val="superscript"/>
              </w:rPr>
              <w:t xml:space="preserve">16, 18 </w:t>
            </w:r>
          </w:p>
          <w:p w14:paraId="4510F8C1" w14:textId="77777777" w:rsidR="00A352B4" w:rsidRDefault="00000000">
            <w:pPr>
              <w:widowControl w:val="0"/>
              <w:numPr>
                <w:ilvl w:val="0"/>
                <w:numId w:val="14"/>
              </w:numPr>
              <w:spacing w:line="240" w:lineRule="auto"/>
              <w:rPr>
                <w:rFonts w:ascii="Times New Roman" w:eastAsia="Times New Roman" w:hAnsi="Times New Roman" w:cs="Times New Roman"/>
              </w:rPr>
            </w:pPr>
            <w:r>
              <w:rPr>
                <w:rFonts w:ascii="Times New Roman" w:eastAsia="Times New Roman" w:hAnsi="Times New Roman" w:cs="Times New Roman"/>
              </w:rPr>
              <w:t>Access to big data to make informed decisions using analytics has grown significantly (Opportunity)</w:t>
            </w:r>
            <w:r>
              <w:rPr>
                <w:rFonts w:ascii="Times New Roman" w:eastAsia="Times New Roman" w:hAnsi="Times New Roman" w:cs="Times New Roman"/>
                <w:vertAlign w:val="superscript"/>
              </w:rPr>
              <w:t>4, 12</w:t>
            </w:r>
          </w:p>
        </w:tc>
      </w:tr>
      <w:tr w:rsidR="00A352B4" w14:paraId="1D44A19E" w14:textId="77777777">
        <w:tc>
          <w:tcPr>
            <w:tcW w:w="9360" w:type="dxa"/>
            <w:shd w:val="clear" w:color="auto" w:fill="auto"/>
            <w:tcMar>
              <w:top w:w="100" w:type="dxa"/>
              <w:left w:w="100" w:type="dxa"/>
              <w:bottom w:w="100" w:type="dxa"/>
              <w:right w:w="100" w:type="dxa"/>
            </w:tcMar>
          </w:tcPr>
          <w:p w14:paraId="780EF3E7"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Economic</w:t>
            </w:r>
          </w:p>
          <w:p w14:paraId="70AFD3A9" w14:textId="77777777" w:rsidR="00A352B4"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High inflation is causing consumers to cut spending by the largest amount in the last four years (Threat)</w:t>
            </w:r>
            <w:r>
              <w:rPr>
                <w:rFonts w:ascii="Times New Roman" w:eastAsia="Times New Roman" w:hAnsi="Times New Roman" w:cs="Times New Roman"/>
                <w:vertAlign w:val="superscript"/>
              </w:rPr>
              <w:t>27, 39</w:t>
            </w:r>
          </w:p>
          <w:p w14:paraId="2457E638" w14:textId="77777777" w:rsidR="00A352B4"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The Fed is holding interest rates steady at around 4.5% and is looking to ease in the future (Threat)</w:t>
            </w:r>
            <w:r>
              <w:rPr>
                <w:rFonts w:ascii="Times New Roman" w:eastAsia="Times New Roman" w:hAnsi="Times New Roman" w:cs="Times New Roman"/>
                <w:vertAlign w:val="superscript"/>
              </w:rPr>
              <w:t>27, 39</w:t>
            </w:r>
          </w:p>
          <w:p w14:paraId="5B27B481" w14:textId="77777777" w:rsidR="00A352B4" w:rsidRDefault="00000000">
            <w:pPr>
              <w:widowControl w:val="0"/>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Unemployment levels decreased to 4% in January continuing a downward trend (Opportunity)</w:t>
            </w:r>
            <w:r>
              <w:rPr>
                <w:rFonts w:ascii="Times New Roman" w:eastAsia="Times New Roman" w:hAnsi="Times New Roman" w:cs="Times New Roman"/>
                <w:vertAlign w:val="superscript"/>
              </w:rPr>
              <w:t>27, 40</w:t>
            </w:r>
          </w:p>
        </w:tc>
      </w:tr>
      <w:tr w:rsidR="00A352B4" w14:paraId="0369F808" w14:textId="77777777">
        <w:tc>
          <w:tcPr>
            <w:tcW w:w="9360" w:type="dxa"/>
            <w:shd w:val="clear" w:color="auto" w:fill="auto"/>
            <w:tcMar>
              <w:top w:w="100" w:type="dxa"/>
              <w:left w:w="100" w:type="dxa"/>
              <w:bottom w:w="100" w:type="dxa"/>
              <w:right w:w="100" w:type="dxa"/>
            </w:tcMar>
          </w:tcPr>
          <w:p w14:paraId="6CF8DB53"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Environmental</w:t>
            </w:r>
          </w:p>
          <w:p w14:paraId="2202F072" w14:textId="77777777" w:rsidR="00A352B4" w:rsidRDefault="00000000">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Climate-related and low carbon shift in investment and corporate strategies (Threat)</w:t>
            </w:r>
            <w:r>
              <w:rPr>
                <w:rFonts w:ascii="Times New Roman" w:eastAsia="Times New Roman" w:hAnsi="Times New Roman" w:cs="Times New Roman"/>
                <w:vertAlign w:val="superscript"/>
              </w:rPr>
              <w:t>8, 34</w:t>
            </w:r>
          </w:p>
          <w:p w14:paraId="65CF1177" w14:textId="77777777" w:rsidR="00A352B4" w:rsidRDefault="00000000">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Increased pressure and regulation by governing bodies around the world to implement stricter environmental sustainability policies (Threat)</w:t>
            </w:r>
            <w:r>
              <w:rPr>
                <w:rFonts w:ascii="Times New Roman" w:eastAsia="Times New Roman" w:hAnsi="Times New Roman" w:cs="Times New Roman"/>
                <w:vertAlign w:val="superscript"/>
              </w:rPr>
              <w:t>8, 34</w:t>
            </w:r>
          </w:p>
          <w:p w14:paraId="53DDEA15" w14:textId="77777777" w:rsidR="00A352B4" w:rsidRDefault="00000000">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Increased natural disaster occurrences like fires in California and hurricanes on the eastern coast could disrupt supply chains (Threat)</w:t>
            </w:r>
            <w:r>
              <w:rPr>
                <w:rFonts w:ascii="Times New Roman" w:eastAsia="Times New Roman" w:hAnsi="Times New Roman" w:cs="Times New Roman"/>
                <w:vertAlign w:val="superscript"/>
              </w:rPr>
              <w:t>8, 34</w:t>
            </w:r>
          </w:p>
        </w:tc>
      </w:tr>
      <w:tr w:rsidR="00A352B4" w14:paraId="34D442B4" w14:textId="77777777">
        <w:tc>
          <w:tcPr>
            <w:tcW w:w="9360" w:type="dxa"/>
            <w:shd w:val="clear" w:color="auto" w:fill="auto"/>
            <w:tcMar>
              <w:top w:w="100" w:type="dxa"/>
              <w:left w:w="100" w:type="dxa"/>
              <w:bottom w:w="100" w:type="dxa"/>
              <w:right w:w="100" w:type="dxa"/>
            </w:tcMar>
          </w:tcPr>
          <w:p w14:paraId="135CFA90"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Political</w:t>
            </w:r>
          </w:p>
          <w:p w14:paraId="71052DDE" w14:textId="77777777" w:rsidR="00A352B4" w:rsidRDefault="00000000">
            <w:pPr>
              <w:widowControl w:val="0"/>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The threat of tariffs on global trade could lead to disruptions in the market, global trade patterns, and increased volatility in assets (Threat)</w:t>
            </w:r>
            <w:r>
              <w:rPr>
                <w:rFonts w:ascii="Times New Roman" w:eastAsia="Times New Roman" w:hAnsi="Times New Roman" w:cs="Times New Roman"/>
                <w:vertAlign w:val="superscript"/>
              </w:rPr>
              <w:t>11, 14</w:t>
            </w:r>
          </w:p>
          <w:p w14:paraId="6EBD8965" w14:textId="77777777" w:rsidR="00A352B4" w:rsidRDefault="00000000">
            <w:pPr>
              <w:widowControl w:val="0"/>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Proposal of tax cuts on corporate income and eliminating tax on tips, social security, and overtime by Trump administration (Opportunity)</w:t>
            </w:r>
            <w:r>
              <w:rPr>
                <w:rFonts w:ascii="Times New Roman" w:eastAsia="Times New Roman" w:hAnsi="Times New Roman" w:cs="Times New Roman"/>
                <w:vertAlign w:val="superscript"/>
              </w:rPr>
              <w:t>11, 30</w:t>
            </w:r>
          </w:p>
          <w:p w14:paraId="784CC952" w14:textId="77777777" w:rsidR="00A352B4" w:rsidRDefault="00000000">
            <w:pPr>
              <w:widowControl w:val="0"/>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Global geopolitical tensions involving the Middle East, Russia, China, and NATO could significantly impact global markets (Threat)</w:t>
            </w:r>
            <w:r>
              <w:rPr>
                <w:rFonts w:ascii="Times New Roman" w:eastAsia="Times New Roman" w:hAnsi="Times New Roman" w:cs="Times New Roman"/>
                <w:vertAlign w:val="superscript"/>
              </w:rPr>
              <w:t>11, 38</w:t>
            </w:r>
          </w:p>
        </w:tc>
      </w:tr>
    </w:tbl>
    <w:p w14:paraId="4E0FCD3B" w14:textId="77777777" w:rsidR="00A352B4" w:rsidRDefault="00A352B4">
      <w:pPr>
        <w:rPr>
          <w:rFonts w:ascii="Times New Roman" w:eastAsia="Times New Roman" w:hAnsi="Times New Roman" w:cs="Times New Roman"/>
        </w:rPr>
      </w:pPr>
    </w:p>
    <w:p w14:paraId="4F41221B"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The STEEP analysis is broken down into 5 macro-environment segments that contribute to the current conditions of the industry and future predictions of what could happen. This chart was created by researching current events or trends that could affect BlackRock’s business. Since BlackRock is an investment and asset management firm, the trends we identified focused on what could change the outlook within this industry. These trends were then identified as threats or opportunities based on the potential effect they could have on BlackRock. The sociocultural factors </w:t>
      </w:r>
      <w:proofErr w:type="gramStart"/>
      <w:r>
        <w:rPr>
          <w:rFonts w:ascii="Times New Roman" w:eastAsia="Times New Roman" w:hAnsi="Times New Roman" w:cs="Times New Roman"/>
        </w:rPr>
        <w:t>look into</w:t>
      </w:r>
      <w:proofErr w:type="gramEnd"/>
      <w:r>
        <w:rPr>
          <w:rFonts w:ascii="Times New Roman" w:eastAsia="Times New Roman" w:hAnsi="Times New Roman" w:cs="Times New Roman"/>
        </w:rPr>
        <w:t xml:space="preserve"> cultures, norms, behaviors, and demographic shifts in the population. BlackRock will face shifts toward an elderly population and changing consumer preferences with sustainability and remote work. The technological factors encompass emerging technologies that may disrupt the industry, which big data, artificial intelligence, and cryptocurrency have already started to do. The economic factors capture the shift in economic indicators that could affect BlackRock like high inflation, interest rates, and unemployment levels. The ecological factors account for broad environmental issues pertaining to climate change, natural resources, or sustainable business practices. BlackRock is most likely to be affected by low carbon shifts in strategies, pressure from governments to limit pollution, and increased natural disasters due to climate change that affect the supply chains of their investments. The political factors concern governmental actions and laws that affect the way or return BlackRock experiences. Due to the recent volatility in the political space, BlackRock will experience disruption from tariffs, tax cuts, and geopolitical tensions in Europe and the Middle East. Each of these factors contributes to BlackRock’s decisions to alter their strategy to best minimize the threats or utilize potential opportunities.</w:t>
      </w:r>
    </w:p>
    <w:p w14:paraId="10C63F34" w14:textId="77777777" w:rsidR="00A352B4" w:rsidRDefault="00A352B4">
      <w:pPr>
        <w:rPr>
          <w:rFonts w:ascii="Times New Roman" w:eastAsia="Times New Roman" w:hAnsi="Times New Roman" w:cs="Times New Roman"/>
        </w:rPr>
      </w:pPr>
    </w:p>
    <w:p w14:paraId="207355C1"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Overall, the opportunities that BlackRock has from the STEEP analysis set them up for success in the future. Even though there are threats in the economic, environmental, and political areas, most of these threats seem temporary or have gone on long enough for BlackRock to have a better understanding of the potential repercussions. The most significant opportunities that BlackRock is facing deal with AI and the prevalence of big data. BlackRock has already invested significant capital in research into these areas and the utilization of this technology will allow BlackRock to make more informed decisions by being able to process more information in less time than a human manager or advisor could do. This will help the shifting sociocultural preferences towards automated online investments as AI will be able to scrape data and automatically make informed decisions for an investor. BlackRock will likely see a decreased amount of investment by retail investors as interest rates and inflation remain high as people can invest in less risky options for a similar return. Also, as the demographic shifts towards an elderly population, </w:t>
      </w:r>
      <w:r>
        <w:rPr>
          <w:rFonts w:ascii="Times New Roman" w:eastAsia="Times New Roman" w:hAnsi="Times New Roman" w:cs="Times New Roman"/>
        </w:rPr>
        <w:lastRenderedPageBreak/>
        <w:t xml:space="preserve">BlackRock will see investors shift to less risky, passive investment strategies for retirement. While inflation and interest rates are a threat for BlackRock, these measures seem likely to continue a downward trend in the future which will greatly help BlackRock see a return of their customer base. In addition, tax cuts will put more money back into the investor's pocket which will help BlackRock’s assets under management. The biggest threats BlackRock faces are environmental and global tensions, especially the tariffs and regional wars. With BlackRock being a global investment firm with operations in 38 countries, they are vulnerable to regional wars, tariffs, or natural disasters that could affect supply chains. However, being the largest asset management firm globally has helped them reduce the volatility they see overall as they have diversified their investments to reduce the fluctuations overall from regional and global disruptions. In conclusion, the recent technological boom has provided for BlackRock to continue to be an innovative investment firm integrating AI with their Aladdin program allowing them to use more data to effectively decide what investment strategies are best given the threats they face in the economic, environmental, and political sectors. </w:t>
      </w:r>
    </w:p>
    <w:p w14:paraId="03AD98DF" w14:textId="77777777" w:rsidR="00A352B4" w:rsidRDefault="00A352B4">
      <w:pPr>
        <w:rPr>
          <w:rFonts w:ascii="Times New Roman" w:eastAsia="Times New Roman" w:hAnsi="Times New Roman" w:cs="Times New Roman"/>
        </w:rPr>
      </w:pPr>
    </w:p>
    <w:p w14:paraId="35CE48A0"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Five Forces Analysis</w:t>
      </w:r>
    </w:p>
    <w:p w14:paraId="45C50302"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The Five Forces analysis helps managers understand the major participants like the suppliers, buyers, competitors, entrants, products of an industry and how they affect the product potential of that industry by identifying low, moderate, or high areas of power within a force. Using this analysis identifies ways a business could increase its profit potential in comparison to other participants. Profit is not only generated between competitors but also by creating value with other industry competitors like suppliers and buyers.</w:t>
      </w:r>
    </w:p>
    <w:p w14:paraId="3211383F" w14:textId="77777777" w:rsidR="00A352B4" w:rsidRDefault="00A352B4">
      <w:pPr>
        <w:rPr>
          <w:rFonts w:ascii="Times New Roman" w:eastAsia="Times New Roman" w:hAnsi="Times New Roman" w:cs="Times New Roman"/>
          <w:b/>
        </w:rPr>
      </w:pPr>
    </w:p>
    <w:p w14:paraId="59A79E87"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BlackRock’s Five Forces Analysis</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52B4" w14:paraId="2B7FD8CA" w14:textId="77777777">
        <w:tc>
          <w:tcPr>
            <w:tcW w:w="9360" w:type="dxa"/>
            <w:shd w:val="clear" w:color="auto" w:fill="auto"/>
            <w:tcMar>
              <w:top w:w="100" w:type="dxa"/>
              <w:left w:w="100" w:type="dxa"/>
              <w:bottom w:w="100" w:type="dxa"/>
              <w:right w:w="100" w:type="dxa"/>
            </w:tcMar>
          </w:tcPr>
          <w:p w14:paraId="0E79927D"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Negotiating Power of Suppliers (Low)</w:t>
            </w:r>
          </w:p>
          <w:p w14:paraId="68F57909" w14:textId="77777777" w:rsidR="00A352B4" w:rsidRDefault="00000000">
            <w:pPr>
              <w:widowControl w:val="0"/>
              <w:numPr>
                <w:ilvl w:val="0"/>
                <w:numId w:val="20"/>
              </w:numPr>
              <w:spacing w:line="240" w:lineRule="auto"/>
              <w:rPr>
                <w:rFonts w:ascii="Times New Roman" w:eastAsia="Times New Roman" w:hAnsi="Times New Roman" w:cs="Times New Roman"/>
              </w:rPr>
            </w:pPr>
            <w:r>
              <w:rPr>
                <w:rFonts w:ascii="Times New Roman" w:eastAsia="Times New Roman" w:hAnsi="Times New Roman" w:cs="Times New Roman"/>
              </w:rPr>
              <w:t>Low supplier concentration</w:t>
            </w:r>
            <w:r>
              <w:rPr>
                <w:rFonts w:ascii="Times New Roman" w:eastAsia="Times New Roman" w:hAnsi="Times New Roman" w:cs="Times New Roman"/>
                <w:vertAlign w:val="superscript"/>
              </w:rPr>
              <w:t xml:space="preserve">22, 28  </w:t>
            </w:r>
            <w:r>
              <w:rPr>
                <w:rFonts w:ascii="Times New Roman" w:eastAsia="Times New Roman" w:hAnsi="Times New Roman" w:cs="Times New Roman"/>
              </w:rPr>
              <w:t xml:space="preserve"> </w:t>
            </w:r>
          </w:p>
          <w:p w14:paraId="2C312DE1" w14:textId="77777777" w:rsidR="00A352B4" w:rsidRDefault="00000000">
            <w:pPr>
              <w:widowControl w:val="0"/>
              <w:numPr>
                <w:ilvl w:val="0"/>
                <w:numId w:val="20"/>
              </w:numPr>
              <w:spacing w:line="240" w:lineRule="auto"/>
              <w:rPr>
                <w:rFonts w:ascii="Times New Roman" w:eastAsia="Times New Roman" w:hAnsi="Times New Roman" w:cs="Times New Roman"/>
              </w:rPr>
            </w:pPr>
            <w:r>
              <w:rPr>
                <w:rFonts w:ascii="Times New Roman" w:eastAsia="Times New Roman" w:hAnsi="Times New Roman" w:cs="Times New Roman"/>
              </w:rPr>
              <w:t>Low differentiation of inputs</w:t>
            </w:r>
            <w:r>
              <w:rPr>
                <w:rFonts w:ascii="Times New Roman" w:eastAsia="Times New Roman" w:hAnsi="Times New Roman" w:cs="Times New Roman"/>
                <w:vertAlign w:val="superscript"/>
              </w:rPr>
              <w:t>22, 41</w:t>
            </w:r>
            <w:r>
              <w:rPr>
                <w:rFonts w:ascii="Times New Roman" w:eastAsia="Times New Roman" w:hAnsi="Times New Roman" w:cs="Times New Roman"/>
              </w:rPr>
              <w:t xml:space="preserve"> </w:t>
            </w:r>
          </w:p>
          <w:p w14:paraId="75B9E1E2" w14:textId="77777777" w:rsidR="00A352B4" w:rsidRDefault="00000000">
            <w:pPr>
              <w:widowControl w:val="0"/>
              <w:numPr>
                <w:ilvl w:val="0"/>
                <w:numId w:val="20"/>
              </w:numPr>
              <w:spacing w:line="240" w:lineRule="auto"/>
              <w:rPr>
                <w:rFonts w:ascii="Times New Roman" w:eastAsia="Times New Roman" w:hAnsi="Times New Roman" w:cs="Times New Roman"/>
              </w:rPr>
            </w:pPr>
            <w:r>
              <w:rPr>
                <w:rFonts w:ascii="Times New Roman" w:eastAsia="Times New Roman" w:hAnsi="Times New Roman" w:cs="Times New Roman"/>
              </w:rPr>
              <w:t>Low switching costs to different suppliers</w:t>
            </w:r>
            <w:r>
              <w:rPr>
                <w:rFonts w:ascii="Times New Roman" w:eastAsia="Times New Roman" w:hAnsi="Times New Roman" w:cs="Times New Roman"/>
                <w:vertAlign w:val="superscript"/>
              </w:rPr>
              <w:t>22, 41</w:t>
            </w:r>
          </w:p>
          <w:p w14:paraId="771B9070" w14:textId="77777777" w:rsidR="00A352B4" w:rsidRDefault="00000000">
            <w:pPr>
              <w:widowControl w:val="0"/>
              <w:numPr>
                <w:ilvl w:val="0"/>
                <w:numId w:val="20"/>
              </w:numPr>
              <w:spacing w:line="240" w:lineRule="auto"/>
              <w:rPr>
                <w:rFonts w:ascii="Times New Roman" w:eastAsia="Times New Roman" w:hAnsi="Times New Roman" w:cs="Times New Roman"/>
              </w:rPr>
            </w:pPr>
            <w:r>
              <w:rPr>
                <w:rFonts w:ascii="Times New Roman" w:eastAsia="Times New Roman" w:hAnsi="Times New Roman" w:cs="Times New Roman"/>
              </w:rPr>
              <w:t>High levels of substitute inputs</w:t>
            </w:r>
            <w:r>
              <w:rPr>
                <w:rFonts w:ascii="Times New Roman" w:eastAsia="Times New Roman" w:hAnsi="Times New Roman" w:cs="Times New Roman"/>
                <w:vertAlign w:val="superscript"/>
              </w:rPr>
              <w:t>22, 41</w:t>
            </w:r>
            <w:r>
              <w:rPr>
                <w:rFonts w:ascii="Times New Roman" w:eastAsia="Times New Roman" w:hAnsi="Times New Roman" w:cs="Times New Roman"/>
              </w:rPr>
              <w:t xml:space="preserve"> </w:t>
            </w:r>
          </w:p>
          <w:p w14:paraId="778103E8" w14:textId="77777777" w:rsidR="00A352B4" w:rsidRDefault="00000000">
            <w:pPr>
              <w:widowControl w:val="0"/>
              <w:numPr>
                <w:ilvl w:val="0"/>
                <w:numId w:val="20"/>
              </w:numPr>
              <w:spacing w:line="240" w:lineRule="auto"/>
              <w:rPr>
                <w:rFonts w:ascii="Times New Roman" w:eastAsia="Times New Roman" w:hAnsi="Times New Roman" w:cs="Times New Roman"/>
              </w:rPr>
            </w:pPr>
            <w:r>
              <w:rPr>
                <w:rFonts w:ascii="Times New Roman" w:eastAsia="Times New Roman" w:hAnsi="Times New Roman" w:cs="Times New Roman"/>
              </w:rPr>
              <w:t>Low threats of forward integration by suppliers</w:t>
            </w:r>
            <w:r>
              <w:rPr>
                <w:rFonts w:ascii="Times New Roman" w:eastAsia="Times New Roman" w:hAnsi="Times New Roman" w:cs="Times New Roman"/>
                <w:vertAlign w:val="superscript"/>
              </w:rPr>
              <w:t>22, 20</w:t>
            </w:r>
            <w:r>
              <w:rPr>
                <w:rFonts w:ascii="Times New Roman" w:eastAsia="Times New Roman" w:hAnsi="Times New Roman" w:cs="Times New Roman"/>
              </w:rPr>
              <w:t xml:space="preserve"> </w:t>
            </w:r>
          </w:p>
        </w:tc>
      </w:tr>
      <w:tr w:rsidR="00A352B4" w14:paraId="0DF2951D" w14:textId="77777777">
        <w:tc>
          <w:tcPr>
            <w:tcW w:w="9360" w:type="dxa"/>
            <w:shd w:val="clear" w:color="auto" w:fill="auto"/>
            <w:tcMar>
              <w:top w:w="100" w:type="dxa"/>
              <w:left w:w="100" w:type="dxa"/>
              <w:bottom w:w="100" w:type="dxa"/>
              <w:right w:w="100" w:type="dxa"/>
            </w:tcMar>
          </w:tcPr>
          <w:p w14:paraId="62AC7A73"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Negotiating Power of Buyers (High)</w:t>
            </w:r>
          </w:p>
          <w:p w14:paraId="0DE2690B"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High buyer volumes</w:t>
            </w:r>
            <w:r>
              <w:rPr>
                <w:rFonts w:ascii="Times New Roman" w:eastAsia="Times New Roman" w:hAnsi="Times New Roman" w:cs="Times New Roman"/>
                <w:vertAlign w:val="superscript"/>
              </w:rPr>
              <w:t>6, 2</w:t>
            </w:r>
          </w:p>
          <w:p w14:paraId="41E4879D"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Low buyer switching costs</w:t>
            </w:r>
            <w:r>
              <w:rPr>
                <w:rFonts w:ascii="Times New Roman" w:eastAsia="Times New Roman" w:hAnsi="Times New Roman" w:cs="Times New Roman"/>
                <w:vertAlign w:val="superscript"/>
              </w:rPr>
              <w:t>2, 15</w:t>
            </w:r>
            <w:r>
              <w:rPr>
                <w:rFonts w:ascii="Times New Roman" w:eastAsia="Times New Roman" w:hAnsi="Times New Roman" w:cs="Times New Roman"/>
              </w:rPr>
              <w:t xml:space="preserve"> </w:t>
            </w:r>
          </w:p>
          <w:p w14:paraId="773369D9"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High information available to buyers</w:t>
            </w:r>
            <w:r>
              <w:rPr>
                <w:rFonts w:ascii="Times New Roman" w:eastAsia="Times New Roman" w:hAnsi="Times New Roman" w:cs="Times New Roman"/>
                <w:vertAlign w:val="superscript"/>
              </w:rPr>
              <w:t xml:space="preserve">5, 9 </w:t>
            </w:r>
            <w:r>
              <w:rPr>
                <w:rFonts w:ascii="Times New Roman" w:eastAsia="Times New Roman" w:hAnsi="Times New Roman" w:cs="Times New Roman"/>
              </w:rPr>
              <w:t xml:space="preserve"> </w:t>
            </w:r>
          </w:p>
          <w:p w14:paraId="0A70A58B"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High seller dependence on buyers</w:t>
            </w:r>
            <w:r>
              <w:rPr>
                <w:rFonts w:ascii="Times New Roman" w:eastAsia="Times New Roman" w:hAnsi="Times New Roman" w:cs="Times New Roman"/>
                <w:vertAlign w:val="superscript"/>
              </w:rPr>
              <w:t xml:space="preserve">6, 2 </w:t>
            </w:r>
            <w:r>
              <w:rPr>
                <w:rFonts w:ascii="Times New Roman" w:eastAsia="Times New Roman" w:hAnsi="Times New Roman" w:cs="Times New Roman"/>
              </w:rPr>
              <w:t xml:space="preserve"> </w:t>
            </w:r>
          </w:p>
          <w:p w14:paraId="1E8B74C7"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Low threat of backward integration by buyers</w:t>
            </w:r>
            <w:r>
              <w:rPr>
                <w:rFonts w:ascii="Times New Roman" w:eastAsia="Times New Roman" w:hAnsi="Times New Roman" w:cs="Times New Roman"/>
                <w:vertAlign w:val="superscript"/>
              </w:rPr>
              <w:t>6, 2</w:t>
            </w:r>
          </w:p>
          <w:p w14:paraId="670BC15E"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Low levels of product differentiation</w:t>
            </w:r>
            <w:r>
              <w:rPr>
                <w:rFonts w:ascii="Times New Roman" w:eastAsia="Times New Roman" w:hAnsi="Times New Roman" w:cs="Times New Roman"/>
                <w:vertAlign w:val="superscript"/>
              </w:rPr>
              <w:t>22, 35</w:t>
            </w:r>
            <w:r>
              <w:rPr>
                <w:rFonts w:ascii="Times New Roman" w:eastAsia="Times New Roman" w:hAnsi="Times New Roman" w:cs="Times New Roman"/>
              </w:rPr>
              <w:t xml:space="preserve"> </w:t>
            </w:r>
          </w:p>
          <w:p w14:paraId="49063380" w14:textId="77777777" w:rsidR="00A352B4" w:rsidRDefault="00000000">
            <w:pPr>
              <w:widowControl w:val="0"/>
              <w:numPr>
                <w:ilvl w:val="0"/>
                <w:numId w:val="21"/>
              </w:numPr>
              <w:spacing w:line="240" w:lineRule="auto"/>
              <w:rPr>
                <w:rFonts w:ascii="Times New Roman" w:eastAsia="Times New Roman" w:hAnsi="Times New Roman" w:cs="Times New Roman"/>
              </w:rPr>
            </w:pPr>
            <w:r>
              <w:rPr>
                <w:rFonts w:ascii="Times New Roman" w:eastAsia="Times New Roman" w:hAnsi="Times New Roman" w:cs="Times New Roman"/>
              </w:rPr>
              <w:t>Substitute products available to buyers</w:t>
            </w:r>
            <w:r>
              <w:rPr>
                <w:rFonts w:ascii="Times New Roman" w:eastAsia="Times New Roman" w:hAnsi="Times New Roman" w:cs="Times New Roman"/>
                <w:vertAlign w:val="superscript"/>
              </w:rPr>
              <w:t>22, 35</w:t>
            </w:r>
            <w:r>
              <w:rPr>
                <w:rFonts w:ascii="Times New Roman" w:eastAsia="Times New Roman" w:hAnsi="Times New Roman" w:cs="Times New Roman"/>
              </w:rPr>
              <w:t xml:space="preserve"> </w:t>
            </w:r>
          </w:p>
        </w:tc>
      </w:tr>
      <w:tr w:rsidR="00A352B4" w14:paraId="54C65AA2" w14:textId="77777777">
        <w:tc>
          <w:tcPr>
            <w:tcW w:w="9360" w:type="dxa"/>
            <w:shd w:val="clear" w:color="auto" w:fill="auto"/>
            <w:tcMar>
              <w:top w:w="100" w:type="dxa"/>
              <w:left w:w="100" w:type="dxa"/>
              <w:bottom w:w="100" w:type="dxa"/>
              <w:right w:w="100" w:type="dxa"/>
            </w:tcMar>
          </w:tcPr>
          <w:p w14:paraId="2E4F2452"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Level of Rivalry Between Competitors (High)</w:t>
            </w:r>
          </w:p>
          <w:p w14:paraId="2D312CC4"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High exit barriers in the industry</w:t>
            </w:r>
            <w:r>
              <w:rPr>
                <w:rFonts w:ascii="Times New Roman" w:eastAsia="Times New Roman" w:hAnsi="Times New Roman" w:cs="Times New Roman"/>
                <w:vertAlign w:val="superscript"/>
              </w:rPr>
              <w:t>5, 9</w:t>
            </w:r>
            <w:r>
              <w:rPr>
                <w:rFonts w:ascii="Times New Roman" w:eastAsia="Times New Roman" w:hAnsi="Times New Roman" w:cs="Times New Roman"/>
              </w:rPr>
              <w:t xml:space="preserve"> </w:t>
            </w:r>
          </w:p>
          <w:p w14:paraId="528F1FE9"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High levels of industry concentration</w:t>
            </w:r>
            <w:r>
              <w:rPr>
                <w:rFonts w:ascii="Times New Roman" w:eastAsia="Times New Roman" w:hAnsi="Times New Roman" w:cs="Times New Roman"/>
                <w:vertAlign w:val="superscript"/>
              </w:rPr>
              <w:t>2, 20</w:t>
            </w:r>
            <w:r>
              <w:rPr>
                <w:rFonts w:ascii="Times New Roman" w:eastAsia="Times New Roman" w:hAnsi="Times New Roman" w:cs="Times New Roman"/>
              </w:rPr>
              <w:t xml:space="preserve"> </w:t>
            </w:r>
          </w:p>
          <w:p w14:paraId="57C81D23"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High fixed costs to operate</w:t>
            </w:r>
            <w:r>
              <w:rPr>
                <w:rFonts w:ascii="Times New Roman" w:eastAsia="Times New Roman" w:hAnsi="Times New Roman" w:cs="Times New Roman"/>
                <w:vertAlign w:val="superscript"/>
              </w:rPr>
              <w:t>4, 5</w:t>
            </w:r>
            <w:r>
              <w:rPr>
                <w:rFonts w:ascii="Times New Roman" w:eastAsia="Times New Roman" w:hAnsi="Times New Roman" w:cs="Times New Roman"/>
              </w:rPr>
              <w:t xml:space="preserve"> </w:t>
            </w:r>
          </w:p>
          <w:p w14:paraId="3312AC58"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High industry growth</w:t>
            </w:r>
            <w:r>
              <w:rPr>
                <w:rFonts w:ascii="Times New Roman" w:eastAsia="Times New Roman" w:hAnsi="Times New Roman" w:cs="Times New Roman"/>
                <w:vertAlign w:val="superscript"/>
              </w:rPr>
              <w:t>32. 44</w:t>
            </w:r>
            <w:r>
              <w:rPr>
                <w:rFonts w:ascii="Times New Roman" w:eastAsia="Times New Roman" w:hAnsi="Times New Roman" w:cs="Times New Roman"/>
              </w:rPr>
              <w:t xml:space="preserve"> </w:t>
            </w:r>
          </w:p>
          <w:p w14:paraId="6E6A83A2"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No overcapacity in the industry</w:t>
            </w:r>
            <w:r>
              <w:rPr>
                <w:rFonts w:ascii="Times New Roman" w:eastAsia="Times New Roman" w:hAnsi="Times New Roman" w:cs="Times New Roman"/>
                <w:vertAlign w:val="superscript"/>
              </w:rPr>
              <w:t>2, 3</w:t>
            </w:r>
            <w:r>
              <w:rPr>
                <w:rFonts w:ascii="Times New Roman" w:eastAsia="Times New Roman" w:hAnsi="Times New Roman" w:cs="Times New Roman"/>
              </w:rPr>
              <w:t xml:space="preserve"> </w:t>
            </w:r>
          </w:p>
          <w:p w14:paraId="0748CBA0"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Low product differences</w:t>
            </w:r>
            <w:r>
              <w:rPr>
                <w:rFonts w:ascii="Times New Roman" w:eastAsia="Times New Roman" w:hAnsi="Times New Roman" w:cs="Times New Roman"/>
                <w:vertAlign w:val="superscript"/>
              </w:rPr>
              <w:t>22, 35</w:t>
            </w:r>
            <w:r>
              <w:rPr>
                <w:rFonts w:ascii="Times New Roman" w:eastAsia="Times New Roman" w:hAnsi="Times New Roman" w:cs="Times New Roman"/>
              </w:rPr>
              <w:t xml:space="preserve"> </w:t>
            </w:r>
          </w:p>
          <w:p w14:paraId="0EB870A6" w14:textId="77777777" w:rsidR="00A352B4" w:rsidRDefault="00000000">
            <w:pPr>
              <w:widowControl w:val="0"/>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Low switching costs for buyers</w:t>
            </w:r>
            <w:r>
              <w:rPr>
                <w:rFonts w:ascii="Times New Roman" w:eastAsia="Times New Roman" w:hAnsi="Times New Roman" w:cs="Times New Roman"/>
                <w:vertAlign w:val="superscript"/>
              </w:rPr>
              <w:t>7, 15</w:t>
            </w:r>
            <w:r>
              <w:rPr>
                <w:rFonts w:ascii="Times New Roman" w:eastAsia="Times New Roman" w:hAnsi="Times New Roman" w:cs="Times New Roman"/>
              </w:rPr>
              <w:t xml:space="preserve"> </w:t>
            </w:r>
          </w:p>
        </w:tc>
      </w:tr>
      <w:tr w:rsidR="00A352B4" w14:paraId="53E4D864" w14:textId="77777777">
        <w:tc>
          <w:tcPr>
            <w:tcW w:w="9360" w:type="dxa"/>
            <w:shd w:val="clear" w:color="auto" w:fill="auto"/>
            <w:tcMar>
              <w:top w:w="100" w:type="dxa"/>
              <w:left w:w="100" w:type="dxa"/>
              <w:bottom w:w="100" w:type="dxa"/>
              <w:right w:w="100" w:type="dxa"/>
            </w:tcMar>
          </w:tcPr>
          <w:p w14:paraId="588FD9E2"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Threat of New Entrants (Moderate)</w:t>
            </w:r>
          </w:p>
          <w:p w14:paraId="21A6958F"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High economies of scale within the industry</w:t>
            </w:r>
            <w:r>
              <w:rPr>
                <w:rFonts w:ascii="Times New Roman" w:eastAsia="Times New Roman" w:hAnsi="Times New Roman" w:cs="Times New Roman"/>
                <w:vertAlign w:val="superscript"/>
              </w:rPr>
              <w:t>9, 19</w:t>
            </w:r>
            <w:r>
              <w:rPr>
                <w:rFonts w:ascii="Times New Roman" w:eastAsia="Times New Roman" w:hAnsi="Times New Roman" w:cs="Times New Roman"/>
              </w:rPr>
              <w:t xml:space="preserve"> </w:t>
            </w:r>
          </w:p>
          <w:p w14:paraId="0EC45C5A"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High brand equity</w:t>
            </w:r>
            <w:r>
              <w:rPr>
                <w:rFonts w:ascii="Times New Roman" w:eastAsia="Times New Roman" w:hAnsi="Times New Roman" w:cs="Times New Roman"/>
                <w:vertAlign w:val="superscript"/>
              </w:rPr>
              <w:t>6, 9</w:t>
            </w:r>
            <w:r>
              <w:rPr>
                <w:rFonts w:ascii="Times New Roman" w:eastAsia="Times New Roman" w:hAnsi="Times New Roman" w:cs="Times New Roman"/>
              </w:rPr>
              <w:t xml:space="preserve"> </w:t>
            </w:r>
          </w:p>
          <w:p w14:paraId="1E17B486"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High capital requirements</w:t>
            </w:r>
            <w:r>
              <w:rPr>
                <w:rFonts w:ascii="Times New Roman" w:eastAsia="Times New Roman" w:hAnsi="Times New Roman" w:cs="Times New Roman"/>
                <w:vertAlign w:val="superscript"/>
              </w:rPr>
              <w:t>23, 17</w:t>
            </w:r>
          </w:p>
          <w:p w14:paraId="0E754BA1"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Low switching costs for buyers</w:t>
            </w:r>
            <w:r>
              <w:rPr>
                <w:rFonts w:ascii="Times New Roman" w:eastAsia="Times New Roman" w:hAnsi="Times New Roman" w:cs="Times New Roman"/>
                <w:vertAlign w:val="superscript"/>
              </w:rPr>
              <w:t>2, 15</w:t>
            </w:r>
            <w:r>
              <w:rPr>
                <w:rFonts w:ascii="Times New Roman" w:eastAsia="Times New Roman" w:hAnsi="Times New Roman" w:cs="Times New Roman"/>
              </w:rPr>
              <w:t xml:space="preserve"> </w:t>
            </w:r>
          </w:p>
          <w:p w14:paraId="44E315E3"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Easy access to distribution channels</w:t>
            </w:r>
            <w:r>
              <w:rPr>
                <w:rFonts w:ascii="Times New Roman" w:eastAsia="Times New Roman" w:hAnsi="Times New Roman" w:cs="Times New Roman"/>
                <w:vertAlign w:val="superscript"/>
              </w:rPr>
              <w:t>36, 37</w:t>
            </w:r>
            <w:r>
              <w:rPr>
                <w:rFonts w:ascii="Times New Roman" w:eastAsia="Times New Roman" w:hAnsi="Times New Roman" w:cs="Times New Roman"/>
              </w:rPr>
              <w:t xml:space="preserve"> </w:t>
            </w:r>
          </w:p>
          <w:p w14:paraId="56CB7A5C"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Some government policies restrict industry</w:t>
            </w:r>
            <w:r>
              <w:rPr>
                <w:rFonts w:ascii="Times New Roman" w:eastAsia="Times New Roman" w:hAnsi="Times New Roman" w:cs="Times New Roman"/>
                <w:vertAlign w:val="superscript"/>
              </w:rPr>
              <w:t>25, 33</w:t>
            </w:r>
            <w:r>
              <w:rPr>
                <w:rFonts w:ascii="Times New Roman" w:eastAsia="Times New Roman" w:hAnsi="Times New Roman" w:cs="Times New Roman"/>
              </w:rPr>
              <w:t xml:space="preserve"> </w:t>
            </w:r>
          </w:p>
          <w:p w14:paraId="5721ED8B"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Easy access to necessary inputs</w:t>
            </w:r>
            <w:r>
              <w:rPr>
                <w:rFonts w:ascii="Times New Roman" w:eastAsia="Times New Roman" w:hAnsi="Times New Roman" w:cs="Times New Roman"/>
                <w:vertAlign w:val="superscript"/>
              </w:rPr>
              <w:t>28, 22</w:t>
            </w:r>
            <w:r>
              <w:rPr>
                <w:rFonts w:ascii="Times New Roman" w:eastAsia="Times New Roman" w:hAnsi="Times New Roman" w:cs="Times New Roman"/>
              </w:rPr>
              <w:t xml:space="preserve"> </w:t>
            </w:r>
          </w:p>
          <w:p w14:paraId="4BA2CA55"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Limited learning curve benefits for incumbents</w:t>
            </w:r>
            <w:r>
              <w:rPr>
                <w:rFonts w:ascii="Times New Roman" w:eastAsia="Times New Roman" w:hAnsi="Times New Roman" w:cs="Times New Roman"/>
                <w:vertAlign w:val="superscript"/>
              </w:rPr>
              <w:t>4, 17</w:t>
            </w:r>
          </w:p>
          <w:p w14:paraId="3F38FABE"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Limited expected retaliation from incumbents</w:t>
            </w:r>
            <w:r>
              <w:rPr>
                <w:rFonts w:ascii="Times New Roman" w:eastAsia="Times New Roman" w:hAnsi="Times New Roman" w:cs="Times New Roman"/>
                <w:vertAlign w:val="superscript"/>
              </w:rPr>
              <w:t>2, 36</w:t>
            </w:r>
            <w:r>
              <w:rPr>
                <w:rFonts w:ascii="Times New Roman" w:eastAsia="Times New Roman" w:hAnsi="Times New Roman" w:cs="Times New Roman"/>
              </w:rPr>
              <w:t xml:space="preserve"> </w:t>
            </w:r>
          </w:p>
          <w:p w14:paraId="07F81907" w14:textId="77777777" w:rsidR="00A352B4" w:rsidRDefault="00000000">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Limited patent and trademark protection</w:t>
            </w:r>
            <w:r>
              <w:rPr>
                <w:rFonts w:ascii="Times New Roman" w:eastAsia="Times New Roman" w:hAnsi="Times New Roman" w:cs="Times New Roman"/>
                <w:vertAlign w:val="superscript"/>
              </w:rPr>
              <w:t>22, 4</w:t>
            </w:r>
            <w:r>
              <w:rPr>
                <w:rFonts w:ascii="Times New Roman" w:eastAsia="Times New Roman" w:hAnsi="Times New Roman" w:cs="Times New Roman"/>
              </w:rPr>
              <w:t xml:space="preserve"> </w:t>
            </w:r>
          </w:p>
        </w:tc>
      </w:tr>
      <w:tr w:rsidR="00A352B4" w14:paraId="147EACC3" w14:textId="77777777">
        <w:tc>
          <w:tcPr>
            <w:tcW w:w="9360" w:type="dxa"/>
            <w:shd w:val="clear" w:color="auto" w:fill="auto"/>
            <w:tcMar>
              <w:top w:w="100" w:type="dxa"/>
              <w:left w:w="100" w:type="dxa"/>
              <w:bottom w:w="100" w:type="dxa"/>
              <w:right w:w="100" w:type="dxa"/>
            </w:tcMar>
          </w:tcPr>
          <w:p w14:paraId="0D4E4CAC"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Threat of Substitute Products (High)</w:t>
            </w:r>
          </w:p>
          <w:p w14:paraId="0FE01BE2" w14:textId="77777777" w:rsidR="00A352B4" w:rsidRDefault="00000000">
            <w:pPr>
              <w:widowControl w:val="0"/>
              <w:numPr>
                <w:ilvl w:val="0"/>
                <w:numId w:val="17"/>
              </w:numPr>
              <w:spacing w:line="240" w:lineRule="auto"/>
              <w:rPr>
                <w:rFonts w:ascii="Times New Roman" w:eastAsia="Times New Roman" w:hAnsi="Times New Roman" w:cs="Times New Roman"/>
              </w:rPr>
            </w:pPr>
            <w:r>
              <w:rPr>
                <w:rFonts w:ascii="Times New Roman" w:eastAsia="Times New Roman" w:hAnsi="Times New Roman" w:cs="Times New Roman"/>
              </w:rPr>
              <w:t>Low switching costs</w:t>
            </w:r>
            <w:r>
              <w:rPr>
                <w:rFonts w:ascii="Times New Roman" w:eastAsia="Times New Roman" w:hAnsi="Times New Roman" w:cs="Times New Roman"/>
                <w:vertAlign w:val="superscript"/>
              </w:rPr>
              <w:t xml:space="preserve">15, 7 </w:t>
            </w:r>
            <w:r>
              <w:rPr>
                <w:rFonts w:ascii="Times New Roman" w:eastAsia="Times New Roman" w:hAnsi="Times New Roman" w:cs="Times New Roman"/>
              </w:rPr>
              <w:t xml:space="preserve"> </w:t>
            </w:r>
          </w:p>
          <w:p w14:paraId="239A65D3" w14:textId="77777777" w:rsidR="00A352B4" w:rsidRDefault="00000000">
            <w:pPr>
              <w:widowControl w:val="0"/>
              <w:numPr>
                <w:ilvl w:val="0"/>
                <w:numId w:val="17"/>
              </w:numPr>
              <w:spacing w:line="240" w:lineRule="auto"/>
              <w:rPr>
                <w:rFonts w:ascii="Times New Roman" w:eastAsia="Times New Roman" w:hAnsi="Times New Roman" w:cs="Times New Roman"/>
              </w:rPr>
            </w:pPr>
            <w:r>
              <w:rPr>
                <w:rFonts w:ascii="Times New Roman" w:eastAsia="Times New Roman" w:hAnsi="Times New Roman" w:cs="Times New Roman"/>
              </w:rPr>
              <w:t>High buyer inclination to substitute</w:t>
            </w:r>
            <w:r>
              <w:rPr>
                <w:rFonts w:ascii="Times New Roman" w:eastAsia="Times New Roman" w:hAnsi="Times New Roman" w:cs="Times New Roman"/>
                <w:vertAlign w:val="superscript"/>
              </w:rPr>
              <w:t>25, 26</w:t>
            </w:r>
          </w:p>
          <w:p w14:paraId="75411662" w14:textId="77777777" w:rsidR="00A352B4" w:rsidRDefault="00000000">
            <w:pPr>
              <w:widowControl w:val="0"/>
              <w:numPr>
                <w:ilvl w:val="0"/>
                <w:numId w:val="17"/>
              </w:numPr>
              <w:spacing w:line="240" w:lineRule="auto"/>
              <w:rPr>
                <w:rFonts w:ascii="Times New Roman" w:eastAsia="Times New Roman" w:hAnsi="Times New Roman" w:cs="Times New Roman"/>
              </w:rPr>
            </w:pPr>
            <w:r>
              <w:rPr>
                <w:rFonts w:ascii="Times New Roman" w:eastAsia="Times New Roman" w:hAnsi="Times New Roman" w:cs="Times New Roman"/>
              </w:rPr>
              <w:t>Low price-performance tradeoff</w:t>
            </w:r>
            <w:r>
              <w:rPr>
                <w:rFonts w:ascii="Times New Roman" w:eastAsia="Times New Roman" w:hAnsi="Times New Roman" w:cs="Times New Roman"/>
                <w:vertAlign w:val="superscript"/>
              </w:rPr>
              <w:t>15, 3</w:t>
            </w:r>
          </w:p>
          <w:p w14:paraId="5D04996C" w14:textId="77777777" w:rsidR="00A352B4" w:rsidRDefault="00000000">
            <w:pPr>
              <w:widowControl w:val="0"/>
              <w:numPr>
                <w:ilvl w:val="0"/>
                <w:numId w:val="17"/>
              </w:numPr>
              <w:spacing w:line="240" w:lineRule="auto"/>
              <w:rPr>
                <w:rFonts w:ascii="Times New Roman" w:eastAsia="Times New Roman" w:hAnsi="Times New Roman" w:cs="Times New Roman"/>
              </w:rPr>
            </w:pPr>
            <w:r>
              <w:rPr>
                <w:rFonts w:ascii="Times New Roman" w:eastAsia="Times New Roman" w:hAnsi="Times New Roman" w:cs="Times New Roman"/>
              </w:rPr>
              <w:t>Easy ability to substitute</w:t>
            </w:r>
            <w:r>
              <w:rPr>
                <w:rFonts w:ascii="Times New Roman" w:eastAsia="Times New Roman" w:hAnsi="Times New Roman" w:cs="Times New Roman"/>
                <w:vertAlign w:val="superscript"/>
              </w:rPr>
              <w:t>25, 26</w:t>
            </w:r>
            <w:r>
              <w:rPr>
                <w:rFonts w:ascii="Times New Roman" w:eastAsia="Times New Roman" w:hAnsi="Times New Roman" w:cs="Times New Roman"/>
              </w:rPr>
              <w:t xml:space="preserve"> </w:t>
            </w:r>
          </w:p>
        </w:tc>
      </w:tr>
    </w:tbl>
    <w:p w14:paraId="5AB6773A" w14:textId="77777777" w:rsidR="00A352B4" w:rsidRDefault="00A352B4">
      <w:pPr>
        <w:rPr>
          <w:rFonts w:ascii="Times New Roman" w:eastAsia="Times New Roman" w:hAnsi="Times New Roman" w:cs="Times New Roman"/>
        </w:rPr>
      </w:pPr>
    </w:p>
    <w:p w14:paraId="2508C35D"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The Five Forces analysis focuses on five external factors to the firm and how these factors affect the profit potential of the industry. For each, research was completed to determine whether each bullet point increases or decreases the overall force to low, moderate, or high. Research was done for each bullet point to decide how each factor contributed to the investment and asset management industry. In this industry, there is low negotiating power of suppliers because there are many suppliers of investment opportunities like stocks, bonds, and commodities, ample substitutes for BlackRock’s inputs, and low threat of forward integration by suppliers given BlackRock’s large economies of scale. The negotiating power of buyers is high based on the high buyer volume in the asset management industry, low switching costs, BlackRock’s dependence on investors, and the availability of similar investment products. While BlackRock does not face backward integration by buyers because of their economies of scale, this does not reduce buyers enough to lower the level to moderate. The rivalry between competitors is high because there are high investments to enter and operate in the industry and few major players in the industry with similar products. The threat of new entrants is moderate. While large investments are needed in brand equity and infrastructure, the limited patents, retaliation, and low switching costs for buyers increase this force to a moderate level. The threat of substitutes is high because of the low switching costs and the recent rise of personal investment platforms that allow investors to substitute easily. The overall trend of these forces being on a higher level lowers the industry profit potential for the asset management industry.</w:t>
      </w:r>
    </w:p>
    <w:p w14:paraId="5C3B91B6" w14:textId="77777777" w:rsidR="00A352B4" w:rsidRDefault="00A352B4">
      <w:pPr>
        <w:rPr>
          <w:rFonts w:ascii="Times New Roman" w:eastAsia="Times New Roman" w:hAnsi="Times New Roman" w:cs="Times New Roman"/>
        </w:rPr>
      </w:pPr>
    </w:p>
    <w:p w14:paraId="7451E588"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Based on this Five Forces Analysis for BlackRock, the investment and asset management industry appears to be a place where it is somewhat difficult to constantly improve profits.  Even though its suppliers have relatively low negotiating power, buyers have a lot of power, there is a very high rivalry between competitors, a decent threat of new entrants to the market, and a very high threat of substitute products. BlackRock is fortunate that its suppliers do not have too much negotiating power. The company is free to openly and easily make its portfolios with a variety of security types. In addition, they </w:t>
      </w:r>
      <w:proofErr w:type="gramStart"/>
      <w:r>
        <w:rPr>
          <w:rFonts w:ascii="Times New Roman" w:eastAsia="Times New Roman" w:hAnsi="Times New Roman" w:cs="Times New Roman"/>
        </w:rPr>
        <w:t>are able to</w:t>
      </w:r>
      <w:proofErr w:type="gramEnd"/>
      <w:r>
        <w:rPr>
          <w:rFonts w:ascii="Times New Roman" w:eastAsia="Times New Roman" w:hAnsi="Times New Roman" w:cs="Times New Roman"/>
        </w:rPr>
        <w:t xml:space="preserve"> find competitive prices since the market is very saturated with similar securities. As a result, their profits are not going to be affected by any one specific supplier given that there are plenty of others to choose from and that prices are determined more by market factors rather than supplier power or preference. However, the rest of these forces impacting the finance industry </w:t>
      </w:r>
      <w:proofErr w:type="gramStart"/>
      <w:r>
        <w:rPr>
          <w:rFonts w:ascii="Times New Roman" w:eastAsia="Times New Roman" w:hAnsi="Times New Roman" w:cs="Times New Roman"/>
        </w:rPr>
        <w:t>as a whole do</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have an effect </w:t>
      </w:r>
      <w:r>
        <w:rPr>
          <w:rFonts w:ascii="Times New Roman" w:eastAsia="Times New Roman" w:hAnsi="Times New Roman" w:cs="Times New Roman"/>
        </w:rPr>
        <w:lastRenderedPageBreak/>
        <w:t>on</w:t>
      </w:r>
      <w:proofErr w:type="gramEnd"/>
      <w:r>
        <w:rPr>
          <w:rFonts w:ascii="Times New Roman" w:eastAsia="Times New Roman" w:hAnsi="Times New Roman" w:cs="Times New Roman"/>
        </w:rPr>
        <w:t xml:space="preserve"> the company’s ability to grow profits. The first is the fact that the buyers in the industry have a high ability to negotiate. Just like how BlackRock </w:t>
      </w:r>
      <w:proofErr w:type="gramStart"/>
      <w:r>
        <w:rPr>
          <w:rFonts w:ascii="Times New Roman" w:eastAsia="Times New Roman" w:hAnsi="Times New Roman" w:cs="Times New Roman"/>
        </w:rPr>
        <w:t>has the ability to</w:t>
      </w:r>
      <w:proofErr w:type="gramEnd"/>
      <w:r>
        <w:rPr>
          <w:rFonts w:ascii="Times New Roman" w:eastAsia="Times New Roman" w:hAnsi="Times New Roman" w:cs="Times New Roman"/>
        </w:rPr>
        <w:t xml:space="preserve"> go and find its supply just about anywhere in the market, buyers of financial products have that same capability and freedom.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stay competitive and profitable, BlackRock </w:t>
      </w:r>
      <w:proofErr w:type="gramStart"/>
      <w:r>
        <w:rPr>
          <w:rFonts w:ascii="Times New Roman" w:eastAsia="Times New Roman" w:hAnsi="Times New Roman" w:cs="Times New Roman"/>
        </w:rPr>
        <w:t>has to</w:t>
      </w:r>
      <w:proofErr w:type="gramEnd"/>
      <w:r>
        <w:rPr>
          <w:rFonts w:ascii="Times New Roman" w:eastAsia="Times New Roman" w:hAnsi="Times New Roman" w:cs="Times New Roman"/>
        </w:rPr>
        <w:t xml:space="preserve"> maintain a competitive advantage within its products and ensure that its price is deemed acceptable by </w:t>
      </w:r>
      <w:proofErr w:type="gramStart"/>
      <w:r>
        <w:rPr>
          <w:rFonts w:ascii="Times New Roman" w:eastAsia="Times New Roman" w:hAnsi="Times New Roman" w:cs="Times New Roman"/>
        </w:rPr>
        <w:t>the majority of</w:t>
      </w:r>
      <w:proofErr w:type="gramEnd"/>
      <w:r>
        <w:rPr>
          <w:rFonts w:ascii="Times New Roman" w:eastAsia="Times New Roman" w:hAnsi="Times New Roman" w:cs="Times New Roman"/>
        </w:rPr>
        <w:t xml:space="preserve"> the market, otherwise, they will lose demand and profits to competitors with more quality offerings or better prices. BlackRock is also in a very competitive industry with very high rivalry between competitors. Besides the real estate investments BlackRock has, the other investment types in their portfolios are available to competitors, and their competitors could theoretically produce similar portfolios and returns. This industry is also very concentrated, especially the established asset management firms. Higher competition means more fights for market share and thus profits, which could hurt BlackRock’s margins. The financial market itself is somewhat difficult to enter, as it requires a large amount of upfront capital investment and is already full of established companies with high economies of scale, but it is very much still a risk for BlackRock. The recent surge in popularity of apps like Robinhood attests to this which could pose a larger threat in the future as they continue to get more established in the market. However, given that there have not been too many major changes to the market in terms of the major competitors, we see this more as a moderate protector of BlackRock’s profits than a threat at this point. Finally, as mentioned earlier, there is a very high threat of substitute products. Given that many of their financial products are composed of publicly traded securities with readily available public information, BlackRock’s competitors can offer virtually the same products that BlackRock offers. To summarize, the industry profit potential of this industry is low as firms will have to sacrifice margins as competition remains high and buyers can readily switch between firms or investment opportunities.</w:t>
      </w:r>
    </w:p>
    <w:p w14:paraId="04DF7A43" w14:textId="77777777" w:rsidR="00A352B4" w:rsidRDefault="00A352B4">
      <w:pPr>
        <w:rPr>
          <w:rFonts w:ascii="Times New Roman" w:eastAsia="Times New Roman" w:hAnsi="Times New Roman" w:cs="Times New Roman"/>
        </w:rPr>
      </w:pPr>
    </w:p>
    <w:p w14:paraId="0C620687"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Strategy Group Analysis</w:t>
      </w:r>
    </w:p>
    <w:p w14:paraId="27A126A3"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A strategic group map is a chart that visually represents an </w:t>
      </w:r>
      <w:proofErr w:type="spellStart"/>
      <w:proofErr w:type="gramStart"/>
      <w:r>
        <w:rPr>
          <w:rFonts w:ascii="Times New Roman" w:eastAsia="Times New Roman" w:hAnsi="Times New Roman" w:cs="Times New Roman"/>
        </w:rPr>
        <w:t>x,y</w:t>
      </w:r>
      <w:proofErr w:type="spellEnd"/>
      <w:proofErr w:type="gramEnd"/>
      <w:r>
        <w:rPr>
          <w:rFonts w:ascii="Times New Roman" w:eastAsia="Times New Roman" w:hAnsi="Times New Roman" w:cs="Times New Roman"/>
        </w:rPr>
        <w:t xml:space="preserve"> axis graph of businesses in the same industry based on two distinct elements. It is used to identify businesses in a cluster or with similar strategies, which gives managers an idea of where they stand in comparison to competitors or potential business threats. Using this tool, managers can understand the competitive landscape and make informed strategic decisions about positioning or products. </w:t>
      </w:r>
    </w:p>
    <w:p w14:paraId="6C53FA87" w14:textId="77777777" w:rsidR="00A352B4" w:rsidRDefault="00A352B4">
      <w:pPr>
        <w:rPr>
          <w:rFonts w:ascii="Times New Roman" w:eastAsia="Times New Roman" w:hAnsi="Times New Roman" w:cs="Times New Roman"/>
        </w:rPr>
      </w:pPr>
    </w:p>
    <w:p w14:paraId="6CBEF989"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BlackRock Strategic Group Map</w:t>
      </w:r>
    </w:p>
    <w:p w14:paraId="7577FD91"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14:anchorId="0D47443E" wp14:editId="0211C52F">
            <wp:extent cx="4628640" cy="289402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628640" cy="2894023"/>
                    </a:xfrm>
                    <a:prstGeom prst="rect">
                      <a:avLst/>
                    </a:prstGeom>
                    <a:ln/>
                  </pic:spPr>
                </pic:pic>
              </a:graphicData>
            </a:graphic>
          </wp:inline>
        </w:drawing>
      </w:r>
    </w:p>
    <w:p w14:paraId="1747AD2C" w14:textId="77777777" w:rsidR="00A352B4" w:rsidRDefault="00000000">
      <w:pPr>
        <w:jc w:val="center"/>
        <w:rPr>
          <w:rFonts w:ascii="Times New Roman" w:eastAsia="Times New Roman" w:hAnsi="Times New Roman" w:cs="Times New Roman"/>
        </w:rPr>
      </w:pPr>
      <w:r>
        <w:rPr>
          <w:rFonts w:ascii="Times New Roman" w:eastAsia="Times New Roman" w:hAnsi="Times New Roman" w:cs="Times New Roman"/>
        </w:rPr>
        <w:t>Sources 1, 13, 16, 18, 21, 31, and 35 were used to make this map.</w:t>
      </w:r>
    </w:p>
    <w:p w14:paraId="33CB3073" w14:textId="77777777" w:rsidR="00A352B4" w:rsidRDefault="00A352B4">
      <w:pPr>
        <w:jc w:val="center"/>
        <w:rPr>
          <w:rFonts w:ascii="Times New Roman" w:eastAsia="Times New Roman" w:hAnsi="Times New Roman" w:cs="Times New Roman"/>
        </w:rPr>
      </w:pPr>
    </w:p>
    <w:p w14:paraId="150E7FDA"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As BlackRock is in the investment and asset management industry, this strategic group map was created by looking at a variety of firms in this industry and ranking them on expertise and total assets under management. Expertise is based on the human capital and advisory capabilities of the firm. More specifically, the ability for the firm to offer tailored investment advice based on the customer's preferences. Robinhood, Coinbase, and Rocket Money were identified to have low expertise because their applications and services are for personal investment and do not offer much advice to their customers. Many decisions are left for the investor to make on their own. BlackRock, JP Morgan, Charles Schwab, and the others on the right side of the graph were identified as having more expertise as they offer personalized advisory services and in-depth knowledge of the markets through their human capital and technology. Assets under management combine the size of the firm with the diversification available to investors. The treasuries and blue group of companies on the left side offer 1-2 investment opportunities on their platforms and manage less capital from investors. The gray circles offer many different types of investment opportunities like stocks, bonds, ETFs, and real estate while also managing a significant amount of assets. The green circles offer fewer investment types usually sticking to more stocks or index funds than the gray circles and manage less capital. Using this map, BlackRock can see where they stack up against competitors and identify potential threats or opportunities within the market. </w:t>
      </w:r>
    </w:p>
    <w:p w14:paraId="684B7A07" w14:textId="77777777" w:rsidR="00A352B4" w:rsidRDefault="00A352B4">
      <w:pPr>
        <w:rPr>
          <w:rFonts w:ascii="Times New Roman" w:eastAsia="Times New Roman" w:hAnsi="Times New Roman" w:cs="Times New Roman"/>
        </w:rPr>
      </w:pPr>
    </w:p>
    <w:p w14:paraId="32954259"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From the strategic group map, BlackRock can conclude the strategy that each competitor is following. The blue circles are following a cost leadership strategy. Robinhood, Coinbase, and Rocket Money are focusing on reaching a lot of customers for a lower cost through an easy-to-start account and lower fees and costs. Each of these firms has an application that is easy to download and has a quick registration process that allows the customer to quickly start investing on their own. The tan circles or the treasuries are also using a cost leadership strategy, as they offer bonds at the lowest rates available to investors in large quantities. The green and gray circles follow a differentiation strategy by offering specialized advice and investment types. The only difference between these groupings is the size and the gray circles offering slightly more investment opportunities. BlackRock has situated itself well within its strategic </w:t>
      </w:r>
      <w:r>
        <w:rPr>
          <w:rFonts w:ascii="Times New Roman" w:eastAsia="Times New Roman" w:hAnsi="Times New Roman" w:cs="Times New Roman"/>
        </w:rPr>
        <w:lastRenderedPageBreak/>
        <w:t xml:space="preserve">grouping, capitalizing on being the largest and offering established expertise by building a personalized and trusted brand within its customer base. With the rise of AI, BlackRock will need to continue to develop its technology to maintain its edge in expertise among similar firms. This poses the greatest threat to BlackRock as other firms could rival the advisory capabilities of BlackRock. In addition, BlackRock could look to expand its reach to areas that Coinbase and Robinhood capitalize on by creating user-friendly software that allows retail investors to invest on their own. While BlackRock offers very personalized services for their investors, not everyone wants to pay for advisory fees and services. This could signify an opportunity for BlackRock to expand its customer base by combining their Aladdin program with retail investing in an easy-to-use application allowing BlackRock to still offer advice without having to pay for advisors. BlackRock has established itself as a top firm within their grouping on the map but could look to incorporate some cost leadership strategies into its strategy to expand their customer base. </w:t>
      </w:r>
    </w:p>
    <w:p w14:paraId="231F2813" w14:textId="77777777" w:rsidR="00A352B4" w:rsidRDefault="00A352B4">
      <w:pPr>
        <w:rPr>
          <w:rFonts w:ascii="Times New Roman" w:eastAsia="Times New Roman" w:hAnsi="Times New Roman" w:cs="Times New Roman"/>
        </w:rPr>
      </w:pPr>
    </w:p>
    <w:p w14:paraId="7D512F46"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Analyzing the opportunities and threats identified within the STEEP analysis as well as competitor forces within the industry, BlackRock has situated themselves with the best in the industry to tackle the obstacles that lie ahead. The most pressing threats they face are the environmental, economic, and political circumstances, as well as the level of rivalry among competitors and threat of substitute products. How BlackRock responds to these external pressures depends heavily on the utilization and allocation of resources, systems, and structures it has in place. The next section leverages strategic tools, specifically VRIO and Value Chain Analyses, to evaluate BlackRock’s internal strengths, sources of differentiation, and operational efficiency. By exploring these internal elements, we can better assess how well-equipped BlackRock is to sustain its competitive edge and deliver long-term value in an increasingly complex market landscape.</w:t>
      </w:r>
    </w:p>
    <w:p w14:paraId="2E8F907C" w14:textId="77777777" w:rsidR="00A352B4" w:rsidRDefault="00A352B4">
      <w:pPr>
        <w:rPr>
          <w:rFonts w:ascii="Times New Roman" w:eastAsia="Times New Roman" w:hAnsi="Times New Roman" w:cs="Times New Roman"/>
        </w:rPr>
      </w:pPr>
    </w:p>
    <w:p w14:paraId="54A6A8DB"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 xml:space="preserve">VRIO </w:t>
      </w:r>
    </w:p>
    <w:p w14:paraId="18A8C229"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The VRIO analysis is used to identify internal resources and capabilities that may be a key source of competitive advantage by focusing on whether these resources or capabilities are valuable, rare, inimitable, and organized. VRIO provides a means for a firm to focus on the most valuable resources when developing a strategy by building on strengths or reworking weaknesses. This allows for the firm to develop and sustain distinctiveness among its competitors. </w:t>
      </w:r>
    </w:p>
    <w:p w14:paraId="1D2D6840" w14:textId="77777777" w:rsidR="00A352B4" w:rsidRDefault="00A352B4">
      <w:pPr>
        <w:rPr>
          <w:rFonts w:ascii="Times New Roman" w:eastAsia="Times New Roman" w:hAnsi="Times New Roman" w:cs="Times New Roman"/>
          <w:b/>
        </w:rPr>
      </w:pPr>
    </w:p>
    <w:p w14:paraId="7205326B"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VRIO Analysis</w:t>
      </w:r>
    </w:p>
    <w:tbl>
      <w:tblPr>
        <w:tblStyle w:val="a3"/>
        <w:tblW w:w="10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1380"/>
        <w:gridCol w:w="1320"/>
        <w:gridCol w:w="1410"/>
        <w:gridCol w:w="1545"/>
        <w:gridCol w:w="2220"/>
      </w:tblGrid>
      <w:tr w:rsidR="00A352B4" w14:paraId="3B6F1A0B" w14:textId="77777777">
        <w:trPr>
          <w:trHeight w:val="655"/>
          <w:jc w:val="center"/>
        </w:trPr>
        <w:tc>
          <w:tcPr>
            <w:tcW w:w="2430" w:type="dxa"/>
            <w:shd w:val="clear" w:color="auto" w:fill="auto"/>
            <w:tcMar>
              <w:top w:w="100" w:type="dxa"/>
              <w:left w:w="100" w:type="dxa"/>
              <w:bottom w:w="100" w:type="dxa"/>
              <w:right w:w="100" w:type="dxa"/>
            </w:tcMar>
          </w:tcPr>
          <w:p w14:paraId="4C6C2489"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Resource</w:t>
            </w:r>
          </w:p>
        </w:tc>
        <w:tc>
          <w:tcPr>
            <w:tcW w:w="1380" w:type="dxa"/>
            <w:shd w:val="clear" w:color="auto" w:fill="auto"/>
            <w:tcMar>
              <w:top w:w="100" w:type="dxa"/>
              <w:left w:w="100" w:type="dxa"/>
              <w:bottom w:w="100" w:type="dxa"/>
              <w:right w:w="100" w:type="dxa"/>
            </w:tcMar>
          </w:tcPr>
          <w:p w14:paraId="6BC28ABC"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Valuable?</w:t>
            </w:r>
          </w:p>
        </w:tc>
        <w:tc>
          <w:tcPr>
            <w:tcW w:w="1320" w:type="dxa"/>
            <w:shd w:val="clear" w:color="auto" w:fill="auto"/>
            <w:tcMar>
              <w:top w:w="100" w:type="dxa"/>
              <w:left w:w="100" w:type="dxa"/>
              <w:bottom w:w="100" w:type="dxa"/>
              <w:right w:w="100" w:type="dxa"/>
            </w:tcMar>
          </w:tcPr>
          <w:p w14:paraId="21514EE0"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Rare?</w:t>
            </w:r>
          </w:p>
        </w:tc>
        <w:tc>
          <w:tcPr>
            <w:tcW w:w="1410" w:type="dxa"/>
            <w:shd w:val="clear" w:color="auto" w:fill="auto"/>
            <w:tcMar>
              <w:top w:w="100" w:type="dxa"/>
              <w:left w:w="100" w:type="dxa"/>
              <w:bottom w:w="100" w:type="dxa"/>
              <w:right w:w="100" w:type="dxa"/>
            </w:tcMar>
          </w:tcPr>
          <w:p w14:paraId="474BB586"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Hard to Imitate?</w:t>
            </w:r>
          </w:p>
        </w:tc>
        <w:tc>
          <w:tcPr>
            <w:tcW w:w="1545" w:type="dxa"/>
            <w:shd w:val="clear" w:color="auto" w:fill="auto"/>
            <w:tcMar>
              <w:top w:w="100" w:type="dxa"/>
              <w:left w:w="100" w:type="dxa"/>
              <w:bottom w:w="100" w:type="dxa"/>
              <w:right w:w="100" w:type="dxa"/>
            </w:tcMar>
          </w:tcPr>
          <w:p w14:paraId="3E7FC0D4"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Organized?</w:t>
            </w:r>
          </w:p>
        </w:tc>
        <w:tc>
          <w:tcPr>
            <w:tcW w:w="2220" w:type="dxa"/>
            <w:shd w:val="clear" w:color="auto" w:fill="auto"/>
            <w:tcMar>
              <w:top w:w="100" w:type="dxa"/>
              <w:left w:w="100" w:type="dxa"/>
              <w:bottom w:w="100" w:type="dxa"/>
              <w:right w:w="100" w:type="dxa"/>
            </w:tcMar>
          </w:tcPr>
          <w:p w14:paraId="4615551D" w14:textId="77777777" w:rsidR="00A352B4"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Competitive Result</w:t>
            </w:r>
          </w:p>
        </w:tc>
      </w:tr>
      <w:tr w:rsidR="00A352B4" w14:paraId="297A8270" w14:textId="77777777">
        <w:trPr>
          <w:trHeight w:val="818"/>
          <w:jc w:val="center"/>
        </w:trPr>
        <w:tc>
          <w:tcPr>
            <w:tcW w:w="2430" w:type="dxa"/>
            <w:shd w:val="clear" w:color="auto" w:fill="auto"/>
            <w:tcMar>
              <w:top w:w="100" w:type="dxa"/>
              <w:left w:w="100" w:type="dxa"/>
              <w:bottom w:w="100" w:type="dxa"/>
              <w:right w:w="100" w:type="dxa"/>
            </w:tcMar>
          </w:tcPr>
          <w:p w14:paraId="3046F00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Aladdin</w:t>
            </w:r>
            <w:r>
              <w:rPr>
                <w:rFonts w:ascii="Times New Roman" w:eastAsia="Times New Roman" w:hAnsi="Times New Roman" w:cs="Times New Roman"/>
                <w:sz w:val="21"/>
                <w:szCs w:val="21"/>
                <w:vertAlign w:val="superscript"/>
              </w:rPr>
              <w:t>4, 5</w:t>
            </w:r>
            <w:r>
              <w:rPr>
                <w:rFonts w:ascii="Times New Roman" w:eastAsia="Times New Roman" w:hAnsi="Times New Roman" w:cs="Times New Roman"/>
                <w:sz w:val="21"/>
                <w:szCs w:val="21"/>
              </w:rPr>
              <w:t xml:space="preserve"> - Resource</w:t>
            </w:r>
          </w:p>
        </w:tc>
        <w:tc>
          <w:tcPr>
            <w:tcW w:w="1380" w:type="dxa"/>
            <w:shd w:val="clear" w:color="auto" w:fill="auto"/>
            <w:tcMar>
              <w:top w:w="100" w:type="dxa"/>
              <w:left w:w="100" w:type="dxa"/>
              <w:bottom w:w="100" w:type="dxa"/>
              <w:right w:w="100" w:type="dxa"/>
            </w:tcMar>
          </w:tcPr>
          <w:p w14:paraId="2C737385"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64237E85"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410" w:type="dxa"/>
            <w:shd w:val="clear" w:color="auto" w:fill="auto"/>
            <w:tcMar>
              <w:top w:w="100" w:type="dxa"/>
              <w:left w:w="100" w:type="dxa"/>
              <w:bottom w:w="100" w:type="dxa"/>
              <w:right w:w="100" w:type="dxa"/>
            </w:tcMar>
          </w:tcPr>
          <w:p w14:paraId="40B99FE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2C38A78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1480BA5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Sustained Competitive Advantage</w:t>
            </w:r>
          </w:p>
        </w:tc>
      </w:tr>
      <w:tr w:rsidR="00A352B4" w14:paraId="433E6197" w14:textId="77777777">
        <w:trPr>
          <w:jc w:val="center"/>
        </w:trPr>
        <w:tc>
          <w:tcPr>
            <w:tcW w:w="2430" w:type="dxa"/>
            <w:shd w:val="clear" w:color="auto" w:fill="auto"/>
            <w:tcMar>
              <w:top w:w="100" w:type="dxa"/>
              <w:left w:w="100" w:type="dxa"/>
              <w:bottom w:w="100" w:type="dxa"/>
              <w:right w:w="100" w:type="dxa"/>
            </w:tcMar>
          </w:tcPr>
          <w:p w14:paraId="5BEAD7C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Local Market Expertise</w:t>
            </w:r>
            <w:r>
              <w:rPr>
                <w:rFonts w:ascii="Times New Roman" w:eastAsia="Times New Roman" w:hAnsi="Times New Roman" w:cs="Times New Roman"/>
                <w:sz w:val="21"/>
                <w:szCs w:val="21"/>
                <w:vertAlign w:val="superscript"/>
              </w:rPr>
              <w:t xml:space="preserve">6, 9 </w:t>
            </w:r>
            <w:r>
              <w:rPr>
                <w:rFonts w:ascii="Times New Roman" w:eastAsia="Times New Roman" w:hAnsi="Times New Roman" w:cs="Times New Roman"/>
                <w:sz w:val="21"/>
                <w:szCs w:val="21"/>
              </w:rPr>
              <w:t>- Resource</w:t>
            </w:r>
          </w:p>
        </w:tc>
        <w:tc>
          <w:tcPr>
            <w:tcW w:w="1380" w:type="dxa"/>
            <w:shd w:val="clear" w:color="auto" w:fill="auto"/>
            <w:tcMar>
              <w:top w:w="100" w:type="dxa"/>
              <w:left w:w="100" w:type="dxa"/>
              <w:bottom w:w="100" w:type="dxa"/>
              <w:right w:w="100" w:type="dxa"/>
            </w:tcMar>
          </w:tcPr>
          <w:p w14:paraId="5B65E0D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6E704EC1"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410" w:type="dxa"/>
            <w:shd w:val="clear" w:color="auto" w:fill="auto"/>
            <w:tcMar>
              <w:top w:w="100" w:type="dxa"/>
              <w:left w:w="100" w:type="dxa"/>
              <w:bottom w:w="100" w:type="dxa"/>
              <w:right w:w="100" w:type="dxa"/>
            </w:tcMar>
          </w:tcPr>
          <w:p w14:paraId="658A4576"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0497A9B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4957AAC0"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Temporary Competitive Advantage</w:t>
            </w:r>
          </w:p>
        </w:tc>
      </w:tr>
      <w:tr w:rsidR="00A352B4" w14:paraId="18ABC7CC" w14:textId="77777777">
        <w:trPr>
          <w:jc w:val="center"/>
        </w:trPr>
        <w:tc>
          <w:tcPr>
            <w:tcW w:w="2430" w:type="dxa"/>
            <w:shd w:val="clear" w:color="auto" w:fill="auto"/>
            <w:tcMar>
              <w:top w:w="100" w:type="dxa"/>
              <w:left w:w="100" w:type="dxa"/>
              <w:bottom w:w="100" w:type="dxa"/>
              <w:right w:w="100" w:type="dxa"/>
            </w:tcMar>
          </w:tcPr>
          <w:p w14:paraId="4B32AF87" w14:textId="77777777" w:rsidR="00A352B4" w:rsidRDefault="00000000">
            <w:pPr>
              <w:widowControl w:val="0"/>
              <w:spacing w:line="240" w:lineRule="auto"/>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iShare</w:t>
            </w:r>
            <w:proofErr w:type="spellEnd"/>
            <w:r>
              <w:rPr>
                <w:rFonts w:ascii="Times New Roman" w:eastAsia="Times New Roman" w:hAnsi="Times New Roman" w:cs="Times New Roman"/>
                <w:sz w:val="21"/>
                <w:szCs w:val="21"/>
              </w:rPr>
              <w:t xml:space="preserve"> ETFs</w:t>
            </w:r>
            <w:r>
              <w:rPr>
                <w:rFonts w:ascii="Times New Roman" w:eastAsia="Times New Roman" w:hAnsi="Times New Roman" w:cs="Times New Roman"/>
                <w:sz w:val="21"/>
                <w:szCs w:val="21"/>
                <w:vertAlign w:val="superscript"/>
              </w:rPr>
              <w:t>2, 16</w:t>
            </w:r>
            <w:r>
              <w:rPr>
                <w:rFonts w:ascii="Times New Roman" w:eastAsia="Times New Roman" w:hAnsi="Times New Roman" w:cs="Times New Roman"/>
                <w:sz w:val="21"/>
                <w:szCs w:val="21"/>
              </w:rPr>
              <w:t xml:space="preserve"> - Resource</w:t>
            </w:r>
          </w:p>
        </w:tc>
        <w:tc>
          <w:tcPr>
            <w:tcW w:w="1380" w:type="dxa"/>
            <w:shd w:val="clear" w:color="auto" w:fill="auto"/>
            <w:tcMar>
              <w:top w:w="100" w:type="dxa"/>
              <w:left w:w="100" w:type="dxa"/>
              <w:bottom w:w="100" w:type="dxa"/>
              <w:right w:w="100" w:type="dxa"/>
            </w:tcMar>
          </w:tcPr>
          <w:p w14:paraId="7284A76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66181B8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410" w:type="dxa"/>
            <w:shd w:val="clear" w:color="auto" w:fill="auto"/>
            <w:tcMar>
              <w:top w:w="100" w:type="dxa"/>
              <w:left w:w="100" w:type="dxa"/>
              <w:bottom w:w="100" w:type="dxa"/>
              <w:right w:w="100" w:type="dxa"/>
            </w:tcMar>
          </w:tcPr>
          <w:p w14:paraId="45E5BBF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196931CD"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73A83FFD"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Sustained Competitive Advantage</w:t>
            </w:r>
          </w:p>
        </w:tc>
      </w:tr>
      <w:tr w:rsidR="00A352B4" w14:paraId="467DDE1D" w14:textId="77777777">
        <w:trPr>
          <w:jc w:val="center"/>
        </w:trPr>
        <w:tc>
          <w:tcPr>
            <w:tcW w:w="2430" w:type="dxa"/>
            <w:shd w:val="clear" w:color="auto" w:fill="auto"/>
            <w:tcMar>
              <w:top w:w="100" w:type="dxa"/>
              <w:left w:w="100" w:type="dxa"/>
              <w:bottom w:w="100" w:type="dxa"/>
              <w:right w:w="100" w:type="dxa"/>
            </w:tcMar>
          </w:tcPr>
          <w:p w14:paraId="111C8C64"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Brand Reputation</w:t>
            </w:r>
            <w:r>
              <w:rPr>
                <w:rFonts w:ascii="Times New Roman" w:eastAsia="Times New Roman" w:hAnsi="Times New Roman" w:cs="Times New Roman"/>
                <w:sz w:val="21"/>
                <w:szCs w:val="21"/>
                <w:vertAlign w:val="superscript"/>
              </w:rPr>
              <w:t xml:space="preserve"> 11, 19 </w:t>
            </w:r>
            <w:r>
              <w:rPr>
                <w:rFonts w:ascii="Times New Roman" w:eastAsia="Times New Roman" w:hAnsi="Times New Roman" w:cs="Times New Roman"/>
                <w:sz w:val="21"/>
                <w:szCs w:val="21"/>
              </w:rPr>
              <w:t>- Resource</w:t>
            </w:r>
          </w:p>
        </w:tc>
        <w:tc>
          <w:tcPr>
            <w:tcW w:w="1380" w:type="dxa"/>
            <w:shd w:val="clear" w:color="auto" w:fill="auto"/>
            <w:tcMar>
              <w:top w:w="100" w:type="dxa"/>
              <w:left w:w="100" w:type="dxa"/>
              <w:bottom w:w="100" w:type="dxa"/>
              <w:right w:w="100" w:type="dxa"/>
            </w:tcMar>
          </w:tcPr>
          <w:p w14:paraId="0F42A369"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0A83A6C6"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410" w:type="dxa"/>
            <w:shd w:val="clear" w:color="auto" w:fill="auto"/>
            <w:tcMar>
              <w:top w:w="100" w:type="dxa"/>
              <w:left w:w="100" w:type="dxa"/>
              <w:bottom w:w="100" w:type="dxa"/>
              <w:right w:w="100" w:type="dxa"/>
            </w:tcMar>
          </w:tcPr>
          <w:p w14:paraId="77A1B32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11639680"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34915530"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Sustained Competitive Advantage</w:t>
            </w:r>
          </w:p>
        </w:tc>
      </w:tr>
      <w:tr w:rsidR="00A352B4" w14:paraId="161BCDC4" w14:textId="77777777">
        <w:trPr>
          <w:jc w:val="center"/>
        </w:trPr>
        <w:tc>
          <w:tcPr>
            <w:tcW w:w="2430" w:type="dxa"/>
            <w:shd w:val="clear" w:color="auto" w:fill="auto"/>
            <w:tcMar>
              <w:top w:w="100" w:type="dxa"/>
              <w:left w:w="100" w:type="dxa"/>
              <w:bottom w:w="100" w:type="dxa"/>
              <w:right w:w="100" w:type="dxa"/>
            </w:tcMar>
          </w:tcPr>
          <w:p w14:paraId="65BEE9E8"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Financial Capital</w:t>
            </w:r>
            <w:r>
              <w:rPr>
                <w:rFonts w:ascii="Times New Roman" w:eastAsia="Times New Roman" w:hAnsi="Times New Roman" w:cs="Times New Roman"/>
                <w:sz w:val="21"/>
                <w:szCs w:val="21"/>
                <w:vertAlign w:val="superscript"/>
              </w:rPr>
              <w:t xml:space="preserve">13, 16 </w:t>
            </w:r>
            <w:r>
              <w:rPr>
                <w:rFonts w:ascii="Times New Roman" w:eastAsia="Times New Roman" w:hAnsi="Times New Roman" w:cs="Times New Roman"/>
                <w:sz w:val="21"/>
                <w:szCs w:val="21"/>
              </w:rPr>
              <w:t>- Resource</w:t>
            </w:r>
          </w:p>
        </w:tc>
        <w:tc>
          <w:tcPr>
            <w:tcW w:w="1380" w:type="dxa"/>
            <w:shd w:val="clear" w:color="auto" w:fill="auto"/>
            <w:tcMar>
              <w:top w:w="100" w:type="dxa"/>
              <w:left w:w="100" w:type="dxa"/>
              <w:bottom w:w="100" w:type="dxa"/>
              <w:right w:w="100" w:type="dxa"/>
            </w:tcMar>
          </w:tcPr>
          <w:p w14:paraId="68204E48"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3A681AA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410" w:type="dxa"/>
            <w:shd w:val="clear" w:color="auto" w:fill="auto"/>
            <w:tcMar>
              <w:top w:w="100" w:type="dxa"/>
              <w:left w:w="100" w:type="dxa"/>
              <w:bottom w:w="100" w:type="dxa"/>
              <w:right w:w="100" w:type="dxa"/>
            </w:tcMar>
          </w:tcPr>
          <w:p w14:paraId="46D3C4E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4536716B"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54A9EDF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Temporary Competitive Advantage</w:t>
            </w:r>
          </w:p>
        </w:tc>
      </w:tr>
      <w:tr w:rsidR="00A352B4" w14:paraId="3F197089" w14:textId="77777777">
        <w:trPr>
          <w:jc w:val="center"/>
        </w:trPr>
        <w:tc>
          <w:tcPr>
            <w:tcW w:w="2430" w:type="dxa"/>
            <w:shd w:val="clear" w:color="auto" w:fill="auto"/>
            <w:tcMar>
              <w:top w:w="100" w:type="dxa"/>
              <w:left w:w="100" w:type="dxa"/>
              <w:bottom w:w="100" w:type="dxa"/>
              <w:right w:w="100" w:type="dxa"/>
            </w:tcMar>
          </w:tcPr>
          <w:p w14:paraId="43B19D4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Human Capital</w:t>
            </w:r>
            <w:r>
              <w:rPr>
                <w:rFonts w:ascii="Times New Roman" w:eastAsia="Times New Roman" w:hAnsi="Times New Roman" w:cs="Times New Roman"/>
                <w:sz w:val="21"/>
                <w:szCs w:val="21"/>
                <w:vertAlign w:val="superscript"/>
              </w:rPr>
              <w:t xml:space="preserve">9, 14 </w:t>
            </w:r>
            <w:r>
              <w:rPr>
                <w:rFonts w:ascii="Times New Roman" w:eastAsia="Times New Roman" w:hAnsi="Times New Roman" w:cs="Times New Roman"/>
                <w:sz w:val="21"/>
                <w:szCs w:val="21"/>
              </w:rPr>
              <w:t>- Resource</w:t>
            </w:r>
          </w:p>
        </w:tc>
        <w:tc>
          <w:tcPr>
            <w:tcW w:w="1380" w:type="dxa"/>
            <w:shd w:val="clear" w:color="auto" w:fill="auto"/>
            <w:tcMar>
              <w:top w:w="100" w:type="dxa"/>
              <w:left w:w="100" w:type="dxa"/>
              <w:bottom w:w="100" w:type="dxa"/>
              <w:right w:w="100" w:type="dxa"/>
            </w:tcMar>
          </w:tcPr>
          <w:p w14:paraId="0FEBE57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67CFE2CB"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410" w:type="dxa"/>
            <w:shd w:val="clear" w:color="auto" w:fill="auto"/>
            <w:tcMar>
              <w:top w:w="100" w:type="dxa"/>
              <w:left w:w="100" w:type="dxa"/>
              <w:bottom w:w="100" w:type="dxa"/>
              <w:right w:w="100" w:type="dxa"/>
            </w:tcMar>
          </w:tcPr>
          <w:p w14:paraId="2D3C85A6"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05E00D78"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7F71781A"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Sustained Competitive Advantage</w:t>
            </w:r>
          </w:p>
        </w:tc>
      </w:tr>
      <w:tr w:rsidR="00A352B4" w14:paraId="7E196059" w14:textId="77777777">
        <w:trPr>
          <w:jc w:val="center"/>
        </w:trPr>
        <w:tc>
          <w:tcPr>
            <w:tcW w:w="2430" w:type="dxa"/>
            <w:shd w:val="clear" w:color="auto" w:fill="auto"/>
            <w:tcMar>
              <w:top w:w="100" w:type="dxa"/>
              <w:left w:w="100" w:type="dxa"/>
              <w:bottom w:w="100" w:type="dxa"/>
              <w:right w:w="100" w:type="dxa"/>
            </w:tcMar>
          </w:tcPr>
          <w:p w14:paraId="4DFF119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Investor Education</w:t>
            </w:r>
            <w:r>
              <w:rPr>
                <w:rFonts w:ascii="Times New Roman" w:eastAsia="Times New Roman" w:hAnsi="Times New Roman" w:cs="Times New Roman"/>
                <w:sz w:val="21"/>
                <w:szCs w:val="21"/>
                <w:vertAlign w:val="superscript"/>
              </w:rPr>
              <w:t>6, 16</w:t>
            </w:r>
            <w:r>
              <w:rPr>
                <w:rFonts w:ascii="Times New Roman" w:eastAsia="Times New Roman" w:hAnsi="Times New Roman" w:cs="Times New Roman"/>
                <w:sz w:val="21"/>
                <w:szCs w:val="21"/>
              </w:rPr>
              <w:t xml:space="preserve"> - Capability</w:t>
            </w:r>
          </w:p>
        </w:tc>
        <w:tc>
          <w:tcPr>
            <w:tcW w:w="1380" w:type="dxa"/>
            <w:shd w:val="clear" w:color="auto" w:fill="auto"/>
            <w:tcMar>
              <w:top w:w="100" w:type="dxa"/>
              <w:left w:w="100" w:type="dxa"/>
              <w:bottom w:w="100" w:type="dxa"/>
              <w:right w:w="100" w:type="dxa"/>
            </w:tcMar>
          </w:tcPr>
          <w:p w14:paraId="4D535F58"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127D8C5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410" w:type="dxa"/>
            <w:shd w:val="clear" w:color="auto" w:fill="auto"/>
            <w:tcMar>
              <w:top w:w="100" w:type="dxa"/>
              <w:left w:w="100" w:type="dxa"/>
              <w:bottom w:w="100" w:type="dxa"/>
              <w:right w:w="100" w:type="dxa"/>
            </w:tcMar>
          </w:tcPr>
          <w:p w14:paraId="757E73A5"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545" w:type="dxa"/>
            <w:shd w:val="clear" w:color="auto" w:fill="auto"/>
            <w:tcMar>
              <w:top w:w="100" w:type="dxa"/>
              <w:left w:w="100" w:type="dxa"/>
              <w:bottom w:w="100" w:type="dxa"/>
              <w:right w:w="100" w:type="dxa"/>
            </w:tcMar>
          </w:tcPr>
          <w:p w14:paraId="0F27730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7775D280"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Competitive Parity</w:t>
            </w:r>
          </w:p>
        </w:tc>
      </w:tr>
      <w:tr w:rsidR="00A352B4" w14:paraId="2FEFDB61" w14:textId="77777777">
        <w:trPr>
          <w:jc w:val="center"/>
        </w:trPr>
        <w:tc>
          <w:tcPr>
            <w:tcW w:w="2430" w:type="dxa"/>
            <w:shd w:val="clear" w:color="auto" w:fill="auto"/>
            <w:tcMar>
              <w:top w:w="100" w:type="dxa"/>
              <w:left w:w="100" w:type="dxa"/>
              <w:bottom w:w="100" w:type="dxa"/>
              <w:right w:w="100" w:type="dxa"/>
            </w:tcMar>
          </w:tcPr>
          <w:p w14:paraId="2E922D3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Sustainability/ESG Focus</w:t>
            </w:r>
            <w:r>
              <w:rPr>
                <w:rFonts w:ascii="Times New Roman" w:eastAsia="Times New Roman" w:hAnsi="Times New Roman" w:cs="Times New Roman"/>
                <w:sz w:val="21"/>
                <w:szCs w:val="21"/>
                <w:vertAlign w:val="superscript"/>
              </w:rPr>
              <w:t xml:space="preserve">7, 18 </w:t>
            </w:r>
            <w:r>
              <w:rPr>
                <w:rFonts w:ascii="Times New Roman" w:eastAsia="Times New Roman" w:hAnsi="Times New Roman" w:cs="Times New Roman"/>
                <w:sz w:val="21"/>
                <w:szCs w:val="21"/>
              </w:rPr>
              <w:t>- Capability</w:t>
            </w:r>
          </w:p>
        </w:tc>
        <w:tc>
          <w:tcPr>
            <w:tcW w:w="1380" w:type="dxa"/>
            <w:shd w:val="clear" w:color="auto" w:fill="auto"/>
            <w:tcMar>
              <w:top w:w="100" w:type="dxa"/>
              <w:left w:w="100" w:type="dxa"/>
              <w:bottom w:w="100" w:type="dxa"/>
              <w:right w:w="100" w:type="dxa"/>
            </w:tcMar>
          </w:tcPr>
          <w:p w14:paraId="38DE878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4C0318D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410" w:type="dxa"/>
            <w:shd w:val="clear" w:color="auto" w:fill="auto"/>
            <w:tcMar>
              <w:top w:w="100" w:type="dxa"/>
              <w:left w:w="100" w:type="dxa"/>
              <w:bottom w:w="100" w:type="dxa"/>
              <w:right w:w="100" w:type="dxa"/>
            </w:tcMar>
          </w:tcPr>
          <w:p w14:paraId="2DDDE506"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No</w:t>
            </w:r>
          </w:p>
        </w:tc>
        <w:tc>
          <w:tcPr>
            <w:tcW w:w="1545" w:type="dxa"/>
            <w:shd w:val="clear" w:color="auto" w:fill="auto"/>
            <w:tcMar>
              <w:top w:w="100" w:type="dxa"/>
              <w:left w:w="100" w:type="dxa"/>
              <w:bottom w:w="100" w:type="dxa"/>
              <w:right w:w="100" w:type="dxa"/>
            </w:tcMar>
          </w:tcPr>
          <w:p w14:paraId="34A7F1F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29FB7CCF"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Competitive Parity </w:t>
            </w:r>
          </w:p>
        </w:tc>
      </w:tr>
      <w:tr w:rsidR="00A352B4" w14:paraId="295A5E4D" w14:textId="77777777">
        <w:trPr>
          <w:jc w:val="center"/>
        </w:trPr>
        <w:tc>
          <w:tcPr>
            <w:tcW w:w="2430" w:type="dxa"/>
            <w:shd w:val="clear" w:color="auto" w:fill="auto"/>
            <w:tcMar>
              <w:top w:w="100" w:type="dxa"/>
              <w:left w:w="100" w:type="dxa"/>
              <w:bottom w:w="100" w:type="dxa"/>
              <w:right w:w="100" w:type="dxa"/>
            </w:tcMar>
          </w:tcPr>
          <w:p w14:paraId="1FBFEB56"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Data Infrastructure</w:t>
            </w:r>
            <w:r>
              <w:rPr>
                <w:rFonts w:ascii="Times New Roman" w:eastAsia="Times New Roman" w:hAnsi="Times New Roman" w:cs="Times New Roman"/>
                <w:sz w:val="21"/>
                <w:szCs w:val="21"/>
                <w:vertAlign w:val="superscript"/>
              </w:rPr>
              <w:t>17, 20</w:t>
            </w:r>
            <w:r>
              <w:rPr>
                <w:rFonts w:ascii="Times New Roman" w:eastAsia="Times New Roman" w:hAnsi="Times New Roman" w:cs="Times New Roman"/>
                <w:sz w:val="21"/>
                <w:szCs w:val="21"/>
              </w:rPr>
              <w:t xml:space="preserve"> - Resource</w:t>
            </w:r>
          </w:p>
        </w:tc>
        <w:tc>
          <w:tcPr>
            <w:tcW w:w="1380" w:type="dxa"/>
            <w:shd w:val="clear" w:color="auto" w:fill="auto"/>
            <w:tcMar>
              <w:top w:w="100" w:type="dxa"/>
              <w:left w:w="100" w:type="dxa"/>
              <w:bottom w:w="100" w:type="dxa"/>
              <w:right w:w="100" w:type="dxa"/>
            </w:tcMar>
          </w:tcPr>
          <w:p w14:paraId="20B40694"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356D286B"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No </w:t>
            </w:r>
          </w:p>
        </w:tc>
        <w:tc>
          <w:tcPr>
            <w:tcW w:w="1410" w:type="dxa"/>
            <w:shd w:val="clear" w:color="auto" w:fill="auto"/>
            <w:tcMar>
              <w:top w:w="100" w:type="dxa"/>
              <w:left w:w="100" w:type="dxa"/>
              <w:bottom w:w="100" w:type="dxa"/>
              <w:right w:w="100" w:type="dxa"/>
            </w:tcMar>
          </w:tcPr>
          <w:p w14:paraId="37B463BE"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1E6345D2"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617A3BF0"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Temporary Competitive Advantage</w:t>
            </w:r>
          </w:p>
        </w:tc>
      </w:tr>
      <w:tr w:rsidR="00A352B4" w14:paraId="1D9CE5F5" w14:textId="77777777">
        <w:trPr>
          <w:jc w:val="center"/>
        </w:trPr>
        <w:tc>
          <w:tcPr>
            <w:tcW w:w="2430" w:type="dxa"/>
            <w:shd w:val="clear" w:color="auto" w:fill="auto"/>
            <w:tcMar>
              <w:top w:w="100" w:type="dxa"/>
              <w:left w:w="100" w:type="dxa"/>
              <w:bottom w:w="100" w:type="dxa"/>
              <w:right w:w="100" w:type="dxa"/>
            </w:tcMar>
          </w:tcPr>
          <w:p w14:paraId="0AE069F9"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Leadership Team</w:t>
            </w:r>
            <w:r>
              <w:rPr>
                <w:rFonts w:ascii="Times New Roman" w:eastAsia="Times New Roman" w:hAnsi="Times New Roman" w:cs="Times New Roman"/>
                <w:sz w:val="21"/>
                <w:szCs w:val="21"/>
                <w:vertAlign w:val="superscript"/>
              </w:rPr>
              <w:t>9, 14</w:t>
            </w:r>
            <w:r>
              <w:rPr>
                <w:rFonts w:ascii="Times New Roman" w:eastAsia="Times New Roman" w:hAnsi="Times New Roman" w:cs="Times New Roman"/>
                <w:sz w:val="21"/>
                <w:szCs w:val="21"/>
              </w:rPr>
              <w:t xml:space="preserve"> - Resource</w:t>
            </w:r>
          </w:p>
        </w:tc>
        <w:tc>
          <w:tcPr>
            <w:tcW w:w="1380" w:type="dxa"/>
            <w:shd w:val="clear" w:color="auto" w:fill="auto"/>
            <w:tcMar>
              <w:top w:w="100" w:type="dxa"/>
              <w:left w:w="100" w:type="dxa"/>
              <w:bottom w:w="100" w:type="dxa"/>
              <w:right w:w="100" w:type="dxa"/>
            </w:tcMar>
          </w:tcPr>
          <w:p w14:paraId="5E4E1932"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320" w:type="dxa"/>
            <w:shd w:val="clear" w:color="auto" w:fill="auto"/>
            <w:tcMar>
              <w:top w:w="100" w:type="dxa"/>
              <w:left w:w="100" w:type="dxa"/>
              <w:bottom w:w="100" w:type="dxa"/>
              <w:right w:w="100" w:type="dxa"/>
            </w:tcMar>
          </w:tcPr>
          <w:p w14:paraId="752985A7"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410" w:type="dxa"/>
            <w:shd w:val="clear" w:color="auto" w:fill="auto"/>
            <w:tcMar>
              <w:top w:w="100" w:type="dxa"/>
              <w:left w:w="100" w:type="dxa"/>
              <w:bottom w:w="100" w:type="dxa"/>
              <w:right w:w="100" w:type="dxa"/>
            </w:tcMar>
          </w:tcPr>
          <w:p w14:paraId="54F9467C"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1545" w:type="dxa"/>
            <w:shd w:val="clear" w:color="auto" w:fill="auto"/>
            <w:tcMar>
              <w:top w:w="100" w:type="dxa"/>
              <w:left w:w="100" w:type="dxa"/>
              <w:bottom w:w="100" w:type="dxa"/>
              <w:right w:w="100" w:type="dxa"/>
            </w:tcMar>
          </w:tcPr>
          <w:p w14:paraId="7A11F5C2"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Yes</w:t>
            </w:r>
          </w:p>
        </w:tc>
        <w:tc>
          <w:tcPr>
            <w:tcW w:w="2220" w:type="dxa"/>
            <w:shd w:val="clear" w:color="auto" w:fill="auto"/>
            <w:tcMar>
              <w:top w:w="100" w:type="dxa"/>
              <w:left w:w="100" w:type="dxa"/>
              <w:bottom w:w="100" w:type="dxa"/>
              <w:right w:w="100" w:type="dxa"/>
            </w:tcMar>
          </w:tcPr>
          <w:p w14:paraId="1E0E1734" w14:textId="77777777" w:rsidR="00A352B4" w:rsidRDefault="00000000">
            <w:pPr>
              <w:widowControl w:val="0"/>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Sustained Competitive Advantage</w:t>
            </w:r>
          </w:p>
        </w:tc>
      </w:tr>
    </w:tbl>
    <w:p w14:paraId="272EA718" w14:textId="77777777" w:rsidR="00A352B4" w:rsidRDefault="00A352B4">
      <w:pPr>
        <w:rPr>
          <w:rFonts w:ascii="Times New Roman" w:eastAsia="Times New Roman" w:hAnsi="Times New Roman" w:cs="Times New Roman"/>
        </w:rPr>
      </w:pPr>
    </w:p>
    <w:p w14:paraId="43CD1B4F"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The VRIO analysis determines the competitive result of a firm’s resources by identifying whether those resources are valuable, rare, hard to imitate, and organized. This chart was built by identifying key resources or capabilities of BlackRock and what each fulfills. Resources were classified as items that a company owns, like assets or capital. Capabilities were classified as what BlackRock can do, like offer education. These resources were then determined to be a sustained competitive advantage, temporary competitive advantage, or competitive parity based on their qualifications. Sustainability/ESG factors and investor education were identified as competitive parity because it is valuable and organized within BlackRock, but when looking at other firms in the investment industry, they are not rare or hard to imitate. Many different firms offer similar investment products, like ETFs and bonds, or focus on sustainability. BlackRock’s financial capital and data infrastructure are considered temporary competitive advantages because of their </w:t>
      </w:r>
      <w:proofErr w:type="spellStart"/>
      <w:r>
        <w:rPr>
          <w:rFonts w:ascii="Times New Roman" w:eastAsia="Times New Roman" w:hAnsi="Times New Roman" w:cs="Times New Roman"/>
        </w:rPr>
        <w:t>nonrarity</w:t>
      </w:r>
      <w:proofErr w:type="spellEnd"/>
      <w:r>
        <w:rPr>
          <w:rFonts w:ascii="Times New Roman" w:eastAsia="Times New Roman" w:hAnsi="Times New Roman" w:cs="Times New Roman"/>
        </w:rPr>
        <w:t xml:space="preserve">. They both are valuable and organized within BlackRock, and both are hard to imitate because of the capital investment needed to expand globally and create a secure data repository cloud system. However, many firms have expanded globally, and in today’s environment, every company has invested in data infrastructure. Aladdin, iShares ETF, reputation, human capital, local market expertise, and their leadership team are sustained competitive advantages for BlackRock. All of these are valuable, rare, hard to imitate, and organized to capture value within the firm. Aladdin, being protected by international copyright laws, is the most protected sustained competitive advantage for BlackRock besides the large capital investment it would take for another firm to create a similar software. The iShares ETFs are specific to BlackRock and benefit from their economies of scale by costing less than active mutual funds. The most unique competitive advantage BlackRock has is the leadership team headed by Larry Fink. This leadership is hard to imitate as he has brought stability within the organization and been recognized as CEO of the decade and CEO of the year seven times. Their brand reputation, human capital, and local market expertise have been built over time and reached a sustained competitive advantage thanks to the Aladdin program and leadership team. Each of the resources or capabilities creates value for BlackRock and influences where BlackRock allocates funds to drive overall profitability. </w:t>
      </w:r>
    </w:p>
    <w:p w14:paraId="2E9D8C81" w14:textId="77777777" w:rsidR="00A352B4" w:rsidRDefault="00A352B4">
      <w:pPr>
        <w:rPr>
          <w:rFonts w:ascii="Times New Roman" w:eastAsia="Times New Roman" w:hAnsi="Times New Roman" w:cs="Times New Roman"/>
        </w:rPr>
      </w:pPr>
    </w:p>
    <w:p w14:paraId="6D23EC6E"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Currently, BlackRock is heavily investing and maintaining their sustained competitive advantages, receiving large payoffs in their performance. BlackRock’s investment in their Aladdin program further separated it from competitors by integrating generative AI as a copilot, allowing real-time data analytics for BlackRock and its clients. This has resulted in over 200 institutions using the Aladdin program and generating a substantial recurring software-as-a-service revenue.  The iShares ETFs generated net inflows of $107 billion in Q1 of 2025 while maintaining a lower expense ratio compared to other mutual funds, highlighting the competitive advantage. Their human capital is also a valuable resource for BlackRock as it helps build their brand reputation and leadership team. As such, they have partnered with </w:t>
      </w:r>
      <w:proofErr w:type="spellStart"/>
      <w:r>
        <w:rPr>
          <w:rFonts w:ascii="Times New Roman" w:eastAsia="Times New Roman" w:hAnsi="Times New Roman" w:cs="Times New Roman"/>
        </w:rPr>
        <w:t>Willion</w:t>
      </w:r>
      <w:proofErr w:type="spellEnd"/>
      <w:r>
        <w:rPr>
          <w:rFonts w:ascii="Times New Roman" w:eastAsia="Times New Roman" w:hAnsi="Times New Roman" w:cs="Times New Roman"/>
        </w:rPr>
        <w:t xml:space="preserve"> Network, Inc. to develop new training and certification programs for their employees to help face challenges and increase expertise in emerging markets. While they are not investing as much into their brand reputation and leadership team, these have been gradually built over time to a point now where investments in these areas will not largely shift the value they create. BlackRock is still investing in their local market expertise and data infrastructure; however, given recent trends in technology, these could be temporary. While it does require significant capital to expand globally like BlackRock, many firms are investing in global markets and stock exchanges as a diversification tool, much like BlackRock has. Even though no one has the significant assets under management like them, firms like Vanguard are slowly closing the gap. Investor education and sustainability are not a priority for BlackRock to elevate to a sustained competitive advantage. Since they are more focused on providing quality products and services to their clients first, creating additional educational material for independent investors has become more of a secondary activity for the firm. In the same way, sustainability takes a back seat compared to generating alpha, and, while they are an ESG-conscious organization, they do not allow it to completely dictate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their major decisions. BlackRock holds multiple sources of competitive advantage that have elevated them to a global power in the asset management strategy, but growing competitors have forced BlackRock to continuously invest its most unique assets to maintain market leadership.</w:t>
      </w:r>
    </w:p>
    <w:p w14:paraId="16322150" w14:textId="77777777" w:rsidR="00A352B4" w:rsidRDefault="00A352B4">
      <w:pPr>
        <w:rPr>
          <w:rFonts w:ascii="Times New Roman" w:eastAsia="Times New Roman" w:hAnsi="Times New Roman" w:cs="Times New Roman"/>
        </w:rPr>
      </w:pPr>
    </w:p>
    <w:p w14:paraId="1C34BC87"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Value Chain Analysis</w:t>
      </w:r>
    </w:p>
    <w:p w14:paraId="2E313EF1"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Value Chain analysis aids in strategic mapping and identifying sources of competitive advantage for a firm by breaking down key activities of the firm. This analysis examines activities involved in creating and delivering a product or service to determine areas for improvement or competitive advantage. As a result, the firm can assess the significance of specific firm activities and make decisions regarding activity restructuring, resource allocation, and potential in- or outsourcing of activities. </w:t>
      </w:r>
    </w:p>
    <w:p w14:paraId="32486A5C" w14:textId="77777777" w:rsidR="00A352B4" w:rsidRDefault="00A352B4">
      <w:pPr>
        <w:rPr>
          <w:rFonts w:ascii="Times New Roman" w:eastAsia="Times New Roman" w:hAnsi="Times New Roman" w:cs="Times New Roman"/>
        </w:rPr>
      </w:pPr>
    </w:p>
    <w:p w14:paraId="1F2517DA" w14:textId="77777777" w:rsidR="00A352B4" w:rsidRDefault="00000000">
      <w:pPr>
        <w:jc w:val="center"/>
        <w:rPr>
          <w:rFonts w:ascii="Times New Roman" w:eastAsia="Times New Roman" w:hAnsi="Times New Roman" w:cs="Times New Roman"/>
          <w:b/>
        </w:rPr>
      </w:pPr>
      <w:r>
        <w:rPr>
          <w:rFonts w:ascii="Times New Roman" w:eastAsia="Times New Roman" w:hAnsi="Times New Roman" w:cs="Times New Roman"/>
          <w:b/>
        </w:rPr>
        <w:t>Value Chain Analysis</w:t>
      </w:r>
    </w:p>
    <w:tbl>
      <w:tblPr>
        <w:tblStyle w:val="a4"/>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352B4" w14:paraId="37423B0D" w14:textId="77777777">
        <w:trPr>
          <w:trHeight w:val="420"/>
          <w:jc w:val="center"/>
        </w:trPr>
        <w:tc>
          <w:tcPr>
            <w:tcW w:w="9360" w:type="dxa"/>
            <w:gridSpan w:val="3"/>
          </w:tcPr>
          <w:p w14:paraId="6D10C429" w14:textId="77777777" w:rsidR="00A352B4"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Primary Activities</w:t>
            </w:r>
          </w:p>
        </w:tc>
      </w:tr>
      <w:tr w:rsidR="00A352B4" w14:paraId="1B9F778D" w14:textId="77777777">
        <w:trPr>
          <w:jc w:val="center"/>
        </w:trPr>
        <w:tc>
          <w:tcPr>
            <w:tcW w:w="3120" w:type="dxa"/>
          </w:tcPr>
          <w:p w14:paraId="02E039C4" w14:textId="77777777" w:rsidR="00A352B4"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Activity</w:t>
            </w:r>
          </w:p>
        </w:tc>
        <w:tc>
          <w:tcPr>
            <w:tcW w:w="3120" w:type="dxa"/>
          </w:tcPr>
          <w:p w14:paraId="6F14D816" w14:textId="77777777" w:rsidR="00A352B4"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Description</w:t>
            </w:r>
          </w:p>
        </w:tc>
        <w:tc>
          <w:tcPr>
            <w:tcW w:w="3120" w:type="dxa"/>
          </w:tcPr>
          <w:p w14:paraId="0DB2B391" w14:textId="77777777" w:rsidR="00A352B4"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Value Added</w:t>
            </w:r>
          </w:p>
        </w:tc>
      </w:tr>
      <w:tr w:rsidR="00A352B4" w14:paraId="0A209059" w14:textId="77777777">
        <w:trPr>
          <w:jc w:val="center"/>
        </w:trPr>
        <w:tc>
          <w:tcPr>
            <w:tcW w:w="3120" w:type="dxa"/>
          </w:tcPr>
          <w:p w14:paraId="4FBA26B3" w14:textId="77777777" w:rsidR="00A352B4" w:rsidRDefault="00000000">
            <w:pPr>
              <w:spacing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Inbound Logistics</w:t>
            </w:r>
            <w:r>
              <w:rPr>
                <w:rFonts w:ascii="Times New Roman" w:eastAsia="Times New Roman" w:hAnsi="Times New Roman" w:cs="Times New Roman"/>
                <w:b/>
                <w:sz w:val="21"/>
                <w:szCs w:val="21"/>
                <w:vertAlign w:val="superscript"/>
              </w:rPr>
              <w:t xml:space="preserve">4, 5 </w:t>
            </w:r>
            <w:r>
              <w:rPr>
                <w:rFonts w:ascii="Times New Roman" w:eastAsia="Times New Roman" w:hAnsi="Times New Roman" w:cs="Times New Roman"/>
                <w:b/>
                <w:sz w:val="21"/>
                <w:szCs w:val="21"/>
              </w:rPr>
              <w:t>- Key Activity</w:t>
            </w:r>
          </w:p>
        </w:tc>
        <w:tc>
          <w:tcPr>
            <w:tcW w:w="3120" w:type="dxa"/>
          </w:tcPr>
          <w:p w14:paraId="336B8FFF"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Sourcing financial data, market trends, and inputting global data into the Aladdin program.</w:t>
            </w:r>
          </w:p>
        </w:tc>
        <w:tc>
          <w:tcPr>
            <w:tcW w:w="3120" w:type="dxa"/>
          </w:tcPr>
          <w:p w14:paraId="408003DA"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Enhances investment decision-making with real-time data, reducing overall risk.</w:t>
            </w:r>
          </w:p>
        </w:tc>
      </w:tr>
      <w:tr w:rsidR="00A352B4" w14:paraId="5758137B" w14:textId="77777777">
        <w:trPr>
          <w:jc w:val="center"/>
        </w:trPr>
        <w:tc>
          <w:tcPr>
            <w:tcW w:w="3120" w:type="dxa"/>
          </w:tcPr>
          <w:p w14:paraId="1E4E6B1E" w14:textId="77777777" w:rsidR="00A352B4" w:rsidRDefault="00000000">
            <w:pPr>
              <w:spacing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Operations</w:t>
            </w:r>
            <w:r>
              <w:rPr>
                <w:rFonts w:ascii="Times New Roman" w:eastAsia="Times New Roman" w:hAnsi="Times New Roman" w:cs="Times New Roman"/>
                <w:b/>
                <w:sz w:val="21"/>
                <w:szCs w:val="21"/>
                <w:vertAlign w:val="superscript"/>
              </w:rPr>
              <w:t xml:space="preserve">3, 13 </w:t>
            </w:r>
            <w:r>
              <w:rPr>
                <w:rFonts w:ascii="Times New Roman" w:eastAsia="Times New Roman" w:hAnsi="Times New Roman" w:cs="Times New Roman"/>
                <w:b/>
                <w:sz w:val="21"/>
                <w:szCs w:val="21"/>
              </w:rPr>
              <w:t>- Key Activity</w:t>
            </w:r>
          </w:p>
        </w:tc>
        <w:tc>
          <w:tcPr>
            <w:tcW w:w="3120" w:type="dxa"/>
          </w:tcPr>
          <w:p w14:paraId="41702DFF"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Portfolio management, risk-analysis, trading, and rebalancing.</w:t>
            </w:r>
          </w:p>
        </w:tc>
        <w:tc>
          <w:tcPr>
            <w:tcW w:w="3120" w:type="dxa"/>
          </w:tcPr>
          <w:p w14:paraId="07A17026"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An efficient, organized, and scalable way to bring value to clients and shareholders.</w:t>
            </w:r>
          </w:p>
        </w:tc>
      </w:tr>
      <w:tr w:rsidR="00A352B4" w14:paraId="4DB9759F" w14:textId="77777777">
        <w:trPr>
          <w:jc w:val="center"/>
        </w:trPr>
        <w:tc>
          <w:tcPr>
            <w:tcW w:w="3120" w:type="dxa"/>
          </w:tcPr>
          <w:p w14:paraId="68F03FEE" w14:textId="77777777" w:rsidR="00A352B4" w:rsidRDefault="00000000">
            <w:pPr>
              <w:spacing w:line="240" w:lineRule="auto"/>
              <w:rPr>
                <w:rFonts w:ascii="Times New Roman" w:eastAsia="Times New Roman" w:hAnsi="Times New Roman" w:cs="Times New Roman"/>
                <w:b/>
                <w:sz w:val="21"/>
                <w:szCs w:val="21"/>
                <w:vertAlign w:val="superscript"/>
              </w:rPr>
            </w:pPr>
            <w:r>
              <w:rPr>
                <w:rFonts w:ascii="Times New Roman" w:eastAsia="Times New Roman" w:hAnsi="Times New Roman" w:cs="Times New Roman"/>
                <w:b/>
                <w:sz w:val="21"/>
                <w:szCs w:val="21"/>
              </w:rPr>
              <w:lastRenderedPageBreak/>
              <w:t>Outbound Logistics</w:t>
            </w:r>
            <w:r>
              <w:rPr>
                <w:rFonts w:ascii="Times New Roman" w:eastAsia="Times New Roman" w:hAnsi="Times New Roman" w:cs="Times New Roman"/>
                <w:b/>
                <w:sz w:val="21"/>
                <w:szCs w:val="21"/>
                <w:vertAlign w:val="superscript"/>
              </w:rPr>
              <w:t>2, 6</w:t>
            </w:r>
          </w:p>
        </w:tc>
        <w:tc>
          <w:tcPr>
            <w:tcW w:w="3120" w:type="dxa"/>
          </w:tcPr>
          <w:p w14:paraId="63D17D07"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Delivering Investment products to investors through financial advisors.</w:t>
            </w:r>
          </w:p>
        </w:tc>
        <w:tc>
          <w:tcPr>
            <w:tcW w:w="3120" w:type="dxa"/>
          </w:tcPr>
          <w:p w14:paraId="76B66123"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Easy product access to global investors through digital platforms and advisors.</w:t>
            </w:r>
          </w:p>
        </w:tc>
      </w:tr>
      <w:tr w:rsidR="00A352B4" w14:paraId="0703ABC4" w14:textId="77777777">
        <w:trPr>
          <w:jc w:val="center"/>
        </w:trPr>
        <w:tc>
          <w:tcPr>
            <w:tcW w:w="3120" w:type="dxa"/>
          </w:tcPr>
          <w:p w14:paraId="5EE242FB" w14:textId="77777777" w:rsidR="00A352B4" w:rsidRDefault="00000000">
            <w:pPr>
              <w:spacing w:line="240" w:lineRule="auto"/>
              <w:rPr>
                <w:rFonts w:ascii="Times New Roman" w:eastAsia="Times New Roman" w:hAnsi="Times New Roman" w:cs="Times New Roman"/>
                <w:b/>
                <w:sz w:val="21"/>
                <w:szCs w:val="21"/>
                <w:vertAlign w:val="superscript"/>
              </w:rPr>
            </w:pPr>
            <w:r>
              <w:rPr>
                <w:rFonts w:ascii="Times New Roman" w:eastAsia="Times New Roman" w:hAnsi="Times New Roman" w:cs="Times New Roman"/>
                <w:b/>
                <w:sz w:val="21"/>
                <w:szCs w:val="21"/>
              </w:rPr>
              <w:t>Sales and Marketing</w:t>
            </w:r>
            <w:r>
              <w:rPr>
                <w:rFonts w:ascii="Times New Roman" w:eastAsia="Times New Roman" w:hAnsi="Times New Roman" w:cs="Times New Roman"/>
                <w:b/>
                <w:sz w:val="21"/>
                <w:szCs w:val="21"/>
                <w:vertAlign w:val="superscript"/>
              </w:rPr>
              <w:t>1, 21</w:t>
            </w:r>
          </w:p>
        </w:tc>
        <w:tc>
          <w:tcPr>
            <w:tcW w:w="3120" w:type="dxa"/>
          </w:tcPr>
          <w:p w14:paraId="29307871"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Market brand consistency to gain trust, sell both products and financial advisory services. </w:t>
            </w:r>
          </w:p>
        </w:tc>
        <w:tc>
          <w:tcPr>
            <w:tcW w:w="3120" w:type="dxa"/>
          </w:tcPr>
          <w:p w14:paraId="4389580C"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Creates investor loyalty, attracts more investments into their funds, and grows their Economies of Scale. </w:t>
            </w:r>
          </w:p>
        </w:tc>
      </w:tr>
      <w:tr w:rsidR="00A352B4" w14:paraId="26874121" w14:textId="77777777">
        <w:trPr>
          <w:jc w:val="center"/>
        </w:trPr>
        <w:tc>
          <w:tcPr>
            <w:tcW w:w="3120" w:type="dxa"/>
          </w:tcPr>
          <w:p w14:paraId="32E124CB" w14:textId="77777777" w:rsidR="00A352B4" w:rsidRDefault="00000000">
            <w:pPr>
              <w:spacing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Service</w:t>
            </w:r>
            <w:r>
              <w:rPr>
                <w:rFonts w:ascii="Times New Roman" w:eastAsia="Times New Roman" w:hAnsi="Times New Roman" w:cs="Times New Roman"/>
                <w:b/>
                <w:sz w:val="21"/>
                <w:szCs w:val="21"/>
                <w:vertAlign w:val="superscript"/>
              </w:rPr>
              <w:t xml:space="preserve">2, 6 </w:t>
            </w:r>
            <w:r>
              <w:rPr>
                <w:rFonts w:ascii="Times New Roman" w:eastAsia="Times New Roman" w:hAnsi="Times New Roman" w:cs="Times New Roman"/>
                <w:b/>
                <w:sz w:val="21"/>
                <w:szCs w:val="21"/>
              </w:rPr>
              <w:t>- Key Activity</w:t>
            </w:r>
          </w:p>
        </w:tc>
        <w:tc>
          <w:tcPr>
            <w:tcW w:w="3120" w:type="dxa"/>
          </w:tcPr>
          <w:p w14:paraId="024D4822"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Advisor Support, Relationship Management, Personalized Service, Portfolio Reporting.</w:t>
            </w:r>
          </w:p>
        </w:tc>
        <w:tc>
          <w:tcPr>
            <w:tcW w:w="3120" w:type="dxa"/>
          </w:tcPr>
          <w:p w14:paraId="69D4DF4B"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Furthers client trust, builds on brand reputation.</w:t>
            </w:r>
          </w:p>
        </w:tc>
      </w:tr>
      <w:tr w:rsidR="00A352B4" w14:paraId="29543F7B" w14:textId="77777777">
        <w:trPr>
          <w:trHeight w:val="420"/>
          <w:jc w:val="center"/>
        </w:trPr>
        <w:tc>
          <w:tcPr>
            <w:tcW w:w="9360" w:type="dxa"/>
            <w:gridSpan w:val="3"/>
          </w:tcPr>
          <w:p w14:paraId="2DDA434A" w14:textId="77777777" w:rsidR="00A352B4"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Secondary Activities</w:t>
            </w:r>
          </w:p>
        </w:tc>
      </w:tr>
      <w:tr w:rsidR="00A352B4" w14:paraId="1981C125" w14:textId="77777777">
        <w:trPr>
          <w:jc w:val="center"/>
        </w:trPr>
        <w:tc>
          <w:tcPr>
            <w:tcW w:w="3120" w:type="dxa"/>
          </w:tcPr>
          <w:p w14:paraId="2014241B" w14:textId="77777777" w:rsidR="00A352B4" w:rsidRDefault="00000000">
            <w:pPr>
              <w:spacing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Technology</w:t>
            </w:r>
            <w:r>
              <w:rPr>
                <w:rFonts w:ascii="Times New Roman" w:eastAsia="Times New Roman" w:hAnsi="Times New Roman" w:cs="Times New Roman"/>
                <w:b/>
                <w:sz w:val="21"/>
                <w:szCs w:val="21"/>
                <w:vertAlign w:val="superscript"/>
              </w:rPr>
              <w:t>4, 17</w:t>
            </w:r>
            <w:r>
              <w:rPr>
                <w:rFonts w:ascii="Times New Roman" w:eastAsia="Times New Roman" w:hAnsi="Times New Roman" w:cs="Times New Roman"/>
                <w:b/>
                <w:sz w:val="21"/>
                <w:szCs w:val="21"/>
              </w:rPr>
              <w:t xml:space="preserve"> - Key Activity</w:t>
            </w:r>
          </w:p>
        </w:tc>
        <w:tc>
          <w:tcPr>
            <w:tcW w:w="3120" w:type="dxa"/>
          </w:tcPr>
          <w:p w14:paraId="3FB9F228"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AI, Aladdin, digital financial models, trading software, and other innovative financial tech products.</w:t>
            </w:r>
          </w:p>
        </w:tc>
        <w:tc>
          <w:tcPr>
            <w:tcW w:w="3120" w:type="dxa"/>
          </w:tcPr>
          <w:p w14:paraId="5B8BB3E8"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Supports smooth operations and ensures profit-generating activities are completed efficiently. </w:t>
            </w:r>
          </w:p>
        </w:tc>
      </w:tr>
      <w:tr w:rsidR="00A352B4" w14:paraId="66F63A29" w14:textId="77777777">
        <w:trPr>
          <w:jc w:val="center"/>
        </w:trPr>
        <w:tc>
          <w:tcPr>
            <w:tcW w:w="3120" w:type="dxa"/>
          </w:tcPr>
          <w:p w14:paraId="21DB7791" w14:textId="77777777" w:rsidR="00A352B4" w:rsidRDefault="00000000">
            <w:pPr>
              <w:spacing w:line="240" w:lineRule="auto"/>
              <w:rPr>
                <w:rFonts w:ascii="Times New Roman" w:eastAsia="Times New Roman" w:hAnsi="Times New Roman" w:cs="Times New Roman"/>
                <w:b/>
                <w:sz w:val="21"/>
                <w:szCs w:val="21"/>
                <w:vertAlign w:val="superscript"/>
              </w:rPr>
            </w:pPr>
            <w:r>
              <w:rPr>
                <w:rFonts w:ascii="Times New Roman" w:eastAsia="Times New Roman" w:hAnsi="Times New Roman" w:cs="Times New Roman"/>
                <w:b/>
                <w:sz w:val="21"/>
                <w:szCs w:val="21"/>
              </w:rPr>
              <w:t>Infrastructure</w:t>
            </w:r>
            <w:r>
              <w:rPr>
                <w:rFonts w:ascii="Times New Roman" w:eastAsia="Times New Roman" w:hAnsi="Times New Roman" w:cs="Times New Roman"/>
                <w:b/>
                <w:sz w:val="21"/>
                <w:szCs w:val="21"/>
                <w:vertAlign w:val="superscript"/>
              </w:rPr>
              <w:t>6, 17</w:t>
            </w:r>
          </w:p>
        </w:tc>
        <w:tc>
          <w:tcPr>
            <w:tcW w:w="3120" w:type="dxa"/>
          </w:tcPr>
          <w:p w14:paraId="7B86C852"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Data centers, legal and compliance teams, global offices, regional advisors, executive team. </w:t>
            </w:r>
          </w:p>
        </w:tc>
        <w:tc>
          <w:tcPr>
            <w:tcW w:w="3120" w:type="dxa"/>
          </w:tcPr>
          <w:p w14:paraId="7CBFD909"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Ensures BlackRock meets the complex global environment regulations and customer needs.</w:t>
            </w:r>
          </w:p>
        </w:tc>
      </w:tr>
      <w:tr w:rsidR="00A352B4" w14:paraId="2CF27C40" w14:textId="77777777">
        <w:trPr>
          <w:jc w:val="center"/>
        </w:trPr>
        <w:tc>
          <w:tcPr>
            <w:tcW w:w="3120" w:type="dxa"/>
          </w:tcPr>
          <w:p w14:paraId="0F221588" w14:textId="77777777" w:rsidR="00A352B4" w:rsidRDefault="00000000">
            <w:pPr>
              <w:spacing w:line="240" w:lineRule="auto"/>
              <w:rPr>
                <w:rFonts w:ascii="Times New Roman" w:eastAsia="Times New Roman" w:hAnsi="Times New Roman" w:cs="Times New Roman"/>
                <w:b/>
                <w:sz w:val="21"/>
                <w:szCs w:val="21"/>
                <w:vertAlign w:val="superscript"/>
              </w:rPr>
            </w:pPr>
            <w:r>
              <w:rPr>
                <w:rFonts w:ascii="Times New Roman" w:eastAsia="Times New Roman" w:hAnsi="Times New Roman" w:cs="Times New Roman"/>
                <w:b/>
                <w:sz w:val="21"/>
                <w:szCs w:val="21"/>
              </w:rPr>
              <w:t>Human Resource Management</w:t>
            </w:r>
            <w:r>
              <w:rPr>
                <w:rFonts w:ascii="Times New Roman" w:eastAsia="Times New Roman" w:hAnsi="Times New Roman" w:cs="Times New Roman"/>
                <w:b/>
                <w:sz w:val="21"/>
                <w:szCs w:val="21"/>
                <w:vertAlign w:val="superscript"/>
              </w:rPr>
              <w:t>9, 12</w:t>
            </w:r>
          </w:p>
        </w:tc>
        <w:tc>
          <w:tcPr>
            <w:tcW w:w="3120" w:type="dxa"/>
          </w:tcPr>
          <w:p w14:paraId="29A0C5B2"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Emphasis on purpose-driven culture and employee well-being.</w:t>
            </w:r>
          </w:p>
        </w:tc>
        <w:tc>
          <w:tcPr>
            <w:tcW w:w="3120" w:type="dxa"/>
          </w:tcPr>
          <w:p w14:paraId="17CCF57D" w14:textId="77777777" w:rsidR="00A352B4" w:rsidRDefault="00000000">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Helps bring in and retain the best talent in the investment industry.</w:t>
            </w:r>
          </w:p>
        </w:tc>
      </w:tr>
    </w:tbl>
    <w:p w14:paraId="6D9573CC" w14:textId="77777777" w:rsidR="00A352B4" w:rsidRDefault="00A352B4">
      <w:pPr>
        <w:rPr>
          <w:rFonts w:ascii="Times New Roman" w:eastAsia="Times New Roman" w:hAnsi="Times New Roman" w:cs="Times New Roman"/>
        </w:rPr>
      </w:pPr>
    </w:p>
    <w:p w14:paraId="19883D11"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The Value Chain analysis focuses on primary and secondary activities of the firm and how these contribute to the profit margin or add value to the firm. For each activity, research was completed to understand BlackRock’s specific activities that fit under each subcategory. For inbound logistics, BlackRock creates value by enhancing decision-making through data sourcing, identifying market trends, and refining Aladdin software. Their operations add value to the firm through portfolio management and risk analysis, creating an efficient way to bring products to clients. The outbound logistics involve delivering investment products through financial advisors to clients and investors. While BlackRock does not advertise that much, their sales and marketing lean more towards reporting returns and capital gains to create investor loyalty and attract more investments into their funds. Their services include advisor support, personalized services, and relationship management. These further build on their client trust and relationships, pulling in more money for investments while also building their brand reputation. These primary activities form a mutually beneficial relationship with the resources identified in the VRIO analysis. The secondary activities were identified as technology, infrastructure, and human resource management. Each of these plays a significant role in supporting the primary activities, whether that is their technology assisting in analyzing market data and trends for portfolio management, or human resources management attracting top advisors for BlackRock. BlackRock has used this analysis to identify areas for outsourcing, especially in the secondary activities. BlackRock has partnered with Microsoft and MGX to develop AI and infrastructure, like data and power centers, for the evolution of AI for BlackRock. Each of these activities contributes to the overall success of BlackRock by increasing the profit margin or elevating competitive advantages. </w:t>
      </w:r>
    </w:p>
    <w:p w14:paraId="1A9B74A5" w14:textId="77777777" w:rsidR="00A352B4" w:rsidRDefault="00A352B4">
      <w:pPr>
        <w:rPr>
          <w:rFonts w:ascii="Times New Roman" w:eastAsia="Times New Roman" w:hAnsi="Times New Roman" w:cs="Times New Roman"/>
        </w:rPr>
      </w:pPr>
    </w:p>
    <w:p w14:paraId="58D68BA5"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BlackRock is one of the most trusted financial asset management companies in the world right now, and much of that is due to their strategic use of their resources. Because of smart resource utilization, BlackRock has been able to turn most of their resources into competitive advantages, with our analysis only finding a few weaknesses that could be strengthened in the coming years. Their Aladdin program was built to help BlackRock’s inbound logistics and operations by gathering and interpreting key risk data from the financial markets to guide their product offerings. It did so well that they turned it into a product on its own, which has become one of the most widely used risk management software in the industry. With Aladdin giving them an edge above competitors at the start, BlackRock has grown to become one of the largest financial institutions in the world. They have continued to use that to their advantage by leveraging their economies of scale in their operations, as they </w:t>
      </w:r>
      <w:proofErr w:type="gramStart"/>
      <w:r>
        <w:rPr>
          <w:rFonts w:ascii="Times New Roman" w:eastAsia="Times New Roman" w:hAnsi="Times New Roman" w:cs="Times New Roman"/>
        </w:rPr>
        <w:t>have the ability to</w:t>
      </w:r>
      <w:proofErr w:type="gramEnd"/>
      <w:r>
        <w:rPr>
          <w:rFonts w:ascii="Times New Roman" w:eastAsia="Times New Roman" w:hAnsi="Times New Roman" w:cs="Times New Roman"/>
        </w:rPr>
        <w:t xml:space="preserve"> create and sell alpha-generating portfolios at a lower cost than their competitors. Being able to deliver such quality products at lower costs has boosted consumer sentiment and trust, in turn fueling growth in the financial services sector for BlackRock too. BlackRock’s successful business growth and continued push for innovation have not only made it a great company for its customers but also for its employees. Their ability to hire, retain, and promote global talent has continued to give them a competitive advantage and will continue to for years to come, especially considering they have a veteran leadership team with 30+ years of financial expertise and experience. Talent has led to innovation, which has created a global infrastructure built on industry-leading technology that also gives them an edge over their competitors. Essentially, our analysis found only one area where BlackRock was weak compared to its competitors: marketing. BlackRock does not invest too heavily into large global marketing campaigns, and they do not always run typical television commercial campaigns, which you see their main competitors such as JP Morgan doing. Instead, they focus on relatively local marketing, tabling at different conferences or city-wide events. This is a decent strategy, as it shows consumers that a global company is still in touch with its local communities, but it does not reach nearly as many people as competitors’ ad campaigns do. This is a weakness that can be easily addressed with a marketing budget adjustment and a stronger regional presence, and we believe it is something that could continue to give this global giant even more of an edge moving forward. Overall, BlackRock is a strong and sound business that continues to dominate the finance industry, and their many current competitive advantages are keeping them ahead of the competition.   </w:t>
      </w:r>
    </w:p>
    <w:p w14:paraId="39B83180" w14:textId="77777777" w:rsidR="00A352B4" w:rsidRDefault="00A352B4">
      <w:pPr>
        <w:rPr>
          <w:rFonts w:ascii="Times New Roman" w:eastAsia="Times New Roman" w:hAnsi="Times New Roman" w:cs="Times New Roman"/>
        </w:rPr>
      </w:pPr>
    </w:p>
    <w:p w14:paraId="6A4FDF4D"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Conclusion</w:t>
      </w:r>
    </w:p>
    <w:p w14:paraId="15368B14" w14:textId="77777777" w:rsidR="00A352B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Throughout our analysis, it has become clear that BlackRock’s continued success stems from its ability to innovate, improve customer-centric practices, and do all of this on a global scale. From its origins as a risk management firm to becoming the world’s largest asset manager, BlackRock has consistently leveraged its strengths, such as its Aladdin platform, its leadership team, and economies of scale, to maintain a competitive edge. Our Business Model Canvas and VRIO analysis demonstrate how BlackRock’s internal resources, especially its technological infrastructure and human capital, are both valuable and difficult to replicate, furthering its ability to compete in the finance industry. However, our Five Forces and STEEP analyses highlight the many external challenges BlackRock must navigate, from regulatory threats to geopolitical risks and technological shifts.</w:t>
      </w:r>
    </w:p>
    <w:p w14:paraId="68824CA3" w14:textId="77777777" w:rsidR="00A352B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Despite these pressures, BlackRock’s proactive strategies, like investing in AI, expanding private markets, and building sustainable offerings, reinforce its resiliency and ability to stay competitive. Our Strategic Group Map shows that BlackRock leads its competitive set in both expertise and scale, while the </w:t>
      </w:r>
      <w:r>
        <w:rPr>
          <w:rFonts w:ascii="Times New Roman" w:eastAsia="Times New Roman" w:hAnsi="Times New Roman" w:cs="Times New Roman"/>
        </w:rPr>
        <w:lastRenderedPageBreak/>
        <w:t>Value Chain analysis confirms that nearly every core function adds value and supports differentiation. While the firm is excelling in most strategic areas, our analysis also reveals areas for potential growth. We recommend that BlackRock better integrate Aladdin for individual investors as opposed to just institutional investors. There is no one currently offering such an advanced risk-tracking software to individual investors, which could give them a sustainable competitive edge should they be able to offer another new product and properly protect it from being replicated. Additionally, increasing brand visibility through broader digital marketing and emphasizing their sustainability efforts could help attract emerging generations of investors who prioritize ESG. Altogether, BlackRock’s integrated approach to strategic planning, innovation, and execution confirms its standing as a global financial leader well-positioned for the future. By taking these additional steps, BlackRock can not only sustain but strengthen its leadership in a rapidly evolving financial landscape.</w:t>
      </w:r>
    </w:p>
    <w:p w14:paraId="69C30944" w14:textId="77777777" w:rsidR="00A352B4" w:rsidRDefault="00A352B4">
      <w:pPr>
        <w:rPr>
          <w:rFonts w:ascii="Times New Roman" w:eastAsia="Times New Roman" w:hAnsi="Times New Roman" w:cs="Times New Roman"/>
          <w:b/>
          <w:highlight w:val="yellow"/>
        </w:rPr>
      </w:pPr>
    </w:p>
    <w:p w14:paraId="7A475FCC"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References</w:t>
      </w:r>
    </w:p>
    <w:p w14:paraId="1F331D1B"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Company Overview</w:t>
      </w:r>
    </w:p>
    <w:p w14:paraId="06F0625D" w14:textId="77777777" w:rsidR="00A352B4" w:rsidRDefault="00000000">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1. Adam Kasi. “Porter’s </w:t>
      </w:r>
      <w:proofErr w:type="gramStart"/>
      <w:r>
        <w:rPr>
          <w:rFonts w:ascii="Times New Roman" w:eastAsia="Times New Roman" w:hAnsi="Times New Roman" w:cs="Times New Roman"/>
        </w:rPr>
        <w:t>Five(</w:t>
      </w:r>
      <w:proofErr w:type="gramEnd"/>
      <w:r>
        <w:rPr>
          <w:rFonts w:ascii="Times New Roman" w:eastAsia="Times New Roman" w:hAnsi="Times New Roman" w:cs="Times New Roman"/>
        </w:rPr>
        <w:t xml:space="preserve">5) Forces of Blackrock - Porter Analysis.” </w:t>
      </w:r>
      <w:r>
        <w:rPr>
          <w:rFonts w:ascii="Times New Roman" w:eastAsia="Times New Roman" w:hAnsi="Times New Roman" w:cs="Times New Roman"/>
          <w:i/>
        </w:rPr>
        <w:t>Porter Analysis</w:t>
      </w:r>
      <w:r>
        <w:rPr>
          <w:rFonts w:ascii="Times New Roman" w:eastAsia="Times New Roman" w:hAnsi="Times New Roman" w:cs="Times New Roman"/>
        </w:rPr>
        <w:t xml:space="preserve">, 26 Feb. 2020, </w:t>
      </w:r>
      <w:hyperlink r:id="rId8">
        <w:r>
          <w:rPr>
            <w:rFonts w:ascii="Times New Roman" w:eastAsia="Times New Roman" w:hAnsi="Times New Roman" w:cs="Times New Roman"/>
            <w:color w:val="1155CC"/>
            <w:u w:val="single"/>
          </w:rPr>
          <w:t>www.porteranalysis.com/porter-five5-forces-of-blackrock/#google_vignette.</w:t>
        </w:r>
      </w:hyperlink>
      <w:r>
        <w:rPr>
          <w:rFonts w:ascii="Times New Roman" w:eastAsia="Times New Roman" w:hAnsi="Times New Roman" w:cs="Times New Roman"/>
        </w:rPr>
        <w:t xml:space="preserve"> Accessed 12 Feb. 2025.</w:t>
      </w:r>
    </w:p>
    <w:p w14:paraId="4EFA3D2F" w14:textId="77777777" w:rsidR="00A352B4" w:rsidRDefault="00000000">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2. Byrne, Taylor. “Value Chain Analysis of BlackRock.” </w:t>
      </w:r>
      <w:r>
        <w:rPr>
          <w:rFonts w:ascii="Times New Roman" w:eastAsia="Times New Roman" w:hAnsi="Times New Roman" w:cs="Times New Roman"/>
          <w:i/>
        </w:rPr>
        <w:t>Essay48</w:t>
      </w:r>
      <w:r>
        <w:rPr>
          <w:rFonts w:ascii="Times New Roman" w:eastAsia="Times New Roman" w:hAnsi="Times New Roman" w:cs="Times New Roman"/>
        </w:rPr>
        <w:t xml:space="preserve">, 2015, </w:t>
      </w:r>
      <w:hyperlink r:id="rId9">
        <w:r>
          <w:rPr>
            <w:rFonts w:ascii="Times New Roman" w:eastAsia="Times New Roman" w:hAnsi="Times New Roman" w:cs="Times New Roman"/>
            <w:color w:val="1155CC"/>
            <w:u w:val="single"/>
          </w:rPr>
          <w:t>www.essay48.com/value-chain-analysis/12857-BlackRock-Value-Chain-Analysis.</w:t>
        </w:r>
      </w:hyperlink>
      <w:r>
        <w:rPr>
          <w:rFonts w:ascii="Times New Roman" w:eastAsia="Times New Roman" w:hAnsi="Times New Roman" w:cs="Times New Roman"/>
        </w:rPr>
        <w:t xml:space="preserve"> Accessed 12 Feb. 2025.</w:t>
      </w:r>
    </w:p>
    <w:p w14:paraId="710A2523" w14:textId="77777777" w:rsidR="00A352B4" w:rsidRDefault="00000000">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3. Donilon, Tom, et al. Geopolitical Risk Dashboard. BlackRock </w:t>
      </w:r>
      <w:proofErr w:type="gramStart"/>
      <w:r>
        <w:rPr>
          <w:rFonts w:ascii="Times New Roman" w:eastAsia="Times New Roman" w:hAnsi="Times New Roman" w:cs="Times New Roman"/>
        </w:rPr>
        <w:t>Inc. ,</w:t>
      </w:r>
      <w:proofErr w:type="gramEnd"/>
      <w:r>
        <w:rPr>
          <w:rFonts w:ascii="Times New Roman" w:eastAsia="Times New Roman" w:hAnsi="Times New Roman" w:cs="Times New Roman"/>
        </w:rPr>
        <w:t xml:space="preserve"> 13 Dec. 2024.</w:t>
      </w:r>
    </w:p>
    <w:p w14:paraId="2D3FB397"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4. Edwards, </w:t>
      </w:r>
      <w:proofErr w:type="gramStart"/>
      <w:r>
        <w:rPr>
          <w:rFonts w:ascii="Times New Roman" w:eastAsia="Times New Roman" w:hAnsi="Times New Roman" w:cs="Times New Roman"/>
        </w:rPr>
        <w:t>Zachary .</w:t>
      </w:r>
      <w:proofErr w:type="gramEnd"/>
      <w:r>
        <w:rPr>
          <w:rFonts w:ascii="Times New Roman" w:eastAsia="Times New Roman" w:hAnsi="Times New Roman" w:cs="Times New Roman"/>
        </w:rPr>
        <w:t xml:space="preserve"> “VRIO Analysis of BlackRock.” Case48, 2018, </w:t>
      </w:r>
      <w:hyperlink r:id="rId10">
        <w:r>
          <w:rPr>
            <w:rFonts w:ascii="Times New Roman" w:eastAsia="Times New Roman" w:hAnsi="Times New Roman" w:cs="Times New Roman"/>
            <w:color w:val="1155CC"/>
            <w:u w:val="single"/>
          </w:rPr>
          <w:t>www.case48.com/vrio-analysis/12857-BlackRock.</w:t>
        </w:r>
      </w:hyperlink>
      <w:r>
        <w:rPr>
          <w:rFonts w:ascii="Times New Roman" w:eastAsia="Times New Roman" w:hAnsi="Times New Roman" w:cs="Times New Roman"/>
        </w:rPr>
        <w:t xml:space="preserve"> Accessed 12 Feb. 2025.</w:t>
      </w:r>
    </w:p>
    <w:p w14:paraId="7FD975B4"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5. French, David. “Blackrock’s Private Markets Push May Not Be Over after 2024 Buyout Spree | Reuters.” Reuters, 11 Dec. 2024, www.reuters.com/markets/deals/blackrocks-private-markets-push-may-not-be-over-after-2024-buyout-spree-2024-12-11/. </w:t>
      </w:r>
    </w:p>
    <w:p w14:paraId="54857007"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6. </w:t>
      </w:r>
      <w:proofErr w:type="spellStart"/>
      <w:r>
        <w:rPr>
          <w:rFonts w:ascii="Times New Roman" w:eastAsia="Times New Roman" w:hAnsi="Times New Roman" w:cs="Times New Roman"/>
        </w:rPr>
        <w:t>GuruFocus</w:t>
      </w:r>
      <w:proofErr w:type="spellEnd"/>
      <w:r>
        <w:rPr>
          <w:rFonts w:ascii="Times New Roman" w:eastAsia="Times New Roman" w:hAnsi="Times New Roman" w:cs="Times New Roman"/>
        </w:rPr>
        <w:t xml:space="preserve"> Research. “The BlackRock Inc (BLK) Company: A Short SWOT Analysis.” YahooFinance.com, 7 Nov. 2023, </w:t>
      </w:r>
      <w:hyperlink r:id="rId11">
        <w:r>
          <w:rPr>
            <w:rFonts w:ascii="Times New Roman" w:eastAsia="Times New Roman" w:hAnsi="Times New Roman" w:cs="Times New Roman"/>
            <w:color w:val="1155CC"/>
            <w:u w:val="single"/>
          </w:rPr>
          <w:t>finance.yahoo.com/news/blackrock-inc-blk-company-short-050802767.html?guccounter=1&amp;guce_referrer=aHR0cHM6Ly93d3cuZ29vZ2xlLmNvbS8&amp;guce_referrer_sig=AQAAAJsw4fCXV-5avFn-fCvX0aiKq-GpDu8PXIX90hkXqCogCZixYUlDgBygns4OBVZHEmCSTv3yVenAvtl4egdlfMfGftrrhld4hRIjPVBa0ivy4yfundgpVFaEp46tGcctrYV9nPimxWqTxLd_VoT19jaMAG97N0K6qdHoclKV6dMr</w:t>
        </w:r>
      </w:hyperlink>
      <w:r>
        <w:rPr>
          <w:rFonts w:ascii="Times New Roman" w:eastAsia="Times New Roman" w:hAnsi="Times New Roman" w:cs="Times New Roman"/>
        </w:rPr>
        <w:t>. Accessed 14 Feb. 2025.</w:t>
      </w:r>
    </w:p>
    <w:p w14:paraId="1E279D47"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7. </w:t>
      </w: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Business Review. “BlackRock (BLK): PESTEL and Macro-Environmental Analysis.” </w:t>
      </w: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16 June 2024, </w:t>
      </w:r>
      <w:hyperlink r:id="rId12">
        <w:r>
          <w:rPr>
            <w:rFonts w:ascii="Times New Roman" w:eastAsia="Times New Roman" w:hAnsi="Times New Roman" w:cs="Times New Roman"/>
            <w:color w:val="1155CC"/>
            <w:u w:val="single"/>
          </w:rPr>
          <w:t>www.hivelr.com/2024/06/blackrock-blk-pestel-and-macro-environmental-analysis/</w:t>
        </w:r>
      </w:hyperlink>
      <w:r>
        <w:rPr>
          <w:rFonts w:ascii="Times New Roman" w:eastAsia="Times New Roman" w:hAnsi="Times New Roman" w:cs="Times New Roman"/>
        </w:rPr>
        <w:t>.</w:t>
      </w:r>
    </w:p>
    <w:p w14:paraId="70C9735F" w14:textId="77777777" w:rsidR="00A352B4" w:rsidRDefault="00000000">
      <w:pPr>
        <w:rPr>
          <w:rFonts w:ascii="Times New Roman" w:eastAsia="Times New Roman" w:hAnsi="Times New Roman" w:cs="Times New Roman"/>
        </w:rPr>
      </w:pPr>
      <w:r>
        <w:rPr>
          <w:rFonts w:ascii="Times New Roman" w:eastAsia="Times New Roman" w:hAnsi="Times New Roman" w:cs="Times New Roman"/>
        </w:rPr>
        <w:t xml:space="preserve">            Accessed 12 Feb. 2025.</w:t>
      </w:r>
    </w:p>
    <w:p w14:paraId="7B5C07C2"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8. </w:t>
      </w: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Business Review. “BlackRock (BLK): Porter’s Five Forces Industry and Competition Analysis.” </w:t>
      </w: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27 June 2023, </w:t>
      </w:r>
      <w:hyperlink r:id="rId13">
        <w:r>
          <w:rPr>
            <w:rFonts w:ascii="Times New Roman" w:eastAsia="Times New Roman" w:hAnsi="Times New Roman" w:cs="Times New Roman"/>
            <w:color w:val="1155CC"/>
            <w:u w:val="single"/>
          </w:rPr>
          <w:t>www.hivelr.com/2023/06/blackrock-blk-porters-five-forces-industry-and-competition-analysis/</w:t>
        </w:r>
      </w:hyperlink>
      <w:r>
        <w:rPr>
          <w:rFonts w:ascii="Times New Roman" w:eastAsia="Times New Roman" w:hAnsi="Times New Roman" w:cs="Times New Roman"/>
        </w:rPr>
        <w:t>. Accessed 12 Feb. 2025.</w:t>
      </w:r>
    </w:p>
    <w:p w14:paraId="14A28E3F" w14:textId="77777777" w:rsidR="00A352B4" w:rsidRDefault="00000000">
      <w:pP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9. Jacob, Vivek Dev. “BlackRock Business Model | How Does BlackRock Make Money?” </w:t>
      </w:r>
      <w:proofErr w:type="spellStart"/>
      <w:r>
        <w:rPr>
          <w:rFonts w:ascii="Times New Roman" w:eastAsia="Times New Roman" w:hAnsi="Times New Roman" w:cs="Times New Roman"/>
          <w:i/>
        </w:rPr>
        <w:t>StartupTalky</w:t>
      </w:r>
      <w:proofErr w:type="spellEnd"/>
      <w:r>
        <w:rPr>
          <w:rFonts w:ascii="Times New Roman" w:eastAsia="Times New Roman" w:hAnsi="Times New Roman" w:cs="Times New Roman"/>
        </w:rPr>
        <w:t xml:space="preserve">, 4 Nov. 2024, </w:t>
      </w:r>
      <w:hyperlink r:id="rId14">
        <w:r>
          <w:rPr>
            <w:rFonts w:ascii="Times New Roman" w:eastAsia="Times New Roman" w:hAnsi="Times New Roman" w:cs="Times New Roman"/>
            <w:color w:val="1155CC"/>
            <w:u w:val="single"/>
          </w:rPr>
          <w:t>startuptalky.com/</w:t>
        </w:r>
        <w:proofErr w:type="spellStart"/>
        <w:r>
          <w:rPr>
            <w:rFonts w:ascii="Times New Roman" w:eastAsia="Times New Roman" w:hAnsi="Times New Roman" w:cs="Times New Roman"/>
            <w:color w:val="1155CC"/>
            <w:u w:val="single"/>
          </w:rPr>
          <w:t>blackrock</w:t>
        </w:r>
        <w:proofErr w:type="spellEnd"/>
        <w:r>
          <w:rPr>
            <w:rFonts w:ascii="Times New Roman" w:eastAsia="Times New Roman" w:hAnsi="Times New Roman" w:cs="Times New Roman"/>
            <w:color w:val="1155CC"/>
            <w:u w:val="single"/>
          </w:rPr>
          <w:t>-business-model/</w:t>
        </w:r>
      </w:hyperlink>
      <w:r>
        <w:rPr>
          <w:rFonts w:ascii="Times New Roman" w:eastAsia="Times New Roman" w:hAnsi="Times New Roman" w:cs="Times New Roman"/>
        </w:rPr>
        <w:t>. Accessed 12 Feb. 2025.</w:t>
      </w:r>
    </w:p>
    <w:p w14:paraId="3B37C899"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10. </w:t>
      </w:r>
      <w:proofErr w:type="gramStart"/>
      <w:r>
        <w:rPr>
          <w:rFonts w:ascii="Times New Roman" w:eastAsia="Times New Roman" w:hAnsi="Times New Roman" w:cs="Times New Roman"/>
        </w:rPr>
        <w:t>Pereira ,</w:t>
      </w:r>
      <w:proofErr w:type="gramEnd"/>
      <w:r>
        <w:rPr>
          <w:rFonts w:ascii="Times New Roman" w:eastAsia="Times New Roman" w:hAnsi="Times New Roman" w:cs="Times New Roman"/>
        </w:rPr>
        <w:t xml:space="preserve"> Daniel. “BlackRock Business Model - How BlackRock Makes Money?” Business Model Analyst, 21 June 2023, </w:t>
      </w:r>
      <w:hyperlink r:id="rId15">
        <w:r>
          <w:rPr>
            <w:rFonts w:ascii="Times New Roman" w:eastAsia="Times New Roman" w:hAnsi="Times New Roman" w:cs="Times New Roman"/>
            <w:color w:val="1155CC"/>
            <w:u w:val="single"/>
          </w:rPr>
          <w:t>businessmodelanalyst.com/blackrock-business-</w:t>
        </w:r>
        <w:r>
          <w:rPr>
            <w:rFonts w:ascii="Times New Roman" w:eastAsia="Times New Roman" w:hAnsi="Times New Roman" w:cs="Times New Roman"/>
            <w:color w:val="1155CC"/>
            <w:u w:val="single"/>
          </w:rPr>
          <w:lastRenderedPageBreak/>
          <w:t>model/?srsltid=AfmBOope8jaeTR0XIs1PhHeYqF9OPD98JbuMYx-0USY8pyGtqQj_VIpF</w:t>
        </w:r>
      </w:hyperlink>
      <w:r>
        <w:rPr>
          <w:rFonts w:ascii="Times New Roman" w:eastAsia="Times New Roman" w:hAnsi="Times New Roman" w:cs="Times New Roman"/>
        </w:rPr>
        <w:t>. Accessed 12 Feb. 2025.</w:t>
      </w:r>
    </w:p>
    <w:p w14:paraId="66177AE2"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11. Robinson-Tillett, Sophie. “Blackrock Names New Head of Sustainable and Transition Solutions.” IPE, IPE, 14 Feb. 2025, </w:t>
      </w:r>
      <w:hyperlink r:id="rId16">
        <w:r>
          <w:rPr>
            <w:rFonts w:ascii="Times New Roman" w:eastAsia="Times New Roman" w:hAnsi="Times New Roman" w:cs="Times New Roman"/>
            <w:color w:val="1155CC"/>
            <w:u w:val="single"/>
          </w:rPr>
          <w:t>www.ipe.com/news/blackrock-names-new-head-of-sustainable-and-transition-solutions/10128876.article</w:t>
        </w:r>
      </w:hyperlink>
      <w:r>
        <w:rPr>
          <w:rFonts w:ascii="Times New Roman" w:eastAsia="Times New Roman" w:hAnsi="Times New Roman" w:cs="Times New Roman"/>
        </w:rPr>
        <w:t>.</w:t>
      </w:r>
    </w:p>
    <w:p w14:paraId="2DD2201F"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12. UK Office, BlackRock. Value Assessment. BlackRock </w:t>
      </w:r>
      <w:proofErr w:type="gramStart"/>
      <w:r>
        <w:rPr>
          <w:rFonts w:ascii="Times New Roman" w:eastAsia="Times New Roman" w:hAnsi="Times New Roman" w:cs="Times New Roman"/>
        </w:rPr>
        <w:t>Inc. ,</w:t>
      </w:r>
      <w:proofErr w:type="gramEnd"/>
      <w:r>
        <w:rPr>
          <w:rFonts w:ascii="Times New Roman" w:eastAsia="Times New Roman" w:hAnsi="Times New Roman" w:cs="Times New Roman"/>
        </w:rPr>
        <w:t xml:space="preserve"> 1 July 2024.</w:t>
      </w:r>
    </w:p>
    <w:p w14:paraId="71270DF1"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13. Warren, Sabrina. “VRIO Analysis of BlackRock.” Essaypandas.com, 27 Feb. 2023, </w:t>
      </w:r>
      <w:hyperlink r:id="rId17">
        <w:r>
          <w:rPr>
            <w:rFonts w:ascii="Times New Roman" w:eastAsia="Times New Roman" w:hAnsi="Times New Roman" w:cs="Times New Roman"/>
            <w:color w:val="1155CC"/>
            <w:u w:val="single"/>
          </w:rPr>
          <w:t>www.essaypandas.com/essay/BlackRock-12857-VRIO-Analysis</w:t>
        </w:r>
      </w:hyperlink>
      <w:r>
        <w:rPr>
          <w:rFonts w:ascii="Times New Roman" w:eastAsia="Times New Roman" w:hAnsi="Times New Roman" w:cs="Times New Roman"/>
        </w:rPr>
        <w:t>. Accessed 12 Feb. 2025.</w:t>
      </w:r>
    </w:p>
    <w:p w14:paraId="024EB7BD" w14:textId="77777777" w:rsidR="00A352B4"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14. ZeroHedge.com. “Blackrock and Microsoft Partner on $30 Billion AI Infrastructure Fund.” Yahoo! Finance, Yahoo!, </w:t>
      </w:r>
      <w:hyperlink r:id="rId18">
        <w:r>
          <w:rPr>
            <w:rFonts w:ascii="Times New Roman" w:eastAsia="Times New Roman" w:hAnsi="Times New Roman" w:cs="Times New Roman"/>
            <w:color w:val="1155CC"/>
            <w:u w:val="single"/>
          </w:rPr>
          <w:t>finance.yahoo.com/news/blackrock-microsoft-partner-30-billion-210000467.html</w:t>
        </w:r>
      </w:hyperlink>
      <w:r>
        <w:rPr>
          <w:rFonts w:ascii="Times New Roman" w:eastAsia="Times New Roman" w:hAnsi="Times New Roman" w:cs="Times New Roman"/>
        </w:rPr>
        <w:t xml:space="preserve">.  Accessed 14 Feb. 2025. </w:t>
      </w:r>
    </w:p>
    <w:p w14:paraId="20EB7167" w14:textId="77777777" w:rsidR="00A352B4" w:rsidRDefault="00A352B4">
      <w:pPr>
        <w:rPr>
          <w:rFonts w:ascii="Times New Roman" w:eastAsia="Times New Roman" w:hAnsi="Times New Roman" w:cs="Times New Roman"/>
          <w:b/>
        </w:rPr>
      </w:pPr>
    </w:p>
    <w:p w14:paraId="036A488D"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External Analysis</w:t>
      </w:r>
    </w:p>
    <w:p w14:paraId="1F6E0252"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Benson, Alena. “10 Best Brokers for Mutual Funds of December 2021.” </w:t>
      </w:r>
      <w:r>
        <w:rPr>
          <w:rFonts w:ascii="Times New Roman" w:eastAsia="Times New Roman" w:hAnsi="Times New Roman" w:cs="Times New Roman"/>
          <w:i/>
        </w:rPr>
        <w:t>NerdWallet</w:t>
      </w:r>
      <w:r>
        <w:rPr>
          <w:rFonts w:ascii="Times New Roman" w:eastAsia="Times New Roman" w:hAnsi="Times New Roman" w:cs="Times New Roman"/>
        </w:rPr>
        <w:t xml:space="preserve">, 1 Mar. 2025, </w:t>
      </w:r>
      <w:hyperlink r:id="rId19">
        <w:r>
          <w:rPr>
            <w:rFonts w:ascii="Times New Roman" w:eastAsia="Times New Roman" w:hAnsi="Times New Roman" w:cs="Times New Roman"/>
            <w:color w:val="1155CC"/>
            <w:u w:val="single"/>
          </w:rPr>
          <w:t>www.nerdwallet.com/best/investing/brokers-mutual-funds</w:t>
        </w:r>
      </w:hyperlink>
      <w:r>
        <w:rPr>
          <w:rFonts w:ascii="Times New Roman" w:eastAsia="Times New Roman" w:hAnsi="Times New Roman" w:cs="Times New Roman"/>
        </w:rPr>
        <w:t xml:space="preserve">. </w:t>
      </w:r>
    </w:p>
    <w:p w14:paraId="5A5BC70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BlackRock, Inc. “5 Top Blackrock Alternatives &amp; Competitors.” </w:t>
      </w:r>
      <w:r>
        <w:rPr>
          <w:rFonts w:ascii="Times New Roman" w:eastAsia="Times New Roman" w:hAnsi="Times New Roman" w:cs="Times New Roman"/>
          <w:i/>
        </w:rPr>
        <w:t>Unbiased</w:t>
      </w:r>
      <w:r>
        <w:rPr>
          <w:rFonts w:ascii="Times New Roman" w:eastAsia="Times New Roman" w:hAnsi="Times New Roman" w:cs="Times New Roman"/>
        </w:rPr>
        <w:t xml:space="preserve">, 2025, </w:t>
      </w:r>
      <w:hyperlink r:id="rId20">
        <w:r>
          <w:rPr>
            <w:rFonts w:ascii="Times New Roman" w:eastAsia="Times New Roman" w:hAnsi="Times New Roman" w:cs="Times New Roman"/>
            <w:color w:val="1155CC"/>
            <w:u w:val="single"/>
          </w:rPr>
          <w:t>www.unbiased.com/discover/financial-advice/alternatives-to-blackrock</w:t>
        </w:r>
      </w:hyperlink>
      <w:r>
        <w:rPr>
          <w:rFonts w:ascii="Times New Roman" w:eastAsia="Times New Roman" w:hAnsi="Times New Roman" w:cs="Times New Roman"/>
        </w:rPr>
        <w:t>. Accessed 10 Mar. 2025.</w:t>
      </w:r>
    </w:p>
    <w:p w14:paraId="0DEE2238"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“2025 Private Markets Outlook - Institutional.” </w:t>
      </w:r>
      <w:r>
        <w:rPr>
          <w:rFonts w:ascii="Times New Roman" w:eastAsia="Times New Roman" w:hAnsi="Times New Roman" w:cs="Times New Roman"/>
          <w:i/>
        </w:rPr>
        <w:t>BlackRock.com</w:t>
      </w:r>
      <w:r>
        <w:rPr>
          <w:rFonts w:ascii="Times New Roman" w:eastAsia="Times New Roman" w:hAnsi="Times New Roman" w:cs="Times New Roman"/>
        </w:rPr>
        <w:t xml:space="preserve">, BlackRock Inc. , 2025, </w:t>
      </w:r>
      <w:hyperlink r:id="rId21">
        <w:r>
          <w:rPr>
            <w:rFonts w:ascii="Times New Roman" w:eastAsia="Times New Roman" w:hAnsi="Times New Roman" w:cs="Times New Roman"/>
            <w:color w:val="1155CC"/>
            <w:u w:val="single"/>
          </w:rPr>
          <w:t>www.blackrock.com/institutions/en-us/insights/private-markets-outlook</w:t>
        </w:r>
      </w:hyperlink>
      <w:r>
        <w:rPr>
          <w:rFonts w:ascii="Times New Roman" w:eastAsia="Times New Roman" w:hAnsi="Times New Roman" w:cs="Times New Roman"/>
        </w:rPr>
        <w:t>. Accessed 6 Mar. 2025.</w:t>
      </w:r>
    </w:p>
    <w:p w14:paraId="03A3824F"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“Aladdin® Enterprise Portfolio Management Software.” </w:t>
      </w:r>
      <w:r>
        <w:rPr>
          <w:rFonts w:ascii="Times New Roman" w:eastAsia="Times New Roman" w:hAnsi="Times New Roman" w:cs="Times New Roman"/>
          <w:i/>
        </w:rPr>
        <w:t>BlackRock</w:t>
      </w:r>
      <w:r>
        <w:rPr>
          <w:rFonts w:ascii="Times New Roman" w:eastAsia="Times New Roman" w:hAnsi="Times New Roman" w:cs="Times New Roman"/>
        </w:rPr>
        <w:t xml:space="preserve">, </w:t>
      </w:r>
      <w:hyperlink r:id="rId22">
        <w:r>
          <w:rPr>
            <w:rFonts w:ascii="Times New Roman" w:eastAsia="Times New Roman" w:hAnsi="Times New Roman" w:cs="Times New Roman"/>
            <w:color w:val="1155CC"/>
            <w:u w:val="single"/>
          </w:rPr>
          <w:t>www.blackrock.com/aladdin/offerings/aladdin-enterprise</w:t>
        </w:r>
      </w:hyperlink>
      <w:r>
        <w:rPr>
          <w:rFonts w:ascii="Times New Roman" w:eastAsia="Times New Roman" w:hAnsi="Times New Roman" w:cs="Times New Roman"/>
        </w:rPr>
        <w:t>. Accessed 10 Mar. 2025.</w:t>
      </w:r>
    </w:p>
    <w:p w14:paraId="32CABA83"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“BlackRock Agrees to Acquire Global Infrastructure Partners (“GIP”).” </w:t>
      </w:r>
      <w:r>
        <w:rPr>
          <w:rFonts w:ascii="Times New Roman" w:eastAsia="Times New Roman" w:hAnsi="Times New Roman" w:cs="Times New Roman"/>
          <w:i/>
        </w:rPr>
        <w:t>BlackRock.com</w:t>
      </w:r>
      <w:r>
        <w:rPr>
          <w:rFonts w:ascii="Times New Roman" w:eastAsia="Times New Roman" w:hAnsi="Times New Roman" w:cs="Times New Roman"/>
        </w:rPr>
        <w:t xml:space="preserve">, 12 Jan. 2024, </w:t>
      </w:r>
      <w:hyperlink r:id="rId23">
        <w:r>
          <w:rPr>
            <w:rFonts w:ascii="Times New Roman" w:eastAsia="Times New Roman" w:hAnsi="Times New Roman" w:cs="Times New Roman"/>
            <w:color w:val="1155CC"/>
            <w:u w:val="single"/>
          </w:rPr>
          <w:t>www.blackrock.com/corporate/newsroom/press-releases/article/corporate-one/press-releases/blackRock-agrees-to-acquire-global-infrastructure-partners</w:t>
        </w:r>
      </w:hyperlink>
      <w:r>
        <w:rPr>
          <w:rFonts w:ascii="Times New Roman" w:eastAsia="Times New Roman" w:hAnsi="Times New Roman" w:cs="Times New Roman"/>
        </w:rPr>
        <w:t>. Accessed 6 Mar. 2025.</w:t>
      </w:r>
    </w:p>
    <w:p w14:paraId="2661F4B4"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“BlackRock in the U.S. | about BlackRock.” </w:t>
      </w:r>
      <w:r>
        <w:rPr>
          <w:rFonts w:ascii="Times New Roman" w:eastAsia="Times New Roman" w:hAnsi="Times New Roman" w:cs="Times New Roman"/>
          <w:i/>
        </w:rPr>
        <w:t>BlackRock.com</w:t>
      </w:r>
      <w:r>
        <w:rPr>
          <w:rFonts w:ascii="Times New Roman" w:eastAsia="Times New Roman" w:hAnsi="Times New Roman" w:cs="Times New Roman"/>
        </w:rPr>
        <w:t xml:space="preserve">, BlackRock </w:t>
      </w:r>
      <w:proofErr w:type="gramStart"/>
      <w:r>
        <w:rPr>
          <w:rFonts w:ascii="Times New Roman" w:eastAsia="Times New Roman" w:hAnsi="Times New Roman" w:cs="Times New Roman"/>
        </w:rPr>
        <w:t>Inc. ,</w:t>
      </w:r>
      <w:proofErr w:type="gramEnd"/>
      <w:r>
        <w:rPr>
          <w:rFonts w:ascii="Times New Roman" w:eastAsia="Times New Roman" w:hAnsi="Times New Roman" w:cs="Times New Roman"/>
        </w:rPr>
        <w:t xml:space="preserve"> 2024, </w:t>
      </w:r>
      <w:hyperlink r:id="rId24">
        <w:r>
          <w:rPr>
            <w:rFonts w:ascii="Times New Roman" w:eastAsia="Times New Roman" w:hAnsi="Times New Roman" w:cs="Times New Roman"/>
            <w:color w:val="1155CC"/>
            <w:u w:val="single"/>
          </w:rPr>
          <w:t>www.blackrock.com/us/individual/about-us/about-blackrock</w:t>
        </w:r>
      </w:hyperlink>
      <w:r>
        <w:rPr>
          <w:rFonts w:ascii="Times New Roman" w:eastAsia="Times New Roman" w:hAnsi="Times New Roman" w:cs="Times New Roman"/>
        </w:rPr>
        <w:t>. Accessed 6 Mar. 2025.</w:t>
      </w:r>
    </w:p>
    <w:p w14:paraId="16F5715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“Charges Explained - Explore More - Products - BlackRock.” </w:t>
      </w:r>
      <w:r>
        <w:rPr>
          <w:rFonts w:ascii="Times New Roman" w:eastAsia="Times New Roman" w:hAnsi="Times New Roman" w:cs="Times New Roman"/>
          <w:i/>
        </w:rPr>
        <w:t>BlackRock.com</w:t>
      </w:r>
      <w:r>
        <w:rPr>
          <w:rFonts w:ascii="Times New Roman" w:eastAsia="Times New Roman" w:hAnsi="Times New Roman" w:cs="Times New Roman"/>
        </w:rPr>
        <w:t xml:space="preserve">, BlackRock </w:t>
      </w:r>
      <w:proofErr w:type="gramStart"/>
      <w:r>
        <w:rPr>
          <w:rFonts w:ascii="Times New Roman" w:eastAsia="Times New Roman" w:hAnsi="Times New Roman" w:cs="Times New Roman"/>
        </w:rPr>
        <w:t>Inc. ,</w:t>
      </w:r>
      <w:proofErr w:type="gramEnd"/>
      <w:r>
        <w:rPr>
          <w:rFonts w:ascii="Times New Roman" w:eastAsia="Times New Roman" w:hAnsi="Times New Roman" w:cs="Times New Roman"/>
        </w:rPr>
        <w:t xml:space="preserve"> 2024, </w:t>
      </w:r>
      <w:hyperlink r:id="rId25">
        <w:r>
          <w:rPr>
            <w:rFonts w:ascii="Times New Roman" w:eastAsia="Times New Roman" w:hAnsi="Times New Roman" w:cs="Times New Roman"/>
            <w:color w:val="1155CC"/>
            <w:u w:val="single"/>
          </w:rPr>
          <w:t>www.blackrock.com/uk/solutions/fund-charges</w:t>
        </w:r>
      </w:hyperlink>
      <w:r>
        <w:rPr>
          <w:rFonts w:ascii="Times New Roman" w:eastAsia="Times New Roman" w:hAnsi="Times New Roman" w:cs="Times New Roman"/>
        </w:rPr>
        <w:t>. Accessed 6 Mar. 2025.</w:t>
      </w:r>
    </w:p>
    <w:p w14:paraId="6108CE52"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i/>
        </w:rPr>
        <w:t>Climate Risk and the Transition to a Low-Carbon Economy Investment Stewardship</w:t>
      </w:r>
      <w:r>
        <w:rPr>
          <w:rFonts w:ascii="Times New Roman" w:eastAsia="Times New Roman" w:hAnsi="Times New Roman" w:cs="Times New Roman"/>
        </w:rPr>
        <w:t>. BlackRock. 2024.</w:t>
      </w:r>
    </w:p>
    <w:p w14:paraId="29E00BD6"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“Contacts and Office Locations.” </w:t>
      </w:r>
      <w:r>
        <w:rPr>
          <w:rFonts w:ascii="Times New Roman" w:eastAsia="Times New Roman" w:hAnsi="Times New Roman" w:cs="Times New Roman"/>
          <w:i/>
        </w:rPr>
        <w:t>BlackRock.com</w:t>
      </w:r>
      <w:r>
        <w:rPr>
          <w:rFonts w:ascii="Times New Roman" w:eastAsia="Times New Roman" w:hAnsi="Times New Roman" w:cs="Times New Roman"/>
        </w:rPr>
        <w:t xml:space="preserve">, BlackRock </w:t>
      </w:r>
      <w:proofErr w:type="gramStart"/>
      <w:r>
        <w:rPr>
          <w:rFonts w:ascii="Times New Roman" w:eastAsia="Times New Roman" w:hAnsi="Times New Roman" w:cs="Times New Roman"/>
        </w:rPr>
        <w:t>Inc. ,</w:t>
      </w:r>
      <w:proofErr w:type="gramEnd"/>
      <w:r>
        <w:rPr>
          <w:rFonts w:ascii="Times New Roman" w:eastAsia="Times New Roman" w:hAnsi="Times New Roman" w:cs="Times New Roman"/>
        </w:rPr>
        <w:t xml:space="preserve"> </w:t>
      </w:r>
      <w:hyperlink r:id="rId26">
        <w:r>
          <w:rPr>
            <w:rFonts w:ascii="Times New Roman" w:eastAsia="Times New Roman" w:hAnsi="Times New Roman" w:cs="Times New Roman"/>
            <w:color w:val="1155CC"/>
            <w:u w:val="single"/>
          </w:rPr>
          <w:t>www.blackrock.com/corporate/about-us/contacts-locations</w:t>
        </w:r>
      </w:hyperlink>
      <w:r>
        <w:rPr>
          <w:rFonts w:ascii="Times New Roman" w:eastAsia="Times New Roman" w:hAnsi="Times New Roman" w:cs="Times New Roman"/>
        </w:rPr>
        <w:t>. Accessed 6 Mar. 2025.</w:t>
      </w:r>
    </w:p>
    <w:p w14:paraId="1332E7B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“Environmental Sustainability - Responsibility.” </w:t>
      </w:r>
      <w:r>
        <w:rPr>
          <w:rFonts w:ascii="Times New Roman" w:eastAsia="Times New Roman" w:hAnsi="Times New Roman" w:cs="Times New Roman"/>
          <w:i/>
        </w:rPr>
        <w:t>BlackRock.com</w:t>
      </w:r>
      <w:r>
        <w:rPr>
          <w:rFonts w:ascii="Times New Roman" w:eastAsia="Times New Roman" w:hAnsi="Times New Roman" w:cs="Times New Roman"/>
        </w:rPr>
        <w:t xml:space="preserve">, 2023, </w:t>
      </w:r>
      <w:hyperlink r:id="rId27">
        <w:r>
          <w:rPr>
            <w:rFonts w:ascii="Times New Roman" w:eastAsia="Times New Roman" w:hAnsi="Times New Roman" w:cs="Times New Roman"/>
            <w:color w:val="1155CC"/>
            <w:u w:val="single"/>
          </w:rPr>
          <w:t>www.blackrock.com/corporate/responsibility/environmental-sustainability</w:t>
        </w:r>
      </w:hyperlink>
      <w:r>
        <w:rPr>
          <w:rFonts w:ascii="Times New Roman" w:eastAsia="Times New Roman" w:hAnsi="Times New Roman" w:cs="Times New Roman"/>
        </w:rPr>
        <w:t xml:space="preserve">. </w:t>
      </w:r>
    </w:p>
    <w:p w14:paraId="22F0ECB8"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“Geopolitical Risk Dashboard February 2025.” </w:t>
      </w:r>
      <w:r>
        <w:rPr>
          <w:rFonts w:ascii="Times New Roman" w:eastAsia="Times New Roman" w:hAnsi="Times New Roman" w:cs="Times New Roman"/>
          <w:i/>
        </w:rPr>
        <w:t>BlackRock.com</w:t>
      </w:r>
      <w:r>
        <w:rPr>
          <w:rFonts w:ascii="Times New Roman" w:eastAsia="Times New Roman" w:hAnsi="Times New Roman" w:cs="Times New Roman"/>
        </w:rPr>
        <w:t xml:space="preserve">, BlackRock, Inc. , 21 Feb. 2025, </w:t>
      </w:r>
      <w:hyperlink r:id="rId28">
        <w:r>
          <w:rPr>
            <w:rFonts w:ascii="Times New Roman" w:eastAsia="Times New Roman" w:hAnsi="Times New Roman" w:cs="Times New Roman"/>
            <w:color w:val="1155CC"/>
            <w:u w:val="single"/>
          </w:rPr>
          <w:t>www.blackrock.com/corporate/literature/whitepaper/geopolitical-risk-dashboard-february-2025.pdf</w:t>
        </w:r>
      </w:hyperlink>
      <w:r>
        <w:rPr>
          <w:rFonts w:ascii="Times New Roman" w:eastAsia="Times New Roman" w:hAnsi="Times New Roman" w:cs="Times New Roman"/>
        </w:rPr>
        <w:t>. Accessed 6 Mar. 2025.</w:t>
      </w:r>
    </w:p>
    <w:p w14:paraId="0FB60505"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“Systematic Investing – Different by Design.” </w:t>
      </w:r>
      <w:r>
        <w:rPr>
          <w:rFonts w:ascii="Times New Roman" w:eastAsia="Times New Roman" w:hAnsi="Times New Roman" w:cs="Times New Roman"/>
          <w:i/>
        </w:rPr>
        <w:t>BlackRock.com</w:t>
      </w:r>
      <w:r>
        <w:rPr>
          <w:rFonts w:ascii="Times New Roman" w:eastAsia="Times New Roman" w:hAnsi="Times New Roman" w:cs="Times New Roman"/>
        </w:rPr>
        <w:t xml:space="preserve">, Sept. 2024, </w:t>
      </w:r>
      <w:hyperlink r:id="rId29">
        <w:r>
          <w:rPr>
            <w:rFonts w:ascii="Times New Roman" w:eastAsia="Times New Roman" w:hAnsi="Times New Roman" w:cs="Times New Roman"/>
            <w:color w:val="1155CC"/>
            <w:u w:val="single"/>
          </w:rPr>
          <w:t>www.blackrock.com/us/individual/investment-ideas/systematic-investing</w:t>
        </w:r>
      </w:hyperlink>
      <w:r>
        <w:rPr>
          <w:rFonts w:ascii="Times New Roman" w:eastAsia="Times New Roman" w:hAnsi="Times New Roman" w:cs="Times New Roman"/>
        </w:rPr>
        <w:t>. Accessed 6 Mar. 2025.</w:t>
      </w:r>
    </w:p>
    <w:p w14:paraId="54EB50CE"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Bureau of the Fiscal Service. “Financial Report of the United States Government - Executive Summary - Where We Are Now.” </w:t>
      </w:r>
      <w:r>
        <w:rPr>
          <w:rFonts w:ascii="Times New Roman" w:eastAsia="Times New Roman" w:hAnsi="Times New Roman" w:cs="Times New Roman"/>
          <w:i/>
        </w:rPr>
        <w:t>Www.fiscal.treasury.gov</w:t>
      </w:r>
      <w:r>
        <w:rPr>
          <w:rFonts w:ascii="Times New Roman" w:eastAsia="Times New Roman" w:hAnsi="Times New Roman" w:cs="Times New Roman"/>
        </w:rPr>
        <w:t xml:space="preserve">, 21 Feb. 2025, </w:t>
      </w:r>
      <w:hyperlink r:id="rId30">
        <w:r>
          <w:rPr>
            <w:rFonts w:ascii="Times New Roman" w:eastAsia="Times New Roman" w:hAnsi="Times New Roman" w:cs="Times New Roman"/>
            <w:color w:val="1155CC"/>
            <w:u w:val="single"/>
          </w:rPr>
          <w:t>www.fiscal.treasury.gov/reports-statements/financial-report/where-we-are-now.html</w:t>
        </w:r>
      </w:hyperlink>
      <w:r>
        <w:rPr>
          <w:rFonts w:ascii="Times New Roman" w:eastAsia="Times New Roman" w:hAnsi="Times New Roman" w:cs="Times New Roman"/>
        </w:rPr>
        <w:t>. Accessed 10 Mar. 2025.</w:t>
      </w:r>
    </w:p>
    <w:p w14:paraId="6287CD52"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lastRenderedPageBreak/>
        <w:t xml:space="preserve">Carolyne Barnette. “How Tariffs May Affect Markets and Portfolios | BlackRock.” </w:t>
      </w:r>
      <w:r>
        <w:rPr>
          <w:rFonts w:ascii="Times New Roman" w:eastAsia="Times New Roman" w:hAnsi="Times New Roman" w:cs="Times New Roman"/>
          <w:i/>
        </w:rPr>
        <w:t>BlackRock</w:t>
      </w:r>
      <w:r>
        <w:rPr>
          <w:rFonts w:ascii="Times New Roman" w:eastAsia="Times New Roman" w:hAnsi="Times New Roman" w:cs="Times New Roman"/>
        </w:rPr>
        <w:t xml:space="preserve">, 5 Mar. 2025, </w:t>
      </w:r>
      <w:hyperlink r:id="rId31">
        <w:r>
          <w:rPr>
            <w:rFonts w:ascii="Times New Roman" w:eastAsia="Times New Roman" w:hAnsi="Times New Roman" w:cs="Times New Roman"/>
            <w:color w:val="1155CC"/>
            <w:u w:val="single"/>
          </w:rPr>
          <w:t>www.blackrock.com/us/financial-professionals/insights/tariffs-and-investment-portfolios</w:t>
        </w:r>
      </w:hyperlink>
      <w:r>
        <w:rPr>
          <w:rFonts w:ascii="Times New Roman" w:eastAsia="Times New Roman" w:hAnsi="Times New Roman" w:cs="Times New Roman"/>
        </w:rPr>
        <w:t>. Accessed 6 Mar. 2025.</w:t>
      </w:r>
    </w:p>
    <w:p w14:paraId="0EDC9E81"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CFI Team. “Management Fees.” </w:t>
      </w:r>
      <w:r>
        <w:rPr>
          <w:rFonts w:ascii="Times New Roman" w:eastAsia="Times New Roman" w:hAnsi="Times New Roman" w:cs="Times New Roman"/>
          <w:i/>
        </w:rPr>
        <w:t>Corporate Finance Institute</w:t>
      </w:r>
      <w:r>
        <w:rPr>
          <w:rFonts w:ascii="Times New Roman" w:eastAsia="Times New Roman" w:hAnsi="Times New Roman" w:cs="Times New Roman"/>
        </w:rPr>
        <w:t xml:space="preserve">, </w:t>
      </w:r>
      <w:hyperlink r:id="rId32">
        <w:r>
          <w:rPr>
            <w:rFonts w:ascii="Times New Roman" w:eastAsia="Times New Roman" w:hAnsi="Times New Roman" w:cs="Times New Roman"/>
            <w:color w:val="1155CC"/>
            <w:u w:val="single"/>
          </w:rPr>
          <w:t>corporatefinanceinstitute.com/resources/wealth-management/management-fees/</w:t>
        </w:r>
      </w:hyperlink>
      <w:r>
        <w:rPr>
          <w:rFonts w:ascii="Times New Roman" w:eastAsia="Times New Roman" w:hAnsi="Times New Roman" w:cs="Times New Roman"/>
        </w:rPr>
        <w:t>. Accessed 6 Mar. 2025.</w:t>
      </w:r>
    </w:p>
    <w:p w14:paraId="40B97AE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Charles Schwab, Inc. “Investor Relations.” </w:t>
      </w:r>
      <w:r>
        <w:rPr>
          <w:rFonts w:ascii="Times New Roman" w:eastAsia="Times New Roman" w:hAnsi="Times New Roman" w:cs="Times New Roman"/>
          <w:i/>
        </w:rPr>
        <w:t>Schwab Brokerage</w:t>
      </w:r>
      <w:r>
        <w:rPr>
          <w:rFonts w:ascii="Times New Roman" w:eastAsia="Times New Roman" w:hAnsi="Times New Roman" w:cs="Times New Roman"/>
        </w:rPr>
        <w:t xml:space="preserve">, </w:t>
      </w:r>
      <w:hyperlink r:id="rId33">
        <w:r>
          <w:rPr>
            <w:rFonts w:ascii="Times New Roman" w:eastAsia="Times New Roman" w:hAnsi="Times New Roman" w:cs="Times New Roman"/>
            <w:color w:val="1155CC"/>
            <w:u w:val="single"/>
          </w:rPr>
          <w:t>www.aboutschwab.com/investor-relations</w:t>
        </w:r>
      </w:hyperlink>
      <w:r>
        <w:rPr>
          <w:rFonts w:ascii="Times New Roman" w:eastAsia="Times New Roman" w:hAnsi="Times New Roman" w:cs="Times New Roman"/>
        </w:rPr>
        <w:t>. Accessed 10 Mar. 2025.</w:t>
      </w:r>
    </w:p>
    <w:p w14:paraId="26ADBB8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CSIMarket.com. “BlackRock Partners with Willow to Empower NextGen Investors, Fueling Growth in Financial Advisory Services.” </w:t>
      </w:r>
      <w:r>
        <w:rPr>
          <w:rFonts w:ascii="Times New Roman" w:eastAsia="Times New Roman" w:hAnsi="Times New Roman" w:cs="Times New Roman"/>
          <w:i/>
        </w:rPr>
        <w:t>Csimarket.com</w:t>
      </w:r>
      <w:r>
        <w:rPr>
          <w:rFonts w:ascii="Times New Roman" w:eastAsia="Times New Roman" w:hAnsi="Times New Roman" w:cs="Times New Roman"/>
        </w:rPr>
        <w:t xml:space="preserve">, CSIMarket.com, 2024, </w:t>
      </w:r>
      <w:hyperlink r:id="rId34">
        <w:r>
          <w:rPr>
            <w:rFonts w:ascii="Times New Roman" w:eastAsia="Times New Roman" w:hAnsi="Times New Roman" w:cs="Times New Roman"/>
            <w:color w:val="1155CC"/>
            <w:u w:val="single"/>
          </w:rPr>
          <w:t>csimarket.com/news/blackrock-partners-with-willow-to-empower-nextgen-investors-fueling-growth-in-financial-advisory-services2024-05-02144437</w:t>
        </w:r>
      </w:hyperlink>
      <w:r>
        <w:rPr>
          <w:rFonts w:ascii="Times New Roman" w:eastAsia="Times New Roman" w:hAnsi="Times New Roman" w:cs="Times New Roman"/>
        </w:rPr>
        <w:t>. Accessed 10 Mar. 2025.</w:t>
      </w:r>
    </w:p>
    <w:p w14:paraId="7200E7D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Curry, David. “Coinbase Revenue and Usage Statistics (2021).” </w:t>
      </w:r>
      <w:r>
        <w:rPr>
          <w:rFonts w:ascii="Times New Roman" w:eastAsia="Times New Roman" w:hAnsi="Times New Roman" w:cs="Times New Roman"/>
          <w:i/>
        </w:rPr>
        <w:t>BusinessofApps.com</w:t>
      </w:r>
      <w:r>
        <w:rPr>
          <w:rFonts w:ascii="Times New Roman" w:eastAsia="Times New Roman" w:hAnsi="Times New Roman" w:cs="Times New Roman"/>
        </w:rPr>
        <w:t xml:space="preserve">, 1 Mar. 2021, </w:t>
      </w:r>
      <w:hyperlink r:id="rId35">
        <w:r>
          <w:rPr>
            <w:rFonts w:ascii="Times New Roman" w:eastAsia="Times New Roman" w:hAnsi="Times New Roman" w:cs="Times New Roman"/>
            <w:color w:val="1155CC"/>
            <w:u w:val="single"/>
          </w:rPr>
          <w:t>www.businessofapps.com/data/coinbase-statistics/</w:t>
        </w:r>
      </w:hyperlink>
      <w:r>
        <w:rPr>
          <w:rFonts w:ascii="Times New Roman" w:eastAsia="Times New Roman" w:hAnsi="Times New Roman" w:cs="Times New Roman"/>
        </w:rPr>
        <w:t>. Accessed 10 Mar. 2025.</w:t>
      </w:r>
    </w:p>
    <w:p w14:paraId="27C9FD5E"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Davide </w:t>
      </w:r>
      <w:proofErr w:type="spellStart"/>
      <w:r>
        <w:rPr>
          <w:rFonts w:ascii="Times New Roman" w:eastAsia="Times New Roman" w:hAnsi="Times New Roman" w:cs="Times New Roman"/>
        </w:rPr>
        <w:t>Barbuscia</w:t>
      </w:r>
      <w:proofErr w:type="spellEnd"/>
      <w:r>
        <w:rPr>
          <w:rFonts w:ascii="Times New Roman" w:eastAsia="Times New Roman" w:hAnsi="Times New Roman" w:cs="Times New Roman"/>
        </w:rPr>
        <w:t xml:space="preserve">. “BlackRock Assets Hit Record $11.6 Trillion in Fourth Quarter.” </w:t>
      </w:r>
      <w:r>
        <w:rPr>
          <w:rFonts w:ascii="Times New Roman" w:eastAsia="Times New Roman" w:hAnsi="Times New Roman" w:cs="Times New Roman"/>
          <w:i/>
        </w:rPr>
        <w:t>Reuters</w:t>
      </w:r>
      <w:r>
        <w:rPr>
          <w:rFonts w:ascii="Times New Roman" w:eastAsia="Times New Roman" w:hAnsi="Times New Roman" w:cs="Times New Roman"/>
        </w:rPr>
        <w:t xml:space="preserve">, 15 Jan. 2025, </w:t>
      </w:r>
      <w:hyperlink r:id="rId36">
        <w:r>
          <w:rPr>
            <w:rFonts w:ascii="Times New Roman" w:eastAsia="Times New Roman" w:hAnsi="Times New Roman" w:cs="Times New Roman"/>
            <w:color w:val="1155CC"/>
            <w:u w:val="single"/>
          </w:rPr>
          <w:t>www.reuters.com/business/finance/blackrock-assets-hit-record-116-trillion-fourth-quarter-2024-2025-01-15/</w:t>
        </w:r>
      </w:hyperlink>
      <w:r>
        <w:rPr>
          <w:rFonts w:ascii="Times New Roman" w:eastAsia="Times New Roman" w:hAnsi="Times New Roman" w:cs="Times New Roman"/>
        </w:rPr>
        <w:t>. Accessed 10 Mar. 2025.</w:t>
      </w:r>
    </w:p>
    <w:p w14:paraId="0B09BAB8"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Eccles, Robert. “Concentration in the Asset Management Industry: Implications for Corporate Engagement | Robert Eccles.” </w:t>
      </w:r>
      <w:r>
        <w:rPr>
          <w:rFonts w:ascii="Times New Roman" w:eastAsia="Times New Roman" w:hAnsi="Times New Roman" w:cs="Times New Roman"/>
          <w:i/>
        </w:rPr>
        <w:t>Roberteccles.com</w:t>
      </w:r>
      <w:r>
        <w:rPr>
          <w:rFonts w:ascii="Times New Roman" w:eastAsia="Times New Roman" w:hAnsi="Times New Roman" w:cs="Times New Roman"/>
        </w:rPr>
        <w:t xml:space="preserve">, 2017, </w:t>
      </w:r>
      <w:hyperlink r:id="rId37">
        <w:r>
          <w:rPr>
            <w:rFonts w:ascii="Times New Roman" w:eastAsia="Times New Roman" w:hAnsi="Times New Roman" w:cs="Times New Roman"/>
            <w:color w:val="1155CC"/>
            <w:u w:val="single"/>
          </w:rPr>
          <w:t>roberteccles.com/concentration-in-the-asset-management-industry-implications-for-corporate-engagement/</w:t>
        </w:r>
      </w:hyperlink>
      <w:r>
        <w:rPr>
          <w:rFonts w:ascii="Times New Roman" w:eastAsia="Times New Roman" w:hAnsi="Times New Roman" w:cs="Times New Roman"/>
        </w:rPr>
        <w:t>. Accessed 6 Mar. 2025.</w:t>
      </w:r>
    </w:p>
    <w:p w14:paraId="0F4CE7D5"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Fidelity Investments. </w:t>
      </w:r>
      <w:r>
        <w:rPr>
          <w:rFonts w:ascii="Times New Roman" w:eastAsia="Times New Roman" w:hAnsi="Times New Roman" w:cs="Times New Roman"/>
          <w:i/>
        </w:rPr>
        <w:t>Annual Report</w:t>
      </w:r>
      <w:r>
        <w:rPr>
          <w:rFonts w:ascii="Times New Roman" w:eastAsia="Times New Roman" w:hAnsi="Times New Roman" w:cs="Times New Roman"/>
        </w:rPr>
        <w:t>. 2023.</w:t>
      </w:r>
    </w:p>
    <w:p w14:paraId="146698B2"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Fintel. “BlackRock Inc. - Portfolio Holdings, AUM (13F, 13G).” </w:t>
      </w:r>
      <w:r>
        <w:rPr>
          <w:rFonts w:ascii="Times New Roman" w:eastAsia="Times New Roman" w:hAnsi="Times New Roman" w:cs="Times New Roman"/>
          <w:i/>
        </w:rPr>
        <w:t>Fintel.io</w:t>
      </w:r>
      <w:r>
        <w:rPr>
          <w:rFonts w:ascii="Times New Roman" w:eastAsia="Times New Roman" w:hAnsi="Times New Roman" w:cs="Times New Roman"/>
        </w:rPr>
        <w:t xml:space="preserve">, 2021, </w:t>
      </w:r>
      <w:hyperlink r:id="rId38">
        <w:r>
          <w:rPr>
            <w:rFonts w:ascii="Times New Roman" w:eastAsia="Times New Roman" w:hAnsi="Times New Roman" w:cs="Times New Roman"/>
            <w:color w:val="1155CC"/>
            <w:u w:val="single"/>
          </w:rPr>
          <w:t>fintel.io/</w:t>
        </w:r>
        <w:proofErr w:type="spellStart"/>
        <w:r>
          <w:rPr>
            <w:rFonts w:ascii="Times New Roman" w:eastAsia="Times New Roman" w:hAnsi="Times New Roman" w:cs="Times New Roman"/>
            <w:color w:val="1155CC"/>
            <w:u w:val="single"/>
          </w:rPr>
          <w:t>i</w:t>
        </w:r>
        <w:proofErr w:type="spellEnd"/>
        <w:r>
          <w:rPr>
            <w:rFonts w:ascii="Times New Roman" w:eastAsia="Times New Roman" w:hAnsi="Times New Roman" w:cs="Times New Roman"/>
            <w:color w:val="1155CC"/>
            <w:u w:val="single"/>
          </w:rPr>
          <w:t>/</w:t>
        </w:r>
        <w:proofErr w:type="spellStart"/>
        <w:r>
          <w:rPr>
            <w:rFonts w:ascii="Times New Roman" w:eastAsia="Times New Roman" w:hAnsi="Times New Roman" w:cs="Times New Roman"/>
            <w:color w:val="1155CC"/>
            <w:u w:val="single"/>
          </w:rPr>
          <w:t>blackrock</w:t>
        </w:r>
        <w:proofErr w:type="spellEnd"/>
      </w:hyperlink>
      <w:r>
        <w:rPr>
          <w:rFonts w:ascii="Times New Roman" w:eastAsia="Times New Roman" w:hAnsi="Times New Roman" w:cs="Times New Roman"/>
        </w:rPr>
        <w:t>. Accessed 6 Mar. 2025.</w:t>
      </w:r>
    </w:p>
    <w:p w14:paraId="3EFC8EA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French, David, et al. “BlackRock’s Private Markets Push May Not Be over after 2024 Buyout Spree.” </w:t>
      </w:r>
      <w:r>
        <w:rPr>
          <w:rFonts w:ascii="Times New Roman" w:eastAsia="Times New Roman" w:hAnsi="Times New Roman" w:cs="Times New Roman"/>
          <w:i/>
        </w:rPr>
        <w:t>Reuters</w:t>
      </w:r>
      <w:r>
        <w:rPr>
          <w:rFonts w:ascii="Times New Roman" w:eastAsia="Times New Roman" w:hAnsi="Times New Roman" w:cs="Times New Roman"/>
        </w:rPr>
        <w:t xml:space="preserve">, 11 Dec. 2024, </w:t>
      </w:r>
      <w:hyperlink r:id="rId39">
        <w:r>
          <w:rPr>
            <w:rFonts w:ascii="Times New Roman" w:eastAsia="Times New Roman" w:hAnsi="Times New Roman" w:cs="Times New Roman"/>
            <w:color w:val="1155CC"/>
            <w:u w:val="single"/>
          </w:rPr>
          <w:t>www.reuters.com/markets/deals/blackrocks-private-markets-push-may-not-be-over-after-2024-buyout-spree-2024-12-11/</w:t>
        </w:r>
      </w:hyperlink>
      <w:r>
        <w:rPr>
          <w:rFonts w:ascii="Times New Roman" w:eastAsia="Times New Roman" w:hAnsi="Times New Roman" w:cs="Times New Roman"/>
        </w:rPr>
        <w:t>. Accessed 10 Mar. 2025.</w:t>
      </w:r>
    </w:p>
    <w:p w14:paraId="79F85F2C" w14:textId="77777777" w:rsidR="00A352B4" w:rsidRDefault="00000000">
      <w:pPr>
        <w:numPr>
          <w:ilvl w:val="0"/>
          <w:numId w:val="7"/>
        </w:numPr>
        <w:rPr>
          <w:rFonts w:ascii="Times New Roman" w:eastAsia="Times New Roman" w:hAnsi="Times New Roman" w:cs="Times New Roman"/>
        </w:rPr>
      </w:pP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Business Review. “BlackRock (BLK): PESTEL and Macro-Environmental Analysis.” </w:t>
      </w:r>
      <w:proofErr w:type="spellStart"/>
      <w:r>
        <w:rPr>
          <w:rFonts w:ascii="Times New Roman" w:eastAsia="Times New Roman" w:hAnsi="Times New Roman" w:cs="Times New Roman"/>
          <w:i/>
        </w:rPr>
        <w:t>Hivelr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Hivelr</w:t>
      </w:r>
      <w:proofErr w:type="spellEnd"/>
      <w:r>
        <w:rPr>
          <w:rFonts w:ascii="Times New Roman" w:eastAsia="Times New Roman" w:hAnsi="Times New Roman" w:cs="Times New Roman"/>
        </w:rPr>
        <w:t xml:space="preserve">, 16 June 2024, </w:t>
      </w:r>
      <w:hyperlink r:id="rId40">
        <w:r>
          <w:rPr>
            <w:rFonts w:ascii="Times New Roman" w:eastAsia="Times New Roman" w:hAnsi="Times New Roman" w:cs="Times New Roman"/>
            <w:color w:val="1155CC"/>
            <w:u w:val="single"/>
          </w:rPr>
          <w:t>www.hivelr.com/2024/06/blackrock-blk-pestel-and-macro-environmental-analysis/</w:t>
        </w:r>
      </w:hyperlink>
      <w:r>
        <w:rPr>
          <w:rFonts w:ascii="Times New Roman" w:eastAsia="Times New Roman" w:hAnsi="Times New Roman" w:cs="Times New Roman"/>
        </w:rPr>
        <w:t>. Accessed 6 Mar. 2025.</w:t>
      </w:r>
    </w:p>
    <w:p w14:paraId="48680D06"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McCamy, Christal. “Retail Investors: Why Online Investing Platforms Need More Regulation and Oversight.” </w:t>
      </w:r>
      <w:r>
        <w:rPr>
          <w:rFonts w:ascii="Times New Roman" w:eastAsia="Times New Roman" w:hAnsi="Times New Roman" w:cs="Times New Roman"/>
          <w:i/>
        </w:rPr>
        <w:t>Brooklyn Journal of Corporate, Financial &amp; Commercial Law</w:t>
      </w:r>
      <w:r>
        <w:rPr>
          <w:rFonts w:ascii="Times New Roman" w:eastAsia="Times New Roman" w:hAnsi="Times New Roman" w:cs="Times New Roman"/>
        </w:rPr>
        <w:t xml:space="preserve">, vol. 16, no. 1, 1 Dec. 2021, p. 255, </w:t>
      </w:r>
      <w:hyperlink r:id="rId41">
        <w:r>
          <w:rPr>
            <w:rFonts w:ascii="Times New Roman" w:eastAsia="Times New Roman" w:hAnsi="Times New Roman" w:cs="Times New Roman"/>
            <w:color w:val="1155CC"/>
            <w:u w:val="single"/>
          </w:rPr>
          <w:t>brooklynworks.brooklaw.edu/</w:t>
        </w:r>
        <w:proofErr w:type="spellStart"/>
        <w:r>
          <w:rPr>
            <w:rFonts w:ascii="Times New Roman" w:eastAsia="Times New Roman" w:hAnsi="Times New Roman" w:cs="Times New Roman"/>
            <w:color w:val="1155CC"/>
            <w:u w:val="single"/>
          </w:rPr>
          <w:t>bjcfcl</w:t>
        </w:r>
        <w:proofErr w:type="spellEnd"/>
        <w:r>
          <w:rPr>
            <w:rFonts w:ascii="Times New Roman" w:eastAsia="Times New Roman" w:hAnsi="Times New Roman" w:cs="Times New Roman"/>
            <w:color w:val="1155CC"/>
            <w:u w:val="single"/>
          </w:rPr>
          <w:t>/vol16/iss1/13/</w:t>
        </w:r>
      </w:hyperlink>
      <w:r>
        <w:rPr>
          <w:rFonts w:ascii="Times New Roman" w:eastAsia="Times New Roman" w:hAnsi="Times New Roman" w:cs="Times New Roman"/>
        </w:rPr>
        <w:t>. Accessed 10 Mar. 2025.</w:t>
      </w:r>
    </w:p>
    <w:p w14:paraId="5AC88AB3"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NerdWallet, Inc. “Compare Online Brokers for Investing.” </w:t>
      </w:r>
      <w:r>
        <w:rPr>
          <w:rFonts w:ascii="Times New Roman" w:eastAsia="Times New Roman" w:hAnsi="Times New Roman" w:cs="Times New Roman"/>
          <w:i/>
        </w:rPr>
        <w:t>Nerdwallet.com</w:t>
      </w:r>
      <w:r>
        <w:rPr>
          <w:rFonts w:ascii="Times New Roman" w:eastAsia="Times New Roman" w:hAnsi="Times New Roman" w:cs="Times New Roman"/>
        </w:rPr>
        <w:t xml:space="preserve">, NerdWallet, Inc, 2025, </w:t>
      </w:r>
      <w:hyperlink r:id="rId42">
        <w:r>
          <w:rPr>
            <w:rFonts w:ascii="Times New Roman" w:eastAsia="Times New Roman" w:hAnsi="Times New Roman" w:cs="Times New Roman"/>
            <w:color w:val="1155CC"/>
            <w:u w:val="single"/>
          </w:rPr>
          <w:t>www.nerdwallet.com/m/investing/compare-online-brokers-for-investing?utm_source=goog&amp;utm_medium=cpc&amp;utm_campaign=in_mktg_paid_072023_investing_upper-funnel_broad_mobile&amp;utm_term=invest&amp;utm_content=ta&amp;mktg_hline=19335&amp;mktg_body=2989&amp;mktg_place=kwd-10015640&amp;gclsrc=aw.ds&amp;gad_source=1&amp;gclid=CjwKCAiArKW-BhAzEiwAZhWsICgsw3yNK94Dq8fF6DxNDxY-u9p1Jq_1jC3G6CwTkHPb_Znukhtf9BoCD_QQAvD_BwE</w:t>
        </w:r>
      </w:hyperlink>
      <w:r>
        <w:rPr>
          <w:rFonts w:ascii="Times New Roman" w:eastAsia="Times New Roman" w:hAnsi="Times New Roman" w:cs="Times New Roman"/>
        </w:rPr>
        <w:t>. Accessed 10 Mar. 2025.</w:t>
      </w:r>
    </w:p>
    <w:p w14:paraId="5A7DE7F7"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News, PBS. “Consumers Cut Spending by Most in Four Years Last Month.” </w:t>
      </w:r>
      <w:r>
        <w:rPr>
          <w:rFonts w:ascii="Times New Roman" w:eastAsia="Times New Roman" w:hAnsi="Times New Roman" w:cs="Times New Roman"/>
          <w:i/>
        </w:rPr>
        <w:t>PBS News</w:t>
      </w:r>
      <w:r>
        <w:rPr>
          <w:rFonts w:ascii="Times New Roman" w:eastAsia="Times New Roman" w:hAnsi="Times New Roman" w:cs="Times New Roman"/>
        </w:rPr>
        <w:t xml:space="preserve">, 28 Feb. 2025, </w:t>
      </w:r>
      <w:hyperlink r:id="rId43">
        <w:r>
          <w:rPr>
            <w:rFonts w:ascii="Times New Roman" w:eastAsia="Times New Roman" w:hAnsi="Times New Roman" w:cs="Times New Roman"/>
            <w:color w:val="1155CC"/>
            <w:u w:val="single"/>
          </w:rPr>
          <w:t>www.pbs.org/newshour/economy/consumers-cut-spending-by-most-in-four-years-last-month</w:t>
        </w:r>
      </w:hyperlink>
      <w:r>
        <w:rPr>
          <w:rFonts w:ascii="Times New Roman" w:eastAsia="Times New Roman" w:hAnsi="Times New Roman" w:cs="Times New Roman"/>
        </w:rPr>
        <w:t>. Accessed 6 Mar. 2025.</w:t>
      </w:r>
    </w:p>
    <w:p w14:paraId="2B38E0FF"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lastRenderedPageBreak/>
        <w:t xml:space="preserve">NYSE. “The NYSE Is Now Trading All U.S. Securities.” </w:t>
      </w:r>
      <w:r>
        <w:rPr>
          <w:rFonts w:ascii="Times New Roman" w:eastAsia="Times New Roman" w:hAnsi="Times New Roman" w:cs="Times New Roman"/>
          <w:i/>
        </w:rPr>
        <w:t>NYSE</w:t>
      </w:r>
      <w:r>
        <w:rPr>
          <w:rFonts w:ascii="Times New Roman" w:eastAsia="Times New Roman" w:hAnsi="Times New Roman" w:cs="Times New Roman"/>
        </w:rPr>
        <w:t xml:space="preserve">, www.nyse.com/network/article/nyse-tapes-b-and-c. Accessed 11 Mar. 2025. </w:t>
      </w:r>
    </w:p>
    <w:p w14:paraId="401C708D" w14:textId="77777777" w:rsidR="00A352B4" w:rsidRDefault="00000000">
      <w:pPr>
        <w:numPr>
          <w:ilvl w:val="0"/>
          <w:numId w:val="7"/>
        </w:numPr>
        <w:rPr>
          <w:rFonts w:ascii="Times New Roman" w:eastAsia="Times New Roman" w:hAnsi="Times New Roman" w:cs="Times New Roman"/>
        </w:rPr>
      </w:pPr>
      <w:proofErr w:type="spellStart"/>
      <w:r>
        <w:rPr>
          <w:rFonts w:ascii="Times New Roman" w:eastAsia="Times New Roman" w:hAnsi="Times New Roman" w:cs="Times New Roman"/>
        </w:rPr>
        <w:t>Pabilonia</w:t>
      </w:r>
      <w:proofErr w:type="spellEnd"/>
      <w:r>
        <w:rPr>
          <w:rFonts w:ascii="Times New Roman" w:eastAsia="Times New Roman" w:hAnsi="Times New Roman" w:cs="Times New Roman"/>
        </w:rPr>
        <w:t xml:space="preserve">, Sabrina Wulff, and Jill Janocha Redmond. “Remote Work Productivity.” </w:t>
      </w:r>
      <w:r>
        <w:rPr>
          <w:rFonts w:ascii="Times New Roman" w:eastAsia="Times New Roman" w:hAnsi="Times New Roman" w:cs="Times New Roman"/>
          <w:i/>
        </w:rPr>
        <w:t>Bureau of Labor Statistics</w:t>
      </w:r>
      <w:r>
        <w:rPr>
          <w:rFonts w:ascii="Times New Roman" w:eastAsia="Times New Roman" w:hAnsi="Times New Roman" w:cs="Times New Roman"/>
        </w:rPr>
        <w:t xml:space="preserve">, 31 Oct. 2024, </w:t>
      </w:r>
      <w:hyperlink r:id="rId44">
        <w:r>
          <w:rPr>
            <w:rFonts w:ascii="Times New Roman" w:eastAsia="Times New Roman" w:hAnsi="Times New Roman" w:cs="Times New Roman"/>
            <w:color w:val="1155CC"/>
            <w:u w:val="single"/>
          </w:rPr>
          <w:t>www.bls.gov/opub/btn/volume-13/remote-work-productivity.htm</w:t>
        </w:r>
      </w:hyperlink>
      <w:r>
        <w:rPr>
          <w:rFonts w:ascii="Times New Roman" w:eastAsia="Times New Roman" w:hAnsi="Times New Roman" w:cs="Times New Roman"/>
        </w:rPr>
        <w:t>. Accessed 6 Mar. 2025.</w:t>
      </w:r>
    </w:p>
    <w:p w14:paraId="1E16A9D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PWC. </w:t>
      </w:r>
      <w:r>
        <w:rPr>
          <w:rFonts w:ascii="Times New Roman" w:eastAsia="Times New Roman" w:hAnsi="Times New Roman" w:cs="Times New Roman"/>
          <w:i/>
        </w:rPr>
        <w:t>A Year for Action: 2025 Tax Policy Outlook</w:t>
      </w:r>
      <w:r>
        <w:rPr>
          <w:rFonts w:ascii="Times New Roman" w:eastAsia="Times New Roman" w:hAnsi="Times New Roman" w:cs="Times New Roman"/>
        </w:rPr>
        <w:t>. PWC, 2025.</w:t>
      </w:r>
    </w:p>
    <w:p w14:paraId="667F588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Rocket Companies Inc. “Rocket Companies Announces Fourth Quarter and Full Year 2023 Results.” </w:t>
      </w:r>
      <w:r>
        <w:rPr>
          <w:rFonts w:ascii="Times New Roman" w:eastAsia="Times New Roman" w:hAnsi="Times New Roman" w:cs="Times New Roman"/>
          <w:i/>
        </w:rPr>
        <w:t>Rocketcompanies.com</w:t>
      </w:r>
      <w:r>
        <w:rPr>
          <w:rFonts w:ascii="Times New Roman" w:eastAsia="Times New Roman" w:hAnsi="Times New Roman" w:cs="Times New Roman"/>
        </w:rPr>
        <w:t xml:space="preserve">, 22 Feb. 2024, </w:t>
      </w:r>
      <w:hyperlink r:id="rId45">
        <w:r>
          <w:rPr>
            <w:rFonts w:ascii="Times New Roman" w:eastAsia="Times New Roman" w:hAnsi="Times New Roman" w:cs="Times New Roman"/>
            <w:color w:val="1155CC"/>
            <w:u w:val="single"/>
          </w:rPr>
          <w:t>ir.rocketcompanies.com/news-and-events/press-releases/press-release-details/2024/Rocket-Companies-Announces-Fourth-Quarter-and-Full-Year-2023-Results/default.aspx</w:t>
        </w:r>
      </w:hyperlink>
      <w:r>
        <w:rPr>
          <w:rFonts w:ascii="Times New Roman" w:eastAsia="Times New Roman" w:hAnsi="Times New Roman" w:cs="Times New Roman"/>
        </w:rPr>
        <w:t>. Accessed 10 Mar. 2025.</w:t>
      </w:r>
    </w:p>
    <w:p w14:paraId="3E750E3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Rodda, Caroline. “BLK 4Q24 Earnings Release.” </w:t>
      </w:r>
      <w:r>
        <w:rPr>
          <w:rFonts w:ascii="Times New Roman" w:eastAsia="Times New Roman" w:hAnsi="Times New Roman" w:cs="Times New Roman"/>
          <w:i/>
        </w:rPr>
        <w:t>BlackRock</w:t>
      </w:r>
      <w:r>
        <w:rPr>
          <w:rFonts w:ascii="Times New Roman" w:eastAsia="Times New Roman" w:hAnsi="Times New Roman" w:cs="Times New Roman"/>
        </w:rPr>
        <w:t xml:space="preserve">, s24.q4cdn.com/856567660/files/doc_financials/2024/Q4/BLK-4Q24-Earning-Release.pdf. Accessed 11 Mar. 2025. </w:t>
      </w:r>
    </w:p>
    <w:p w14:paraId="2BAE0FAC"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Runyon, Stephanie. </w:t>
      </w:r>
      <w:r>
        <w:rPr>
          <w:rFonts w:ascii="Times New Roman" w:eastAsia="Times New Roman" w:hAnsi="Times New Roman" w:cs="Times New Roman"/>
          <w:i/>
        </w:rPr>
        <w:t>the Wisman Fund</w:t>
      </w:r>
      <w:r>
        <w:rPr>
          <w:rFonts w:ascii="Times New Roman" w:eastAsia="Times New Roman" w:hAnsi="Times New Roman" w:cs="Times New Roman"/>
        </w:rPr>
        <w:t>. John L. Grove College of Business.</w:t>
      </w:r>
    </w:p>
    <w:p w14:paraId="4F9BF0DB"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Smith, Adam. “2023: A Historic Year of U.S. Billion-Dollar Weather and Climate Disasters | NOAA Climate.gov.” </w:t>
      </w:r>
      <w:r>
        <w:rPr>
          <w:rFonts w:ascii="Times New Roman" w:eastAsia="Times New Roman" w:hAnsi="Times New Roman" w:cs="Times New Roman"/>
          <w:i/>
        </w:rPr>
        <w:t>Www.climate.gov</w:t>
      </w:r>
      <w:r>
        <w:rPr>
          <w:rFonts w:ascii="Times New Roman" w:eastAsia="Times New Roman" w:hAnsi="Times New Roman" w:cs="Times New Roman"/>
        </w:rPr>
        <w:t xml:space="preserve">, National Oceanic and Atmospheric Administration, 8 Jan. 2024, </w:t>
      </w:r>
      <w:hyperlink r:id="rId46">
        <w:r>
          <w:rPr>
            <w:rFonts w:ascii="Times New Roman" w:eastAsia="Times New Roman" w:hAnsi="Times New Roman" w:cs="Times New Roman"/>
            <w:color w:val="1155CC"/>
            <w:u w:val="single"/>
          </w:rPr>
          <w:t>www.climate.gov/news-features/blogs/beyond-data/2023-historic-year-us-billion-dollar-weather-and-climate-disasters</w:t>
        </w:r>
      </w:hyperlink>
      <w:r>
        <w:rPr>
          <w:rFonts w:ascii="Times New Roman" w:eastAsia="Times New Roman" w:hAnsi="Times New Roman" w:cs="Times New Roman"/>
        </w:rPr>
        <w:t>. Accessed 6 Mar. 2025.</w:t>
      </w:r>
    </w:p>
    <w:p w14:paraId="2C73E451"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Statista.com. “Number of ETFS Worldwide 2023 | Statista.” </w:t>
      </w:r>
      <w:r>
        <w:rPr>
          <w:rFonts w:ascii="Times New Roman" w:eastAsia="Times New Roman" w:hAnsi="Times New Roman" w:cs="Times New Roman"/>
          <w:i/>
        </w:rPr>
        <w:t>Statista</w:t>
      </w:r>
      <w:r>
        <w:rPr>
          <w:rFonts w:ascii="Times New Roman" w:eastAsia="Times New Roman" w:hAnsi="Times New Roman" w:cs="Times New Roman"/>
        </w:rPr>
        <w:t xml:space="preserve">, www.statista.com/statistics/278249/global-number-of-etfs/. Accessed 11 Mar. 2025. </w:t>
      </w:r>
    </w:p>
    <w:p w14:paraId="750ABA55"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The Thinking Ahead </w:t>
      </w:r>
      <w:proofErr w:type="gramStart"/>
      <w:r>
        <w:rPr>
          <w:rFonts w:ascii="Times New Roman" w:eastAsia="Times New Roman" w:hAnsi="Times New Roman" w:cs="Times New Roman"/>
        </w:rPr>
        <w:t>Institute .</w:t>
      </w:r>
      <w:proofErr w:type="gramEnd"/>
      <w:r>
        <w:rPr>
          <w:rFonts w:ascii="Times New Roman" w:eastAsia="Times New Roman" w:hAnsi="Times New Roman" w:cs="Times New Roman"/>
        </w:rPr>
        <w:t xml:space="preserve"> </w:t>
      </w:r>
      <w:r>
        <w:rPr>
          <w:rFonts w:ascii="Times New Roman" w:eastAsia="Times New Roman" w:hAnsi="Times New Roman" w:cs="Times New Roman"/>
          <w:i/>
        </w:rPr>
        <w:t>The World’s Largest 500 Asset Managers a Thinking Ahead Institute and Pensions &amp; Investments Joint Study |</w:t>
      </w:r>
      <w:r>
        <w:rPr>
          <w:rFonts w:ascii="Times New Roman" w:eastAsia="Times New Roman" w:hAnsi="Times New Roman" w:cs="Times New Roman"/>
        </w:rPr>
        <w:t>. Thinking Ahead Institute, 1 Oct. 2023.</w:t>
      </w:r>
    </w:p>
    <w:p w14:paraId="379B56F3" w14:textId="77777777" w:rsidR="00A352B4" w:rsidRDefault="00000000">
      <w:pPr>
        <w:numPr>
          <w:ilvl w:val="0"/>
          <w:numId w:val="7"/>
        </w:numPr>
        <w:rPr>
          <w:rFonts w:ascii="Times New Roman" w:eastAsia="Times New Roman" w:hAnsi="Times New Roman" w:cs="Times New Roman"/>
        </w:rPr>
      </w:pPr>
      <w:proofErr w:type="spellStart"/>
      <w:r>
        <w:rPr>
          <w:rFonts w:ascii="Times New Roman" w:eastAsia="Times New Roman" w:hAnsi="Times New Roman" w:cs="Times New Roman"/>
        </w:rPr>
        <w:t>Tindera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Michela ,</w:t>
      </w:r>
      <w:proofErr w:type="gramEnd"/>
      <w:r>
        <w:rPr>
          <w:rFonts w:ascii="Times New Roman" w:eastAsia="Times New Roman" w:hAnsi="Times New Roman" w:cs="Times New Roman"/>
        </w:rPr>
        <w:t xml:space="preserve"> and Brooke </w:t>
      </w:r>
      <w:proofErr w:type="gramStart"/>
      <w:r>
        <w:rPr>
          <w:rFonts w:ascii="Times New Roman" w:eastAsia="Times New Roman" w:hAnsi="Times New Roman" w:cs="Times New Roman"/>
        </w:rPr>
        <w:t>Masters .</w:t>
      </w:r>
      <w:proofErr w:type="gramEnd"/>
      <w:r>
        <w:rPr>
          <w:rFonts w:ascii="Times New Roman" w:eastAsia="Times New Roman" w:hAnsi="Times New Roman" w:cs="Times New Roman"/>
        </w:rPr>
        <w:t xml:space="preserve"> “Transcript: Vanguard — Can It Keep Playing Disruptor?” </w:t>
      </w:r>
      <w:r>
        <w:rPr>
          <w:rFonts w:ascii="Times New Roman" w:eastAsia="Times New Roman" w:hAnsi="Times New Roman" w:cs="Times New Roman"/>
          <w:i/>
        </w:rPr>
        <w:t>FT.com</w:t>
      </w:r>
      <w:r>
        <w:rPr>
          <w:rFonts w:ascii="Times New Roman" w:eastAsia="Times New Roman" w:hAnsi="Times New Roman" w:cs="Times New Roman"/>
        </w:rPr>
        <w:t xml:space="preserve">, Financial Times, 26 Feb. 2025, </w:t>
      </w:r>
      <w:hyperlink r:id="rId47">
        <w:r>
          <w:rPr>
            <w:rFonts w:ascii="Times New Roman" w:eastAsia="Times New Roman" w:hAnsi="Times New Roman" w:cs="Times New Roman"/>
            <w:color w:val="1155CC"/>
            <w:u w:val="single"/>
          </w:rPr>
          <w:t>www.ft.com/content/572dbdb5-579e-4f3e-9baf-2a5060892312</w:t>
        </w:r>
      </w:hyperlink>
      <w:r>
        <w:rPr>
          <w:rFonts w:ascii="Times New Roman" w:eastAsia="Times New Roman" w:hAnsi="Times New Roman" w:cs="Times New Roman"/>
        </w:rPr>
        <w:t>. Accessed 10 Mar. 2025.</w:t>
      </w:r>
    </w:p>
    <w:p w14:paraId="5D637CB8"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“Top Geopolitical Risks of 2025.” </w:t>
      </w:r>
      <w:r>
        <w:rPr>
          <w:rFonts w:ascii="Times New Roman" w:eastAsia="Times New Roman" w:hAnsi="Times New Roman" w:cs="Times New Roman"/>
          <w:i/>
        </w:rPr>
        <w:t>S&amp;P Global</w:t>
      </w:r>
      <w:r>
        <w:rPr>
          <w:rFonts w:ascii="Times New Roman" w:eastAsia="Times New Roman" w:hAnsi="Times New Roman" w:cs="Times New Roman"/>
        </w:rPr>
        <w:t xml:space="preserve">, www.spglobal.com/en/research-insights/market-insights/geopolitical-risk. Accessed 11 Mar. 2025. </w:t>
      </w:r>
    </w:p>
    <w:p w14:paraId="4CB493E2"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U.S. Bank. “Fed Projects Interest Rate Hikes | U.S. Bank.” </w:t>
      </w:r>
      <w:r>
        <w:rPr>
          <w:rFonts w:ascii="Times New Roman" w:eastAsia="Times New Roman" w:hAnsi="Times New Roman" w:cs="Times New Roman"/>
          <w:i/>
        </w:rPr>
        <w:t>Www.usbank.com</w:t>
      </w:r>
      <w:r>
        <w:rPr>
          <w:rFonts w:ascii="Times New Roman" w:eastAsia="Times New Roman" w:hAnsi="Times New Roman" w:cs="Times New Roman"/>
        </w:rPr>
        <w:t xml:space="preserve">, 22 Sept. 2021, </w:t>
      </w:r>
      <w:hyperlink r:id="rId48">
        <w:r>
          <w:rPr>
            <w:rFonts w:ascii="Times New Roman" w:eastAsia="Times New Roman" w:hAnsi="Times New Roman" w:cs="Times New Roman"/>
            <w:color w:val="1155CC"/>
            <w:u w:val="single"/>
          </w:rPr>
          <w:t>www.usbank.com/investing/financial-perspectives/market-news/federal-reserve-interest-rate.html</w:t>
        </w:r>
      </w:hyperlink>
      <w:r>
        <w:rPr>
          <w:rFonts w:ascii="Times New Roman" w:eastAsia="Times New Roman" w:hAnsi="Times New Roman" w:cs="Times New Roman"/>
        </w:rPr>
        <w:t>. Accessed 6 Mar. 2025.</w:t>
      </w:r>
    </w:p>
    <w:p w14:paraId="469A144D"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U.S. Bureau of Labor Statistics. “The Employment Situation.” Bureau Of Labor Statistics, 7 Feb. 2025.</w:t>
      </w:r>
    </w:p>
    <w:p w14:paraId="2009A797"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U.S. Securities and Exchange Commission. “Investment Products | Investor.gov.” </w:t>
      </w:r>
      <w:r>
        <w:rPr>
          <w:rFonts w:ascii="Times New Roman" w:eastAsia="Times New Roman" w:hAnsi="Times New Roman" w:cs="Times New Roman"/>
          <w:i/>
        </w:rPr>
        <w:t>Www.investor.gov</w:t>
      </w:r>
      <w:r>
        <w:rPr>
          <w:rFonts w:ascii="Times New Roman" w:eastAsia="Times New Roman" w:hAnsi="Times New Roman" w:cs="Times New Roman"/>
        </w:rPr>
        <w:t xml:space="preserve">, </w:t>
      </w:r>
      <w:hyperlink r:id="rId49">
        <w:r>
          <w:rPr>
            <w:rFonts w:ascii="Times New Roman" w:eastAsia="Times New Roman" w:hAnsi="Times New Roman" w:cs="Times New Roman"/>
            <w:color w:val="1155CC"/>
            <w:u w:val="single"/>
          </w:rPr>
          <w:t>www.investor.gov/introduction-investing/investing-basics/investment-products</w:t>
        </w:r>
      </w:hyperlink>
      <w:r>
        <w:rPr>
          <w:rFonts w:ascii="Times New Roman" w:eastAsia="Times New Roman" w:hAnsi="Times New Roman" w:cs="Times New Roman"/>
        </w:rPr>
        <w:t>. Accessed 6 Mar. 2025.</w:t>
      </w:r>
    </w:p>
    <w:p w14:paraId="2D6F08A0"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United Nations. “Shifting Demographics.” </w:t>
      </w:r>
      <w:r>
        <w:rPr>
          <w:rFonts w:ascii="Times New Roman" w:eastAsia="Times New Roman" w:hAnsi="Times New Roman" w:cs="Times New Roman"/>
          <w:i/>
        </w:rPr>
        <w:t>United Nations</w:t>
      </w:r>
      <w:r>
        <w:rPr>
          <w:rFonts w:ascii="Times New Roman" w:eastAsia="Times New Roman" w:hAnsi="Times New Roman" w:cs="Times New Roman"/>
        </w:rPr>
        <w:t xml:space="preserve">, 2020, </w:t>
      </w:r>
      <w:hyperlink r:id="rId50">
        <w:r>
          <w:rPr>
            <w:rFonts w:ascii="Times New Roman" w:eastAsia="Times New Roman" w:hAnsi="Times New Roman" w:cs="Times New Roman"/>
            <w:color w:val="1155CC"/>
            <w:u w:val="single"/>
          </w:rPr>
          <w:t>www.un.org/en/un75/shifting-demographics</w:t>
        </w:r>
      </w:hyperlink>
      <w:r>
        <w:rPr>
          <w:rFonts w:ascii="Times New Roman" w:eastAsia="Times New Roman" w:hAnsi="Times New Roman" w:cs="Times New Roman"/>
        </w:rPr>
        <w:t xml:space="preserve">. </w:t>
      </w:r>
    </w:p>
    <w:p w14:paraId="17AAA184"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ZeroHedge.com. “Blackrock and Microsoft Partner on $30 Billion AI Infrastructure Fund.” Yahoo! Finance, Yahoo!, </w:t>
      </w:r>
      <w:hyperlink r:id="rId51">
        <w:r>
          <w:rPr>
            <w:rFonts w:ascii="Times New Roman" w:eastAsia="Times New Roman" w:hAnsi="Times New Roman" w:cs="Times New Roman"/>
            <w:color w:val="1155CC"/>
            <w:u w:val="single"/>
          </w:rPr>
          <w:t>finance.yahoo.com/news/blackrock-microsoft-partner-30-billion-210000467.html</w:t>
        </w:r>
      </w:hyperlink>
      <w:r>
        <w:rPr>
          <w:rFonts w:ascii="Times New Roman" w:eastAsia="Times New Roman" w:hAnsi="Times New Roman" w:cs="Times New Roman"/>
        </w:rPr>
        <w:t xml:space="preserve">.  Accessed 14 Feb. 2025. </w:t>
      </w:r>
    </w:p>
    <w:p w14:paraId="0803120F" w14:textId="77777777" w:rsidR="00A352B4"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Zipf, Christa. “BlackRock 2025 Private Markets Outlook: A New Era of Growth.” </w:t>
      </w:r>
      <w:r>
        <w:rPr>
          <w:rFonts w:ascii="Times New Roman" w:eastAsia="Times New Roman" w:hAnsi="Times New Roman" w:cs="Times New Roman"/>
          <w:i/>
        </w:rPr>
        <w:t>Businesswire.com</w:t>
      </w:r>
      <w:r>
        <w:rPr>
          <w:rFonts w:ascii="Times New Roman" w:eastAsia="Times New Roman" w:hAnsi="Times New Roman" w:cs="Times New Roman"/>
        </w:rPr>
        <w:t xml:space="preserve">, 16 Dec. 2024, </w:t>
      </w:r>
      <w:hyperlink r:id="rId52">
        <w:r>
          <w:rPr>
            <w:rFonts w:ascii="Times New Roman" w:eastAsia="Times New Roman" w:hAnsi="Times New Roman" w:cs="Times New Roman"/>
            <w:color w:val="1155CC"/>
            <w:u w:val="single"/>
          </w:rPr>
          <w:t>www.businesswire.com/news/home/20241216468500/en/BlackRock-2025-Private-Markets-Outlook-A-New-Era-of-Growth</w:t>
        </w:r>
      </w:hyperlink>
      <w:r>
        <w:rPr>
          <w:rFonts w:ascii="Times New Roman" w:eastAsia="Times New Roman" w:hAnsi="Times New Roman" w:cs="Times New Roman"/>
        </w:rPr>
        <w:t>. Accessed 6 Mar. 2025.</w:t>
      </w:r>
    </w:p>
    <w:p w14:paraId="78D87966" w14:textId="77777777" w:rsidR="00A352B4" w:rsidRDefault="00A352B4">
      <w:pPr>
        <w:rPr>
          <w:rFonts w:ascii="Times New Roman" w:eastAsia="Times New Roman" w:hAnsi="Times New Roman" w:cs="Times New Roman"/>
          <w:b/>
        </w:rPr>
      </w:pPr>
    </w:p>
    <w:p w14:paraId="23B647DA" w14:textId="77777777" w:rsidR="00A352B4" w:rsidRDefault="00000000">
      <w:pPr>
        <w:rPr>
          <w:rFonts w:ascii="Times New Roman" w:eastAsia="Times New Roman" w:hAnsi="Times New Roman" w:cs="Times New Roman"/>
          <w:b/>
        </w:rPr>
      </w:pPr>
      <w:r>
        <w:rPr>
          <w:rFonts w:ascii="Times New Roman" w:eastAsia="Times New Roman" w:hAnsi="Times New Roman" w:cs="Times New Roman"/>
          <w:b/>
        </w:rPr>
        <w:t>Internal Analysis</w:t>
      </w:r>
    </w:p>
    <w:p w14:paraId="22EF2B2C"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Aditya Shastri. </w:t>
      </w:r>
      <w:r>
        <w:rPr>
          <w:rFonts w:ascii="Times New Roman" w:eastAsia="Times New Roman" w:hAnsi="Times New Roman" w:cs="Times New Roman"/>
          <w:i/>
          <w:sz w:val="24"/>
          <w:szCs w:val="24"/>
        </w:rPr>
        <w:t>Extensive Marketing Strategy of BlackRock - 2022 | IIDE</w:t>
      </w:r>
      <w:r>
        <w:rPr>
          <w:rFonts w:ascii="Times New Roman" w:eastAsia="Times New Roman" w:hAnsi="Times New Roman" w:cs="Times New Roman"/>
          <w:sz w:val="24"/>
          <w:szCs w:val="24"/>
        </w:rPr>
        <w:t xml:space="preserve">. 20 Oct. 2022, </w:t>
      </w:r>
      <w:hyperlink r:id="rId53">
        <w:r>
          <w:rPr>
            <w:rFonts w:ascii="Times New Roman" w:eastAsia="Times New Roman" w:hAnsi="Times New Roman" w:cs="Times New Roman"/>
            <w:color w:val="1155CC"/>
            <w:sz w:val="24"/>
            <w:szCs w:val="24"/>
            <w:u w:val="single"/>
          </w:rPr>
          <w:t>iide.co/case-studies/marketing-strategy-of-</w:t>
        </w:r>
        <w:proofErr w:type="spellStart"/>
        <w:r>
          <w:rPr>
            <w:rFonts w:ascii="Times New Roman" w:eastAsia="Times New Roman" w:hAnsi="Times New Roman" w:cs="Times New Roman"/>
            <w:color w:val="1155CC"/>
            <w:sz w:val="24"/>
            <w:szCs w:val="24"/>
            <w:u w:val="single"/>
          </w:rPr>
          <w:t>blackrock</w:t>
        </w:r>
        <w:proofErr w:type="spellEnd"/>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sz w:val="24"/>
          <w:szCs w:val="24"/>
        </w:rPr>
        <w:t>. Accessed 14 Apr. 2025.</w:t>
      </w:r>
    </w:p>
    <w:p w14:paraId="4C57FA92"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BlackRock. “About Us | </w:t>
      </w:r>
      <w:proofErr w:type="spellStart"/>
      <w:r>
        <w:rPr>
          <w:rFonts w:ascii="Times New Roman" w:eastAsia="Times New Roman" w:hAnsi="Times New Roman" w:cs="Times New Roman"/>
          <w:sz w:val="24"/>
          <w:szCs w:val="24"/>
        </w:rPr>
        <w:t>IShares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BlackRock</w:t>
      </w:r>
      <w:r>
        <w:rPr>
          <w:rFonts w:ascii="Times New Roman" w:eastAsia="Times New Roman" w:hAnsi="Times New Roman" w:cs="Times New Roman"/>
          <w:sz w:val="24"/>
          <w:szCs w:val="24"/>
        </w:rPr>
        <w:t xml:space="preserve">, BlackRock </w:t>
      </w:r>
      <w:proofErr w:type="gramStart"/>
      <w:r>
        <w:rPr>
          <w:rFonts w:ascii="Times New Roman" w:eastAsia="Times New Roman" w:hAnsi="Times New Roman" w:cs="Times New Roman"/>
          <w:sz w:val="24"/>
          <w:szCs w:val="24"/>
        </w:rPr>
        <w:t>Inc. ,</w:t>
      </w:r>
      <w:proofErr w:type="gramEnd"/>
      <w:r>
        <w:rPr>
          <w:rFonts w:ascii="Times New Roman" w:eastAsia="Times New Roman" w:hAnsi="Times New Roman" w:cs="Times New Roman"/>
          <w:sz w:val="24"/>
          <w:szCs w:val="24"/>
        </w:rPr>
        <w:t xml:space="preserve"> </w:t>
      </w:r>
      <w:hyperlink r:id="rId54" w:anchor="samara-cohen">
        <w:r>
          <w:rPr>
            <w:rFonts w:ascii="Times New Roman" w:eastAsia="Times New Roman" w:hAnsi="Times New Roman" w:cs="Times New Roman"/>
            <w:color w:val="1155CC"/>
            <w:sz w:val="24"/>
            <w:szCs w:val="24"/>
            <w:u w:val="single"/>
          </w:rPr>
          <w:t>www.ishares.com/us/about-us#samara-cohen</w:t>
        </w:r>
      </w:hyperlink>
      <w:r>
        <w:rPr>
          <w:rFonts w:ascii="Times New Roman" w:eastAsia="Times New Roman" w:hAnsi="Times New Roman" w:cs="Times New Roman"/>
          <w:sz w:val="24"/>
          <w:szCs w:val="24"/>
        </w:rPr>
        <w:t>. Accessed 10 Apr. 2025.</w:t>
      </w:r>
    </w:p>
    <w:p w14:paraId="663486BB"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BLK 4Q24 Earnings </w:t>
      </w:r>
      <w:proofErr w:type="spellStart"/>
      <w:r>
        <w:rPr>
          <w:rFonts w:ascii="Times New Roman" w:eastAsia="Times New Roman" w:hAnsi="Times New Roman" w:cs="Times New Roman"/>
          <w:i/>
          <w:sz w:val="24"/>
          <w:szCs w:val="24"/>
        </w:rPr>
        <w:t>Release.Docx</w:t>
      </w:r>
      <w:proofErr w:type="spellEnd"/>
      <w:r>
        <w:rPr>
          <w:rFonts w:ascii="Times New Roman" w:eastAsia="Times New Roman" w:hAnsi="Times New Roman" w:cs="Times New Roman"/>
          <w:sz w:val="24"/>
          <w:szCs w:val="24"/>
        </w:rPr>
        <w:t xml:space="preserve">, </w:t>
      </w:r>
      <w:hyperlink r:id="rId55">
        <w:r>
          <w:rPr>
            <w:rFonts w:ascii="Times New Roman" w:eastAsia="Times New Roman" w:hAnsi="Times New Roman" w:cs="Times New Roman"/>
            <w:color w:val="1155CC"/>
            <w:sz w:val="24"/>
            <w:szCs w:val="24"/>
            <w:u w:val="single"/>
          </w:rPr>
          <w:t>s24.q4cdn.com/856567660/files/doc_financials/2024/Q4/BLK-4Q24-Earning-Release.pdf</w:t>
        </w:r>
      </w:hyperlink>
      <w:r>
        <w:rPr>
          <w:rFonts w:ascii="Times New Roman" w:eastAsia="Times New Roman" w:hAnsi="Times New Roman" w:cs="Times New Roman"/>
          <w:sz w:val="24"/>
          <w:szCs w:val="24"/>
        </w:rPr>
        <w:t xml:space="preserve">. Accessed 14 Apr. 2025. </w:t>
      </w:r>
    </w:p>
    <w:p w14:paraId="0821B005"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“Aladdin Risk.” </w:t>
      </w:r>
      <w:r>
        <w:rPr>
          <w:rFonts w:ascii="Times New Roman" w:eastAsia="Times New Roman" w:hAnsi="Times New Roman" w:cs="Times New Roman"/>
          <w:i/>
          <w:sz w:val="24"/>
          <w:szCs w:val="24"/>
        </w:rPr>
        <w:t>BlackRock</w:t>
      </w:r>
      <w:r>
        <w:rPr>
          <w:rFonts w:ascii="Times New Roman" w:eastAsia="Times New Roman" w:hAnsi="Times New Roman" w:cs="Times New Roman"/>
          <w:sz w:val="24"/>
          <w:szCs w:val="24"/>
        </w:rPr>
        <w:t xml:space="preserve">, BlackRock </w:t>
      </w:r>
      <w:proofErr w:type="gramStart"/>
      <w:r>
        <w:rPr>
          <w:rFonts w:ascii="Times New Roman" w:eastAsia="Times New Roman" w:hAnsi="Times New Roman" w:cs="Times New Roman"/>
          <w:sz w:val="24"/>
          <w:szCs w:val="24"/>
        </w:rPr>
        <w:t>Inc. ,</w:t>
      </w:r>
      <w:proofErr w:type="gramEnd"/>
      <w:r>
        <w:rPr>
          <w:rFonts w:ascii="Times New Roman" w:eastAsia="Times New Roman" w:hAnsi="Times New Roman" w:cs="Times New Roman"/>
          <w:sz w:val="24"/>
          <w:szCs w:val="24"/>
        </w:rPr>
        <w:t xml:space="preserve"> </w:t>
      </w:r>
      <w:hyperlink r:id="rId56">
        <w:r>
          <w:rPr>
            <w:rFonts w:ascii="Times New Roman" w:eastAsia="Times New Roman" w:hAnsi="Times New Roman" w:cs="Times New Roman"/>
            <w:color w:val="1155CC"/>
            <w:sz w:val="24"/>
            <w:szCs w:val="24"/>
            <w:u w:val="single"/>
          </w:rPr>
          <w:t>www.blackrock.com/aladdin/products/aladdin-risk</w:t>
        </w:r>
      </w:hyperlink>
      <w:r>
        <w:rPr>
          <w:rFonts w:ascii="Times New Roman" w:eastAsia="Times New Roman" w:hAnsi="Times New Roman" w:cs="Times New Roman"/>
          <w:sz w:val="24"/>
          <w:szCs w:val="24"/>
        </w:rPr>
        <w:t>. Accessed 10 Apr. 2025.</w:t>
      </w:r>
    </w:p>
    <w:p w14:paraId="0F6A5B81"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“BlackRock Aladdin – Portfolio Management Software.” </w:t>
      </w:r>
      <w:r>
        <w:rPr>
          <w:rFonts w:ascii="Times New Roman" w:eastAsia="Times New Roman" w:hAnsi="Times New Roman" w:cs="Times New Roman"/>
          <w:i/>
          <w:sz w:val="24"/>
          <w:szCs w:val="24"/>
        </w:rPr>
        <w:t>BlackRock</w:t>
      </w:r>
      <w:r>
        <w:rPr>
          <w:rFonts w:ascii="Times New Roman" w:eastAsia="Times New Roman" w:hAnsi="Times New Roman" w:cs="Times New Roman"/>
          <w:sz w:val="24"/>
          <w:szCs w:val="24"/>
        </w:rPr>
        <w:t xml:space="preserve">, BlackRock </w:t>
      </w:r>
      <w:proofErr w:type="gramStart"/>
      <w:r>
        <w:rPr>
          <w:rFonts w:ascii="Times New Roman" w:eastAsia="Times New Roman" w:hAnsi="Times New Roman" w:cs="Times New Roman"/>
          <w:sz w:val="24"/>
          <w:szCs w:val="24"/>
        </w:rPr>
        <w:t>Inc. ,</w:t>
      </w:r>
      <w:proofErr w:type="gramEnd"/>
      <w:r>
        <w:rPr>
          <w:rFonts w:ascii="Times New Roman" w:eastAsia="Times New Roman" w:hAnsi="Times New Roman" w:cs="Times New Roman"/>
          <w:sz w:val="24"/>
          <w:szCs w:val="24"/>
        </w:rPr>
        <w:t xml:space="preserve"> 2024, </w:t>
      </w:r>
      <w:hyperlink r:id="rId57">
        <w:r>
          <w:rPr>
            <w:rFonts w:ascii="Times New Roman" w:eastAsia="Times New Roman" w:hAnsi="Times New Roman" w:cs="Times New Roman"/>
            <w:color w:val="1155CC"/>
            <w:sz w:val="24"/>
            <w:szCs w:val="24"/>
            <w:u w:val="single"/>
          </w:rPr>
          <w:t>www.blackrock.com/aladdin</w:t>
        </w:r>
      </w:hyperlink>
      <w:r>
        <w:rPr>
          <w:rFonts w:ascii="Times New Roman" w:eastAsia="Times New Roman" w:hAnsi="Times New Roman" w:cs="Times New Roman"/>
          <w:sz w:val="24"/>
          <w:szCs w:val="24"/>
        </w:rPr>
        <w:t>. Accessed 10 Apr. 2025.</w:t>
      </w:r>
    </w:p>
    <w:p w14:paraId="7E45135D"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BlackRock. “</w:t>
      </w:r>
      <w:proofErr w:type="spellStart"/>
      <w:r>
        <w:rPr>
          <w:rFonts w:ascii="Times New Roman" w:eastAsia="Times New Roman" w:hAnsi="Times New Roman" w:cs="Times New Roman"/>
          <w:sz w:val="24"/>
          <w:szCs w:val="24"/>
        </w:rPr>
        <w:t>LifePath</w:t>
      </w:r>
      <w:proofErr w:type="spellEnd"/>
      <w:r>
        <w:rPr>
          <w:rFonts w:ascii="Times New Roman" w:eastAsia="Times New Roman" w:hAnsi="Times New Roman" w:cs="Times New Roman"/>
          <w:sz w:val="24"/>
          <w:szCs w:val="24"/>
        </w:rPr>
        <w:t xml:space="preserve">® Spending Tool.” </w:t>
      </w:r>
      <w:r>
        <w:rPr>
          <w:rFonts w:ascii="Times New Roman" w:eastAsia="Times New Roman" w:hAnsi="Times New Roman" w:cs="Times New Roman"/>
          <w:i/>
          <w:sz w:val="24"/>
          <w:szCs w:val="24"/>
        </w:rPr>
        <w:t>BlackRock</w:t>
      </w:r>
      <w:r>
        <w:rPr>
          <w:rFonts w:ascii="Times New Roman" w:eastAsia="Times New Roman" w:hAnsi="Times New Roman" w:cs="Times New Roman"/>
          <w:sz w:val="24"/>
          <w:szCs w:val="24"/>
        </w:rPr>
        <w:t xml:space="preserve">, www.blackrock.com/us/individual/tools/life-path-spending. Accessed 14 Apr. 2025. </w:t>
      </w:r>
    </w:p>
    <w:p w14:paraId="3B04DD22"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“Environmental Sustainability - Responsibility.” </w:t>
      </w:r>
      <w:r>
        <w:rPr>
          <w:rFonts w:ascii="Times New Roman" w:eastAsia="Times New Roman" w:hAnsi="Times New Roman" w:cs="Times New Roman"/>
          <w:i/>
          <w:sz w:val="24"/>
          <w:szCs w:val="24"/>
        </w:rPr>
        <w:t>BlackRock.com</w:t>
      </w:r>
      <w:r>
        <w:rPr>
          <w:rFonts w:ascii="Times New Roman" w:eastAsia="Times New Roman" w:hAnsi="Times New Roman" w:cs="Times New Roman"/>
          <w:sz w:val="24"/>
          <w:szCs w:val="24"/>
        </w:rPr>
        <w:t xml:space="preserve">, BlackRock, Inc. , 2023, </w:t>
      </w:r>
      <w:hyperlink r:id="rId58">
        <w:r>
          <w:rPr>
            <w:rFonts w:ascii="Times New Roman" w:eastAsia="Times New Roman" w:hAnsi="Times New Roman" w:cs="Times New Roman"/>
            <w:color w:val="1155CC"/>
            <w:sz w:val="24"/>
            <w:szCs w:val="24"/>
            <w:u w:val="single"/>
          </w:rPr>
          <w:t>www.blackrock.com/corporate/responsibility/environmental-sustainability</w:t>
        </w:r>
      </w:hyperlink>
      <w:r>
        <w:rPr>
          <w:rFonts w:ascii="Times New Roman" w:eastAsia="Times New Roman" w:hAnsi="Times New Roman" w:cs="Times New Roman"/>
          <w:sz w:val="24"/>
          <w:szCs w:val="24"/>
        </w:rPr>
        <w:t>. Accessed 13 Apr. 2025.</w:t>
      </w:r>
    </w:p>
    <w:p w14:paraId="44A42F0D"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Planning &amp; Investment Management.” </w:t>
      </w:r>
      <w:r>
        <w:rPr>
          <w:rFonts w:ascii="Times New Roman" w:eastAsia="Times New Roman" w:hAnsi="Times New Roman" w:cs="Times New Roman"/>
          <w:i/>
          <w:sz w:val="24"/>
          <w:szCs w:val="24"/>
        </w:rPr>
        <w:t>BlackRock.com</w:t>
      </w:r>
      <w:r>
        <w:rPr>
          <w:rFonts w:ascii="Times New Roman" w:eastAsia="Times New Roman" w:hAnsi="Times New Roman" w:cs="Times New Roman"/>
          <w:sz w:val="24"/>
          <w:szCs w:val="24"/>
        </w:rPr>
        <w:t xml:space="preserve">, BlackRock </w:t>
      </w:r>
      <w:proofErr w:type="gramStart"/>
      <w:r>
        <w:rPr>
          <w:rFonts w:ascii="Times New Roman" w:eastAsia="Times New Roman" w:hAnsi="Times New Roman" w:cs="Times New Roman"/>
          <w:sz w:val="24"/>
          <w:szCs w:val="24"/>
        </w:rPr>
        <w:t>Inc. ,</w:t>
      </w:r>
      <w:proofErr w:type="gramEnd"/>
      <w:r>
        <w:rPr>
          <w:rFonts w:ascii="Times New Roman" w:eastAsia="Times New Roman" w:hAnsi="Times New Roman" w:cs="Times New Roman"/>
          <w:sz w:val="24"/>
          <w:szCs w:val="24"/>
        </w:rPr>
        <w:t xml:space="preserve"> </w:t>
      </w:r>
      <w:hyperlink r:id="rId59">
        <w:r>
          <w:rPr>
            <w:rFonts w:ascii="Times New Roman" w:eastAsia="Times New Roman" w:hAnsi="Times New Roman" w:cs="Times New Roman"/>
            <w:color w:val="1155CC"/>
            <w:sz w:val="24"/>
            <w:szCs w:val="24"/>
            <w:u w:val="single"/>
          </w:rPr>
          <w:t>www.blackrock.com/us/individual</w:t>
        </w:r>
      </w:hyperlink>
      <w:r>
        <w:rPr>
          <w:rFonts w:ascii="Times New Roman" w:eastAsia="Times New Roman" w:hAnsi="Times New Roman" w:cs="Times New Roman"/>
          <w:sz w:val="24"/>
          <w:szCs w:val="24"/>
        </w:rPr>
        <w:t>. Accessed 13 Apr. 2025.</w:t>
      </w:r>
    </w:p>
    <w:p w14:paraId="69ADED6C"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Executive Committee - Our Leadership.” </w:t>
      </w:r>
      <w:r>
        <w:rPr>
          <w:rFonts w:ascii="Times New Roman" w:eastAsia="Times New Roman" w:hAnsi="Times New Roman" w:cs="Times New Roman"/>
          <w:i/>
          <w:sz w:val="24"/>
          <w:szCs w:val="24"/>
        </w:rPr>
        <w:t>BlackRock.com</w:t>
      </w:r>
      <w:r>
        <w:rPr>
          <w:rFonts w:ascii="Times New Roman" w:eastAsia="Times New Roman" w:hAnsi="Times New Roman" w:cs="Times New Roman"/>
          <w:sz w:val="24"/>
          <w:szCs w:val="24"/>
        </w:rPr>
        <w:t xml:space="preserve">, BlackRock </w:t>
      </w:r>
      <w:proofErr w:type="gramStart"/>
      <w:r>
        <w:rPr>
          <w:rFonts w:ascii="Times New Roman" w:eastAsia="Times New Roman" w:hAnsi="Times New Roman" w:cs="Times New Roman"/>
          <w:sz w:val="24"/>
          <w:szCs w:val="24"/>
        </w:rPr>
        <w:t>Inc. ,</w:t>
      </w:r>
      <w:proofErr w:type="gramEnd"/>
      <w:r>
        <w:rPr>
          <w:rFonts w:ascii="Times New Roman" w:eastAsia="Times New Roman" w:hAnsi="Times New Roman" w:cs="Times New Roman"/>
          <w:sz w:val="24"/>
          <w:szCs w:val="24"/>
        </w:rPr>
        <w:t xml:space="preserve"> </w:t>
      </w:r>
      <w:hyperlink r:id="rId60">
        <w:r>
          <w:rPr>
            <w:rFonts w:ascii="Times New Roman" w:eastAsia="Times New Roman" w:hAnsi="Times New Roman" w:cs="Times New Roman"/>
            <w:color w:val="1155CC"/>
            <w:sz w:val="24"/>
            <w:szCs w:val="24"/>
            <w:u w:val="single"/>
          </w:rPr>
          <w:t>www.blackrock.com/corporate/about-us/leadership</w:t>
        </w:r>
      </w:hyperlink>
      <w:r>
        <w:rPr>
          <w:rFonts w:ascii="Times New Roman" w:eastAsia="Times New Roman" w:hAnsi="Times New Roman" w:cs="Times New Roman"/>
          <w:sz w:val="24"/>
          <w:szCs w:val="24"/>
        </w:rPr>
        <w:t>. Accessed 14 Apr. 2025.</w:t>
      </w:r>
    </w:p>
    <w:p w14:paraId="507A310F"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“Investment Funds | BlackRock.” </w:t>
      </w:r>
      <w:r>
        <w:rPr>
          <w:rFonts w:ascii="Times New Roman" w:eastAsia="Times New Roman" w:hAnsi="Times New Roman" w:cs="Times New Roman"/>
          <w:i/>
          <w:sz w:val="24"/>
          <w:szCs w:val="24"/>
        </w:rPr>
        <w:t>BlackRock.com</w:t>
      </w:r>
      <w:r>
        <w:rPr>
          <w:rFonts w:ascii="Times New Roman" w:eastAsia="Times New Roman" w:hAnsi="Times New Roman" w:cs="Times New Roman"/>
          <w:sz w:val="24"/>
          <w:szCs w:val="24"/>
        </w:rPr>
        <w:t xml:space="preserve">, BlackRock Inc. , 2025, </w:t>
      </w:r>
      <w:hyperlink r:id="rId61" w:anchor="/?productView=all&amp;pageNumber=1&amp;sortColumn=totalNetAssets&amp;sortDirection=desc&amp;dataView=perfNav">
        <w:r>
          <w:rPr>
            <w:rFonts w:ascii="Times New Roman" w:eastAsia="Times New Roman" w:hAnsi="Times New Roman" w:cs="Times New Roman"/>
            <w:color w:val="1155CC"/>
            <w:sz w:val="24"/>
            <w:szCs w:val="24"/>
            <w:u w:val="single"/>
          </w:rPr>
          <w:t>www.blackrock.com/us/individual/products/investment-funds#/?productView=all&amp;pageNumber=1&amp;sortColumn=totalNetAssets&amp;sortDirection=desc&amp;dataView=perfNav</w:t>
        </w:r>
      </w:hyperlink>
      <w:r>
        <w:rPr>
          <w:rFonts w:ascii="Times New Roman" w:eastAsia="Times New Roman" w:hAnsi="Times New Roman" w:cs="Times New Roman"/>
          <w:sz w:val="24"/>
          <w:szCs w:val="24"/>
        </w:rPr>
        <w:t>. Accessed 13 Apr. 2025.</w:t>
      </w:r>
    </w:p>
    <w:p w14:paraId="7AB8EAB5"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 Finance. “PIF and BlackRock Crowned World’s Most Valuable Sovereign Wealth Fund and Asset Management Brands | Press Release | Brand Finance.” </w:t>
      </w:r>
      <w:r>
        <w:rPr>
          <w:rFonts w:ascii="Times New Roman" w:eastAsia="Times New Roman" w:hAnsi="Times New Roman" w:cs="Times New Roman"/>
          <w:i/>
          <w:sz w:val="24"/>
          <w:szCs w:val="24"/>
        </w:rPr>
        <w:t>Brand Finance</w:t>
      </w:r>
      <w:r>
        <w:rPr>
          <w:rFonts w:ascii="Times New Roman" w:eastAsia="Times New Roman" w:hAnsi="Times New Roman" w:cs="Times New Roman"/>
          <w:sz w:val="24"/>
          <w:szCs w:val="24"/>
        </w:rPr>
        <w:t xml:space="preserve">, 29 May 2024, </w:t>
      </w:r>
      <w:hyperlink r:id="rId62">
        <w:r>
          <w:rPr>
            <w:rFonts w:ascii="Times New Roman" w:eastAsia="Times New Roman" w:hAnsi="Times New Roman" w:cs="Times New Roman"/>
            <w:color w:val="1155CC"/>
            <w:sz w:val="24"/>
            <w:szCs w:val="24"/>
            <w:u w:val="single"/>
          </w:rPr>
          <w:t>brandfinance.com/press-releases/pif-and-blackrock-crowned-worlds-most-valuable-sovereign-wealth-fund-and-asset-management-brands</w:t>
        </w:r>
      </w:hyperlink>
      <w:r>
        <w:rPr>
          <w:rFonts w:ascii="Times New Roman" w:eastAsia="Times New Roman" w:hAnsi="Times New Roman" w:cs="Times New Roman"/>
          <w:sz w:val="24"/>
          <w:szCs w:val="24"/>
        </w:rPr>
        <w:t>. Accessed 10 Apr. 2025.</w:t>
      </w:r>
    </w:p>
    <w:p w14:paraId="23110EED"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CSI Market. “BlackRock Partners with Willow to Empower NextGen Investors, Fueling Growth in Financial Advisory Services.” </w:t>
      </w:r>
      <w:r>
        <w:rPr>
          <w:rFonts w:ascii="Times New Roman" w:eastAsia="Times New Roman" w:hAnsi="Times New Roman" w:cs="Times New Roman"/>
          <w:i/>
          <w:sz w:val="24"/>
          <w:szCs w:val="24"/>
        </w:rPr>
        <w:t>Csimarket.com</w:t>
      </w:r>
      <w:r>
        <w:rPr>
          <w:rFonts w:ascii="Times New Roman" w:eastAsia="Times New Roman" w:hAnsi="Times New Roman" w:cs="Times New Roman"/>
          <w:sz w:val="24"/>
          <w:szCs w:val="24"/>
        </w:rPr>
        <w:t xml:space="preserve">, CSIMarket.com, 2024, </w:t>
      </w:r>
      <w:hyperlink r:id="rId63">
        <w:r>
          <w:rPr>
            <w:rFonts w:ascii="Times New Roman" w:eastAsia="Times New Roman" w:hAnsi="Times New Roman" w:cs="Times New Roman"/>
            <w:color w:val="1155CC"/>
            <w:sz w:val="24"/>
            <w:szCs w:val="24"/>
            <w:u w:val="single"/>
          </w:rPr>
          <w:t>csimarket.com/news/blackrock-partners-with-willow-to-empower-nextgen-investors-fueling-growth-in-financial-advisory-services2024-05-02144437</w:t>
        </w:r>
      </w:hyperlink>
      <w:r>
        <w:rPr>
          <w:rFonts w:ascii="Times New Roman" w:eastAsia="Times New Roman" w:hAnsi="Times New Roman" w:cs="Times New Roman"/>
          <w:sz w:val="24"/>
          <w:szCs w:val="24"/>
        </w:rPr>
        <w:t>. Accessed 13 Apr. 2025.</w:t>
      </w:r>
    </w:p>
    <w:p w14:paraId="60766699"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Davide </w:t>
      </w:r>
      <w:proofErr w:type="spellStart"/>
      <w:r>
        <w:rPr>
          <w:rFonts w:ascii="Times New Roman" w:eastAsia="Times New Roman" w:hAnsi="Times New Roman" w:cs="Times New Roman"/>
          <w:sz w:val="24"/>
          <w:szCs w:val="24"/>
        </w:rPr>
        <w:t>Barbuscia</w:t>
      </w:r>
      <w:proofErr w:type="spellEnd"/>
      <w:r>
        <w:rPr>
          <w:rFonts w:ascii="Times New Roman" w:eastAsia="Times New Roman" w:hAnsi="Times New Roman" w:cs="Times New Roman"/>
          <w:sz w:val="24"/>
          <w:szCs w:val="24"/>
        </w:rPr>
        <w:t xml:space="preserve">. “BlackRock Assets Hit Record $11.6 Trillion in Fourth Quarter.” </w:t>
      </w:r>
      <w:r>
        <w:rPr>
          <w:rFonts w:ascii="Times New Roman" w:eastAsia="Times New Roman" w:hAnsi="Times New Roman" w:cs="Times New Roman"/>
          <w:i/>
          <w:sz w:val="24"/>
          <w:szCs w:val="24"/>
        </w:rPr>
        <w:t>Reuters</w:t>
      </w:r>
      <w:r>
        <w:rPr>
          <w:rFonts w:ascii="Times New Roman" w:eastAsia="Times New Roman" w:hAnsi="Times New Roman" w:cs="Times New Roman"/>
          <w:sz w:val="24"/>
          <w:szCs w:val="24"/>
        </w:rPr>
        <w:t xml:space="preserve">, 15 Jan. 2025, </w:t>
      </w:r>
      <w:hyperlink r:id="rId64">
        <w:r>
          <w:rPr>
            <w:rFonts w:ascii="Times New Roman" w:eastAsia="Times New Roman" w:hAnsi="Times New Roman" w:cs="Times New Roman"/>
            <w:color w:val="1155CC"/>
            <w:sz w:val="24"/>
            <w:szCs w:val="24"/>
            <w:u w:val="single"/>
          </w:rPr>
          <w:t>www.reuters.com/business/finance/blackrock-assets-hit-record-116-trillion-fourth-quarter-2024-2025-01-15/</w:t>
        </w:r>
      </w:hyperlink>
      <w:r>
        <w:rPr>
          <w:rFonts w:ascii="Times New Roman" w:eastAsia="Times New Roman" w:hAnsi="Times New Roman" w:cs="Times New Roman"/>
          <w:sz w:val="24"/>
          <w:szCs w:val="24"/>
        </w:rPr>
        <w:t>. Accessed 14 Apr. 2025.</w:t>
      </w:r>
    </w:p>
    <w:p w14:paraId="394AE6E1"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Fink, Larry. “Larry Fink’s Annual Chairman’s Letter to Investors.” </w:t>
      </w:r>
      <w:r>
        <w:rPr>
          <w:rFonts w:ascii="Times New Roman" w:eastAsia="Times New Roman" w:hAnsi="Times New Roman" w:cs="Times New Roman"/>
          <w:i/>
          <w:sz w:val="24"/>
          <w:szCs w:val="24"/>
        </w:rPr>
        <w:t>BlackRock.com</w:t>
      </w:r>
      <w:r>
        <w:rPr>
          <w:rFonts w:ascii="Times New Roman" w:eastAsia="Times New Roman" w:hAnsi="Times New Roman" w:cs="Times New Roman"/>
          <w:sz w:val="24"/>
          <w:szCs w:val="24"/>
        </w:rPr>
        <w:t xml:space="preserve">, BlackRock Inc. , 2023, </w:t>
      </w:r>
      <w:hyperlink r:id="rId65">
        <w:r>
          <w:rPr>
            <w:rFonts w:ascii="Times New Roman" w:eastAsia="Times New Roman" w:hAnsi="Times New Roman" w:cs="Times New Roman"/>
            <w:color w:val="1155CC"/>
            <w:sz w:val="24"/>
            <w:szCs w:val="24"/>
            <w:u w:val="single"/>
          </w:rPr>
          <w:t>www.blackrock.com/corporate/investor-relations/larry-fink-annual-chairmans-letter</w:t>
        </w:r>
      </w:hyperlink>
      <w:r>
        <w:rPr>
          <w:rFonts w:ascii="Times New Roman" w:eastAsia="Times New Roman" w:hAnsi="Times New Roman" w:cs="Times New Roman"/>
          <w:sz w:val="24"/>
          <w:szCs w:val="24"/>
        </w:rPr>
        <w:t>. Accessed 13 Apr. 2025.</w:t>
      </w:r>
    </w:p>
    <w:p w14:paraId="098823C7"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Global Data. “Microsoft, BlackRock Partner to Raise $100bn for AI Infrastructure.” </w:t>
      </w:r>
      <w:r>
        <w:rPr>
          <w:rFonts w:ascii="Times New Roman" w:eastAsia="Times New Roman" w:hAnsi="Times New Roman" w:cs="Times New Roman"/>
          <w:i/>
          <w:sz w:val="24"/>
          <w:szCs w:val="24"/>
        </w:rPr>
        <w:t>YahooFinance.com</w:t>
      </w:r>
      <w:r>
        <w:rPr>
          <w:rFonts w:ascii="Times New Roman" w:eastAsia="Times New Roman" w:hAnsi="Times New Roman" w:cs="Times New Roman"/>
          <w:sz w:val="24"/>
          <w:szCs w:val="24"/>
        </w:rPr>
        <w:t xml:space="preserve">, 18 Sept. 2024, </w:t>
      </w:r>
      <w:hyperlink r:id="rId66">
        <w:r>
          <w:rPr>
            <w:rFonts w:ascii="Times New Roman" w:eastAsia="Times New Roman" w:hAnsi="Times New Roman" w:cs="Times New Roman"/>
            <w:color w:val="1155CC"/>
            <w:sz w:val="24"/>
            <w:szCs w:val="24"/>
            <w:u w:val="single"/>
          </w:rPr>
          <w:t>finance.yahoo.com/news/microsoft-blackrock-partner-raise-100bn-101510553.html</w:t>
        </w:r>
      </w:hyperlink>
      <w:r>
        <w:rPr>
          <w:rFonts w:ascii="Times New Roman" w:eastAsia="Times New Roman" w:hAnsi="Times New Roman" w:cs="Times New Roman"/>
          <w:sz w:val="24"/>
          <w:szCs w:val="24"/>
        </w:rPr>
        <w:t>. Accessed 10 Apr. 2025.</w:t>
      </w:r>
    </w:p>
    <w:p w14:paraId="46D13B32"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Kiburz, Samuel A. “Vanguard vs. </w:t>
      </w:r>
      <w:proofErr w:type="spellStart"/>
      <w:r>
        <w:rPr>
          <w:rFonts w:ascii="Times New Roman" w:eastAsia="Times New Roman" w:hAnsi="Times New Roman" w:cs="Times New Roman"/>
          <w:sz w:val="24"/>
          <w:szCs w:val="24"/>
        </w:rPr>
        <w:t>IShares</w:t>
      </w:r>
      <w:proofErr w:type="spellEnd"/>
      <w:r>
        <w:rPr>
          <w:rFonts w:ascii="Times New Roman" w:eastAsia="Times New Roman" w:hAnsi="Times New Roman" w:cs="Times New Roman"/>
          <w:sz w:val="24"/>
          <w:szCs w:val="24"/>
        </w:rPr>
        <w:t xml:space="preserve"> by BlackRock.” </w:t>
      </w:r>
      <w:proofErr w:type="spellStart"/>
      <w:r>
        <w:rPr>
          <w:rFonts w:ascii="Times New Roman" w:eastAsia="Times New Roman" w:hAnsi="Times New Roman" w:cs="Times New Roman"/>
          <w:i/>
          <w:sz w:val="24"/>
          <w:szCs w:val="24"/>
        </w:rPr>
        <w:t>Crews.bank</w:t>
      </w:r>
      <w:proofErr w:type="spellEnd"/>
      <w:r>
        <w:rPr>
          <w:rFonts w:ascii="Times New Roman" w:eastAsia="Times New Roman" w:hAnsi="Times New Roman" w:cs="Times New Roman"/>
          <w:sz w:val="24"/>
          <w:szCs w:val="24"/>
        </w:rPr>
        <w:t xml:space="preserve">, Crews Bank &amp; Trust, 9 Mar. 2022, </w:t>
      </w:r>
      <w:hyperlink r:id="rId67">
        <w:r>
          <w:rPr>
            <w:rFonts w:ascii="Times New Roman" w:eastAsia="Times New Roman" w:hAnsi="Times New Roman" w:cs="Times New Roman"/>
            <w:color w:val="1155CC"/>
            <w:sz w:val="24"/>
            <w:szCs w:val="24"/>
            <w:u w:val="single"/>
          </w:rPr>
          <w:t>www.crews.bank/blog/vanguard-vs.-ishares-by-blackrock</w:t>
        </w:r>
      </w:hyperlink>
      <w:r>
        <w:rPr>
          <w:rFonts w:ascii="Times New Roman" w:eastAsia="Times New Roman" w:hAnsi="Times New Roman" w:cs="Times New Roman"/>
          <w:sz w:val="24"/>
          <w:szCs w:val="24"/>
        </w:rPr>
        <w:t>. Accessed 14 Apr. 2025.</w:t>
      </w:r>
    </w:p>
    <w:p w14:paraId="63D8C5F4"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Microsoft Source. “BlackRock, Global Infrastructure Partners, Microsoft and MGX Launch New AI Partnership to Invest in Data Centers and Supporting Power Infrastructure - Stories.” </w:t>
      </w:r>
      <w:r>
        <w:rPr>
          <w:rFonts w:ascii="Times New Roman" w:eastAsia="Times New Roman" w:hAnsi="Times New Roman" w:cs="Times New Roman"/>
          <w:i/>
          <w:sz w:val="24"/>
          <w:szCs w:val="24"/>
        </w:rPr>
        <w:t>Microsoft.com</w:t>
      </w:r>
      <w:r>
        <w:rPr>
          <w:rFonts w:ascii="Times New Roman" w:eastAsia="Times New Roman" w:hAnsi="Times New Roman" w:cs="Times New Roman"/>
          <w:sz w:val="24"/>
          <w:szCs w:val="24"/>
        </w:rPr>
        <w:t xml:space="preserve">, 17 Sept. 2024, </w:t>
      </w:r>
      <w:hyperlink r:id="rId68">
        <w:r>
          <w:rPr>
            <w:rFonts w:ascii="Times New Roman" w:eastAsia="Times New Roman" w:hAnsi="Times New Roman" w:cs="Times New Roman"/>
            <w:color w:val="1155CC"/>
            <w:sz w:val="24"/>
            <w:szCs w:val="24"/>
            <w:u w:val="single"/>
          </w:rPr>
          <w:t>news.microsoft.com/2024/09/17/blackrock-global-infrastructure-partners-microsoft-and-mgx-launch-new-ai-partnership-to-invest-in-data-centers-and-supporting-power-infrastructure/</w:t>
        </w:r>
      </w:hyperlink>
      <w:r>
        <w:rPr>
          <w:rFonts w:ascii="Times New Roman" w:eastAsia="Times New Roman" w:hAnsi="Times New Roman" w:cs="Times New Roman"/>
          <w:sz w:val="24"/>
          <w:szCs w:val="24"/>
        </w:rPr>
        <w:t>. Accessed 14 Apr. 2025.</w:t>
      </w:r>
    </w:p>
    <w:p w14:paraId="0E2F04D9"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Robinson-</w:t>
      </w:r>
      <w:proofErr w:type="gramStart"/>
      <w:r>
        <w:rPr>
          <w:rFonts w:ascii="Times New Roman" w:eastAsia="Times New Roman" w:hAnsi="Times New Roman" w:cs="Times New Roman"/>
          <w:sz w:val="24"/>
          <w:szCs w:val="24"/>
        </w:rPr>
        <w:t>Tillet ,</w:t>
      </w:r>
      <w:proofErr w:type="gramEnd"/>
      <w:r>
        <w:rPr>
          <w:rFonts w:ascii="Times New Roman" w:eastAsia="Times New Roman" w:hAnsi="Times New Roman" w:cs="Times New Roman"/>
          <w:sz w:val="24"/>
          <w:szCs w:val="24"/>
        </w:rPr>
        <w:t xml:space="preserve"> Sophie. “BlackRock Names New Head of Sustainable and Transition Solutions.” </w:t>
      </w:r>
      <w:r>
        <w:rPr>
          <w:rFonts w:ascii="Times New Roman" w:eastAsia="Times New Roman" w:hAnsi="Times New Roman" w:cs="Times New Roman"/>
          <w:i/>
          <w:sz w:val="24"/>
          <w:szCs w:val="24"/>
        </w:rPr>
        <w:t>IPE.com</w:t>
      </w:r>
      <w:r>
        <w:rPr>
          <w:rFonts w:ascii="Times New Roman" w:eastAsia="Times New Roman" w:hAnsi="Times New Roman" w:cs="Times New Roman"/>
          <w:sz w:val="24"/>
          <w:szCs w:val="24"/>
        </w:rPr>
        <w:t xml:space="preserve">, Feb. 2025, </w:t>
      </w:r>
      <w:hyperlink r:id="rId69">
        <w:r>
          <w:rPr>
            <w:rFonts w:ascii="Times New Roman" w:eastAsia="Times New Roman" w:hAnsi="Times New Roman" w:cs="Times New Roman"/>
            <w:color w:val="1155CC"/>
            <w:sz w:val="24"/>
            <w:szCs w:val="24"/>
            <w:u w:val="single"/>
          </w:rPr>
          <w:t>www.ipe.com/news/blackrock-names-new-head-of-sustainable-and-transition-solutions/10128876.article</w:t>
        </w:r>
      </w:hyperlink>
      <w:r>
        <w:rPr>
          <w:rFonts w:ascii="Times New Roman" w:eastAsia="Times New Roman" w:hAnsi="Times New Roman" w:cs="Times New Roman"/>
          <w:sz w:val="24"/>
          <w:szCs w:val="24"/>
        </w:rPr>
        <w:t>. Accessed 10 Apr. 2025.</w:t>
      </w:r>
    </w:p>
    <w:p w14:paraId="3CD9BF31"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Sword, </w:t>
      </w:r>
      <w:proofErr w:type="gramStart"/>
      <w:r>
        <w:rPr>
          <w:rFonts w:ascii="Times New Roman" w:eastAsia="Times New Roman" w:hAnsi="Times New Roman" w:cs="Times New Roman"/>
          <w:sz w:val="24"/>
          <w:szCs w:val="24"/>
        </w:rPr>
        <w:t>Alex .</w:t>
      </w:r>
      <w:proofErr w:type="gramEnd"/>
      <w:r>
        <w:rPr>
          <w:rFonts w:ascii="Times New Roman" w:eastAsia="Times New Roman" w:hAnsi="Times New Roman" w:cs="Times New Roman"/>
          <w:sz w:val="24"/>
          <w:szCs w:val="24"/>
        </w:rPr>
        <w:t xml:space="preserve"> “BlackRock Tops 2024 Asset Management Brand Ranking - the Financial Services Forum.” </w:t>
      </w:r>
      <w:r>
        <w:rPr>
          <w:rFonts w:ascii="Times New Roman" w:eastAsia="Times New Roman" w:hAnsi="Times New Roman" w:cs="Times New Roman"/>
          <w:i/>
          <w:sz w:val="24"/>
          <w:szCs w:val="24"/>
        </w:rPr>
        <w:t>The Financial Services Forum</w:t>
      </w:r>
      <w:r>
        <w:rPr>
          <w:rFonts w:ascii="Times New Roman" w:eastAsia="Times New Roman" w:hAnsi="Times New Roman" w:cs="Times New Roman"/>
          <w:sz w:val="24"/>
          <w:szCs w:val="24"/>
        </w:rPr>
        <w:t xml:space="preserve">, 30 May 2024, </w:t>
      </w:r>
      <w:hyperlink r:id="rId70">
        <w:r>
          <w:rPr>
            <w:rFonts w:ascii="Times New Roman" w:eastAsia="Times New Roman" w:hAnsi="Times New Roman" w:cs="Times New Roman"/>
            <w:color w:val="1155CC"/>
            <w:sz w:val="24"/>
            <w:szCs w:val="24"/>
            <w:u w:val="single"/>
          </w:rPr>
          <w:t>thefsforum.co.uk/knowledge-hub/tactic/blackrock-tops-2024-asset-management-brand-ranking/</w:t>
        </w:r>
      </w:hyperlink>
      <w:r>
        <w:rPr>
          <w:rFonts w:ascii="Times New Roman" w:eastAsia="Times New Roman" w:hAnsi="Times New Roman" w:cs="Times New Roman"/>
          <w:sz w:val="24"/>
          <w:szCs w:val="24"/>
        </w:rPr>
        <w:t>. Accessed 10 Apr. 2025.</w:t>
      </w:r>
    </w:p>
    <w:p w14:paraId="088883C9"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Wire, Business. “BlackRock, Global Infrastructure Partners, Microsoft, and MGX Welcome NVIDIA and XAI to the AI Infrastructure Partnership to Drive Investment in Data Centers and Enabling Infrastructure.” </w:t>
      </w:r>
      <w:r>
        <w:rPr>
          <w:rFonts w:ascii="Times New Roman" w:eastAsia="Times New Roman" w:hAnsi="Times New Roman" w:cs="Times New Roman"/>
          <w:i/>
          <w:sz w:val="24"/>
          <w:szCs w:val="24"/>
        </w:rPr>
        <w:t>Yahoo Finance</w:t>
      </w:r>
      <w:r>
        <w:rPr>
          <w:rFonts w:ascii="Times New Roman" w:eastAsia="Times New Roman" w:hAnsi="Times New Roman" w:cs="Times New Roman"/>
          <w:sz w:val="24"/>
          <w:szCs w:val="24"/>
        </w:rPr>
        <w:t xml:space="preserve">, 19 Mar. 2025, </w:t>
      </w:r>
      <w:hyperlink r:id="rId71">
        <w:r>
          <w:rPr>
            <w:rFonts w:ascii="Times New Roman" w:eastAsia="Times New Roman" w:hAnsi="Times New Roman" w:cs="Times New Roman"/>
            <w:color w:val="1155CC"/>
            <w:sz w:val="24"/>
            <w:szCs w:val="24"/>
            <w:u w:val="single"/>
          </w:rPr>
          <w:t>finance.yahoo.com/news/blackrock-global-infrastructure-partners-microsoft-103000469.html</w:t>
        </w:r>
      </w:hyperlink>
      <w:r>
        <w:rPr>
          <w:rFonts w:ascii="Times New Roman" w:eastAsia="Times New Roman" w:hAnsi="Times New Roman" w:cs="Times New Roman"/>
          <w:sz w:val="24"/>
          <w:szCs w:val="24"/>
        </w:rPr>
        <w:t>. Accessed 14 Apr. 2025.</w:t>
      </w:r>
    </w:p>
    <w:p w14:paraId="78346658" w14:textId="77777777" w:rsidR="00A352B4" w:rsidRDefault="00000000">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Zappulla, Justin. “Sales Insights from BlackRock | Janek Performance Group.” </w:t>
      </w:r>
      <w:r>
        <w:rPr>
          <w:rFonts w:ascii="Times New Roman" w:eastAsia="Times New Roman" w:hAnsi="Times New Roman" w:cs="Times New Roman"/>
          <w:i/>
          <w:sz w:val="24"/>
          <w:szCs w:val="24"/>
        </w:rPr>
        <w:t>Janek.com</w:t>
      </w:r>
      <w:r>
        <w:rPr>
          <w:rFonts w:ascii="Times New Roman" w:eastAsia="Times New Roman" w:hAnsi="Times New Roman" w:cs="Times New Roman"/>
          <w:sz w:val="24"/>
          <w:szCs w:val="24"/>
        </w:rPr>
        <w:t xml:space="preserve">, 2024, </w:t>
      </w:r>
      <w:hyperlink r:id="rId72">
        <w:r>
          <w:rPr>
            <w:rFonts w:ascii="Times New Roman" w:eastAsia="Times New Roman" w:hAnsi="Times New Roman" w:cs="Times New Roman"/>
            <w:color w:val="1155CC"/>
            <w:sz w:val="24"/>
            <w:szCs w:val="24"/>
            <w:u w:val="single"/>
          </w:rPr>
          <w:t>www.janek.com/blog/sales-insights-from-blackrock/</w:t>
        </w:r>
      </w:hyperlink>
      <w:r>
        <w:rPr>
          <w:rFonts w:ascii="Times New Roman" w:eastAsia="Times New Roman" w:hAnsi="Times New Roman" w:cs="Times New Roman"/>
          <w:sz w:val="24"/>
          <w:szCs w:val="24"/>
        </w:rPr>
        <w:t>. Accessed 14 Apr. 2025.</w:t>
      </w:r>
    </w:p>
    <w:sectPr w:rsidR="00A352B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9B39" w14:textId="77777777" w:rsidR="008D0012" w:rsidRDefault="008D0012">
      <w:pPr>
        <w:spacing w:line="240" w:lineRule="auto"/>
      </w:pPr>
      <w:r>
        <w:separator/>
      </w:r>
    </w:p>
  </w:endnote>
  <w:endnote w:type="continuationSeparator" w:id="0">
    <w:p w14:paraId="668CAAF4" w14:textId="77777777" w:rsidR="008D0012" w:rsidRDefault="008D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1363" w14:textId="77777777" w:rsidR="008D0012" w:rsidRDefault="008D0012">
      <w:pPr>
        <w:spacing w:line="240" w:lineRule="auto"/>
      </w:pPr>
      <w:r>
        <w:separator/>
      </w:r>
    </w:p>
  </w:footnote>
  <w:footnote w:type="continuationSeparator" w:id="0">
    <w:p w14:paraId="6837EE6F" w14:textId="77777777" w:rsidR="008D0012" w:rsidRDefault="008D00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E64"/>
    <w:multiLevelType w:val="multilevel"/>
    <w:tmpl w:val="D3AAA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57184"/>
    <w:multiLevelType w:val="multilevel"/>
    <w:tmpl w:val="64965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A645D3"/>
    <w:multiLevelType w:val="multilevel"/>
    <w:tmpl w:val="ED2A1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22497F"/>
    <w:multiLevelType w:val="multilevel"/>
    <w:tmpl w:val="C6BA8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3F0133"/>
    <w:multiLevelType w:val="multilevel"/>
    <w:tmpl w:val="5A3E6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4A446C"/>
    <w:multiLevelType w:val="multilevel"/>
    <w:tmpl w:val="5574C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2D729F"/>
    <w:multiLevelType w:val="multilevel"/>
    <w:tmpl w:val="08E22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61392A"/>
    <w:multiLevelType w:val="multilevel"/>
    <w:tmpl w:val="A1689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443495"/>
    <w:multiLevelType w:val="multilevel"/>
    <w:tmpl w:val="E72AB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7D2ED9"/>
    <w:multiLevelType w:val="multilevel"/>
    <w:tmpl w:val="E4449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255F0A"/>
    <w:multiLevelType w:val="multilevel"/>
    <w:tmpl w:val="A578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BB7117"/>
    <w:multiLevelType w:val="multilevel"/>
    <w:tmpl w:val="90047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D706FC"/>
    <w:multiLevelType w:val="multilevel"/>
    <w:tmpl w:val="35B26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DFF48BD"/>
    <w:multiLevelType w:val="multilevel"/>
    <w:tmpl w:val="6C86B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016205"/>
    <w:multiLevelType w:val="multilevel"/>
    <w:tmpl w:val="39B67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883CAA"/>
    <w:multiLevelType w:val="multilevel"/>
    <w:tmpl w:val="0F3A6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4EE0EBE"/>
    <w:multiLevelType w:val="multilevel"/>
    <w:tmpl w:val="80D88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657514"/>
    <w:multiLevelType w:val="multilevel"/>
    <w:tmpl w:val="C4D22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377B7A"/>
    <w:multiLevelType w:val="multilevel"/>
    <w:tmpl w:val="A8C4D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BA6693B"/>
    <w:multiLevelType w:val="multilevel"/>
    <w:tmpl w:val="B25E4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46275C"/>
    <w:multiLevelType w:val="multilevel"/>
    <w:tmpl w:val="58B44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298153">
    <w:abstractNumId w:val="13"/>
  </w:num>
  <w:num w:numId="2" w16cid:durableId="1336687399">
    <w:abstractNumId w:val="10"/>
  </w:num>
  <w:num w:numId="3" w16cid:durableId="1902016941">
    <w:abstractNumId w:val="6"/>
  </w:num>
  <w:num w:numId="4" w16cid:durableId="825711251">
    <w:abstractNumId w:val="17"/>
  </w:num>
  <w:num w:numId="5" w16cid:durableId="1901478608">
    <w:abstractNumId w:val="5"/>
  </w:num>
  <w:num w:numId="6" w16cid:durableId="735737797">
    <w:abstractNumId w:val="19"/>
  </w:num>
  <w:num w:numId="7" w16cid:durableId="1226140389">
    <w:abstractNumId w:val="12"/>
  </w:num>
  <w:num w:numId="8" w16cid:durableId="456723810">
    <w:abstractNumId w:val="9"/>
  </w:num>
  <w:num w:numId="9" w16cid:durableId="1674533348">
    <w:abstractNumId w:val="1"/>
  </w:num>
  <w:num w:numId="10" w16cid:durableId="1622572099">
    <w:abstractNumId w:val="7"/>
  </w:num>
  <w:num w:numId="11" w16cid:durableId="1493183517">
    <w:abstractNumId w:val="0"/>
  </w:num>
  <w:num w:numId="12" w16cid:durableId="2012446155">
    <w:abstractNumId w:val="14"/>
  </w:num>
  <w:num w:numId="13" w16cid:durableId="557397813">
    <w:abstractNumId w:val="3"/>
  </w:num>
  <w:num w:numId="14" w16cid:durableId="511454640">
    <w:abstractNumId w:val="11"/>
  </w:num>
  <w:num w:numId="15" w16cid:durableId="1507213692">
    <w:abstractNumId w:val="8"/>
  </w:num>
  <w:num w:numId="16" w16cid:durableId="914625767">
    <w:abstractNumId w:val="2"/>
  </w:num>
  <w:num w:numId="17" w16cid:durableId="1794397669">
    <w:abstractNumId w:val="18"/>
  </w:num>
  <w:num w:numId="18" w16cid:durableId="1058355194">
    <w:abstractNumId w:val="16"/>
  </w:num>
  <w:num w:numId="19" w16cid:durableId="1463815284">
    <w:abstractNumId w:val="4"/>
  </w:num>
  <w:num w:numId="20" w16cid:durableId="1839613109">
    <w:abstractNumId w:val="20"/>
  </w:num>
  <w:num w:numId="21" w16cid:durableId="20257407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2B4"/>
    <w:rsid w:val="00023B11"/>
    <w:rsid w:val="00725446"/>
    <w:rsid w:val="008D0012"/>
    <w:rsid w:val="00A352B4"/>
    <w:rsid w:val="00F9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74FDF3"/>
  <w15:docId w15:val="{E6205140-4B4F-FC46-874D-258EDBA0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25446"/>
    <w:pPr>
      <w:tabs>
        <w:tab w:val="center" w:pos="4680"/>
        <w:tab w:val="right" w:pos="9360"/>
      </w:tabs>
      <w:spacing w:line="240" w:lineRule="auto"/>
    </w:pPr>
  </w:style>
  <w:style w:type="character" w:customStyle="1" w:styleId="HeaderChar">
    <w:name w:val="Header Char"/>
    <w:basedOn w:val="DefaultParagraphFont"/>
    <w:link w:val="Header"/>
    <w:uiPriority w:val="99"/>
    <w:rsid w:val="00725446"/>
  </w:style>
  <w:style w:type="paragraph" w:styleId="Footer">
    <w:name w:val="footer"/>
    <w:basedOn w:val="Normal"/>
    <w:link w:val="FooterChar"/>
    <w:uiPriority w:val="99"/>
    <w:unhideWhenUsed/>
    <w:rsid w:val="00725446"/>
    <w:pPr>
      <w:tabs>
        <w:tab w:val="center" w:pos="4680"/>
        <w:tab w:val="right" w:pos="9360"/>
      </w:tabs>
      <w:spacing w:line="240" w:lineRule="auto"/>
    </w:pPr>
  </w:style>
  <w:style w:type="character" w:customStyle="1" w:styleId="FooterChar">
    <w:name w:val="Footer Char"/>
    <w:basedOn w:val="DefaultParagraphFont"/>
    <w:link w:val="Footer"/>
    <w:uiPriority w:val="99"/>
    <w:rsid w:val="00725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blackrock.com/corporate/about-us/contacts-locations" TargetMode="External"/><Relationship Id="rId21" Type="http://schemas.openxmlformats.org/officeDocument/2006/relationships/hyperlink" Target="http://www.blackrock.com/institutions/en-us/insights/private-markets-outlook" TargetMode="External"/><Relationship Id="rId42" Type="http://schemas.openxmlformats.org/officeDocument/2006/relationships/hyperlink" Target="http://www.nerdwallet.com/m/investing/compare-online-brokers-for-investing?utm_source=goog&amp;utm_medium=cpc&amp;utm_campaign=in_mktg_paid_072023_investing_upper-funnel_broad_mobile&amp;utm_term=invest&amp;utm_content=ta&amp;mktg_hline=19335&amp;mktg_body=2989&amp;mktg_place=kwd-10015640&amp;gclsrc=aw.ds&amp;gad_source=1&amp;gclid=CjwKCAiArKW-BhAzEiwAZhWsICgsw3yNK94Dq8fF6DxNDxY-u9p1Jq_1jC3G6CwTkHPb_Znukhtf9BoCD_QQAvD_BwE" TargetMode="External"/><Relationship Id="rId47" Type="http://schemas.openxmlformats.org/officeDocument/2006/relationships/hyperlink" Target="http://www.ft.com/content/572dbdb5-579e-4f3e-9baf-2a5060892312" TargetMode="External"/><Relationship Id="rId63" Type="http://schemas.openxmlformats.org/officeDocument/2006/relationships/hyperlink" Target="http://csimarket.com/news/blackrock-partners-with-willow-to-empower-nextgen-investors-fueling-growth-in-financial-advisory-services2024-05-02144437" TargetMode="External"/><Relationship Id="rId68" Type="http://schemas.openxmlformats.org/officeDocument/2006/relationships/hyperlink" Target="http://news.microsoft.com/2024/09/17/blackrock-global-infrastructure-partners-microsoft-and-mgx-launch-new-ai-partnership-to-invest-in-data-centers-and-supporting-power-infrastructure/" TargetMode="External"/><Relationship Id="rId2" Type="http://schemas.openxmlformats.org/officeDocument/2006/relationships/styles" Target="styles.xml"/><Relationship Id="rId16" Type="http://schemas.openxmlformats.org/officeDocument/2006/relationships/hyperlink" Target="http://www.ipe.com/news/blackrock-names-new-head-of-sustainable-and-transition-solutions/10128876.article" TargetMode="External"/><Relationship Id="rId29" Type="http://schemas.openxmlformats.org/officeDocument/2006/relationships/hyperlink" Target="http://www.blackrock.com/us/individual/investment-ideas/systematic-investing" TargetMode="External"/><Relationship Id="rId11" Type="http://schemas.openxmlformats.org/officeDocument/2006/relationships/hyperlink" Target="http://finance.yahoo.com/news/blackrock-inc-blk-company-short-050802767.html?guccounter=1&amp;guce_referrer=aHR0cHM6Ly93d3cuZ29vZ2xlLmNvbS8&amp;guce_referrer_sig=AQAAAJsw4fCXV-5avFn-fCvX0aiKq-GpDu8PXIX90hkXqCogCZixYUlDgBygns4OBVZHEmCSTv3yVenAvtl4egdlfMfGftrrhld4hRIjPVBa0ivy4yfundgpVFaEp46tGcctrYV9nPimxWqTxLd_VoT19jaMAG97N0K6qdHoclKV6dMr" TargetMode="External"/><Relationship Id="rId24" Type="http://schemas.openxmlformats.org/officeDocument/2006/relationships/hyperlink" Target="http://www.blackrock.com/us/individual/about-us/about-blackrock" TargetMode="External"/><Relationship Id="rId32" Type="http://schemas.openxmlformats.org/officeDocument/2006/relationships/hyperlink" Target="http://corporatefinanceinstitute.com/resources/wealth-management/management-fees/" TargetMode="External"/><Relationship Id="rId37" Type="http://schemas.openxmlformats.org/officeDocument/2006/relationships/hyperlink" Target="http://roberteccles.com/concentration-in-the-asset-management-industry-implications-for-corporate-engagement/" TargetMode="External"/><Relationship Id="rId40" Type="http://schemas.openxmlformats.org/officeDocument/2006/relationships/hyperlink" Target="http://www.hivelr.com/2024/06/blackrock-blk-pestel-and-macro-environmental-analysis/" TargetMode="External"/><Relationship Id="rId45" Type="http://schemas.openxmlformats.org/officeDocument/2006/relationships/hyperlink" Target="http://ir.rocketcompanies.com/news-and-events/press-releases/press-release-details/2024/Rocket-Companies-Announces-Fourth-Quarter-and-Full-Year-2023-Results/default.aspx" TargetMode="External"/><Relationship Id="rId53" Type="http://schemas.openxmlformats.org/officeDocument/2006/relationships/hyperlink" Target="http://iide.co/case-studies/marketing-strategy-of-blackrock/" TargetMode="External"/><Relationship Id="rId58" Type="http://schemas.openxmlformats.org/officeDocument/2006/relationships/hyperlink" Target="http://www.blackrock.com/corporate/responsibility/environmental-sustainability" TargetMode="External"/><Relationship Id="rId66" Type="http://schemas.openxmlformats.org/officeDocument/2006/relationships/hyperlink" Target="http://finance.yahoo.com/news/microsoft-blackrock-partner-raise-100bn-101510553.html"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blackrock.com/us/individual/products/investment-funds" TargetMode="External"/><Relationship Id="rId19" Type="http://schemas.openxmlformats.org/officeDocument/2006/relationships/hyperlink" Target="http://www.nerdwallet.com/best/investing/brokers-mutual-funds" TargetMode="External"/><Relationship Id="rId14" Type="http://schemas.openxmlformats.org/officeDocument/2006/relationships/hyperlink" Target="http://startuptalky.com/blackrock-business-model/" TargetMode="External"/><Relationship Id="rId22" Type="http://schemas.openxmlformats.org/officeDocument/2006/relationships/hyperlink" Target="http://www.blackrock.com/aladdin/offerings/aladdin-enterprise" TargetMode="External"/><Relationship Id="rId27" Type="http://schemas.openxmlformats.org/officeDocument/2006/relationships/hyperlink" Target="http://www.blackrock.com/corporate/responsibility/environmental-sustainability" TargetMode="External"/><Relationship Id="rId30" Type="http://schemas.openxmlformats.org/officeDocument/2006/relationships/hyperlink" Target="http://www.fiscal.treasury.gov/reports-statements/financial-report/where-we-are-now.html" TargetMode="External"/><Relationship Id="rId35" Type="http://schemas.openxmlformats.org/officeDocument/2006/relationships/hyperlink" Target="http://www.businessofapps.com/data/coinbase-statistics/" TargetMode="External"/><Relationship Id="rId43" Type="http://schemas.openxmlformats.org/officeDocument/2006/relationships/hyperlink" Target="http://www.pbs.org/newshour/economy/consumers-cut-spending-by-most-in-four-years-last-month" TargetMode="External"/><Relationship Id="rId48" Type="http://schemas.openxmlformats.org/officeDocument/2006/relationships/hyperlink" Target="http://www.usbank.com/investing/financial-perspectives/market-news/federal-reserve-interest-rate.html" TargetMode="External"/><Relationship Id="rId56" Type="http://schemas.openxmlformats.org/officeDocument/2006/relationships/hyperlink" Target="http://www.blackrock.com/aladdin/products/aladdin-risk" TargetMode="External"/><Relationship Id="rId64" Type="http://schemas.openxmlformats.org/officeDocument/2006/relationships/hyperlink" Target="http://www.reuters.com/business/finance/blackrock-assets-hit-record-116-trillion-fourth-quarter-2024-2025-01-15/" TargetMode="External"/><Relationship Id="rId69" Type="http://schemas.openxmlformats.org/officeDocument/2006/relationships/hyperlink" Target="http://www.ipe.com/news/blackrock-names-new-head-of-sustainable-and-transition-solutions/10128876.article" TargetMode="External"/><Relationship Id="rId8" Type="http://schemas.openxmlformats.org/officeDocument/2006/relationships/hyperlink" Target="https://www.porteranalysis.com/porter-five5-forces-of-blackrock/" TargetMode="External"/><Relationship Id="rId51" Type="http://schemas.openxmlformats.org/officeDocument/2006/relationships/hyperlink" Target="http://finance.yahoo.com/news/blackrock-microsoft-partner-30-billion-210000467.html" TargetMode="External"/><Relationship Id="rId72" Type="http://schemas.openxmlformats.org/officeDocument/2006/relationships/hyperlink" Target="http://www.janek.com/blog/sales-insights-from-blackrock/" TargetMode="External"/><Relationship Id="rId3" Type="http://schemas.openxmlformats.org/officeDocument/2006/relationships/settings" Target="settings.xml"/><Relationship Id="rId12" Type="http://schemas.openxmlformats.org/officeDocument/2006/relationships/hyperlink" Target="http://www.hivelr.com/2024/06/blackrock-blk-pestel-and-macro-environmental-analysis/" TargetMode="External"/><Relationship Id="rId17" Type="http://schemas.openxmlformats.org/officeDocument/2006/relationships/hyperlink" Target="http://www.essaypandas.com/essay/BlackRock-12857-VRIO-Analysis" TargetMode="External"/><Relationship Id="rId25" Type="http://schemas.openxmlformats.org/officeDocument/2006/relationships/hyperlink" Target="http://www.blackrock.com/uk/solutions/fund-charges" TargetMode="External"/><Relationship Id="rId33" Type="http://schemas.openxmlformats.org/officeDocument/2006/relationships/hyperlink" Target="http://www.aboutschwab.com/investor-relations" TargetMode="External"/><Relationship Id="rId38" Type="http://schemas.openxmlformats.org/officeDocument/2006/relationships/hyperlink" Target="http://fintel.io/i/blackrock" TargetMode="External"/><Relationship Id="rId46" Type="http://schemas.openxmlformats.org/officeDocument/2006/relationships/hyperlink" Target="http://www.climate.gov/news-features/blogs/beyond-data/2023-historic-year-us-billion-dollar-weather-and-climate-disasters" TargetMode="External"/><Relationship Id="rId59" Type="http://schemas.openxmlformats.org/officeDocument/2006/relationships/hyperlink" Target="http://www.blackrock.com/us/individual" TargetMode="External"/><Relationship Id="rId67" Type="http://schemas.openxmlformats.org/officeDocument/2006/relationships/hyperlink" Target="http://www.crews.bank/blog/vanguard-vs.-ishares-by-blackrock" TargetMode="External"/><Relationship Id="rId20" Type="http://schemas.openxmlformats.org/officeDocument/2006/relationships/hyperlink" Target="http://www.unbiased.com/discover/financial-advice/alternatives-to-blackrock" TargetMode="External"/><Relationship Id="rId41" Type="http://schemas.openxmlformats.org/officeDocument/2006/relationships/hyperlink" Target="http://brooklynworks.brooklaw.edu/bjcfcl/vol16/iss1/13/" TargetMode="External"/><Relationship Id="rId54" Type="http://schemas.openxmlformats.org/officeDocument/2006/relationships/hyperlink" Target="http://www.ishares.com/us/about-us" TargetMode="External"/><Relationship Id="rId62" Type="http://schemas.openxmlformats.org/officeDocument/2006/relationships/hyperlink" Target="http://brandfinance.com/press-releases/pif-and-blackrock-crowned-worlds-most-valuable-sovereign-wealth-fund-and-asset-management-brands" TargetMode="External"/><Relationship Id="rId70" Type="http://schemas.openxmlformats.org/officeDocument/2006/relationships/hyperlink" Target="http://thefsforum.co.uk/knowledge-hub/tactic/blackrock-tops-2024-asset-management-brand-ranki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businessmodelanalyst.com/blackrock-business-model/?srsltid=AfmBOope8jaeTR0XIs1PhHeYqF9OPD98JbuMYx-0USY8pyGtqQj_VIpF" TargetMode="External"/><Relationship Id="rId23" Type="http://schemas.openxmlformats.org/officeDocument/2006/relationships/hyperlink" Target="http://www.blackrock.com/corporate/newsroom/press-releases/article/corporate-one/press-releases/blackRock-agrees-to-acquire-global-infrastructure-partners" TargetMode="External"/><Relationship Id="rId28" Type="http://schemas.openxmlformats.org/officeDocument/2006/relationships/hyperlink" Target="http://www.blackrock.com/corporate/literature/whitepaper/geopolitical-risk-dashboard-february-2025.pdf" TargetMode="External"/><Relationship Id="rId36" Type="http://schemas.openxmlformats.org/officeDocument/2006/relationships/hyperlink" Target="http://www.reuters.com/business/finance/blackrock-assets-hit-record-116-trillion-fourth-quarter-2024-2025-01-15/" TargetMode="External"/><Relationship Id="rId49" Type="http://schemas.openxmlformats.org/officeDocument/2006/relationships/hyperlink" Target="http://www.investor.gov/introduction-investing/investing-basics/investment-products" TargetMode="External"/><Relationship Id="rId57" Type="http://schemas.openxmlformats.org/officeDocument/2006/relationships/hyperlink" Target="http://www.blackrock.com/aladdin" TargetMode="External"/><Relationship Id="rId10" Type="http://schemas.openxmlformats.org/officeDocument/2006/relationships/hyperlink" Target="http://www.case48.com/vrio-analysis/12857-BlackRock" TargetMode="External"/><Relationship Id="rId31" Type="http://schemas.openxmlformats.org/officeDocument/2006/relationships/hyperlink" Target="http://www.blackrock.com/us/financial-professionals/insights/tariffs-and-investment-portfolios" TargetMode="External"/><Relationship Id="rId44" Type="http://schemas.openxmlformats.org/officeDocument/2006/relationships/hyperlink" Target="http://www.bls.gov/opub/btn/volume-13/remote-work-productivity.htm" TargetMode="External"/><Relationship Id="rId52" Type="http://schemas.openxmlformats.org/officeDocument/2006/relationships/hyperlink" Target="http://www.businesswire.com/news/home/20241216468500/en/BlackRock-2025-Private-Markets-Outlook-A-New-Era-of-Growth" TargetMode="External"/><Relationship Id="rId60" Type="http://schemas.openxmlformats.org/officeDocument/2006/relationships/hyperlink" Target="http://www.blackrock.com/corporate/about-us/leadership" TargetMode="External"/><Relationship Id="rId65" Type="http://schemas.openxmlformats.org/officeDocument/2006/relationships/hyperlink" Target="http://www.blackrock.com/corporate/investor-relations/larry-fink-annual-chairmans-letter"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say48.com/value-chain-analysis/12857-BlackRock-Value-Chain-Analysis" TargetMode="External"/><Relationship Id="rId13" Type="http://schemas.openxmlformats.org/officeDocument/2006/relationships/hyperlink" Target="http://www.hivelr.com/2023/06/blackrock-blk-porters-five-forces-industry-and-competition-analysis/" TargetMode="External"/><Relationship Id="rId18" Type="http://schemas.openxmlformats.org/officeDocument/2006/relationships/hyperlink" Target="http://finance.yahoo.com/news/blackrock-microsoft-partner-30-billion-210000467.html" TargetMode="External"/><Relationship Id="rId39" Type="http://schemas.openxmlformats.org/officeDocument/2006/relationships/hyperlink" Target="http://www.reuters.com/markets/deals/blackrocks-private-markets-push-may-not-be-over-after-2024-buyout-spree-2024-12-11/" TargetMode="External"/><Relationship Id="rId34" Type="http://schemas.openxmlformats.org/officeDocument/2006/relationships/hyperlink" Target="http://csimarket.com/news/blackrock-partners-with-willow-to-empower-nextgen-investors-fueling-growth-in-financial-advisory-services2024-05-02144437" TargetMode="External"/><Relationship Id="rId50" Type="http://schemas.openxmlformats.org/officeDocument/2006/relationships/hyperlink" Target="http://www.un.org/en/un75/shifting-demographics" TargetMode="External"/><Relationship Id="rId55" Type="http://schemas.openxmlformats.org/officeDocument/2006/relationships/hyperlink" Target="http://s24.q4cdn.com/856567660/files/doc_financials/2024/Q4/BLK-4Q24-Earning-Release.pdf" TargetMode="External"/><Relationship Id="rId7" Type="http://schemas.openxmlformats.org/officeDocument/2006/relationships/image" Target="media/image1.png"/><Relationship Id="rId71" Type="http://schemas.openxmlformats.org/officeDocument/2006/relationships/hyperlink" Target="http://finance.yahoo.com/news/blackrock-global-infrastructure-partners-microsoft-10300046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11328</Words>
  <Characters>64570</Characters>
  <Application>Microsoft Office Word</Application>
  <DocSecurity>0</DocSecurity>
  <Lines>538</Lines>
  <Paragraphs>151</Paragraphs>
  <ScaleCrop>false</ScaleCrop>
  <Company/>
  <LinksUpToDate>false</LinksUpToDate>
  <CharactersWithSpaces>75747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Lambert, Benjamin Thomas</cp:lastModifiedBy>
  <cp:revision>2</cp:revision>
  <dcterms:created xsi:type="dcterms:W3CDTF">2025-05-07T20:07:00Z</dcterms:created>
  <dcterms:modified xsi:type="dcterms:W3CDTF">2025-05-07T20:07:00Z</dcterms:modified>
</cp:coreProperties>
</file>