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08D21" w14:textId="77777777" w:rsidR="00C87787" w:rsidRPr="00872293" w:rsidRDefault="00C87787" w:rsidP="009226AF">
      <w:pPr>
        <w:spacing w:line="360" w:lineRule="auto"/>
        <w:jc w:val="center"/>
        <w:rPr>
          <w:rFonts w:ascii="Times New Roman" w:hAnsi="Times New Roman" w:cs="Times New Roman"/>
          <w:b/>
          <w:bCs/>
          <w:sz w:val="44"/>
          <w:szCs w:val="44"/>
        </w:rPr>
      </w:pPr>
    </w:p>
    <w:p w14:paraId="50A30E6B" w14:textId="230D8483" w:rsidR="00D754DA" w:rsidRPr="00872293" w:rsidRDefault="00823260" w:rsidP="009226AF">
      <w:pPr>
        <w:spacing w:line="360" w:lineRule="auto"/>
        <w:jc w:val="center"/>
        <w:rPr>
          <w:rFonts w:ascii="Times New Roman" w:hAnsi="Times New Roman" w:cs="Times New Roman"/>
          <w:sz w:val="44"/>
          <w:szCs w:val="44"/>
        </w:rPr>
      </w:pPr>
      <w:r w:rsidRPr="00872293">
        <w:rPr>
          <w:rFonts w:ascii="Times New Roman" w:hAnsi="Times New Roman" w:cs="Times New Roman"/>
          <w:sz w:val="44"/>
          <w:szCs w:val="44"/>
        </w:rPr>
        <w:t>The hidden life of tropical roots</w:t>
      </w:r>
      <w:r w:rsidR="00112531" w:rsidRPr="00872293">
        <w:rPr>
          <w:rFonts w:ascii="Times New Roman" w:hAnsi="Times New Roman" w:cs="Times New Roman"/>
          <w:sz w:val="44"/>
          <w:szCs w:val="44"/>
        </w:rPr>
        <w:t xml:space="preserve"> </w:t>
      </w:r>
      <w:r w:rsidR="00C24DA4" w:rsidRPr="00872293">
        <w:rPr>
          <w:rFonts w:ascii="Times New Roman" w:hAnsi="Times New Roman" w:cs="Times New Roman"/>
          <w:sz w:val="44"/>
          <w:szCs w:val="44"/>
        </w:rPr>
        <w:t>in</w:t>
      </w:r>
      <w:r w:rsidR="00112531" w:rsidRPr="00872293">
        <w:rPr>
          <w:rFonts w:ascii="Times New Roman" w:hAnsi="Times New Roman" w:cs="Times New Roman"/>
          <w:sz w:val="44"/>
          <w:szCs w:val="44"/>
        </w:rPr>
        <w:t xml:space="preserve"> Puerto Rico</w:t>
      </w:r>
      <w:r w:rsidR="00DD688D" w:rsidRPr="00872293">
        <w:rPr>
          <w:rFonts w:ascii="Times New Roman" w:hAnsi="Times New Roman" w:cs="Times New Roman"/>
          <w:sz w:val="44"/>
          <w:szCs w:val="44"/>
        </w:rPr>
        <w:t xml:space="preserve">: </w:t>
      </w:r>
      <w:r w:rsidR="006B7415" w:rsidRPr="00872293">
        <w:rPr>
          <w:rFonts w:ascii="Times New Roman" w:hAnsi="Times New Roman" w:cs="Times New Roman"/>
          <w:sz w:val="44"/>
          <w:szCs w:val="44"/>
        </w:rPr>
        <w:t>functional</w:t>
      </w:r>
      <w:r w:rsidR="00DD688D" w:rsidRPr="00872293">
        <w:rPr>
          <w:rFonts w:ascii="Times New Roman" w:hAnsi="Times New Roman" w:cs="Times New Roman"/>
          <w:sz w:val="44"/>
          <w:szCs w:val="44"/>
        </w:rPr>
        <w:t xml:space="preserve"> root traits and their response to climatic disturbances</w:t>
      </w:r>
    </w:p>
    <w:p w14:paraId="1A6CFA23" w14:textId="77777777" w:rsidR="00D02E18" w:rsidRPr="00872293" w:rsidRDefault="00D02E18" w:rsidP="009226AF">
      <w:pPr>
        <w:spacing w:line="360" w:lineRule="auto"/>
        <w:jc w:val="center"/>
        <w:rPr>
          <w:rFonts w:ascii="Times New Roman" w:hAnsi="Times New Roman" w:cs="Times New Roman"/>
        </w:rPr>
      </w:pPr>
    </w:p>
    <w:p w14:paraId="61C4CD55" w14:textId="77777777" w:rsidR="00C87787" w:rsidRPr="00872293" w:rsidRDefault="00C87787" w:rsidP="00440C44">
      <w:pPr>
        <w:spacing w:line="360" w:lineRule="auto"/>
        <w:rPr>
          <w:rFonts w:ascii="Times New Roman" w:hAnsi="Times New Roman" w:cs="Times New Roman"/>
        </w:rPr>
      </w:pPr>
    </w:p>
    <w:p w14:paraId="56060DB2" w14:textId="77777777" w:rsidR="00440C44" w:rsidRPr="00872293" w:rsidRDefault="00440C44" w:rsidP="00440C44">
      <w:pPr>
        <w:spacing w:line="360" w:lineRule="auto"/>
        <w:rPr>
          <w:rFonts w:ascii="Times New Roman" w:hAnsi="Times New Roman" w:cs="Times New Roman"/>
        </w:rPr>
      </w:pPr>
    </w:p>
    <w:p w14:paraId="41483B02" w14:textId="77777777" w:rsidR="00823260" w:rsidRPr="00872293" w:rsidRDefault="00823260" w:rsidP="009226AF">
      <w:pPr>
        <w:spacing w:line="360" w:lineRule="auto"/>
        <w:jc w:val="center"/>
        <w:rPr>
          <w:rFonts w:ascii="Times New Roman" w:hAnsi="Times New Roman" w:cs="Times New Roman"/>
        </w:rPr>
      </w:pPr>
    </w:p>
    <w:p w14:paraId="0B0C914C" w14:textId="77777777" w:rsidR="00440C44" w:rsidRPr="00872293" w:rsidRDefault="00440C44" w:rsidP="009226AF">
      <w:pPr>
        <w:spacing w:line="360" w:lineRule="auto"/>
        <w:jc w:val="center"/>
        <w:rPr>
          <w:rFonts w:ascii="Times New Roman" w:hAnsi="Times New Roman" w:cs="Times New Roman"/>
        </w:rPr>
      </w:pPr>
    </w:p>
    <w:p w14:paraId="7C2ED4B7" w14:textId="77777777" w:rsidR="00C87787" w:rsidRPr="00872293" w:rsidRDefault="00C87787" w:rsidP="009226AF">
      <w:pPr>
        <w:spacing w:line="360" w:lineRule="auto"/>
        <w:jc w:val="center"/>
        <w:rPr>
          <w:rFonts w:ascii="Times New Roman" w:hAnsi="Times New Roman" w:cs="Times New Roman"/>
        </w:rPr>
      </w:pPr>
    </w:p>
    <w:p w14:paraId="2BA374F5" w14:textId="77777777" w:rsidR="00C87787" w:rsidRPr="00872293" w:rsidRDefault="00C87787" w:rsidP="009226AF">
      <w:pPr>
        <w:spacing w:line="360" w:lineRule="auto"/>
        <w:jc w:val="center"/>
        <w:rPr>
          <w:rFonts w:ascii="Times New Roman" w:hAnsi="Times New Roman" w:cs="Times New Roman"/>
        </w:rPr>
      </w:pPr>
    </w:p>
    <w:p w14:paraId="38CA93E0" w14:textId="77777777" w:rsidR="00D02E18" w:rsidRPr="00872293" w:rsidRDefault="00D02E18" w:rsidP="00825CD6">
      <w:pPr>
        <w:spacing w:line="360" w:lineRule="auto"/>
        <w:jc w:val="center"/>
        <w:rPr>
          <w:rFonts w:ascii="Times New Roman" w:hAnsi="Times New Roman" w:cs="Times New Roman"/>
          <w:sz w:val="36"/>
          <w:szCs w:val="36"/>
        </w:rPr>
      </w:pPr>
      <w:r w:rsidRPr="00872293">
        <w:rPr>
          <w:rFonts w:ascii="Times New Roman" w:hAnsi="Times New Roman" w:cs="Times New Roman"/>
          <w:sz w:val="36"/>
          <w:szCs w:val="36"/>
        </w:rPr>
        <w:t xml:space="preserve">A </w:t>
      </w:r>
      <w:r w:rsidR="009226AF" w:rsidRPr="00872293">
        <w:rPr>
          <w:rFonts w:ascii="Times New Roman" w:hAnsi="Times New Roman" w:cs="Times New Roman"/>
          <w:sz w:val="36"/>
          <w:szCs w:val="36"/>
        </w:rPr>
        <w:t>Dissertation</w:t>
      </w:r>
      <w:r w:rsidRPr="00872293">
        <w:rPr>
          <w:rFonts w:ascii="Times New Roman" w:hAnsi="Times New Roman" w:cs="Times New Roman"/>
          <w:sz w:val="36"/>
          <w:szCs w:val="36"/>
        </w:rPr>
        <w:t xml:space="preserve"> Presented for the</w:t>
      </w:r>
    </w:p>
    <w:p w14:paraId="4E97CD0B" w14:textId="77777777" w:rsidR="009226AF" w:rsidRPr="00872293" w:rsidRDefault="00D02E18" w:rsidP="00825CD6">
      <w:pPr>
        <w:spacing w:line="360" w:lineRule="auto"/>
        <w:jc w:val="center"/>
        <w:rPr>
          <w:rFonts w:ascii="Times New Roman" w:hAnsi="Times New Roman" w:cs="Times New Roman"/>
          <w:sz w:val="36"/>
          <w:szCs w:val="36"/>
        </w:rPr>
      </w:pPr>
      <w:r w:rsidRPr="00872293">
        <w:rPr>
          <w:rFonts w:ascii="Times New Roman" w:hAnsi="Times New Roman" w:cs="Times New Roman"/>
          <w:sz w:val="36"/>
          <w:szCs w:val="36"/>
        </w:rPr>
        <w:t>Doctor of Philosophy</w:t>
      </w:r>
    </w:p>
    <w:p w14:paraId="30A20294" w14:textId="77777777" w:rsidR="00D02E18" w:rsidRPr="00872293" w:rsidRDefault="00D02E18" w:rsidP="00825CD6">
      <w:pPr>
        <w:spacing w:line="360" w:lineRule="auto"/>
        <w:jc w:val="center"/>
        <w:rPr>
          <w:rFonts w:ascii="Times New Roman" w:hAnsi="Times New Roman" w:cs="Times New Roman"/>
          <w:sz w:val="36"/>
          <w:szCs w:val="36"/>
        </w:rPr>
      </w:pPr>
      <w:r w:rsidRPr="00872293">
        <w:rPr>
          <w:rFonts w:ascii="Times New Roman" w:hAnsi="Times New Roman" w:cs="Times New Roman"/>
          <w:sz w:val="36"/>
          <w:szCs w:val="36"/>
        </w:rPr>
        <w:t>Degree</w:t>
      </w:r>
    </w:p>
    <w:p w14:paraId="5249AA9A" w14:textId="77777777" w:rsidR="00D02E18" w:rsidRPr="00872293" w:rsidRDefault="00D02E18" w:rsidP="00825CD6">
      <w:pPr>
        <w:spacing w:line="360" w:lineRule="auto"/>
        <w:jc w:val="center"/>
        <w:rPr>
          <w:rFonts w:ascii="Times New Roman" w:hAnsi="Times New Roman" w:cs="Times New Roman"/>
          <w:sz w:val="36"/>
          <w:szCs w:val="36"/>
        </w:rPr>
      </w:pPr>
      <w:r w:rsidRPr="00872293">
        <w:rPr>
          <w:rFonts w:ascii="Times New Roman" w:hAnsi="Times New Roman" w:cs="Times New Roman"/>
          <w:sz w:val="36"/>
          <w:szCs w:val="36"/>
        </w:rPr>
        <w:t>The University of Tennessee, Knoxville</w:t>
      </w:r>
    </w:p>
    <w:p w14:paraId="6F22B0AE" w14:textId="77777777" w:rsidR="00D02E18" w:rsidRPr="00872293" w:rsidRDefault="00D02E18" w:rsidP="009226AF">
      <w:pPr>
        <w:spacing w:line="360" w:lineRule="auto"/>
        <w:jc w:val="center"/>
        <w:rPr>
          <w:rFonts w:ascii="Times New Roman" w:hAnsi="Times New Roman" w:cs="Times New Roman"/>
        </w:rPr>
      </w:pPr>
    </w:p>
    <w:p w14:paraId="20E10224" w14:textId="1B904B7D" w:rsidR="00823260" w:rsidRDefault="00823260" w:rsidP="009226AF">
      <w:pPr>
        <w:spacing w:line="360" w:lineRule="auto"/>
        <w:jc w:val="center"/>
        <w:rPr>
          <w:rFonts w:ascii="Times New Roman" w:hAnsi="Times New Roman" w:cs="Times New Roman"/>
        </w:rPr>
      </w:pPr>
    </w:p>
    <w:p w14:paraId="09ACB169" w14:textId="77777777" w:rsidR="008E457A" w:rsidRPr="00872293" w:rsidRDefault="008E457A" w:rsidP="009226AF">
      <w:pPr>
        <w:spacing w:line="360" w:lineRule="auto"/>
        <w:jc w:val="center"/>
        <w:rPr>
          <w:rFonts w:ascii="Times New Roman" w:hAnsi="Times New Roman" w:cs="Times New Roman"/>
        </w:rPr>
      </w:pPr>
    </w:p>
    <w:p w14:paraId="731BED86" w14:textId="77777777" w:rsidR="00823260" w:rsidRPr="00872293" w:rsidRDefault="00823260" w:rsidP="00440C44">
      <w:pPr>
        <w:spacing w:line="360" w:lineRule="auto"/>
        <w:rPr>
          <w:rFonts w:ascii="Times New Roman" w:hAnsi="Times New Roman" w:cs="Times New Roman"/>
        </w:rPr>
      </w:pPr>
    </w:p>
    <w:p w14:paraId="117434B4" w14:textId="77777777" w:rsidR="00823260" w:rsidRPr="00872293" w:rsidRDefault="00823260" w:rsidP="009226AF">
      <w:pPr>
        <w:spacing w:line="360" w:lineRule="auto"/>
        <w:jc w:val="center"/>
        <w:rPr>
          <w:rFonts w:ascii="Times New Roman" w:hAnsi="Times New Roman" w:cs="Times New Roman"/>
        </w:rPr>
      </w:pPr>
    </w:p>
    <w:p w14:paraId="32169D28" w14:textId="03A745C7" w:rsidR="009226AF" w:rsidRPr="0086661E" w:rsidRDefault="00D02E18" w:rsidP="00825CD6">
      <w:pPr>
        <w:spacing w:line="360" w:lineRule="auto"/>
        <w:jc w:val="center"/>
        <w:rPr>
          <w:rFonts w:ascii="Times New Roman" w:hAnsi="Times New Roman" w:cs="Times New Roman"/>
          <w:sz w:val="36"/>
          <w:szCs w:val="36"/>
        </w:rPr>
      </w:pPr>
      <w:r w:rsidRPr="0086661E">
        <w:rPr>
          <w:rFonts w:ascii="Times New Roman" w:hAnsi="Times New Roman" w:cs="Times New Roman"/>
          <w:sz w:val="36"/>
          <w:szCs w:val="36"/>
        </w:rPr>
        <w:t>Daniela Yaffar</w:t>
      </w:r>
    </w:p>
    <w:p w14:paraId="2897D11D" w14:textId="77777777" w:rsidR="00D02E18" w:rsidRPr="0086661E" w:rsidRDefault="009226AF" w:rsidP="00825CD6">
      <w:pPr>
        <w:spacing w:line="360" w:lineRule="auto"/>
        <w:jc w:val="center"/>
        <w:rPr>
          <w:rFonts w:ascii="Times New Roman" w:hAnsi="Times New Roman" w:cs="Times New Roman"/>
          <w:sz w:val="36"/>
          <w:szCs w:val="36"/>
        </w:rPr>
      </w:pPr>
      <w:r w:rsidRPr="0086661E">
        <w:rPr>
          <w:rFonts w:ascii="Times New Roman" w:hAnsi="Times New Roman" w:cs="Times New Roman"/>
          <w:sz w:val="36"/>
          <w:szCs w:val="36"/>
        </w:rPr>
        <w:t>D</w:t>
      </w:r>
      <w:r w:rsidR="000F37C3" w:rsidRPr="0086661E">
        <w:rPr>
          <w:rFonts w:ascii="Times New Roman" w:hAnsi="Times New Roman" w:cs="Times New Roman"/>
          <w:sz w:val="36"/>
          <w:szCs w:val="36"/>
        </w:rPr>
        <w:t>e</w:t>
      </w:r>
      <w:r w:rsidRPr="0086661E">
        <w:rPr>
          <w:rFonts w:ascii="Times New Roman" w:hAnsi="Times New Roman" w:cs="Times New Roman"/>
          <w:sz w:val="36"/>
          <w:szCs w:val="36"/>
        </w:rPr>
        <w:t>cember</w:t>
      </w:r>
      <w:r w:rsidR="00823260" w:rsidRPr="0086661E">
        <w:rPr>
          <w:rFonts w:ascii="Times New Roman" w:hAnsi="Times New Roman" w:cs="Times New Roman"/>
          <w:sz w:val="36"/>
          <w:szCs w:val="36"/>
        </w:rPr>
        <w:t xml:space="preserve"> </w:t>
      </w:r>
      <w:r w:rsidR="00D02E18" w:rsidRPr="0086661E">
        <w:rPr>
          <w:rFonts w:ascii="Times New Roman" w:hAnsi="Times New Roman" w:cs="Times New Roman"/>
          <w:sz w:val="36"/>
          <w:szCs w:val="36"/>
        </w:rPr>
        <w:t>2020</w:t>
      </w:r>
    </w:p>
    <w:p w14:paraId="633E073F" w14:textId="77777777" w:rsidR="00440C44" w:rsidRPr="0086661E" w:rsidRDefault="00440C44" w:rsidP="003C456F">
      <w:pPr>
        <w:spacing w:line="360" w:lineRule="auto"/>
        <w:rPr>
          <w:rFonts w:ascii="Times New Roman" w:hAnsi="Times New Roman" w:cs="Times New Roman"/>
          <w:b/>
          <w:bCs/>
        </w:rPr>
      </w:pPr>
    </w:p>
    <w:p w14:paraId="5DA8E130" w14:textId="77777777" w:rsidR="00047141" w:rsidRPr="0086661E" w:rsidRDefault="00047141" w:rsidP="00E45D05">
      <w:pPr>
        <w:tabs>
          <w:tab w:val="left" w:pos="360"/>
          <w:tab w:val="left" w:pos="720"/>
          <w:tab w:val="left" w:pos="1080"/>
          <w:tab w:val="left" w:pos="1440"/>
          <w:tab w:val="left" w:pos="1800"/>
          <w:tab w:val="left" w:pos="2160"/>
          <w:tab w:val="left" w:pos="2880"/>
          <w:tab w:val="left" w:pos="3600"/>
          <w:tab w:val="left" w:pos="4320"/>
        </w:tabs>
        <w:spacing w:line="264" w:lineRule="auto"/>
        <w:ind w:firstLine="360"/>
        <w:jc w:val="center"/>
        <w:rPr>
          <w:rFonts w:ascii="Times New Roman" w:eastAsia="Palatino-Roman" w:hAnsi="Times New Roman" w:cs="Times New Roman"/>
          <w:sz w:val="36"/>
        </w:rPr>
      </w:pPr>
    </w:p>
    <w:p w14:paraId="0509F730" w14:textId="77777777" w:rsidR="00047141" w:rsidRPr="0086661E" w:rsidRDefault="00047141" w:rsidP="00E6733C">
      <w:pPr>
        <w:tabs>
          <w:tab w:val="left" w:pos="360"/>
          <w:tab w:val="left" w:pos="720"/>
          <w:tab w:val="left" w:pos="1080"/>
          <w:tab w:val="left" w:pos="1440"/>
          <w:tab w:val="left" w:pos="1800"/>
          <w:tab w:val="left" w:pos="2160"/>
          <w:tab w:val="left" w:pos="2880"/>
          <w:tab w:val="left" w:pos="3600"/>
          <w:tab w:val="left" w:pos="4320"/>
        </w:tabs>
        <w:spacing w:line="264" w:lineRule="auto"/>
        <w:rPr>
          <w:rFonts w:ascii="Times New Roman" w:eastAsia="Palatino-Roman" w:hAnsi="Times New Roman" w:cs="Times New Roman"/>
          <w:sz w:val="36"/>
        </w:rPr>
      </w:pPr>
    </w:p>
    <w:p w14:paraId="6A5CA741" w14:textId="77777777" w:rsidR="00047141" w:rsidRPr="0086661E" w:rsidRDefault="00047141" w:rsidP="00E6733C">
      <w:pPr>
        <w:tabs>
          <w:tab w:val="left" w:pos="360"/>
          <w:tab w:val="left" w:pos="720"/>
          <w:tab w:val="left" w:pos="1080"/>
          <w:tab w:val="left" w:pos="1440"/>
          <w:tab w:val="left" w:pos="1800"/>
          <w:tab w:val="left" w:pos="2160"/>
          <w:tab w:val="left" w:pos="2880"/>
          <w:tab w:val="left" w:pos="3600"/>
          <w:tab w:val="left" w:pos="4320"/>
        </w:tabs>
        <w:spacing w:line="264" w:lineRule="auto"/>
        <w:ind w:firstLine="360"/>
        <w:rPr>
          <w:rFonts w:ascii="Times New Roman" w:eastAsia="Palatino-Roman" w:hAnsi="Times New Roman" w:cs="Times New Roman"/>
          <w:sz w:val="36"/>
        </w:rPr>
      </w:pPr>
    </w:p>
    <w:p w14:paraId="7F895901" w14:textId="77777777" w:rsidR="00047141" w:rsidRPr="0086661E" w:rsidRDefault="00047141" w:rsidP="00E45D05">
      <w:pPr>
        <w:tabs>
          <w:tab w:val="left" w:pos="360"/>
          <w:tab w:val="left" w:pos="720"/>
          <w:tab w:val="left" w:pos="1080"/>
          <w:tab w:val="left" w:pos="1440"/>
          <w:tab w:val="left" w:pos="1800"/>
          <w:tab w:val="left" w:pos="2160"/>
          <w:tab w:val="left" w:pos="2880"/>
          <w:tab w:val="left" w:pos="3600"/>
          <w:tab w:val="left" w:pos="4320"/>
        </w:tabs>
        <w:spacing w:line="264" w:lineRule="auto"/>
        <w:ind w:firstLine="360"/>
        <w:jc w:val="center"/>
        <w:rPr>
          <w:rFonts w:ascii="Times New Roman" w:eastAsia="Palatino-Roman" w:hAnsi="Times New Roman" w:cs="Times New Roman"/>
          <w:sz w:val="36"/>
        </w:rPr>
      </w:pPr>
    </w:p>
    <w:p w14:paraId="532866E2" w14:textId="77777777" w:rsidR="00E45D05" w:rsidRPr="00872293" w:rsidRDefault="00E45D05" w:rsidP="00E45D05">
      <w:pPr>
        <w:tabs>
          <w:tab w:val="left" w:pos="360"/>
          <w:tab w:val="left" w:pos="720"/>
          <w:tab w:val="left" w:pos="1080"/>
          <w:tab w:val="left" w:pos="1440"/>
          <w:tab w:val="left" w:pos="1800"/>
          <w:tab w:val="left" w:pos="2160"/>
          <w:tab w:val="left" w:pos="2880"/>
          <w:tab w:val="left" w:pos="3600"/>
          <w:tab w:val="left" w:pos="4320"/>
        </w:tabs>
        <w:spacing w:line="264" w:lineRule="auto"/>
        <w:ind w:firstLine="360"/>
        <w:jc w:val="center"/>
        <w:rPr>
          <w:rFonts w:ascii="Times New Roman" w:eastAsia="Palatino-Roman" w:hAnsi="Times New Roman" w:cs="Times New Roman"/>
          <w:sz w:val="36"/>
        </w:rPr>
      </w:pPr>
      <w:r w:rsidRPr="00872293">
        <w:rPr>
          <w:rFonts w:ascii="Times New Roman" w:eastAsia="Palatino-Roman" w:hAnsi="Times New Roman" w:cs="Times New Roman"/>
          <w:sz w:val="36"/>
        </w:rPr>
        <w:t xml:space="preserve">Copyright © 2020 by </w:t>
      </w:r>
      <w:r w:rsidR="00047141" w:rsidRPr="00872293">
        <w:rPr>
          <w:rFonts w:ascii="Times New Roman" w:eastAsia="Palatino-Roman" w:hAnsi="Times New Roman" w:cs="Times New Roman"/>
          <w:sz w:val="36"/>
        </w:rPr>
        <w:t>Daniela Yaffar</w:t>
      </w:r>
    </w:p>
    <w:p w14:paraId="46E812D0" w14:textId="77777777" w:rsidR="00C354DC" w:rsidRPr="00872293" w:rsidRDefault="00E45D05" w:rsidP="00E45D05">
      <w:pPr>
        <w:spacing w:line="360" w:lineRule="auto"/>
        <w:jc w:val="center"/>
        <w:rPr>
          <w:rFonts w:ascii="Times New Roman" w:eastAsia="Palatino-Roman" w:hAnsi="Times New Roman" w:cs="Times New Roman"/>
          <w:sz w:val="36"/>
        </w:rPr>
      </w:pPr>
      <w:r w:rsidRPr="00872293">
        <w:rPr>
          <w:rFonts w:ascii="Times New Roman" w:eastAsia="Palatino-Roman" w:hAnsi="Times New Roman" w:cs="Times New Roman"/>
          <w:sz w:val="36"/>
        </w:rPr>
        <w:t xml:space="preserve">All rights reserved. </w:t>
      </w:r>
    </w:p>
    <w:p w14:paraId="718EFD24" w14:textId="77777777" w:rsidR="00C354DC" w:rsidRPr="00872293" w:rsidRDefault="00C354DC" w:rsidP="00E45D05">
      <w:pPr>
        <w:spacing w:line="360" w:lineRule="auto"/>
        <w:jc w:val="center"/>
        <w:rPr>
          <w:rFonts w:ascii="Times New Roman" w:eastAsia="Palatino-Roman" w:hAnsi="Times New Roman" w:cs="Times New Roman"/>
          <w:sz w:val="36"/>
        </w:rPr>
      </w:pPr>
    </w:p>
    <w:p w14:paraId="33585F59" w14:textId="77777777" w:rsidR="00C354DC" w:rsidRPr="00872293" w:rsidRDefault="00C354DC">
      <w:pPr>
        <w:rPr>
          <w:rFonts w:ascii="TimesNewRomanPSMT" w:eastAsia="TimesNewRomanPSMT" w:hAnsi="Times-Roman" w:cs="TimesNewRomanPSMT"/>
          <w:b/>
          <w:bCs/>
          <w:sz w:val="36"/>
        </w:rPr>
      </w:pPr>
      <w:bookmarkStart w:id="0" w:name="iii_Dedication"/>
      <w:r w:rsidRPr="00872293">
        <w:rPr>
          <w:rFonts w:ascii="TimesNewRomanPSMT" w:eastAsia="TimesNewRomanPSMT" w:hAnsi="Times-Roman" w:cs="TimesNewRomanPSMT"/>
          <w:b/>
          <w:bCs/>
          <w:sz w:val="36"/>
        </w:rPr>
        <w:br w:type="page"/>
      </w:r>
    </w:p>
    <w:p w14:paraId="0BE9CED5" w14:textId="177E16A0" w:rsidR="00C354DC" w:rsidRPr="00872293" w:rsidRDefault="00C354DC" w:rsidP="00D110C9">
      <w:pPr>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NewRomanPSMT" w:eastAsia="TimesNewRomanPSMT" w:hAnsi="Times-Roman" w:cs="TimesNewRomanPSMT"/>
          <w:b/>
          <w:bCs/>
          <w:sz w:val="36"/>
        </w:rPr>
      </w:pPr>
      <w:r w:rsidRPr="00872293">
        <w:rPr>
          <w:rFonts w:ascii="TimesNewRomanPSMT" w:eastAsia="TimesNewRomanPSMT" w:hAnsi="Times-Roman" w:cs="TimesNewRomanPSMT"/>
          <w:b/>
          <w:bCs/>
          <w:sz w:val="36"/>
        </w:rPr>
        <w:lastRenderedPageBreak/>
        <w:t>Dedication</w:t>
      </w:r>
      <w:bookmarkEnd w:id="0"/>
    </w:p>
    <w:p w14:paraId="23B079CD" w14:textId="77777777" w:rsidR="00C354DC" w:rsidRPr="00872293" w:rsidRDefault="00C354DC" w:rsidP="00C354DC">
      <w:pPr>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NewRomanPSMT" w:eastAsia="TimesNewRomanPSMT" w:hAnsi="Times-Roman" w:cs="TimesNewRomanPSMT"/>
        </w:rPr>
      </w:pPr>
    </w:p>
    <w:p w14:paraId="23108945" w14:textId="77777777" w:rsidR="00524385" w:rsidRPr="00872293" w:rsidRDefault="00524385" w:rsidP="00524385">
      <w:pPr>
        <w:spacing w:line="360" w:lineRule="auto"/>
        <w:jc w:val="center"/>
        <w:rPr>
          <w:rFonts w:ascii="TimesNewRomanPSMT" w:eastAsia="TimesNewRomanPSMT" w:hAnsi="Times-Roman" w:cs="TimesNewRomanPSMT"/>
          <w:sz w:val="32"/>
          <w:szCs w:val="32"/>
        </w:rPr>
      </w:pPr>
      <w:r w:rsidRPr="00872293">
        <w:rPr>
          <w:rFonts w:ascii="TimesNewRomanPSMT" w:eastAsia="TimesNewRomanPSMT" w:hAnsi="Times-Roman" w:cs="TimesNewRomanPSMT"/>
          <w:sz w:val="32"/>
          <w:szCs w:val="32"/>
        </w:rPr>
        <w:t xml:space="preserve">To my husband, Benjamin </w:t>
      </w:r>
      <w:proofErr w:type="spellStart"/>
      <w:r w:rsidRPr="00872293">
        <w:rPr>
          <w:rFonts w:ascii="TimesNewRomanPSMT" w:eastAsia="TimesNewRomanPSMT" w:hAnsi="Times-Roman" w:cs="TimesNewRomanPSMT"/>
          <w:sz w:val="32"/>
          <w:szCs w:val="32"/>
        </w:rPr>
        <w:t>Branoff</w:t>
      </w:r>
      <w:proofErr w:type="spellEnd"/>
      <w:r w:rsidRPr="00872293">
        <w:rPr>
          <w:rFonts w:ascii="TimesNewRomanPSMT" w:eastAsia="TimesNewRomanPSMT" w:hAnsi="Times-Roman" w:cs="TimesNewRomanPSMT"/>
          <w:sz w:val="32"/>
          <w:szCs w:val="32"/>
        </w:rPr>
        <w:t>, who helps me to be a better scientist, a better friend, and a better person every day.</w:t>
      </w:r>
    </w:p>
    <w:p w14:paraId="4C6EE74B" w14:textId="77777777" w:rsidR="00524385" w:rsidRPr="00872293" w:rsidRDefault="00524385" w:rsidP="00524385">
      <w:pPr>
        <w:spacing w:line="360" w:lineRule="auto"/>
        <w:jc w:val="center"/>
        <w:rPr>
          <w:rFonts w:ascii="TimesNewRomanPSMT" w:eastAsia="TimesNewRomanPSMT" w:hAnsi="Times-Roman" w:cs="TimesNewRomanPSMT"/>
          <w:sz w:val="32"/>
          <w:szCs w:val="32"/>
        </w:rPr>
      </w:pPr>
    </w:p>
    <w:p w14:paraId="55AC102C" w14:textId="7653C6FF" w:rsidR="00524385" w:rsidRPr="00872293" w:rsidRDefault="00524385" w:rsidP="00524385">
      <w:pPr>
        <w:spacing w:line="360" w:lineRule="auto"/>
        <w:jc w:val="center"/>
        <w:rPr>
          <w:rFonts w:ascii="TimesNewRomanPSMT" w:eastAsia="TimesNewRomanPSMT" w:hAnsi="Times-Roman" w:cs="TimesNewRomanPSMT"/>
          <w:sz w:val="32"/>
          <w:szCs w:val="32"/>
        </w:rPr>
      </w:pPr>
      <w:r w:rsidRPr="00872293">
        <w:rPr>
          <w:rFonts w:ascii="TimesNewRomanPSMT" w:eastAsia="TimesNewRomanPSMT" w:hAnsi="Times-Roman" w:cs="TimesNewRomanPSMT"/>
          <w:sz w:val="32"/>
          <w:szCs w:val="32"/>
        </w:rPr>
        <w:t xml:space="preserve">To my family, that believed in me and supported my idea of living abroad so I could reach my professional </w:t>
      </w:r>
      <w:r w:rsidR="00D110C9" w:rsidRPr="00872293">
        <w:rPr>
          <w:rFonts w:ascii="TimesNewRomanPSMT" w:eastAsia="TimesNewRomanPSMT" w:hAnsi="Times-Roman" w:cs="TimesNewRomanPSMT"/>
          <w:sz w:val="32"/>
          <w:szCs w:val="32"/>
        </w:rPr>
        <w:t>goals</w:t>
      </w:r>
      <w:r w:rsidRPr="00872293">
        <w:rPr>
          <w:rFonts w:ascii="TimesNewRomanPSMT" w:eastAsia="TimesNewRomanPSMT" w:hAnsi="Times-Roman" w:cs="TimesNewRomanPSMT"/>
          <w:sz w:val="32"/>
          <w:szCs w:val="32"/>
        </w:rPr>
        <w:t>.</w:t>
      </w:r>
    </w:p>
    <w:p w14:paraId="44F53F5A" w14:textId="77777777" w:rsidR="00524385" w:rsidRPr="00872293" w:rsidRDefault="00524385" w:rsidP="00524385">
      <w:pPr>
        <w:spacing w:line="360" w:lineRule="auto"/>
        <w:jc w:val="center"/>
        <w:rPr>
          <w:rFonts w:ascii="TimesNewRomanPSMT" w:eastAsia="TimesNewRomanPSMT" w:hAnsi="Times-Roman" w:cs="TimesNewRomanPSMT"/>
          <w:sz w:val="32"/>
          <w:szCs w:val="32"/>
        </w:rPr>
      </w:pPr>
    </w:p>
    <w:p w14:paraId="10575C27" w14:textId="5BB24676" w:rsidR="00524385" w:rsidRPr="00872293" w:rsidRDefault="00524385" w:rsidP="00524385">
      <w:pPr>
        <w:spacing w:line="360" w:lineRule="auto"/>
        <w:jc w:val="center"/>
        <w:rPr>
          <w:rFonts w:ascii="Times New Roman" w:eastAsia="TimesNewRomanPSMT" w:hAnsi="Times New Roman" w:cs="Times New Roman"/>
          <w:sz w:val="32"/>
          <w:szCs w:val="32"/>
        </w:rPr>
      </w:pPr>
      <w:r w:rsidRPr="00872293">
        <w:rPr>
          <w:rFonts w:ascii="Times New Roman" w:eastAsia="TimesNewRomanPSMT" w:hAnsi="Times New Roman" w:cs="Times New Roman"/>
          <w:sz w:val="32"/>
          <w:szCs w:val="32"/>
        </w:rPr>
        <w:t xml:space="preserve">To my advisor, Richard Norby, whose example as a person and a scientist, and his patience as an advisor </w:t>
      </w:r>
      <w:r w:rsidR="00871E95" w:rsidRPr="00872293">
        <w:rPr>
          <w:rFonts w:ascii="Times New Roman" w:hAnsi="Times New Roman" w:cs="Times New Roman"/>
          <w:sz w:val="32"/>
          <w:szCs w:val="32"/>
        </w:rPr>
        <w:t>helped me to develop and improve my scien</w:t>
      </w:r>
      <w:r w:rsidR="00AC55FE">
        <w:rPr>
          <w:rFonts w:ascii="Times New Roman" w:hAnsi="Times New Roman" w:cs="Times New Roman"/>
          <w:sz w:val="32"/>
          <w:szCs w:val="32"/>
        </w:rPr>
        <w:t>tific</w:t>
      </w:r>
      <w:r w:rsidR="00871E95" w:rsidRPr="00872293">
        <w:rPr>
          <w:rFonts w:ascii="Times New Roman" w:hAnsi="Times New Roman" w:cs="Times New Roman"/>
          <w:sz w:val="32"/>
          <w:szCs w:val="32"/>
        </w:rPr>
        <w:t xml:space="preserve"> research.</w:t>
      </w:r>
    </w:p>
    <w:p w14:paraId="443D7EB2" w14:textId="77777777" w:rsidR="00C354DC" w:rsidRPr="00872293" w:rsidRDefault="00C354DC" w:rsidP="00C354DC">
      <w:pPr>
        <w:tabs>
          <w:tab w:val="left" w:pos="360"/>
          <w:tab w:val="left" w:pos="720"/>
          <w:tab w:val="left" w:pos="1080"/>
          <w:tab w:val="left" w:pos="1440"/>
          <w:tab w:val="left" w:pos="1800"/>
          <w:tab w:val="left" w:pos="2160"/>
          <w:tab w:val="left" w:pos="2880"/>
          <w:tab w:val="left" w:pos="3600"/>
          <w:tab w:val="left" w:pos="4320"/>
        </w:tabs>
        <w:spacing w:line="360" w:lineRule="auto"/>
        <w:rPr>
          <w:rFonts w:ascii="TimesNewRomanPSMT" w:eastAsia="TimesNewRomanPSMT" w:hAnsi="Times-Roman" w:cs="TimesNewRomanPSMT"/>
        </w:rPr>
      </w:pPr>
    </w:p>
    <w:p w14:paraId="0632489C" w14:textId="77777777" w:rsidR="00C354DC" w:rsidRPr="00872293" w:rsidRDefault="00C354DC" w:rsidP="00C354DC">
      <w:pPr>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NewRomanPSMT" w:eastAsia="TimesNewRomanPSMT" w:hAnsi="Times-Roman" w:cs="TimesNewRomanPSMT"/>
        </w:rPr>
      </w:pPr>
    </w:p>
    <w:p w14:paraId="4FFFDF1E" w14:textId="43A57AB7" w:rsidR="006B3D17" w:rsidRPr="00872293" w:rsidRDefault="006B3D17" w:rsidP="00E45D05">
      <w:pPr>
        <w:spacing w:line="360" w:lineRule="auto"/>
        <w:jc w:val="center"/>
        <w:rPr>
          <w:rFonts w:ascii="Times New Roman" w:hAnsi="Times New Roman" w:cs="Times New Roman"/>
        </w:rPr>
      </w:pPr>
      <w:r w:rsidRPr="00872293">
        <w:rPr>
          <w:rFonts w:ascii="Times New Roman" w:hAnsi="Times New Roman" w:cs="Times New Roman"/>
        </w:rPr>
        <w:br w:type="page"/>
      </w:r>
    </w:p>
    <w:p w14:paraId="261F54C5" w14:textId="4159827F" w:rsidR="00D754DA" w:rsidRPr="00872293" w:rsidRDefault="00AE7438" w:rsidP="00434E5C">
      <w:pPr>
        <w:spacing w:line="360" w:lineRule="auto"/>
        <w:jc w:val="center"/>
        <w:rPr>
          <w:rFonts w:ascii="Times New Roman" w:hAnsi="Times New Roman" w:cs="Times New Roman"/>
          <w:b/>
          <w:bCs/>
          <w:sz w:val="36"/>
          <w:szCs w:val="36"/>
        </w:rPr>
      </w:pPr>
      <w:r w:rsidRPr="00872293">
        <w:rPr>
          <w:rFonts w:ascii="Times New Roman" w:hAnsi="Times New Roman" w:cs="Times New Roman"/>
          <w:b/>
          <w:bCs/>
          <w:sz w:val="36"/>
          <w:szCs w:val="36"/>
        </w:rPr>
        <w:lastRenderedPageBreak/>
        <w:t xml:space="preserve">Acknowledgments </w:t>
      </w:r>
    </w:p>
    <w:p w14:paraId="4EE7A584" w14:textId="77777777" w:rsidR="00434E5C" w:rsidRPr="00872293" w:rsidRDefault="00434E5C" w:rsidP="003C456F">
      <w:pPr>
        <w:spacing w:line="360" w:lineRule="auto"/>
        <w:rPr>
          <w:rFonts w:ascii="Times New Roman" w:hAnsi="Times New Roman" w:cs="Times New Roman"/>
          <w:b/>
          <w:bCs/>
        </w:rPr>
      </w:pPr>
    </w:p>
    <w:p w14:paraId="230EE93A" w14:textId="05C26AE3" w:rsidR="004D3366" w:rsidRPr="00872293" w:rsidRDefault="00491971" w:rsidP="0095245B">
      <w:pPr>
        <w:tabs>
          <w:tab w:val="left" w:pos="360"/>
          <w:tab w:val="left" w:pos="720"/>
          <w:tab w:val="left" w:pos="1080"/>
          <w:tab w:val="left" w:pos="1440"/>
          <w:tab w:val="left" w:pos="1800"/>
          <w:tab w:val="left" w:pos="2160"/>
          <w:tab w:val="left" w:pos="2880"/>
          <w:tab w:val="left" w:pos="3600"/>
          <w:tab w:val="left" w:pos="4320"/>
        </w:tabs>
        <w:spacing w:line="360" w:lineRule="auto"/>
        <w:rPr>
          <w:rFonts w:ascii="TimesNewRomanPSMT" w:eastAsia="TimesNewRomanPSMT" w:hAnsi="Times-Roman" w:cs="TimesNewRomanPSMT"/>
          <w:sz w:val="26"/>
          <w:szCs w:val="26"/>
        </w:rPr>
      </w:pPr>
      <w:r w:rsidRPr="00872293">
        <w:rPr>
          <w:rFonts w:ascii="Times New Roman" w:hAnsi="Times New Roman" w:cs="Times New Roman"/>
          <w:sz w:val="26"/>
          <w:szCs w:val="26"/>
        </w:rPr>
        <w:t xml:space="preserve">This dissertation was </w:t>
      </w:r>
      <w:r w:rsidR="002419B6" w:rsidRPr="00872293">
        <w:rPr>
          <w:rFonts w:ascii="Times New Roman" w:hAnsi="Times New Roman" w:cs="Times New Roman"/>
          <w:sz w:val="26"/>
          <w:szCs w:val="26"/>
        </w:rPr>
        <w:t>support</w:t>
      </w:r>
      <w:r w:rsidRPr="00872293">
        <w:rPr>
          <w:rFonts w:ascii="Times New Roman" w:hAnsi="Times New Roman" w:cs="Times New Roman"/>
          <w:sz w:val="26"/>
          <w:szCs w:val="26"/>
        </w:rPr>
        <w:t xml:space="preserve">ed by </w:t>
      </w:r>
      <w:r w:rsidR="002419B6" w:rsidRPr="00872293">
        <w:rPr>
          <w:rFonts w:ascii="Times New Roman" w:eastAsia="Times New Roman" w:hAnsi="Times New Roman" w:cs="Times New Roman"/>
          <w:sz w:val="26"/>
          <w:szCs w:val="26"/>
        </w:rPr>
        <w:t>the</w:t>
      </w:r>
      <w:r w:rsidR="002419B6" w:rsidRPr="00872293">
        <w:rPr>
          <w:rFonts w:ascii="Times New Roman" w:hAnsi="Times New Roman" w:cs="Times New Roman"/>
          <w:sz w:val="26"/>
          <w:szCs w:val="26"/>
        </w:rPr>
        <w:t xml:space="preserve"> N</w:t>
      </w:r>
      <w:r w:rsidRPr="00872293">
        <w:rPr>
          <w:rFonts w:ascii="Times New Roman" w:hAnsi="Times New Roman" w:cs="Times New Roman"/>
          <w:sz w:val="26"/>
          <w:szCs w:val="26"/>
        </w:rPr>
        <w:t xml:space="preserve">ext </w:t>
      </w:r>
      <w:r w:rsidR="002419B6" w:rsidRPr="00872293">
        <w:rPr>
          <w:rFonts w:ascii="Times New Roman" w:hAnsi="Times New Roman" w:cs="Times New Roman"/>
          <w:sz w:val="26"/>
          <w:szCs w:val="26"/>
        </w:rPr>
        <w:t>G</w:t>
      </w:r>
      <w:r w:rsidRPr="00872293">
        <w:rPr>
          <w:rFonts w:ascii="Times New Roman" w:hAnsi="Times New Roman" w:cs="Times New Roman"/>
          <w:sz w:val="26"/>
          <w:szCs w:val="26"/>
        </w:rPr>
        <w:t xml:space="preserve">eneration </w:t>
      </w:r>
      <w:r w:rsidR="002419B6" w:rsidRPr="00872293">
        <w:rPr>
          <w:rFonts w:ascii="Times New Roman" w:hAnsi="Times New Roman" w:cs="Times New Roman"/>
          <w:sz w:val="26"/>
          <w:szCs w:val="26"/>
        </w:rPr>
        <w:t>E</w:t>
      </w:r>
      <w:r w:rsidRPr="00872293">
        <w:rPr>
          <w:rFonts w:ascii="Times New Roman" w:hAnsi="Times New Roman" w:cs="Times New Roman"/>
          <w:sz w:val="26"/>
          <w:szCs w:val="26"/>
        </w:rPr>
        <w:t xml:space="preserve">cosystems </w:t>
      </w:r>
      <w:r w:rsidR="002419B6" w:rsidRPr="00872293">
        <w:rPr>
          <w:rFonts w:ascii="Times New Roman" w:hAnsi="Times New Roman" w:cs="Times New Roman"/>
          <w:sz w:val="26"/>
          <w:szCs w:val="26"/>
        </w:rPr>
        <w:t>E</w:t>
      </w:r>
      <w:r w:rsidRPr="00872293">
        <w:rPr>
          <w:rFonts w:ascii="Times New Roman" w:hAnsi="Times New Roman" w:cs="Times New Roman"/>
          <w:sz w:val="26"/>
          <w:szCs w:val="26"/>
        </w:rPr>
        <w:t>xperiments –</w:t>
      </w:r>
      <w:r w:rsidR="002419B6" w:rsidRPr="00872293">
        <w:rPr>
          <w:rFonts w:ascii="Times New Roman" w:hAnsi="Times New Roman" w:cs="Times New Roman"/>
          <w:sz w:val="26"/>
          <w:szCs w:val="26"/>
        </w:rPr>
        <w:t xml:space="preserve"> Tropics</w:t>
      </w:r>
      <w:r w:rsidRPr="00872293">
        <w:rPr>
          <w:rFonts w:ascii="Times New Roman" w:hAnsi="Times New Roman" w:cs="Times New Roman"/>
          <w:sz w:val="26"/>
          <w:szCs w:val="26"/>
        </w:rPr>
        <w:t xml:space="preserve"> project at Oak Ridge National Laboratory</w:t>
      </w:r>
      <w:r w:rsidR="00871E95" w:rsidRPr="00872293">
        <w:rPr>
          <w:rFonts w:ascii="Times New Roman" w:hAnsi="Times New Roman" w:cs="Times New Roman"/>
          <w:sz w:val="26"/>
          <w:szCs w:val="26"/>
        </w:rPr>
        <w:t xml:space="preserve"> (ORNL)</w:t>
      </w:r>
      <w:r w:rsidRPr="00872293">
        <w:rPr>
          <w:rFonts w:ascii="Times New Roman" w:hAnsi="Times New Roman" w:cs="Times New Roman"/>
          <w:sz w:val="26"/>
          <w:szCs w:val="26"/>
        </w:rPr>
        <w:t xml:space="preserve">, funded by the </w:t>
      </w:r>
      <w:r w:rsidRPr="00872293">
        <w:rPr>
          <w:rFonts w:ascii="Times New Roman" w:eastAsia="Times New Roman" w:hAnsi="Times New Roman" w:cs="Times New Roman"/>
          <w:sz w:val="26"/>
          <w:szCs w:val="26"/>
        </w:rPr>
        <w:t xml:space="preserve">U.S. Department of Energy, </w:t>
      </w:r>
      <w:r w:rsidRPr="00872293">
        <w:rPr>
          <w:rFonts w:ascii="TimesNewRomanPSMT" w:eastAsia="TimesNewRomanPSMT" w:hAnsi="Times-Roman" w:cs="TimesNewRomanPSMT"/>
          <w:sz w:val="26"/>
          <w:szCs w:val="26"/>
        </w:rPr>
        <w:t xml:space="preserve">Office of Science, Biological and Environmental Research. </w:t>
      </w:r>
      <w:r w:rsidR="00871E95" w:rsidRPr="00872293">
        <w:rPr>
          <w:rFonts w:ascii="TimesNewRomanPSMT" w:eastAsia="TimesNewRomanPSMT" w:hAnsi="Times-Roman" w:cs="TimesNewRomanPSMT"/>
          <w:sz w:val="26"/>
          <w:szCs w:val="26"/>
        </w:rPr>
        <w:t xml:space="preserve">The ORNL is </w:t>
      </w:r>
      <w:r w:rsidRPr="00872293">
        <w:rPr>
          <w:rFonts w:ascii="TimesNewRomanPSMT" w:eastAsia="TimesNewRomanPSMT" w:hAnsi="Times-Roman" w:cs="TimesNewRomanPSMT"/>
          <w:sz w:val="26"/>
          <w:szCs w:val="26"/>
        </w:rPr>
        <w:t>managed by UT-Battelle, LLC under Contract No. DE-AC05-00OR22725</w:t>
      </w:r>
      <w:r w:rsidR="00434E5C" w:rsidRPr="00872293">
        <w:rPr>
          <w:rFonts w:ascii="Times New Roman" w:eastAsia="TimesNewRomanPSMT" w:hAnsi="Times New Roman" w:cs="Times New Roman"/>
          <w:sz w:val="26"/>
          <w:szCs w:val="26"/>
        </w:rPr>
        <w:t>.</w:t>
      </w:r>
      <w:r w:rsidR="00A04E21" w:rsidRPr="00872293">
        <w:rPr>
          <w:rFonts w:ascii="Times New Roman" w:hAnsi="Times New Roman" w:cs="Times New Roman"/>
          <w:sz w:val="26"/>
          <w:szCs w:val="26"/>
        </w:rPr>
        <w:t xml:space="preserve"> </w:t>
      </w:r>
      <w:r w:rsidR="00F6381B" w:rsidRPr="00872293">
        <w:rPr>
          <w:rFonts w:ascii="Times New Roman" w:hAnsi="Times New Roman" w:cs="Times New Roman"/>
          <w:sz w:val="26"/>
          <w:szCs w:val="26"/>
          <w:shd w:val="clear" w:color="auto" w:fill="FFFFFF"/>
        </w:rPr>
        <w:t xml:space="preserve">The Tropical Responses to Altered Climate Experiment (TRACE) </w:t>
      </w:r>
      <w:r w:rsidR="00871E95" w:rsidRPr="00872293">
        <w:rPr>
          <w:rFonts w:ascii="Times New Roman" w:hAnsi="Times New Roman" w:cs="Times New Roman"/>
          <w:sz w:val="26"/>
          <w:szCs w:val="26"/>
          <w:shd w:val="clear" w:color="auto" w:fill="FFFFFF"/>
        </w:rPr>
        <w:t>was</w:t>
      </w:r>
      <w:r w:rsidR="00A04E21" w:rsidRPr="00872293">
        <w:rPr>
          <w:rFonts w:ascii="Times New Roman" w:hAnsi="Times New Roman" w:cs="Times New Roman"/>
          <w:sz w:val="26"/>
          <w:szCs w:val="26"/>
          <w:shd w:val="clear" w:color="auto" w:fill="FFFFFF"/>
        </w:rPr>
        <w:t xml:space="preserve"> </w:t>
      </w:r>
      <w:r w:rsidR="00F6381B" w:rsidRPr="00872293">
        <w:rPr>
          <w:rFonts w:ascii="Times New Roman" w:hAnsi="Times New Roman" w:cs="Times New Roman"/>
          <w:sz w:val="26"/>
          <w:szCs w:val="26"/>
          <w:shd w:val="clear" w:color="auto" w:fill="FFFFFF"/>
        </w:rPr>
        <w:t>supported</w:t>
      </w:r>
      <w:r w:rsidR="00A04E21" w:rsidRPr="00872293">
        <w:rPr>
          <w:rFonts w:ascii="Times New Roman" w:hAnsi="Times New Roman" w:cs="Times New Roman"/>
          <w:sz w:val="26"/>
          <w:szCs w:val="26"/>
          <w:shd w:val="clear" w:color="auto" w:fill="FFFFFF"/>
        </w:rPr>
        <w:t xml:space="preserve"> by the USDA Forest Service International Institute of Tropical Forestry, </w:t>
      </w:r>
      <w:r w:rsidR="00F6381B" w:rsidRPr="00872293">
        <w:rPr>
          <w:rFonts w:ascii="Times New Roman" w:hAnsi="Times New Roman" w:cs="Times New Roman"/>
          <w:sz w:val="26"/>
          <w:szCs w:val="26"/>
          <w:shd w:val="clear" w:color="auto" w:fill="FFFFFF"/>
        </w:rPr>
        <w:t>the US Department of Energy Office of Science, (DE-SC0012000, DE-SC-0011806, DE-SC0018942, and 89243018S-SC-000014), and the National Science Foundation</w:t>
      </w:r>
      <w:r w:rsidR="00F6381B" w:rsidRPr="00872293">
        <w:rPr>
          <w:rFonts w:ascii="Times New Roman" w:eastAsia="Times New Roman" w:hAnsi="Times New Roman" w:cs="Times New Roman"/>
          <w:sz w:val="26"/>
          <w:szCs w:val="26"/>
        </w:rPr>
        <w:t xml:space="preserve"> (DEB-1754713</w:t>
      </w:r>
      <w:r w:rsidR="00A04E21" w:rsidRPr="00872293">
        <w:rPr>
          <w:rFonts w:ascii="Times New Roman" w:hAnsi="Times New Roman" w:cs="Times New Roman"/>
          <w:sz w:val="26"/>
          <w:szCs w:val="26"/>
          <w:shd w:val="clear" w:color="auto" w:fill="FFFFFF"/>
        </w:rPr>
        <w:t>).</w:t>
      </w:r>
      <w:r w:rsidR="00871E95" w:rsidRPr="00872293">
        <w:rPr>
          <w:rFonts w:ascii="Times New Roman" w:hAnsi="Times New Roman" w:cs="Times New Roman"/>
          <w:sz w:val="26"/>
          <w:szCs w:val="26"/>
          <w:shd w:val="clear" w:color="auto" w:fill="FFFFFF"/>
        </w:rPr>
        <w:t xml:space="preserve"> </w:t>
      </w:r>
      <w:r w:rsidR="004D3366" w:rsidRPr="00872293">
        <w:rPr>
          <w:rFonts w:ascii="Times New Roman" w:hAnsi="Times New Roman" w:cs="Times New Roman"/>
          <w:sz w:val="26"/>
          <w:szCs w:val="26"/>
        </w:rPr>
        <w:t xml:space="preserve">Thank you to the </w:t>
      </w:r>
      <w:r w:rsidR="00B91265" w:rsidRPr="00872293">
        <w:rPr>
          <w:rFonts w:ascii="Times New Roman" w:hAnsi="Times New Roman" w:cs="Times New Roman"/>
          <w:sz w:val="26"/>
          <w:szCs w:val="26"/>
        </w:rPr>
        <w:t>University of Tennessee</w:t>
      </w:r>
      <w:r w:rsidR="0058018A" w:rsidRPr="00872293">
        <w:rPr>
          <w:rFonts w:ascii="Times New Roman" w:hAnsi="Times New Roman" w:cs="Times New Roman"/>
          <w:sz w:val="26"/>
          <w:szCs w:val="26"/>
        </w:rPr>
        <w:t xml:space="preserve"> </w:t>
      </w:r>
      <w:r w:rsidR="00B91265" w:rsidRPr="00872293">
        <w:rPr>
          <w:rFonts w:ascii="Times New Roman" w:hAnsi="Times New Roman" w:cs="Times New Roman"/>
          <w:sz w:val="26"/>
          <w:szCs w:val="26"/>
        </w:rPr>
        <w:t>Knoxville</w:t>
      </w:r>
      <w:r w:rsidR="004D3366" w:rsidRPr="00872293">
        <w:rPr>
          <w:rFonts w:ascii="Times New Roman" w:hAnsi="Times New Roman" w:cs="Times New Roman"/>
          <w:sz w:val="26"/>
          <w:szCs w:val="26"/>
        </w:rPr>
        <w:t xml:space="preserve"> and the University of Puerto Rico</w:t>
      </w:r>
      <w:r w:rsidR="0058018A" w:rsidRPr="00872293">
        <w:rPr>
          <w:rFonts w:ascii="Times New Roman" w:hAnsi="Times New Roman" w:cs="Times New Roman"/>
          <w:sz w:val="26"/>
          <w:szCs w:val="26"/>
        </w:rPr>
        <w:t xml:space="preserve"> </w:t>
      </w:r>
      <w:r w:rsidR="004D3366" w:rsidRPr="00872293">
        <w:rPr>
          <w:rFonts w:ascii="Times New Roman" w:hAnsi="Times New Roman" w:cs="Times New Roman"/>
          <w:sz w:val="26"/>
          <w:szCs w:val="26"/>
        </w:rPr>
        <w:t xml:space="preserve">Rio Piedras for </w:t>
      </w:r>
      <w:r w:rsidR="00871E95" w:rsidRPr="00872293">
        <w:rPr>
          <w:rFonts w:ascii="Times New Roman" w:hAnsi="Times New Roman" w:cs="Times New Roman"/>
          <w:sz w:val="26"/>
          <w:szCs w:val="26"/>
        </w:rPr>
        <w:t>their services.</w:t>
      </w:r>
    </w:p>
    <w:p w14:paraId="7E9CA56F" w14:textId="0E16190F" w:rsidR="00B91265" w:rsidRPr="00872293" w:rsidRDefault="00B91265" w:rsidP="003C456F">
      <w:pPr>
        <w:spacing w:line="360" w:lineRule="auto"/>
        <w:rPr>
          <w:rFonts w:ascii="Times New Roman" w:hAnsi="Times New Roman" w:cs="Times New Roman"/>
          <w:sz w:val="26"/>
          <w:szCs w:val="26"/>
        </w:rPr>
      </w:pPr>
    </w:p>
    <w:p w14:paraId="3A15408D" w14:textId="216F27C3" w:rsidR="006D2297" w:rsidRPr="00872293" w:rsidRDefault="00057DFF" w:rsidP="003C456F">
      <w:pPr>
        <w:spacing w:line="360" w:lineRule="auto"/>
        <w:rPr>
          <w:rFonts w:ascii="Times New Roman" w:hAnsi="Times New Roman" w:cs="Times New Roman"/>
          <w:sz w:val="26"/>
          <w:szCs w:val="26"/>
        </w:rPr>
      </w:pPr>
      <w:r w:rsidRPr="00872293">
        <w:rPr>
          <w:rFonts w:ascii="Times New Roman" w:hAnsi="Times New Roman" w:cs="Times New Roman"/>
          <w:sz w:val="26"/>
          <w:szCs w:val="26"/>
        </w:rPr>
        <w:t>Thank you to m</w:t>
      </w:r>
      <w:r w:rsidR="006D2297" w:rsidRPr="00872293">
        <w:rPr>
          <w:rFonts w:ascii="Times New Roman" w:hAnsi="Times New Roman" w:cs="Times New Roman"/>
          <w:sz w:val="26"/>
          <w:szCs w:val="26"/>
        </w:rPr>
        <w:t xml:space="preserve">y committee members </w:t>
      </w:r>
      <w:r w:rsidR="00871E95" w:rsidRPr="00872293">
        <w:rPr>
          <w:rFonts w:ascii="Times New Roman" w:hAnsi="Times New Roman" w:cs="Times New Roman"/>
          <w:sz w:val="26"/>
          <w:szCs w:val="26"/>
        </w:rPr>
        <w:t xml:space="preserve">Richard Norby, </w:t>
      </w:r>
      <w:r w:rsidR="006D2297" w:rsidRPr="00872293">
        <w:rPr>
          <w:rFonts w:ascii="Times New Roman" w:hAnsi="Times New Roman" w:cs="Times New Roman"/>
          <w:sz w:val="26"/>
          <w:szCs w:val="26"/>
        </w:rPr>
        <w:t xml:space="preserve">Ariel Lugo, Tana Wood, Stephanie </w:t>
      </w:r>
      <w:proofErr w:type="spellStart"/>
      <w:r w:rsidR="006D2297" w:rsidRPr="00872293">
        <w:rPr>
          <w:rFonts w:ascii="Times New Roman" w:hAnsi="Times New Roman" w:cs="Times New Roman"/>
          <w:sz w:val="26"/>
          <w:szCs w:val="26"/>
        </w:rPr>
        <w:t>Kivlin</w:t>
      </w:r>
      <w:proofErr w:type="spellEnd"/>
      <w:r w:rsidR="006D2297" w:rsidRPr="00872293">
        <w:rPr>
          <w:rFonts w:ascii="Times New Roman" w:hAnsi="Times New Roman" w:cs="Times New Roman"/>
          <w:sz w:val="26"/>
          <w:szCs w:val="26"/>
        </w:rPr>
        <w:t>, Sindh</w:t>
      </w:r>
      <w:r w:rsidRPr="00872293">
        <w:rPr>
          <w:rFonts w:ascii="Times New Roman" w:hAnsi="Times New Roman" w:cs="Times New Roman"/>
          <w:sz w:val="26"/>
          <w:szCs w:val="26"/>
        </w:rPr>
        <w:t>u</w:t>
      </w:r>
      <w:r w:rsidR="006D2297" w:rsidRPr="00872293">
        <w:rPr>
          <w:rFonts w:ascii="Times New Roman" w:hAnsi="Times New Roman" w:cs="Times New Roman"/>
          <w:sz w:val="26"/>
          <w:szCs w:val="26"/>
        </w:rPr>
        <w:t xml:space="preserve"> </w:t>
      </w:r>
      <w:proofErr w:type="spellStart"/>
      <w:r w:rsidR="006D2297" w:rsidRPr="00872293">
        <w:rPr>
          <w:rFonts w:ascii="Times New Roman" w:hAnsi="Times New Roman" w:cs="Times New Roman"/>
          <w:sz w:val="26"/>
          <w:szCs w:val="26"/>
        </w:rPr>
        <w:t>Jagada</w:t>
      </w:r>
      <w:r w:rsidR="00E109A9" w:rsidRPr="00872293">
        <w:rPr>
          <w:rFonts w:ascii="Times New Roman" w:hAnsi="Times New Roman" w:cs="Times New Roman"/>
          <w:sz w:val="26"/>
          <w:szCs w:val="26"/>
        </w:rPr>
        <w:t>m</w:t>
      </w:r>
      <w:r w:rsidR="006D2297" w:rsidRPr="00872293">
        <w:rPr>
          <w:rFonts w:ascii="Times New Roman" w:hAnsi="Times New Roman" w:cs="Times New Roman"/>
          <w:sz w:val="26"/>
          <w:szCs w:val="26"/>
        </w:rPr>
        <w:t>ma</w:t>
      </w:r>
      <w:proofErr w:type="spellEnd"/>
      <w:r w:rsidR="00122850" w:rsidRPr="00872293">
        <w:rPr>
          <w:rFonts w:ascii="Times New Roman" w:hAnsi="Times New Roman" w:cs="Times New Roman"/>
          <w:sz w:val="26"/>
          <w:szCs w:val="26"/>
        </w:rPr>
        <w:t xml:space="preserve"> for the</w:t>
      </w:r>
      <w:r w:rsidR="00545F80" w:rsidRPr="00872293">
        <w:rPr>
          <w:rFonts w:ascii="Times New Roman" w:hAnsi="Times New Roman" w:cs="Times New Roman"/>
          <w:sz w:val="26"/>
          <w:szCs w:val="26"/>
        </w:rPr>
        <w:t>ir support</w:t>
      </w:r>
      <w:r w:rsidR="00871E95" w:rsidRPr="00872293">
        <w:rPr>
          <w:rFonts w:ascii="Times New Roman" w:hAnsi="Times New Roman" w:cs="Times New Roman"/>
          <w:sz w:val="26"/>
          <w:szCs w:val="26"/>
        </w:rPr>
        <w:t>,</w:t>
      </w:r>
      <w:r w:rsidR="00545F80" w:rsidRPr="00872293">
        <w:rPr>
          <w:rFonts w:ascii="Times New Roman" w:hAnsi="Times New Roman" w:cs="Times New Roman"/>
          <w:sz w:val="26"/>
          <w:szCs w:val="26"/>
        </w:rPr>
        <w:t xml:space="preserve"> guidance, and for sharing their knowledge with me.</w:t>
      </w:r>
    </w:p>
    <w:p w14:paraId="4C9CEC27" w14:textId="77777777" w:rsidR="0095245B" w:rsidRPr="00872293" w:rsidRDefault="0095245B" w:rsidP="003C456F">
      <w:pPr>
        <w:spacing w:line="360" w:lineRule="auto"/>
        <w:rPr>
          <w:rFonts w:ascii="Times New Roman" w:hAnsi="Times New Roman" w:cs="Times New Roman"/>
          <w:sz w:val="26"/>
          <w:szCs w:val="26"/>
        </w:rPr>
      </w:pPr>
    </w:p>
    <w:p w14:paraId="09EC8544" w14:textId="5040B49E" w:rsidR="006D2297" w:rsidRPr="00872293" w:rsidRDefault="0095245B" w:rsidP="003C456F">
      <w:pPr>
        <w:spacing w:line="360" w:lineRule="auto"/>
        <w:rPr>
          <w:rFonts w:ascii="Times New Roman" w:hAnsi="Times New Roman" w:cs="Times New Roman"/>
          <w:sz w:val="26"/>
          <w:szCs w:val="26"/>
        </w:rPr>
      </w:pPr>
      <w:r w:rsidRPr="00872293">
        <w:rPr>
          <w:rFonts w:ascii="Times New Roman" w:hAnsi="Times New Roman" w:cs="Times New Roman"/>
          <w:sz w:val="26"/>
          <w:szCs w:val="26"/>
        </w:rPr>
        <w:t>Thank you to</w:t>
      </w:r>
      <w:r w:rsidR="003475E7" w:rsidRPr="00872293">
        <w:rPr>
          <w:rFonts w:ascii="Times New Roman" w:hAnsi="Times New Roman" w:cs="Times New Roman"/>
          <w:sz w:val="26"/>
          <w:szCs w:val="26"/>
        </w:rPr>
        <w:t xml:space="preserve">: </w:t>
      </w:r>
      <w:r w:rsidR="006D2297" w:rsidRPr="00872293">
        <w:rPr>
          <w:rFonts w:ascii="Times New Roman" w:hAnsi="Times New Roman" w:cs="Times New Roman"/>
          <w:sz w:val="26"/>
          <w:szCs w:val="26"/>
        </w:rPr>
        <w:t>Colleen Iversen</w:t>
      </w:r>
      <w:r w:rsidR="00B55C6B" w:rsidRPr="00872293">
        <w:rPr>
          <w:rFonts w:ascii="Times New Roman" w:hAnsi="Times New Roman" w:cs="Times New Roman"/>
          <w:sz w:val="26"/>
          <w:szCs w:val="26"/>
        </w:rPr>
        <w:t xml:space="preserve">, </w:t>
      </w:r>
      <w:r w:rsidR="005B51D6" w:rsidRPr="00872293">
        <w:rPr>
          <w:rFonts w:ascii="Times New Roman" w:hAnsi="Times New Roman" w:cs="Times New Roman"/>
          <w:sz w:val="26"/>
          <w:szCs w:val="26"/>
        </w:rPr>
        <w:t xml:space="preserve">Elvira Cuevas, Kristine </w:t>
      </w:r>
      <w:proofErr w:type="spellStart"/>
      <w:r w:rsidR="005B51D6" w:rsidRPr="00872293">
        <w:rPr>
          <w:rFonts w:ascii="Times New Roman" w:hAnsi="Times New Roman" w:cs="Times New Roman"/>
          <w:sz w:val="26"/>
          <w:szCs w:val="26"/>
        </w:rPr>
        <w:t>Cabugao</w:t>
      </w:r>
      <w:proofErr w:type="spellEnd"/>
      <w:r w:rsidR="005B51D6" w:rsidRPr="00872293">
        <w:rPr>
          <w:rFonts w:ascii="Times New Roman" w:hAnsi="Times New Roman" w:cs="Times New Roman"/>
          <w:sz w:val="26"/>
          <w:szCs w:val="26"/>
        </w:rPr>
        <w:t xml:space="preserve">, Jean Lodge, </w:t>
      </w:r>
      <w:r w:rsidR="002A2415" w:rsidRPr="00872293">
        <w:rPr>
          <w:rFonts w:ascii="Times New Roman" w:hAnsi="Times New Roman" w:cs="Times New Roman"/>
          <w:sz w:val="26"/>
          <w:szCs w:val="26"/>
        </w:rPr>
        <w:t xml:space="preserve">Benjamin </w:t>
      </w:r>
      <w:proofErr w:type="spellStart"/>
      <w:r w:rsidR="002A2415" w:rsidRPr="00872293">
        <w:rPr>
          <w:rFonts w:ascii="Times New Roman" w:hAnsi="Times New Roman" w:cs="Times New Roman"/>
          <w:sz w:val="26"/>
          <w:szCs w:val="26"/>
        </w:rPr>
        <w:t>Branoff</w:t>
      </w:r>
      <w:proofErr w:type="spellEnd"/>
      <w:r w:rsidR="002A2415" w:rsidRPr="00872293">
        <w:rPr>
          <w:rFonts w:ascii="Times New Roman" w:hAnsi="Times New Roman" w:cs="Times New Roman"/>
          <w:sz w:val="26"/>
          <w:szCs w:val="26"/>
        </w:rPr>
        <w:t xml:space="preserve">, Molly </w:t>
      </w:r>
      <w:proofErr w:type="spellStart"/>
      <w:r w:rsidR="002A2415" w:rsidRPr="00872293">
        <w:rPr>
          <w:rFonts w:ascii="Times New Roman" w:hAnsi="Times New Roman" w:cs="Times New Roman"/>
          <w:sz w:val="26"/>
          <w:szCs w:val="26"/>
        </w:rPr>
        <w:t>Cavaleri</w:t>
      </w:r>
      <w:proofErr w:type="spellEnd"/>
      <w:r w:rsidR="002A2415" w:rsidRPr="00872293">
        <w:rPr>
          <w:rFonts w:ascii="Times New Roman" w:hAnsi="Times New Roman" w:cs="Times New Roman"/>
          <w:sz w:val="26"/>
          <w:szCs w:val="26"/>
        </w:rPr>
        <w:t xml:space="preserve">, Sasha Reed, Joshua Pierce, Camille </w:t>
      </w:r>
      <w:proofErr w:type="spellStart"/>
      <w:r w:rsidR="002A2415" w:rsidRPr="00872293">
        <w:rPr>
          <w:rFonts w:ascii="Times New Roman" w:hAnsi="Times New Roman" w:cs="Times New Roman"/>
          <w:sz w:val="26"/>
          <w:szCs w:val="26"/>
        </w:rPr>
        <w:t>Defrenne</w:t>
      </w:r>
      <w:proofErr w:type="spellEnd"/>
      <w:r w:rsidR="003475E7" w:rsidRPr="00872293">
        <w:rPr>
          <w:rFonts w:ascii="Times New Roman" w:hAnsi="Times New Roman" w:cs="Times New Roman"/>
          <w:sz w:val="26"/>
          <w:szCs w:val="26"/>
        </w:rPr>
        <w:t xml:space="preserve">, </w:t>
      </w:r>
      <w:r w:rsidR="007108E9" w:rsidRPr="00872293">
        <w:rPr>
          <w:rFonts w:ascii="Times New Roman" w:hAnsi="Times New Roman" w:cs="Times New Roman"/>
          <w:sz w:val="26"/>
          <w:szCs w:val="26"/>
        </w:rPr>
        <w:t xml:space="preserve">Jacob </w:t>
      </w:r>
      <w:proofErr w:type="spellStart"/>
      <w:r w:rsidR="00BB1088" w:rsidRPr="00872293">
        <w:rPr>
          <w:rFonts w:ascii="Times New Roman" w:hAnsi="Times New Roman" w:cs="Times New Roman"/>
          <w:sz w:val="26"/>
          <w:szCs w:val="26"/>
        </w:rPr>
        <w:t>Mountouama</w:t>
      </w:r>
      <w:proofErr w:type="spellEnd"/>
      <w:r w:rsidR="00BB1088" w:rsidRPr="00872293">
        <w:rPr>
          <w:rFonts w:ascii="Times New Roman" w:hAnsi="Times New Roman" w:cs="Times New Roman"/>
          <w:sz w:val="26"/>
          <w:szCs w:val="26"/>
        </w:rPr>
        <w:t xml:space="preserve">, </w:t>
      </w:r>
      <w:r w:rsidRPr="00872293">
        <w:rPr>
          <w:rFonts w:ascii="Times New Roman" w:hAnsi="Times New Roman" w:cs="Times New Roman"/>
          <w:sz w:val="26"/>
          <w:szCs w:val="26"/>
        </w:rPr>
        <w:t xml:space="preserve">and </w:t>
      </w:r>
      <w:r w:rsidR="003475E7" w:rsidRPr="00872293">
        <w:rPr>
          <w:rFonts w:ascii="Times New Roman" w:hAnsi="Times New Roman" w:cs="Times New Roman"/>
          <w:sz w:val="26"/>
          <w:szCs w:val="26"/>
        </w:rPr>
        <w:t>Julia Elena de La Fuente</w:t>
      </w:r>
      <w:r w:rsidRPr="00872293">
        <w:rPr>
          <w:rFonts w:ascii="Times New Roman" w:hAnsi="Times New Roman" w:cs="Times New Roman"/>
          <w:sz w:val="26"/>
          <w:szCs w:val="26"/>
        </w:rPr>
        <w:t xml:space="preserve"> for providing crucial information, statistical guidance, or editing the dissertation document. Thank you to </w:t>
      </w:r>
      <w:r w:rsidR="006D2297" w:rsidRPr="00872293">
        <w:rPr>
          <w:rFonts w:ascii="Times New Roman" w:hAnsi="Times New Roman" w:cs="Times New Roman"/>
          <w:sz w:val="26"/>
          <w:szCs w:val="26"/>
        </w:rPr>
        <w:t xml:space="preserve">Joanne Childs, Deanne </w:t>
      </w:r>
      <w:r w:rsidR="00A70363" w:rsidRPr="00872293">
        <w:rPr>
          <w:rFonts w:ascii="Times New Roman" w:hAnsi="Times New Roman" w:cs="Times New Roman"/>
          <w:sz w:val="26"/>
          <w:szCs w:val="26"/>
        </w:rPr>
        <w:t xml:space="preserve">Brice, Nathan Stenson, </w:t>
      </w:r>
      <w:r w:rsidR="00871E95" w:rsidRPr="00872293">
        <w:rPr>
          <w:rFonts w:ascii="Times New Roman" w:hAnsi="Times New Roman" w:cs="Times New Roman"/>
          <w:sz w:val="26"/>
          <w:szCs w:val="26"/>
        </w:rPr>
        <w:t>the TRACE team</w:t>
      </w:r>
      <w:r w:rsidR="00A70363" w:rsidRPr="00872293">
        <w:rPr>
          <w:rFonts w:ascii="Times New Roman" w:hAnsi="Times New Roman" w:cs="Times New Roman"/>
          <w:sz w:val="26"/>
          <w:szCs w:val="26"/>
        </w:rPr>
        <w:t xml:space="preserve">, Kiara Rodriguez, Niko Carvajal, Melanie </w:t>
      </w:r>
      <w:proofErr w:type="spellStart"/>
      <w:r w:rsidR="00A70363" w:rsidRPr="00872293">
        <w:rPr>
          <w:rFonts w:ascii="Times New Roman" w:hAnsi="Times New Roman" w:cs="Times New Roman"/>
          <w:sz w:val="26"/>
          <w:szCs w:val="26"/>
        </w:rPr>
        <w:t>Quinonez</w:t>
      </w:r>
      <w:proofErr w:type="spellEnd"/>
      <w:r w:rsidR="003475E7" w:rsidRPr="00872293">
        <w:rPr>
          <w:rFonts w:ascii="Times New Roman" w:hAnsi="Times New Roman" w:cs="Times New Roman"/>
          <w:sz w:val="26"/>
          <w:szCs w:val="26"/>
        </w:rPr>
        <w:t xml:space="preserve">, </w:t>
      </w:r>
      <w:r w:rsidR="008862D7" w:rsidRPr="00872293">
        <w:rPr>
          <w:rFonts w:ascii="Times New Roman" w:hAnsi="Times New Roman" w:cs="Times New Roman"/>
          <w:sz w:val="26"/>
          <w:szCs w:val="26"/>
        </w:rPr>
        <w:t xml:space="preserve">Jackson Turner, </w:t>
      </w:r>
      <w:r w:rsidRPr="00872293">
        <w:rPr>
          <w:rFonts w:ascii="Times New Roman" w:hAnsi="Times New Roman" w:cs="Times New Roman"/>
          <w:sz w:val="26"/>
          <w:szCs w:val="26"/>
        </w:rPr>
        <w:t xml:space="preserve">and </w:t>
      </w:r>
      <w:r w:rsidR="003475E7" w:rsidRPr="00872293">
        <w:rPr>
          <w:rFonts w:ascii="Times New Roman" w:hAnsi="Times New Roman" w:cs="Times New Roman"/>
          <w:sz w:val="26"/>
          <w:szCs w:val="26"/>
        </w:rPr>
        <w:t>Joseph Williams</w:t>
      </w:r>
      <w:r w:rsidRPr="00872293">
        <w:rPr>
          <w:rFonts w:ascii="Times New Roman" w:hAnsi="Times New Roman" w:cs="Times New Roman"/>
          <w:sz w:val="26"/>
          <w:szCs w:val="26"/>
        </w:rPr>
        <w:t xml:space="preserve"> for their important help in the laboratory work and/or in the fieldwork.</w:t>
      </w:r>
    </w:p>
    <w:p w14:paraId="72850AA5" w14:textId="74F64F41" w:rsidR="00C354DC" w:rsidRPr="00872293" w:rsidRDefault="00C354DC" w:rsidP="003C456F">
      <w:pPr>
        <w:spacing w:line="360" w:lineRule="auto"/>
        <w:rPr>
          <w:rFonts w:ascii="Times New Roman" w:hAnsi="Times New Roman" w:cs="Times New Roman"/>
          <w:sz w:val="26"/>
          <w:szCs w:val="26"/>
        </w:rPr>
      </w:pPr>
    </w:p>
    <w:p w14:paraId="03449BEA" w14:textId="6C132567" w:rsidR="00D754DA" w:rsidRPr="00872293" w:rsidRDefault="00C354DC" w:rsidP="003C456F">
      <w:pPr>
        <w:spacing w:line="360" w:lineRule="auto"/>
        <w:rPr>
          <w:rFonts w:ascii="Times New Roman" w:hAnsi="Times New Roman" w:cs="Times New Roman"/>
          <w:sz w:val="26"/>
          <w:szCs w:val="26"/>
        </w:rPr>
      </w:pPr>
      <w:r w:rsidRPr="00872293">
        <w:rPr>
          <w:rFonts w:ascii="Times New Roman" w:hAnsi="Times New Roman" w:cs="Times New Roman"/>
          <w:sz w:val="26"/>
          <w:szCs w:val="26"/>
        </w:rPr>
        <w:t>Thank you to my family, whose valuable support allowed me to be motivated even in difficult times. To my</w:t>
      </w:r>
      <w:r w:rsidR="00B91265" w:rsidRPr="00872293">
        <w:rPr>
          <w:rFonts w:ascii="Times New Roman" w:hAnsi="Times New Roman" w:cs="Times New Roman"/>
          <w:sz w:val="26"/>
          <w:szCs w:val="26"/>
        </w:rPr>
        <w:t xml:space="preserve"> ORNL </w:t>
      </w:r>
      <w:r w:rsidRPr="00872293">
        <w:rPr>
          <w:rFonts w:ascii="Times New Roman" w:hAnsi="Times New Roman" w:cs="Times New Roman"/>
          <w:sz w:val="26"/>
          <w:szCs w:val="26"/>
        </w:rPr>
        <w:t xml:space="preserve">and UTK friends for all their support. Gracias a mi </w:t>
      </w:r>
      <w:proofErr w:type="spellStart"/>
      <w:r w:rsidRPr="00872293">
        <w:rPr>
          <w:rFonts w:ascii="Times New Roman" w:hAnsi="Times New Roman" w:cs="Times New Roman"/>
          <w:sz w:val="26"/>
          <w:szCs w:val="26"/>
        </w:rPr>
        <w:t>corillo</w:t>
      </w:r>
      <w:proofErr w:type="spellEnd"/>
      <w:r w:rsidRPr="00872293">
        <w:rPr>
          <w:rFonts w:ascii="Times New Roman" w:hAnsi="Times New Roman" w:cs="Times New Roman"/>
          <w:sz w:val="26"/>
          <w:szCs w:val="26"/>
        </w:rPr>
        <w:t xml:space="preserve"> de la UPI.</w:t>
      </w:r>
    </w:p>
    <w:p w14:paraId="7A1E15CE" w14:textId="02CC4280" w:rsidR="00823260" w:rsidRDefault="002E74C8" w:rsidP="00E53A65">
      <w:pPr>
        <w:spacing w:line="360" w:lineRule="auto"/>
        <w:jc w:val="center"/>
        <w:rPr>
          <w:rFonts w:ascii="Times New Roman" w:hAnsi="Times New Roman" w:cs="Times New Roman"/>
          <w:b/>
          <w:bCs/>
          <w:sz w:val="36"/>
          <w:szCs w:val="36"/>
        </w:rPr>
      </w:pPr>
      <w:r w:rsidRPr="00872293">
        <w:rPr>
          <w:rFonts w:ascii="Times New Roman" w:hAnsi="Times New Roman" w:cs="Times New Roman"/>
          <w:b/>
          <w:bCs/>
          <w:sz w:val="36"/>
          <w:szCs w:val="36"/>
        </w:rPr>
        <w:lastRenderedPageBreak/>
        <w:t>Abstract</w:t>
      </w:r>
    </w:p>
    <w:p w14:paraId="711FE796" w14:textId="77777777" w:rsidR="00476B55" w:rsidRPr="00476B55" w:rsidRDefault="00476B55" w:rsidP="00476B55">
      <w:pPr>
        <w:spacing w:line="360" w:lineRule="auto"/>
        <w:jc w:val="center"/>
        <w:rPr>
          <w:rFonts w:ascii="Times New Roman" w:hAnsi="Times New Roman" w:cs="Times New Roman"/>
          <w:b/>
          <w:bCs/>
        </w:rPr>
      </w:pPr>
    </w:p>
    <w:p w14:paraId="4E0AF54F" w14:textId="2FFFDE4D" w:rsidR="00940010" w:rsidRPr="00872293" w:rsidRDefault="00751CF3" w:rsidP="00476B55">
      <w:pPr>
        <w:pStyle w:val="HTMLPreformatted"/>
        <w:shd w:val="clear" w:color="auto" w:fill="FFFFFF"/>
        <w:spacing w:line="360" w:lineRule="auto"/>
        <w:rPr>
          <w:rFonts w:ascii="Times New Roman" w:hAnsi="Times New Roman"/>
          <w:spacing w:val="2"/>
          <w:sz w:val="24"/>
          <w:szCs w:val="24"/>
        </w:rPr>
      </w:pPr>
      <w:r w:rsidRPr="00872293">
        <w:rPr>
          <w:rFonts w:ascii="Times New Roman" w:hAnsi="Times New Roman" w:cs="Times New Roman"/>
          <w:sz w:val="24"/>
          <w:szCs w:val="24"/>
        </w:rPr>
        <w:t>Roots</w:t>
      </w:r>
      <w:r w:rsidR="00351536" w:rsidRPr="00872293">
        <w:rPr>
          <w:rFonts w:ascii="Times New Roman" w:hAnsi="Times New Roman" w:cs="Times New Roman"/>
          <w:sz w:val="24"/>
          <w:szCs w:val="24"/>
        </w:rPr>
        <w:t xml:space="preserve"> play a</w:t>
      </w:r>
      <w:r w:rsidR="00ED1E61" w:rsidRPr="00872293">
        <w:rPr>
          <w:rFonts w:ascii="Times New Roman" w:hAnsi="Times New Roman" w:cs="Times New Roman"/>
          <w:sz w:val="24"/>
          <w:szCs w:val="24"/>
        </w:rPr>
        <w:t xml:space="preserve"> critical</w:t>
      </w:r>
      <w:r w:rsidR="00351536" w:rsidRPr="00872293">
        <w:rPr>
          <w:rFonts w:ascii="Times New Roman" w:hAnsi="Times New Roman" w:cs="Times New Roman"/>
          <w:sz w:val="24"/>
          <w:szCs w:val="24"/>
        </w:rPr>
        <w:t xml:space="preserve"> role in plant nutrition, </w:t>
      </w:r>
      <w:r w:rsidR="00ED1E61" w:rsidRPr="00872293">
        <w:rPr>
          <w:rFonts w:ascii="Times New Roman" w:hAnsi="Times New Roman" w:cs="Times New Roman"/>
          <w:sz w:val="24"/>
          <w:szCs w:val="24"/>
        </w:rPr>
        <w:t xml:space="preserve">and </w:t>
      </w:r>
      <w:r w:rsidR="00DE5116" w:rsidRPr="00872293">
        <w:rPr>
          <w:rFonts w:ascii="Times New Roman" w:hAnsi="Times New Roman" w:cs="Times New Roman"/>
          <w:sz w:val="24"/>
          <w:szCs w:val="24"/>
        </w:rPr>
        <w:t>t</w:t>
      </w:r>
      <w:r w:rsidR="00351536" w:rsidRPr="00872293">
        <w:rPr>
          <w:rFonts w:ascii="Times New Roman" w:hAnsi="Times New Roman" w:cs="Times New Roman"/>
          <w:sz w:val="24"/>
          <w:szCs w:val="24"/>
        </w:rPr>
        <w:t xml:space="preserve">errestrial </w:t>
      </w:r>
      <w:r w:rsidR="005558FC" w:rsidRPr="00872293">
        <w:rPr>
          <w:rFonts w:ascii="Times New Roman" w:hAnsi="Times New Roman" w:cs="Times New Roman"/>
          <w:sz w:val="24"/>
          <w:szCs w:val="24"/>
        </w:rPr>
        <w:t>carbon cycling</w:t>
      </w:r>
      <w:r w:rsidR="00351536" w:rsidRPr="00872293">
        <w:rPr>
          <w:rFonts w:ascii="Times New Roman" w:hAnsi="Times New Roman" w:cs="Times New Roman"/>
          <w:sz w:val="24"/>
          <w:szCs w:val="24"/>
        </w:rPr>
        <w:t xml:space="preserve">. However, </w:t>
      </w:r>
      <w:r w:rsidRPr="00872293">
        <w:rPr>
          <w:rFonts w:ascii="Times New Roman" w:hAnsi="Times New Roman" w:cs="Times New Roman"/>
          <w:sz w:val="24"/>
          <w:szCs w:val="24"/>
        </w:rPr>
        <w:t>they</w:t>
      </w:r>
      <w:r w:rsidR="00DE5116" w:rsidRPr="00872293">
        <w:rPr>
          <w:rFonts w:ascii="Times New Roman" w:hAnsi="Times New Roman" w:cs="Times New Roman"/>
          <w:sz w:val="24"/>
          <w:szCs w:val="24"/>
        </w:rPr>
        <w:t xml:space="preserve"> are often understudied compared to their aboveground counterparts</w:t>
      </w:r>
      <w:r w:rsidR="00CE40FA" w:rsidRPr="00872293">
        <w:rPr>
          <w:rFonts w:ascii="Times New Roman" w:hAnsi="Times New Roman" w:cs="Times New Roman"/>
          <w:sz w:val="24"/>
          <w:szCs w:val="24"/>
        </w:rPr>
        <w:t xml:space="preserve">; especially </w:t>
      </w:r>
      <w:r w:rsidRPr="00872293">
        <w:rPr>
          <w:rFonts w:ascii="Times New Roman" w:hAnsi="Times New Roman" w:cs="Times New Roman"/>
          <w:sz w:val="24"/>
          <w:szCs w:val="24"/>
        </w:rPr>
        <w:t>i</w:t>
      </w:r>
      <w:r w:rsidR="00CE40FA" w:rsidRPr="00872293">
        <w:rPr>
          <w:rFonts w:ascii="Times New Roman" w:hAnsi="Times New Roman" w:cs="Times New Roman"/>
          <w:sz w:val="24"/>
          <w:szCs w:val="24"/>
        </w:rPr>
        <w:t>n the tropics</w:t>
      </w:r>
      <w:r w:rsidR="00351536" w:rsidRPr="00872293">
        <w:rPr>
          <w:rFonts w:ascii="Times New Roman" w:hAnsi="Times New Roman" w:cs="Times New Roman"/>
          <w:sz w:val="24"/>
          <w:szCs w:val="24"/>
        </w:rPr>
        <w:t xml:space="preserve">, where </w:t>
      </w:r>
      <w:r w:rsidR="005F140D" w:rsidRPr="00872293">
        <w:rPr>
          <w:rFonts w:ascii="Times New Roman" w:hAnsi="Times New Roman" w:cs="Times New Roman"/>
          <w:sz w:val="24"/>
          <w:szCs w:val="24"/>
        </w:rPr>
        <w:t xml:space="preserve">more carbon </w:t>
      </w:r>
      <w:r w:rsidR="00CE40FA" w:rsidRPr="00872293">
        <w:rPr>
          <w:rFonts w:ascii="Times New Roman" w:hAnsi="Times New Roman" w:cs="Times New Roman"/>
          <w:sz w:val="24"/>
          <w:szCs w:val="24"/>
        </w:rPr>
        <w:t xml:space="preserve">is cycled </w:t>
      </w:r>
      <w:r w:rsidR="006A2878" w:rsidRPr="00872293">
        <w:rPr>
          <w:rFonts w:ascii="Times New Roman" w:hAnsi="Times New Roman" w:cs="Times New Roman"/>
          <w:sz w:val="24"/>
          <w:szCs w:val="24"/>
        </w:rPr>
        <w:t>than</w:t>
      </w:r>
      <w:r w:rsidR="00CE40FA" w:rsidRPr="00872293">
        <w:rPr>
          <w:rFonts w:ascii="Times New Roman" w:hAnsi="Times New Roman" w:cs="Times New Roman"/>
          <w:sz w:val="24"/>
          <w:szCs w:val="24"/>
        </w:rPr>
        <w:t xml:space="preserve"> in</w:t>
      </w:r>
      <w:r w:rsidR="006A2878" w:rsidRPr="00872293">
        <w:rPr>
          <w:rFonts w:ascii="Times New Roman" w:hAnsi="Times New Roman" w:cs="Times New Roman"/>
          <w:sz w:val="24"/>
          <w:szCs w:val="24"/>
        </w:rPr>
        <w:t xml:space="preserve"> any other ecosystem.</w:t>
      </w:r>
      <w:r w:rsidR="00781819" w:rsidRPr="00872293">
        <w:rPr>
          <w:rFonts w:ascii="Times New Roman" w:hAnsi="Times New Roman" w:cs="Times New Roman"/>
          <w:sz w:val="24"/>
          <w:szCs w:val="24"/>
        </w:rPr>
        <w:t xml:space="preserve"> </w:t>
      </w:r>
      <w:r w:rsidR="00327925" w:rsidRPr="00872293">
        <w:rPr>
          <w:rFonts w:ascii="Times New Roman" w:hAnsi="Times New Roman" w:cs="Times New Roman"/>
          <w:sz w:val="24"/>
          <w:szCs w:val="24"/>
        </w:rPr>
        <w:t>S</w:t>
      </w:r>
      <w:r w:rsidR="00EE2EE8" w:rsidRPr="00872293">
        <w:rPr>
          <w:rFonts w:ascii="Times New Roman" w:hAnsi="Times New Roman" w:cs="Times New Roman"/>
          <w:sz w:val="24"/>
          <w:szCs w:val="24"/>
        </w:rPr>
        <w:t>ome tropical forest</w:t>
      </w:r>
      <w:r w:rsidR="00327925" w:rsidRPr="00872293">
        <w:rPr>
          <w:rFonts w:ascii="Times New Roman" w:hAnsi="Times New Roman" w:cs="Times New Roman"/>
          <w:sz w:val="24"/>
          <w:szCs w:val="24"/>
        </w:rPr>
        <w:t>s, like in Puerto Rico,</w:t>
      </w:r>
      <w:r w:rsidR="00EE2EE8" w:rsidRPr="00872293">
        <w:rPr>
          <w:rFonts w:ascii="Times New Roman" w:hAnsi="Times New Roman" w:cs="Times New Roman"/>
          <w:sz w:val="24"/>
          <w:szCs w:val="24"/>
        </w:rPr>
        <w:t xml:space="preserve"> </w:t>
      </w:r>
      <w:r w:rsidR="00B0177A" w:rsidRPr="00872293">
        <w:rPr>
          <w:rFonts w:ascii="Times New Roman" w:hAnsi="Times New Roman" w:cs="Times New Roman"/>
          <w:sz w:val="24"/>
          <w:szCs w:val="24"/>
        </w:rPr>
        <w:t xml:space="preserve">are </w:t>
      </w:r>
      <w:r w:rsidR="00EE2EE8" w:rsidRPr="00872293">
        <w:rPr>
          <w:rFonts w:ascii="Times New Roman" w:hAnsi="Times New Roman" w:cs="Times New Roman"/>
          <w:sz w:val="24"/>
          <w:szCs w:val="24"/>
        </w:rPr>
        <w:t xml:space="preserve">more represented in scientific studies than others. However, </w:t>
      </w:r>
      <w:r w:rsidR="005B7EB5" w:rsidRPr="00872293">
        <w:rPr>
          <w:rFonts w:ascii="Times New Roman" w:hAnsi="Times New Roman" w:cs="Times New Roman"/>
          <w:sz w:val="24"/>
          <w:szCs w:val="24"/>
        </w:rPr>
        <w:t>this information is sparse</w:t>
      </w:r>
      <w:r w:rsidR="00EE2EE8" w:rsidRPr="00872293">
        <w:rPr>
          <w:rFonts w:ascii="Times New Roman" w:hAnsi="Times New Roman" w:cs="Times New Roman"/>
          <w:sz w:val="24"/>
          <w:szCs w:val="24"/>
        </w:rPr>
        <w:t xml:space="preserve">, </w:t>
      </w:r>
      <w:r w:rsidR="007D3364" w:rsidRPr="00872293">
        <w:rPr>
          <w:rFonts w:ascii="Times New Roman" w:hAnsi="Times New Roman" w:cs="Times New Roman"/>
          <w:sz w:val="24"/>
          <w:szCs w:val="24"/>
        </w:rPr>
        <w:t xml:space="preserve">complicating </w:t>
      </w:r>
      <w:r w:rsidR="00A47004" w:rsidRPr="00872293">
        <w:rPr>
          <w:rFonts w:ascii="Times New Roman" w:hAnsi="Times New Roman" w:cs="Times New Roman"/>
          <w:sz w:val="24"/>
          <w:szCs w:val="24"/>
        </w:rPr>
        <w:t xml:space="preserve">the interpretation of </w:t>
      </w:r>
      <w:r w:rsidR="00627533" w:rsidRPr="00872293">
        <w:rPr>
          <w:rFonts w:ascii="Times New Roman" w:hAnsi="Times New Roman" w:cs="Times New Roman"/>
          <w:sz w:val="24"/>
          <w:szCs w:val="24"/>
        </w:rPr>
        <w:t xml:space="preserve">root trait </w:t>
      </w:r>
      <w:r w:rsidR="001D6C65" w:rsidRPr="00872293">
        <w:rPr>
          <w:rFonts w:ascii="Times New Roman" w:hAnsi="Times New Roman" w:cs="Times New Roman"/>
          <w:sz w:val="24"/>
          <w:szCs w:val="24"/>
        </w:rPr>
        <w:t xml:space="preserve">patterns. </w:t>
      </w:r>
      <w:r w:rsidR="00CE40FA" w:rsidRPr="00872293">
        <w:rPr>
          <w:rFonts w:ascii="Times New Roman" w:hAnsi="Times New Roman" w:cs="Times New Roman"/>
          <w:sz w:val="24"/>
          <w:szCs w:val="24"/>
        </w:rPr>
        <w:t>T</w:t>
      </w:r>
      <w:r w:rsidR="00EB6BA8" w:rsidRPr="00872293">
        <w:rPr>
          <w:rFonts w:ascii="Times New Roman" w:hAnsi="Times New Roman" w:cs="Times New Roman"/>
          <w:sz w:val="24"/>
          <w:szCs w:val="24"/>
        </w:rPr>
        <w:t>ree</w:t>
      </w:r>
      <w:r w:rsidR="00CE40FA" w:rsidRPr="00872293">
        <w:rPr>
          <w:rFonts w:ascii="Times New Roman" w:hAnsi="Times New Roman" w:cs="Times New Roman"/>
          <w:sz w:val="24"/>
          <w:szCs w:val="24"/>
        </w:rPr>
        <w:t xml:space="preserve">s </w:t>
      </w:r>
      <w:r w:rsidR="0028658C" w:rsidRPr="00872293">
        <w:rPr>
          <w:rFonts w:ascii="Times New Roman" w:hAnsi="Times New Roman" w:cs="Times New Roman"/>
          <w:sz w:val="24"/>
          <w:szCs w:val="24"/>
        </w:rPr>
        <w:t xml:space="preserve">in Puerto Rico </w:t>
      </w:r>
      <w:r w:rsidR="00CE40FA" w:rsidRPr="00872293">
        <w:rPr>
          <w:rFonts w:ascii="Times New Roman" w:hAnsi="Times New Roman" w:cs="Times New Roman"/>
          <w:sz w:val="24"/>
          <w:szCs w:val="24"/>
        </w:rPr>
        <w:t xml:space="preserve">have </w:t>
      </w:r>
      <w:r w:rsidR="00EB6BA8" w:rsidRPr="00872293">
        <w:rPr>
          <w:rFonts w:ascii="Times New Roman" w:hAnsi="Times New Roman" w:cs="Times New Roman"/>
          <w:sz w:val="24"/>
          <w:szCs w:val="24"/>
        </w:rPr>
        <w:t>adapted</w:t>
      </w:r>
      <w:r w:rsidR="0028658C" w:rsidRPr="00872293">
        <w:rPr>
          <w:rFonts w:ascii="Times New Roman" w:hAnsi="Times New Roman" w:cs="Times New Roman"/>
          <w:sz w:val="24"/>
          <w:szCs w:val="24"/>
        </w:rPr>
        <w:t xml:space="preserve"> </w:t>
      </w:r>
      <w:r w:rsidR="00CE40FA" w:rsidRPr="00872293">
        <w:rPr>
          <w:rFonts w:ascii="Times New Roman" w:hAnsi="Times New Roman" w:cs="Times New Roman"/>
          <w:sz w:val="24"/>
          <w:szCs w:val="24"/>
        </w:rPr>
        <w:t xml:space="preserve">mechanisms </w:t>
      </w:r>
      <w:r w:rsidR="007D3364" w:rsidRPr="00872293">
        <w:rPr>
          <w:rFonts w:ascii="Times New Roman" w:hAnsi="Times New Roman" w:cs="Times New Roman"/>
          <w:sz w:val="24"/>
          <w:szCs w:val="24"/>
        </w:rPr>
        <w:t>for</w:t>
      </w:r>
      <w:r w:rsidR="0028658C" w:rsidRPr="00872293">
        <w:rPr>
          <w:rFonts w:ascii="Times New Roman" w:hAnsi="Times New Roman" w:cs="Times New Roman"/>
          <w:sz w:val="24"/>
          <w:szCs w:val="24"/>
        </w:rPr>
        <w:t xml:space="preserve"> </w:t>
      </w:r>
      <w:r w:rsidR="009A1921" w:rsidRPr="00872293">
        <w:rPr>
          <w:rFonts w:ascii="Times New Roman" w:hAnsi="Times New Roman" w:cs="Times New Roman"/>
          <w:sz w:val="24"/>
          <w:szCs w:val="24"/>
        </w:rPr>
        <w:t xml:space="preserve">withstanding </w:t>
      </w:r>
      <w:r w:rsidR="0028658C" w:rsidRPr="00872293">
        <w:rPr>
          <w:rFonts w:ascii="Times New Roman" w:hAnsi="Times New Roman" w:cs="Times New Roman"/>
          <w:sz w:val="24"/>
          <w:szCs w:val="24"/>
        </w:rPr>
        <w:t>hurricane disturbances</w:t>
      </w:r>
      <w:r w:rsidR="00CE40FA" w:rsidRPr="00872293">
        <w:rPr>
          <w:rFonts w:ascii="Times New Roman" w:hAnsi="Times New Roman" w:cs="Times New Roman"/>
          <w:sz w:val="24"/>
          <w:szCs w:val="24"/>
        </w:rPr>
        <w:t>, including in the</w:t>
      </w:r>
      <w:r w:rsidR="00A47004" w:rsidRPr="00872293">
        <w:rPr>
          <w:rFonts w:ascii="Times New Roman" w:hAnsi="Times New Roman" w:cs="Times New Roman"/>
          <w:sz w:val="24"/>
          <w:szCs w:val="24"/>
        </w:rPr>
        <w:t>ir</w:t>
      </w:r>
      <w:r w:rsidR="00CE40FA" w:rsidRPr="00872293">
        <w:rPr>
          <w:rFonts w:ascii="Times New Roman" w:hAnsi="Times New Roman" w:cs="Times New Roman"/>
          <w:sz w:val="24"/>
          <w:szCs w:val="24"/>
        </w:rPr>
        <w:t xml:space="preserve"> roots</w:t>
      </w:r>
      <w:r w:rsidR="003B47A4" w:rsidRPr="00872293">
        <w:rPr>
          <w:rFonts w:ascii="Times New Roman" w:hAnsi="Times New Roman" w:cs="Times New Roman"/>
          <w:sz w:val="24"/>
          <w:szCs w:val="24"/>
        </w:rPr>
        <w:t>.</w:t>
      </w:r>
      <w:r w:rsidR="00940010" w:rsidRPr="00872293">
        <w:rPr>
          <w:rFonts w:ascii="Times New Roman" w:hAnsi="Times New Roman" w:cs="Times New Roman"/>
          <w:sz w:val="24"/>
          <w:szCs w:val="24"/>
        </w:rPr>
        <w:t xml:space="preserve"> </w:t>
      </w:r>
      <w:r w:rsidR="00781819" w:rsidRPr="00872293">
        <w:rPr>
          <w:rFonts w:ascii="Times New Roman" w:hAnsi="Times New Roman" w:cs="Times New Roman"/>
          <w:sz w:val="24"/>
          <w:szCs w:val="24"/>
        </w:rPr>
        <w:t xml:space="preserve">Additionally, </w:t>
      </w:r>
      <w:r w:rsidR="00D071DE" w:rsidRPr="00872293">
        <w:rPr>
          <w:rFonts w:ascii="Times New Roman" w:hAnsi="Times New Roman" w:cs="Times New Roman"/>
          <w:sz w:val="24"/>
          <w:szCs w:val="24"/>
        </w:rPr>
        <w:t>as many</w:t>
      </w:r>
      <w:r w:rsidR="00362550" w:rsidRPr="00872293">
        <w:rPr>
          <w:rFonts w:ascii="Times New Roman" w:hAnsi="Times New Roman" w:cs="Times New Roman"/>
          <w:sz w:val="24"/>
          <w:szCs w:val="24"/>
        </w:rPr>
        <w:t xml:space="preserve"> </w:t>
      </w:r>
      <w:r w:rsidR="00CE40FA" w:rsidRPr="00872293">
        <w:rPr>
          <w:rFonts w:ascii="Times New Roman" w:hAnsi="Times New Roman" w:cs="Times New Roman"/>
          <w:sz w:val="24"/>
          <w:szCs w:val="24"/>
        </w:rPr>
        <w:t>t</w:t>
      </w:r>
      <w:r w:rsidR="00781819" w:rsidRPr="00872293">
        <w:rPr>
          <w:rFonts w:ascii="Times New Roman" w:hAnsi="Times New Roman" w:cs="Times New Roman"/>
          <w:sz w:val="24"/>
          <w:szCs w:val="24"/>
        </w:rPr>
        <w:t xml:space="preserve">ropical </w:t>
      </w:r>
      <w:r w:rsidR="00362550" w:rsidRPr="00872293">
        <w:rPr>
          <w:rFonts w:ascii="Times New Roman" w:hAnsi="Times New Roman" w:cs="Times New Roman"/>
          <w:sz w:val="24"/>
          <w:szCs w:val="24"/>
        </w:rPr>
        <w:t>forests</w:t>
      </w:r>
      <w:r w:rsidR="00D071DE" w:rsidRPr="00872293">
        <w:rPr>
          <w:rFonts w:ascii="Times New Roman" w:hAnsi="Times New Roman" w:cs="Times New Roman"/>
          <w:sz w:val="24"/>
          <w:szCs w:val="24"/>
        </w:rPr>
        <w:t xml:space="preserve">, </w:t>
      </w:r>
      <w:r w:rsidR="00362550" w:rsidRPr="00872293">
        <w:rPr>
          <w:rFonts w:ascii="Times New Roman" w:hAnsi="Times New Roman" w:cs="Times New Roman"/>
          <w:sz w:val="24"/>
          <w:szCs w:val="24"/>
        </w:rPr>
        <w:t>some in Puerto Rico</w:t>
      </w:r>
      <w:r w:rsidR="00D071DE" w:rsidRPr="00872293">
        <w:rPr>
          <w:rFonts w:ascii="Times New Roman" w:hAnsi="Times New Roman" w:cs="Times New Roman"/>
          <w:sz w:val="24"/>
          <w:szCs w:val="24"/>
        </w:rPr>
        <w:t xml:space="preserve"> have low </w:t>
      </w:r>
      <w:r w:rsidR="00CB648E" w:rsidRPr="00872293">
        <w:rPr>
          <w:rFonts w:ascii="Times New Roman" w:hAnsi="Times New Roman" w:cs="Times New Roman"/>
          <w:sz w:val="24"/>
          <w:szCs w:val="24"/>
        </w:rPr>
        <w:t>available</w:t>
      </w:r>
      <w:r w:rsidR="00D071DE" w:rsidRPr="00872293">
        <w:rPr>
          <w:rFonts w:ascii="Times New Roman" w:hAnsi="Times New Roman" w:cs="Times New Roman"/>
          <w:sz w:val="24"/>
          <w:szCs w:val="24"/>
        </w:rPr>
        <w:t xml:space="preserve"> phosphorus (P)</w:t>
      </w:r>
      <w:r w:rsidR="00CE40FA" w:rsidRPr="00872293">
        <w:rPr>
          <w:rFonts w:ascii="Times New Roman" w:hAnsi="Times New Roman" w:cs="Times New Roman"/>
          <w:sz w:val="24"/>
          <w:szCs w:val="24"/>
        </w:rPr>
        <w:t>; t</w:t>
      </w:r>
      <w:r w:rsidR="00223C48" w:rsidRPr="00872293">
        <w:rPr>
          <w:rFonts w:ascii="Times New Roman" w:hAnsi="Times New Roman" w:cs="Times New Roman"/>
          <w:sz w:val="24"/>
          <w:szCs w:val="24"/>
        </w:rPr>
        <w:t xml:space="preserve">hus, </w:t>
      </w:r>
      <w:r w:rsidR="00EB6BA8" w:rsidRPr="00872293">
        <w:rPr>
          <w:rFonts w:ascii="Times New Roman" w:hAnsi="Times New Roman"/>
          <w:sz w:val="24"/>
          <w:szCs w:val="24"/>
        </w:rPr>
        <w:t>trees</w:t>
      </w:r>
      <w:r w:rsidR="00781819" w:rsidRPr="00872293">
        <w:rPr>
          <w:rFonts w:ascii="Times New Roman" w:hAnsi="Times New Roman"/>
          <w:sz w:val="24"/>
          <w:szCs w:val="24"/>
        </w:rPr>
        <w:t xml:space="preserve"> </w:t>
      </w:r>
      <w:r w:rsidR="006641CD" w:rsidRPr="00872293">
        <w:rPr>
          <w:rFonts w:ascii="Times New Roman" w:hAnsi="Times New Roman"/>
          <w:sz w:val="24"/>
          <w:szCs w:val="24"/>
        </w:rPr>
        <w:t>rely on</w:t>
      </w:r>
      <w:r w:rsidR="00781819" w:rsidRPr="00872293">
        <w:rPr>
          <w:rFonts w:ascii="Times New Roman" w:hAnsi="Times New Roman"/>
          <w:sz w:val="24"/>
          <w:szCs w:val="24"/>
        </w:rPr>
        <w:t xml:space="preserve"> root </w:t>
      </w:r>
      <w:r w:rsidR="0066369A" w:rsidRPr="00872293">
        <w:rPr>
          <w:rFonts w:ascii="Times New Roman" w:hAnsi="Times New Roman"/>
          <w:sz w:val="24"/>
          <w:szCs w:val="24"/>
        </w:rPr>
        <w:t>traits</w:t>
      </w:r>
      <w:r w:rsidR="00781819" w:rsidRPr="00872293">
        <w:rPr>
          <w:rFonts w:ascii="Times New Roman" w:hAnsi="Times New Roman"/>
          <w:sz w:val="24"/>
          <w:szCs w:val="24"/>
        </w:rPr>
        <w:t xml:space="preserve"> to enhance P acquisition</w:t>
      </w:r>
      <w:r w:rsidR="00CE40FA" w:rsidRPr="00872293">
        <w:rPr>
          <w:rFonts w:ascii="Times New Roman" w:hAnsi="Times New Roman"/>
          <w:sz w:val="24"/>
          <w:szCs w:val="24"/>
        </w:rPr>
        <w:t xml:space="preserve">. For example, </w:t>
      </w:r>
      <w:r w:rsidR="008A4A25" w:rsidRPr="00872293">
        <w:rPr>
          <w:rFonts w:ascii="Times New Roman" w:hAnsi="Times New Roman"/>
          <w:sz w:val="24"/>
          <w:szCs w:val="24"/>
        </w:rPr>
        <w:t>higher</w:t>
      </w:r>
      <w:r w:rsidR="00CE40FA" w:rsidRPr="00872293">
        <w:rPr>
          <w:rFonts w:ascii="Times New Roman" w:hAnsi="Times New Roman"/>
          <w:sz w:val="24"/>
          <w:szCs w:val="24"/>
        </w:rPr>
        <w:t xml:space="preserve"> root mycorrhizal colonization</w:t>
      </w:r>
      <w:r w:rsidR="00781819" w:rsidRPr="00872293">
        <w:rPr>
          <w:rFonts w:ascii="Times New Roman" w:hAnsi="Times New Roman"/>
          <w:sz w:val="24"/>
          <w:szCs w:val="24"/>
        </w:rPr>
        <w:t xml:space="preserve">, branching, </w:t>
      </w:r>
      <w:r w:rsidR="008A4A25" w:rsidRPr="00872293">
        <w:rPr>
          <w:rFonts w:ascii="Times New Roman" w:hAnsi="Times New Roman"/>
          <w:sz w:val="24"/>
          <w:szCs w:val="24"/>
        </w:rPr>
        <w:t>and</w:t>
      </w:r>
      <w:r w:rsidR="00781819" w:rsidRPr="00872293">
        <w:rPr>
          <w:rFonts w:ascii="Times New Roman" w:hAnsi="Times New Roman"/>
          <w:sz w:val="24"/>
          <w:szCs w:val="24"/>
        </w:rPr>
        <w:t xml:space="preserve"> </w:t>
      </w:r>
      <w:r w:rsidR="00ED4E95" w:rsidRPr="00872293">
        <w:rPr>
          <w:rFonts w:ascii="Times New Roman" w:hAnsi="Times New Roman"/>
          <w:sz w:val="24"/>
          <w:szCs w:val="24"/>
        </w:rPr>
        <w:t xml:space="preserve">exudation of </w:t>
      </w:r>
      <w:r w:rsidR="00781819" w:rsidRPr="00872293">
        <w:rPr>
          <w:rFonts w:ascii="Times New Roman" w:hAnsi="Times New Roman"/>
          <w:sz w:val="24"/>
          <w:szCs w:val="24"/>
        </w:rPr>
        <w:t xml:space="preserve">phosphatase enzymes </w:t>
      </w:r>
      <w:r w:rsidR="00CE40FA" w:rsidRPr="00872293">
        <w:rPr>
          <w:rFonts w:ascii="Times New Roman" w:hAnsi="Times New Roman"/>
          <w:sz w:val="24"/>
          <w:szCs w:val="24"/>
        </w:rPr>
        <w:t xml:space="preserve">can </w:t>
      </w:r>
      <w:r w:rsidR="008A4A25" w:rsidRPr="00872293">
        <w:rPr>
          <w:rFonts w:ascii="Times New Roman" w:hAnsi="Times New Roman"/>
          <w:sz w:val="24"/>
          <w:szCs w:val="24"/>
        </w:rPr>
        <w:t xml:space="preserve">each </w:t>
      </w:r>
      <w:r w:rsidR="00CE40FA" w:rsidRPr="00872293">
        <w:rPr>
          <w:rFonts w:ascii="Times New Roman" w:hAnsi="Times New Roman"/>
          <w:sz w:val="24"/>
          <w:szCs w:val="24"/>
        </w:rPr>
        <w:t>optimize P uptake</w:t>
      </w:r>
      <w:r w:rsidR="00781819" w:rsidRPr="00872293">
        <w:rPr>
          <w:rFonts w:ascii="Times New Roman" w:hAnsi="Times New Roman"/>
          <w:spacing w:val="2"/>
          <w:sz w:val="24"/>
          <w:szCs w:val="24"/>
        </w:rPr>
        <w:t>. Yet, the</w:t>
      </w:r>
      <w:r w:rsidR="0066369A" w:rsidRPr="00872293">
        <w:rPr>
          <w:rFonts w:ascii="Times New Roman" w:hAnsi="Times New Roman"/>
          <w:spacing w:val="2"/>
          <w:sz w:val="24"/>
          <w:szCs w:val="24"/>
        </w:rPr>
        <w:t xml:space="preserve"> high cost</w:t>
      </w:r>
      <w:r w:rsidR="00EB6BA8" w:rsidRPr="00872293">
        <w:rPr>
          <w:rFonts w:ascii="Times New Roman" w:hAnsi="Times New Roman"/>
          <w:spacing w:val="2"/>
          <w:sz w:val="24"/>
          <w:szCs w:val="24"/>
        </w:rPr>
        <w:t xml:space="preserve"> </w:t>
      </w:r>
      <w:r w:rsidR="00CE40FA" w:rsidRPr="00872293">
        <w:rPr>
          <w:rFonts w:ascii="Times New Roman" w:hAnsi="Times New Roman"/>
          <w:spacing w:val="2"/>
          <w:sz w:val="24"/>
          <w:szCs w:val="24"/>
        </w:rPr>
        <w:t>invested on</w:t>
      </w:r>
      <w:r w:rsidR="00781819" w:rsidRPr="00872293">
        <w:rPr>
          <w:rFonts w:ascii="Times New Roman" w:hAnsi="Times New Roman"/>
          <w:spacing w:val="2"/>
          <w:sz w:val="24"/>
          <w:szCs w:val="24"/>
        </w:rPr>
        <w:t xml:space="preserve"> these traits</w:t>
      </w:r>
      <w:r w:rsidR="000F30DB" w:rsidRPr="00872293">
        <w:rPr>
          <w:rFonts w:ascii="Times New Roman" w:hAnsi="Times New Roman"/>
          <w:spacing w:val="2"/>
          <w:sz w:val="24"/>
          <w:szCs w:val="24"/>
        </w:rPr>
        <w:t xml:space="preserve"> is a trade-off</w:t>
      </w:r>
      <w:r w:rsidR="00EC7087" w:rsidRPr="00872293">
        <w:rPr>
          <w:rFonts w:ascii="Times New Roman" w:hAnsi="Times New Roman"/>
          <w:spacing w:val="2"/>
          <w:sz w:val="24"/>
          <w:szCs w:val="24"/>
        </w:rPr>
        <w:t xml:space="preserve">, </w:t>
      </w:r>
      <w:r w:rsidR="00CB648E" w:rsidRPr="00872293">
        <w:rPr>
          <w:rFonts w:ascii="Times New Roman" w:hAnsi="Times New Roman"/>
          <w:spacing w:val="2"/>
          <w:sz w:val="24"/>
          <w:szCs w:val="24"/>
        </w:rPr>
        <w:t xml:space="preserve">which results in a diversity of traits </w:t>
      </w:r>
      <w:r w:rsidR="008A4A25" w:rsidRPr="00872293">
        <w:rPr>
          <w:rFonts w:ascii="Times New Roman" w:hAnsi="Times New Roman"/>
          <w:spacing w:val="2"/>
          <w:sz w:val="24"/>
          <w:szCs w:val="24"/>
        </w:rPr>
        <w:t>among</w:t>
      </w:r>
      <w:r w:rsidR="00CB648E" w:rsidRPr="00872293">
        <w:rPr>
          <w:rFonts w:ascii="Times New Roman" w:hAnsi="Times New Roman"/>
          <w:spacing w:val="2"/>
          <w:sz w:val="24"/>
          <w:szCs w:val="24"/>
        </w:rPr>
        <w:t xml:space="preserve"> species</w:t>
      </w:r>
      <w:r w:rsidR="00781819" w:rsidRPr="00872293">
        <w:rPr>
          <w:rFonts w:ascii="Times New Roman" w:hAnsi="Times New Roman"/>
          <w:spacing w:val="2"/>
          <w:sz w:val="24"/>
          <w:szCs w:val="24"/>
        </w:rPr>
        <w:t>.</w:t>
      </w:r>
      <w:r w:rsidR="009D7EF2" w:rsidRPr="00872293">
        <w:rPr>
          <w:rFonts w:ascii="Times New Roman" w:hAnsi="Times New Roman"/>
          <w:spacing w:val="2"/>
          <w:sz w:val="24"/>
          <w:szCs w:val="24"/>
        </w:rPr>
        <w:t xml:space="preserve"> </w:t>
      </w:r>
      <w:r w:rsidR="0069115F" w:rsidRPr="00872293">
        <w:rPr>
          <w:rFonts w:ascii="Times New Roman" w:hAnsi="Times New Roman"/>
          <w:spacing w:val="2"/>
          <w:sz w:val="24"/>
          <w:szCs w:val="24"/>
        </w:rPr>
        <w:t xml:space="preserve">The aim of this dissertation was to </w:t>
      </w:r>
      <w:r w:rsidR="005A4A9D" w:rsidRPr="00872293">
        <w:rPr>
          <w:rFonts w:ascii="Times New Roman" w:hAnsi="Times New Roman"/>
          <w:spacing w:val="2"/>
          <w:sz w:val="24"/>
          <w:szCs w:val="24"/>
        </w:rPr>
        <w:t>synthesize</w:t>
      </w:r>
      <w:r w:rsidR="0069115F" w:rsidRPr="00872293">
        <w:rPr>
          <w:rFonts w:ascii="Times New Roman" w:hAnsi="Times New Roman"/>
          <w:spacing w:val="2"/>
          <w:sz w:val="24"/>
          <w:szCs w:val="24"/>
        </w:rPr>
        <w:t xml:space="preserve"> </w:t>
      </w:r>
      <w:r w:rsidR="005A4A9D" w:rsidRPr="00872293">
        <w:rPr>
          <w:rFonts w:ascii="Times New Roman" w:hAnsi="Times New Roman"/>
          <w:spacing w:val="2"/>
          <w:sz w:val="24"/>
          <w:szCs w:val="24"/>
        </w:rPr>
        <w:t>root studies from Puerto Rico for the past 50 year</w:t>
      </w:r>
      <w:r w:rsidR="003C05C1" w:rsidRPr="00872293">
        <w:rPr>
          <w:rFonts w:ascii="Times New Roman" w:hAnsi="Times New Roman"/>
          <w:spacing w:val="2"/>
          <w:sz w:val="24"/>
          <w:szCs w:val="24"/>
        </w:rPr>
        <w:t>s</w:t>
      </w:r>
      <w:r w:rsidR="005A4A9D" w:rsidRPr="00872293">
        <w:rPr>
          <w:rFonts w:ascii="Times New Roman" w:hAnsi="Times New Roman"/>
          <w:spacing w:val="2"/>
          <w:sz w:val="24"/>
          <w:szCs w:val="24"/>
        </w:rPr>
        <w:t xml:space="preserve">, </w:t>
      </w:r>
      <w:r w:rsidR="0069115F" w:rsidRPr="00872293">
        <w:rPr>
          <w:rFonts w:ascii="Times New Roman" w:hAnsi="Times New Roman"/>
          <w:spacing w:val="2"/>
          <w:sz w:val="24"/>
          <w:szCs w:val="24"/>
        </w:rPr>
        <w:t xml:space="preserve">measure </w:t>
      </w:r>
      <w:r w:rsidR="005A4A9D" w:rsidRPr="00872293">
        <w:rPr>
          <w:rFonts w:ascii="Times New Roman" w:hAnsi="Times New Roman"/>
          <w:spacing w:val="2"/>
          <w:sz w:val="24"/>
          <w:szCs w:val="24"/>
        </w:rPr>
        <w:t>root response to warming and hurricanes</w:t>
      </w:r>
      <w:r w:rsidR="00950593" w:rsidRPr="00872293">
        <w:rPr>
          <w:rFonts w:ascii="Times New Roman" w:hAnsi="Times New Roman"/>
          <w:spacing w:val="2"/>
          <w:sz w:val="24"/>
          <w:szCs w:val="24"/>
        </w:rPr>
        <w:t xml:space="preserve"> disturbances</w:t>
      </w:r>
      <w:r w:rsidR="005A4A9D" w:rsidRPr="00872293">
        <w:rPr>
          <w:rFonts w:ascii="Times New Roman" w:hAnsi="Times New Roman"/>
          <w:spacing w:val="2"/>
          <w:sz w:val="24"/>
          <w:szCs w:val="24"/>
        </w:rPr>
        <w:t xml:space="preserve">, and </w:t>
      </w:r>
      <w:r w:rsidR="000F30DB" w:rsidRPr="00872293">
        <w:rPr>
          <w:rFonts w:ascii="Times New Roman" w:hAnsi="Times New Roman"/>
          <w:spacing w:val="2"/>
          <w:sz w:val="24"/>
          <w:szCs w:val="24"/>
        </w:rPr>
        <w:t xml:space="preserve">test </w:t>
      </w:r>
      <w:r w:rsidR="003C05C1" w:rsidRPr="00872293">
        <w:rPr>
          <w:rFonts w:ascii="Times New Roman" w:hAnsi="Times New Roman"/>
          <w:spacing w:val="2"/>
          <w:sz w:val="24"/>
          <w:szCs w:val="24"/>
        </w:rPr>
        <w:t xml:space="preserve">root trait strategies related to P acquisition </w:t>
      </w:r>
      <w:r w:rsidR="00CB648E" w:rsidRPr="00872293">
        <w:rPr>
          <w:rFonts w:ascii="Times New Roman" w:hAnsi="Times New Roman"/>
          <w:spacing w:val="2"/>
          <w:sz w:val="24"/>
          <w:szCs w:val="24"/>
        </w:rPr>
        <w:t>from</w:t>
      </w:r>
      <w:r w:rsidR="003C05C1" w:rsidRPr="00872293">
        <w:rPr>
          <w:rFonts w:ascii="Times New Roman" w:hAnsi="Times New Roman"/>
          <w:spacing w:val="2"/>
          <w:sz w:val="24"/>
          <w:szCs w:val="24"/>
        </w:rPr>
        <w:t xml:space="preserve"> common species of the island</w:t>
      </w:r>
      <w:r w:rsidR="0069115F" w:rsidRPr="00872293">
        <w:rPr>
          <w:rFonts w:ascii="Times New Roman" w:hAnsi="Times New Roman"/>
          <w:spacing w:val="2"/>
          <w:sz w:val="24"/>
          <w:szCs w:val="24"/>
        </w:rPr>
        <w:t>.</w:t>
      </w:r>
    </w:p>
    <w:p w14:paraId="6F3780B5" w14:textId="42A58DEE" w:rsidR="00351536" w:rsidRPr="00872293" w:rsidRDefault="00950593" w:rsidP="00E7266D">
      <w:pPr>
        <w:pStyle w:val="HTMLPreformatted"/>
        <w:shd w:val="clear" w:color="auto" w:fill="FFFFFF"/>
        <w:spacing w:before="240" w:line="360" w:lineRule="auto"/>
        <w:rPr>
          <w:rFonts w:ascii="Times New Roman" w:hAnsi="Times New Roman" w:cs="Times New Roman"/>
          <w:sz w:val="24"/>
          <w:szCs w:val="24"/>
        </w:rPr>
      </w:pPr>
      <w:r w:rsidRPr="00872293">
        <w:rPr>
          <w:rFonts w:ascii="Times New Roman" w:hAnsi="Times New Roman" w:cs="Times New Roman"/>
          <w:sz w:val="24"/>
          <w:szCs w:val="24"/>
        </w:rPr>
        <w:t>I</w:t>
      </w:r>
      <w:r w:rsidR="002379BE" w:rsidRPr="00872293">
        <w:rPr>
          <w:rFonts w:ascii="Times New Roman" w:hAnsi="Times New Roman" w:cs="Times New Roman"/>
          <w:sz w:val="24"/>
          <w:szCs w:val="24"/>
        </w:rPr>
        <w:t xml:space="preserve"> found </w:t>
      </w:r>
      <w:r w:rsidR="00A47004" w:rsidRPr="00872293">
        <w:rPr>
          <w:rFonts w:ascii="Times New Roman" w:hAnsi="Times New Roman" w:cs="Times New Roman"/>
          <w:sz w:val="24"/>
          <w:szCs w:val="24"/>
        </w:rPr>
        <w:t xml:space="preserve">from previous studies that rooting depth in Puerto Rico is </w:t>
      </w:r>
      <w:r w:rsidR="009B48F7" w:rsidRPr="00872293">
        <w:rPr>
          <w:rFonts w:ascii="Times New Roman" w:hAnsi="Times New Roman" w:cs="Times New Roman"/>
          <w:sz w:val="24"/>
          <w:szCs w:val="24"/>
        </w:rPr>
        <w:t>shallow (&lt;20cm)</w:t>
      </w:r>
      <w:r w:rsidR="00FA7790" w:rsidRPr="00872293">
        <w:rPr>
          <w:rFonts w:ascii="Times New Roman" w:hAnsi="Times New Roman" w:cs="Times New Roman"/>
          <w:sz w:val="24"/>
          <w:szCs w:val="24"/>
        </w:rPr>
        <w:t xml:space="preserve">, </w:t>
      </w:r>
      <w:r w:rsidR="00A47004" w:rsidRPr="00872293">
        <w:rPr>
          <w:rFonts w:ascii="Times New Roman" w:hAnsi="Times New Roman" w:cs="Times New Roman"/>
          <w:sz w:val="24"/>
          <w:szCs w:val="24"/>
        </w:rPr>
        <w:t xml:space="preserve">root </w:t>
      </w:r>
      <w:r w:rsidR="00751CF3" w:rsidRPr="00872293">
        <w:rPr>
          <w:rFonts w:ascii="Times New Roman" w:hAnsi="Times New Roman" w:cs="Times New Roman"/>
          <w:sz w:val="24"/>
          <w:szCs w:val="24"/>
        </w:rPr>
        <w:t>nutrient</w:t>
      </w:r>
      <w:r w:rsidR="00EE2EE8" w:rsidRPr="00872293">
        <w:rPr>
          <w:rFonts w:ascii="Times New Roman" w:hAnsi="Times New Roman" w:cs="Times New Roman"/>
          <w:sz w:val="24"/>
          <w:szCs w:val="24"/>
        </w:rPr>
        <w:t xml:space="preserve"> concentrations</w:t>
      </w:r>
      <w:r w:rsidR="00FA7790" w:rsidRPr="00872293">
        <w:rPr>
          <w:rFonts w:ascii="Times New Roman" w:hAnsi="Times New Roman" w:cs="Times New Roman"/>
          <w:sz w:val="24"/>
          <w:szCs w:val="24"/>
        </w:rPr>
        <w:t xml:space="preserve"> </w:t>
      </w:r>
      <w:r w:rsidR="00A47004" w:rsidRPr="00872293">
        <w:rPr>
          <w:rFonts w:ascii="Times New Roman" w:hAnsi="Times New Roman" w:cs="Times New Roman"/>
          <w:sz w:val="24"/>
          <w:szCs w:val="24"/>
        </w:rPr>
        <w:t>do not vary much</w:t>
      </w:r>
      <w:r w:rsidR="004854AC" w:rsidRPr="00872293">
        <w:rPr>
          <w:rFonts w:ascii="Times New Roman" w:hAnsi="Times New Roman" w:cs="Times New Roman"/>
          <w:sz w:val="24"/>
          <w:szCs w:val="24"/>
        </w:rPr>
        <w:t xml:space="preserve"> </w:t>
      </w:r>
      <w:r w:rsidR="00FA7790" w:rsidRPr="00872293">
        <w:rPr>
          <w:rFonts w:ascii="Times New Roman" w:hAnsi="Times New Roman" w:cs="Times New Roman"/>
          <w:sz w:val="24"/>
          <w:szCs w:val="24"/>
        </w:rPr>
        <w:t>across forests</w:t>
      </w:r>
      <w:r w:rsidR="00EE2EE8" w:rsidRPr="00872293">
        <w:rPr>
          <w:rFonts w:ascii="Times New Roman" w:hAnsi="Times New Roman" w:cs="Times New Roman"/>
          <w:sz w:val="24"/>
          <w:szCs w:val="24"/>
        </w:rPr>
        <w:t>,</w:t>
      </w:r>
      <w:r w:rsidR="00FA7790" w:rsidRPr="00872293">
        <w:rPr>
          <w:rFonts w:ascii="Times New Roman" w:hAnsi="Times New Roman" w:cs="Times New Roman"/>
          <w:sz w:val="24"/>
          <w:szCs w:val="24"/>
        </w:rPr>
        <w:t xml:space="preserve"> and the</w:t>
      </w:r>
      <w:r w:rsidR="00A47004" w:rsidRPr="00872293">
        <w:rPr>
          <w:rFonts w:ascii="Times New Roman" w:hAnsi="Times New Roman" w:cs="Times New Roman"/>
          <w:sz w:val="24"/>
          <w:szCs w:val="24"/>
        </w:rPr>
        <w:t>re is</w:t>
      </w:r>
      <w:r w:rsidR="00FA7790" w:rsidRPr="00872293">
        <w:rPr>
          <w:rFonts w:ascii="Times New Roman" w:hAnsi="Times New Roman" w:cs="Times New Roman"/>
          <w:sz w:val="24"/>
          <w:szCs w:val="24"/>
        </w:rPr>
        <w:t xml:space="preserve"> under-representation of forests outside the Luquillo Experimental Forest.</w:t>
      </w:r>
      <w:r w:rsidR="00476DC6" w:rsidRPr="00872293">
        <w:rPr>
          <w:rFonts w:ascii="Times New Roman" w:hAnsi="Times New Roman" w:cs="Times New Roman"/>
          <w:sz w:val="24"/>
          <w:szCs w:val="24"/>
        </w:rPr>
        <w:t xml:space="preserve"> </w:t>
      </w:r>
      <w:r w:rsidRPr="00872293">
        <w:rPr>
          <w:rFonts w:ascii="Times New Roman" w:hAnsi="Times New Roman" w:cs="Times New Roman"/>
          <w:sz w:val="24"/>
          <w:szCs w:val="24"/>
        </w:rPr>
        <w:t>I</w:t>
      </w:r>
      <w:r w:rsidR="00476DC6" w:rsidRPr="00872293">
        <w:rPr>
          <w:rFonts w:ascii="Times New Roman" w:hAnsi="Times New Roman" w:cs="Times New Roman"/>
          <w:sz w:val="24"/>
          <w:szCs w:val="24"/>
        </w:rPr>
        <w:t xml:space="preserve"> measured a negative effect of warming on root production and biomass after 7 months of experimental warming. </w:t>
      </w:r>
      <w:r w:rsidRPr="00872293">
        <w:rPr>
          <w:rFonts w:ascii="Times New Roman" w:hAnsi="Times New Roman" w:cs="Times New Roman"/>
          <w:sz w:val="24"/>
          <w:szCs w:val="24"/>
        </w:rPr>
        <w:t xml:space="preserve">I </w:t>
      </w:r>
      <w:r w:rsidR="00476DC6" w:rsidRPr="00872293">
        <w:rPr>
          <w:rFonts w:ascii="Times New Roman" w:hAnsi="Times New Roman" w:cs="Times New Roman"/>
          <w:sz w:val="24"/>
          <w:szCs w:val="24"/>
        </w:rPr>
        <w:t>captured an overall increase of root biomass after 10 months of the hurricanes (Irma and María)</w:t>
      </w:r>
      <w:r w:rsidR="00312082" w:rsidRPr="00872293">
        <w:rPr>
          <w:rFonts w:ascii="Times New Roman" w:hAnsi="Times New Roman" w:cs="Times New Roman"/>
          <w:sz w:val="24"/>
          <w:szCs w:val="24"/>
        </w:rPr>
        <w:t xml:space="preserve"> possibly</w:t>
      </w:r>
      <w:r w:rsidR="00476DC6" w:rsidRPr="00872293">
        <w:rPr>
          <w:rFonts w:ascii="Times New Roman" w:hAnsi="Times New Roman" w:cs="Times New Roman"/>
          <w:sz w:val="24"/>
          <w:szCs w:val="24"/>
        </w:rPr>
        <w:t xml:space="preserve"> </w:t>
      </w:r>
      <w:r w:rsidR="004854AC" w:rsidRPr="00872293">
        <w:rPr>
          <w:rFonts w:ascii="Times New Roman" w:hAnsi="Times New Roman" w:cs="Times New Roman"/>
          <w:sz w:val="24"/>
          <w:szCs w:val="24"/>
        </w:rPr>
        <w:t>due</w:t>
      </w:r>
      <w:r w:rsidR="00312082" w:rsidRPr="00872293">
        <w:rPr>
          <w:rFonts w:ascii="Times New Roman" w:hAnsi="Times New Roman" w:cs="Times New Roman"/>
          <w:sz w:val="24"/>
          <w:szCs w:val="24"/>
        </w:rPr>
        <w:t xml:space="preserve"> to</w:t>
      </w:r>
      <w:r w:rsidR="00476DC6" w:rsidRPr="00872293">
        <w:rPr>
          <w:rFonts w:ascii="Times New Roman" w:hAnsi="Times New Roman" w:cs="Times New Roman"/>
          <w:sz w:val="24"/>
          <w:szCs w:val="24"/>
        </w:rPr>
        <w:t xml:space="preserve"> plant composition change. Yet, the increase in root biomass was </w:t>
      </w:r>
      <w:r w:rsidR="00A47004" w:rsidRPr="00872293">
        <w:rPr>
          <w:rFonts w:ascii="Times New Roman" w:hAnsi="Times New Roman" w:cs="Times New Roman"/>
          <w:sz w:val="24"/>
          <w:szCs w:val="24"/>
        </w:rPr>
        <w:t>less in</w:t>
      </w:r>
      <w:r w:rsidR="00476DC6" w:rsidRPr="00872293">
        <w:rPr>
          <w:rFonts w:ascii="Times New Roman" w:hAnsi="Times New Roman" w:cs="Times New Roman"/>
          <w:sz w:val="24"/>
          <w:szCs w:val="24"/>
        </w:rPr>
        <w:t xml:space="preserve"> previously warmed plots</w:t>
      </w:r>
      <w:r w:rsidR="00A47004" w:rsidRPr="00872293">
        <w:rPr>
          <w:rFonts w:ascii="Times New Roman" w:hAnsi="Times New Roman" w:cs="Times New Roman"/>
          <w:sz w:val="24"/>
          <w:szCs w:val="24"/>
        </w:rPr>
        <w:t xml:space="preserve"> than </w:t>
      </w:r>
      <w:r w:rsidR="00ED4E95" w:rsidRPr="00872293">
        <w:rPr>
          <w:rFonts w:ascii="Times New Roman" w:hAnsi="Times New Roman" w:cs="Times New Roman"/>
          <w:sz w:val="24"/>
          <w:szCs w:val="24"/>
        </w:rPr>
        <w:t xml:space="preserve">in </w:t>
      </w:r>
      <w:r w:rsidR="00A47004" w:rsidRPr="00872293">
        <w:rPr>
          <w:rFonts w:ascii="Times New Roman" w:hAnsi="Times New Roman" w:cs="Times New Roman"/>
          <w:sz w:val="24"/>
          <w:szCs w:val="24"/>
        </w:rPr>
        <w:t>control plots</w:t>
      </w:r>
      <w:r w:rsidR="00722784" w:rsidRPr="00872293">
        <w:rPr>
          <w:rFonts w:ascii="Times New Roman" w:hAnsi="Times New Roman" w:cs="Times New Roman"/>
          <w:sz w:val="24"/>
          <w:szCs w:val="24"/>
        </w:rPr>
        <w:t xml:space="preserve">, suggesting a legacy effect of the warming treatment </w:t>
      </w:r>
      <w:r w:rsidR="00312082" w:rsidRPr="00872293">
        <w:rPr>
          <w:rFonts w:ascii="Times New Roman" w:hAnsi="Times New Roman" w:cs="Times New Roman"/>
          <w:sz w:val="24"/>
          <w:szCs w:val="24"/>
        </w:rPr>
        <w:t>o</w:t>
      </w:r>
      <w:r w:rsidR="00722784" w:rsidRPr="00872293">
        <w:rPr>
          <w:rFonts w:ascii="Times New Roman" w:hAnsi="Times New Roman" w:cs="Times New Roman"/>
          <w:sz w:val="24"/>
          <w:szCs w:val="24"/>
        </w:rPr>
        <w:t>n the recovery of roots.</w:t>
      </w:r>
      <w:r w:rsidR="001D5DED" w:rsidRPr="00872293">
        <w:rPr>
          <w:rFonts w:ascii="Times New Roman" w:hAnsi="Times New Roman" w:cs="Times New Roman"/>
          <w:sz w:val="24"/>
          <w:szCs w:val="24"/>
        </w:rPr>
        <w:t xml:space="preserve"> </w:t>
      </w:r>
      <w:r w:rsidR="00BC31D4" w:rsidRPr="00872293">
        <w:rPr>
          <w:rFonts w:ascii="Times New Roman" w:hAnsi="Times New Roman" w:cs="Times New Roman"/>
          <w:sz w:val="24"/>
          <w:szCs w:val="24"/>
        </w:rPr>
        <w:t xml:space="preserve">When testing root traits related to P acquisition, </w:t>
      </w:r>
      <w:r w:rsidRPr="00872293">
        <w:rPr>
          <w:rFonts w:ascii="Times New Roman" w:hAnsi="Times New Roman" w:cs="Times New Roman"/>
          <w:sz w:val="24"/>
          <w:szCs w:val="24"/>
        </w:rPr>
        <w:t>I</w:t>
      </w:r>
      <w:r w:rsidR="00BC31D4" w:rsidRPr="00872293">
        <w:rPr>
          <w:rFonts w:ascii="Times New Roman" w:hAnsi="Times New Roman" w:cs="Times New Roman"/>
          <w:sz w:val="24"/>
          <w:szCs w:val="24"/>
        </w:rPr>
        <w:t xml:space="preserve"> found that </w:t>
      </w:r>
      <w:r w:rsidR="00EF7AB6" w:rsidRPr="00872293">
        <w:rPr>
          <w:rFonts w:ascii="Times New Roman" w:hAnsi="Times New Roman" w:cs="Times New Roman"/>
          <w:sz w:val="24"/>
          <w:szCs w:val="24"/>
        </w:rPr>
        <w:t>species with high</w:t>
      </w:r>
      <w:r w:rsidR="00722784" w:rsidRPr="00872293">
        <w:rPr>
          <w:rFonts w:ascii="Times New Roman" w:hAnsi="Times New Roman" w:cs="Times New Roman"/>
          <w:sz w:val="24"/>
          <w:szCs w:val="24"/>
        </w:rPr>
        <w:t xml:space="preserve"> mycorrhizal colonization </w:t>
      </w:r>
      <w:r w:rsidR="00EF7AB6" w:rsidRPr="00872293">
        <w:rPr>
          <w:rFonts w:ascii="Times New Roman" w:hAnsi="Times New Roman" w:cs="Times New Roman"/>
          <w:sz w:val="24"/>
          <w:szCs w:val="24"/>
        </w:rPr>
        <w:t>also had high</w:t>
      </w:r>
      <w:r w:rsidR="00722784" w:rsidRPr="00872293">
        <w:rPr>
          <w:rFonts w:ascii="Times New Roman" w:hAnsi="Times New Roman" w:cs="Times New Roman"/>
          <w:sz w:val="24"/>
          <w:szCs w:val="24"/>
        </w:rPr>
        <w:t xml:space="preserve"> root phosphatase activity, </w:t>
      </w:r>
      <w:r w:rsidR="00FF5953" w:rsidRPr="00872293">
        <w:rPr>
          <w:rFonts w:ascii="Times New Roman" w:hAnsi="Times New Roman" w:cs="Times New Roman"/>
          <w:sz w:val="24"/>
          <w:szCs w:val="24"/>
        </w:rPr>
        <w:t>but low branching ratio. This suggests</w:t>
      </w:r>
      <w:r w:rsidR="00722784" w:rsidRPr="00872293">
        <w:rPr>
          <w:rFonts w:ascii="Times New Roman" w:hAnsi="Times New Roman" w:cs="Times New Roman"/>
          <w:sz w:val="24"/>
          <w:szCs w:val="24"/>
        </w:rPr>
        <w:t xml:space="preserve"> a combined contribution of phosphatase enzymes from the plant and their fungal partners to obtain soil P</w:t>
      </w:r>
      <w:r w:rsidR="00FF5953" w:rsidRPr="00872293">
        <w:rPr>
          <w:rFonts w:ascii="Times New Roman" w:hAnsi="Times New Roman" w:cs="Times New Roman"/>
          <w:sz w:val="24"/>
          <w:szCs w:val="24"/>
        </w:rPr>
        <w:t xml:space="preserve">, and </w:t>
      </w:r>
      <w:r w:rsidR="00722784" w:rsidRPr="00872293">
        <w:rPr>
          <w:rFonts w:ascii="Times New Roman" w:hAnsi="Times New Roman" w:cs="Times New Roman"/>
          <w:sz w:val="24"/>
          <w:szCs w:val="24"/>
        </w:rPr>
        <w:t xml:space="preserve">that plants will either invest in more branched roots, or </w:t>
      </w:r>
      <w:r w:rsidR="00FF5953" w:rsidRPr="00872293">
        <w:rPr>
          <w:rFonts w:ascii="Times New Roman" w:hAnsi="Times New Roman" w:cs="Times New Roman"/>
          <w:sz w:val="24"/>
          <w:szCs w:val="24"/>
        </w:rPr>
        <w:t>more</w:t>
      </w:r>
      <w:r w:rsidR="00722784" w:rsidRPr="00872293">
        <w:rPr>
          <w:rFonts w:ascii="Times New Roman" w:hAnsi="Times New Roman" w:cs="Times New Roman"/>
          <w:sz w:val="24"/>
          <w:szCs w:val="24"/>
        </w:rPr>
        <w:t xml:space="preserve"> mycorrhizal colonization and more phosphatase exudation.</w:t>
      </w:r>
    </w:p>
    <w:p w14:paraId="1B02018A" w14:textId="3701D46A" w:rsidR="00D063F2" w:rsidRPr="00872293" w:rsidRDefault="002B4FA1" w:rsidP="002B4FA1">
      <w:pPr>
        <w:rPr>
          <w:rFonts w:ascii="Times New Roman" w:hAnsi="Times New Roman" w:cs="Times New Roman"/>
        </w:rPr>
      </w:pPr>
      <w:r w:rsidRPr="00872293">
        <w:rPr>
          <w:rFonts w:ascii="Times New Roman" w:hAnsi="Times New Roman" w:cs="Times New Roman"/>
        </w:rPr>
        <w:br w:type="page"/>
      </w:r>
    </w:p>
    <w:sdt>
      <w:sdtPr>
        <w:rPr>
          <w:rFonts w:ascii="Times New Roman" w:eastAsia="Calibri" w:hAnsi="Times New Roman" w:cs="Times New Roman"/>
          <w:color w:val="auto"/>
          <w:sz w:val="24"/>
          <w:szCs w:val="24"/>
        </w:rPr>
        <w:id w:val="2066684949"/>
        <w:docPartObj>
          <w:docPartGallery w:val="Table of Contents"/>
          <w:docPartUnique/>
        </w:docPartObj>
      </w:sdtPr>
      <w:sdtEndPr>
        <w:rPr>
          <w:b/>
          <w:bCs/>
          <w:noProof/>
        </w:rPr>
      </w:sdtEndPr>
      <w:sdtContent>
        <w:p w14:paraId="3F518249" w14:textId="77777777" w:rsidR="00A472DF" w:rsidRPr="00872293" w:rsidRDefault="007E6826" w:rsidP="008E457A">
          <w:pPr>
            <w:pStyle w:val="TOCHeading"/>
            <w:rPr>
              <w:rFonts w:ascii="Times New Roman" w:hAnsi="Times New Roman" w:cs="Times New Roman"/>
              <w:b/>
              <w:bCs/>
              <w:color w:val="auto"/>
              <w:sz w:val="36"/>
              <w:szCs w:val="36"/>
            </w:rPr>
          </w:pPr>
          <w:r w:rsidRPr="00872293">
            <w:rPr>
              <w:rFonts w:ascii="Times New Roman" w:hAnsi="Times New Roman" w:cs="Times New Roman"/>
              <w:b/>
              <w:bCs/>
              <w:color w:val="auto"/>
              <w:sz w:val="36"/>
              <w:szCs w:val="36"/>
            </w:rPr>
            <w:t>Table of contents</w:t>
          </w:r>
        </w:p>
        <w:p w14:paraId="34FFFEF7" w14:textId="77777777" w:rsidR="007E6826" w:rsidRPr="00872293" w:rsidRDefault="007E6826" w:rsidP="00B6666D">
          <w:pPr>
            <w:spacing w:line="360" w:lineRule="auto"/>
            <w:rPr>
              <w:rFonts w:ascii="Times New Roman" w:hAnsi="Times New Roman" w:cs="Times New Roman"/>
            </w:rPr>
          </w:pPr>
        </w:p>
        <w:p w14:paraId="2C3FA935" w14:textId="246B26E1" w:rsidR="00F67D79" w:rsidRPr="00872293" w:rsidRDefault="00CE76B7">
          <w:pPr>
            <w:pStyle w:val="TOC1"/>
            <w:tabs>
              <w:tab w:val="right" w:leader="dot" w:pos="9350"/>
            </w:tabs>
            <w:rPr>
              <w:rFonts w:ascii="Times New Roman" w:eastAsiaTheme="minorEastAsia" w:hAnsi="Times New Roman" w:cs="Times New Roman"/>
              <w:noProof/>
            </w:rPr>
          </w:pPr>
          <w:r w:rsidRPr="00872293">
            <w:rPr>
              <w:rFonts w:ascii="Times New Roman" w:hAnsi="Times New Roman" w:cs="Times New Roman"/>
            </w:rPr>
            <w:fldChar w:fldCharType="begin"/>
          </w:r>
          <w:r w:rsidR="00A472DF" w:rsidRPr="00872293">
            <w:rPr>
              <w:rFonts w:ascii="Times New Roman" w:hAnsi="Times New Roman" w:cs="Times New Roman"/>
            </w:rPr>
            <w:instrText xml:space="preserve"> TOC \o "1-3" \h \z \u </w:instrText>
          </w:r>
          <w:r w:rsidRPr="00872293">
            <w:rPr>
              <w:rFonts w:ascii="Times New Roman" w:hAnsi="Times New Roman" w:cs="Times New Roman"/>
            </w:rPr>
            <w:fldChar w:fldCharType="separate"/>
          </w:r>
          <w:hyperlink w:anchor="_Toc53689045" w:history="1">
            <w:r w:rsidR="00F67D79" w:rsidRPr="00872293">
              <w:rPr>
                <w:rStyle w:val="Hyperlink"/>
                <w:rFonts w:ascii="Times New Roman" w:hAnsi="Times New Roman" w:cs="Times New Roman"/>
                <w:b/>
                <w:bCs/>
                <w:noProof/>
                <w:color w:val="auto"/>
              </w:rPr>
              <w:t>Introduction</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_Toc53689045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1</w:t>
            </w:r>
            <w:r w:rsidR="00F67D79" w:rsidRPr="00872293">
              <w:rPr>
                <w:rFonts w:ascii="Times New Roman" w:hAnsi="Times New Roman" w:cs="Times New Roman"/>
                <w:noProof/>
                <w:webHidden/>
              </w:rPr>
              <w:fldChar w:fldCharType="end"/>
            </w:r>
          </w:hyperlink>
        </w:p>
        <w:p w14:paraId="214B2AC6" w14:textId="3E9D815A" w:rsidR="00F67D79" w:rsidRPr="00872293" w:rsidRDefault="00513656">
          <w:pPr>
            <w:pStyle w:val="TOC2"/>
            <w:tabs>
              <w:tab w:val="right" w:leader="dot" w:pos="9350"/>
            </w:tabs>
            <w:rPr>
              <w:rFonts w:ascii="Times New Roman" w:hAnsi="Times New Roman"/>
              <w:noProof/>
              <w:sz w:val="24"/>
              <w:szCs w:val="24"/>
            </w:rPr>
          </w:pPr>
          <w:hyperlink w:anchor="_Toc53689046" w:history="1">
            <w:r w:rsidR="00F67D79" w:rsidRPr="00872293">
              <w:rPr>
                <w:rStyle w:val="Hyperlink"/>
                <w:rFonts w:ascii="Times New Roman" w:hAnsi="Times New Roman"/>
                <w:noProof/>
                <w:color w:val="auto"/>
                <w:sz w:val="24"/>
                <w:szCs w:val="24"/>
              </w:rPr>
              <w:t>Fine roots and fine root traits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_Toc53689046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w:t>
            </w:r>
            <w:r w:rsidR="00F67D79" w:rsidRPr="00872293">
              <w:rPr>
                <w:rFonts w:ascii="Times New Roman" w:hAnsi="Times New Roman"/>
                <w:noProof/>
                <w:webHidden/>
                <w:sz w:val="24"/>
                <w:szCs w:val="24"/>
              </w:rPr>
              <w:fldChar w:fldCharType="end"/>
            </w:r>
          </w:hyperlink>
        </w:p>
        <w:p w14:paraId="5BB4C392" w14:textId="5B793FB1" w:rsidR="00F67D79" w:rsidRPr="00872293" w:rsidRDefault="00513656">
          <w:pPr>
            <w:pStyle w:val="TOC2"/>
            <w:tabs>
              <w:tab w:val="right" w:leader="dot" w:pos="9350"/>
            </w:tabs>
            <w:rPr>
              <w:rFonts w:ascii="Times New Roman" w:hAnsi="Times New Roman"/>
              <w:noProof/>
              <w:sz w:val="24"/>
              <w:szCs w:val="24"/>
            </w:rPr>
          </w:pPr>
          <w:hyperlink w:anchor="_Toc53689047" w:history="1">
            <w:r w:rsidR="00F67D79" w:rsidRPr="00872293">
              <w:rPr>
                <w:rStyle w:val="Hyperlink"/>
                <w:rFonts w:ascii="Times New Roman" w:hAnsi="Times New Roman"/>
                <w:noProof/>
                <w:color w:val="auto"/>
                <w:sz w:val="24"/>
                <w:szCs w:val="24"/>
              </w:rPr>
              <w:t>Root traits trade-offs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_Toc53689047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w:t>
            </w:r>
            <w:r w:rsidR="00F67D79" w:rsidRPr="00872293">
              <w:rPr>
                <w:rFonts w:ascii="Times New Roman" w:hAnsi="Times New Roman"/>
                <w:noProof/>
                <w:webHidden/>
                <w:sz w:val="24"/>
                <w:szCs w:val="24"/>
              </w:rPr>
              <w:fldChar w:fldCharType="end"/>
            </w:r>
          </w:hyperlink>
        </w:p>
        <w:p w14:paraId="40BFA97B" w14:textId="218F2F5B" w:rsidR="00F67D79" w:rsidRPr="00872293" w:rsidRDefault="00513656">
          <w:pPr>
            <w:pStyle w:val="TOC2"/>
            <w:tabs>
              <w:tab w:val="right" w:leader="dot" w:pos="9350"/>
            </w:tabs>
            <w:rPr>
              <w:rFonts w:ascii="Times New Roman" w:hAnsi="Times New Roman"/>
              <w:noProof/>
              <w:sz w:val="24"/>
              <w:szCs w:val="24"/>
            </w:rPr>
          </w:pPr>
          <w:hyperlink w:anchor="_Toc53689048" w:history="1">
            <w:r w:rsidR="00F67D79" w:rsidRPr="00872293">
              <w:rPr>
                <w:rStyle w:val="Hyperlink"/>
                <w:rFonts w:ascii="Times New Roman" w:hAnsi="Times New Roman"/>
                <w:noProof/>
                <w:color w:val="auto"/>
                <w:sz w:val="24"/>
                <w:szCs w:val="24"/>
              </w:rPr>
              <w:t>Root response to disturbances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_Toc53689048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4</w:t>
            </w:r>
            <w:r w:rsidR="00F67D79" w:rsidRPr="00872293">
              <w:rPr>
                <w:rFonts w:ascii="Times New Roman" w:hAnsi="Times New Roman"/>
                <w:noProof/>
                <w:webHidden/>
                <w:sz w:val="24"/>
                <w:szCs w:val="24"/>
              </w:rPr>
              <w:fldChar w:fldCharType="end"/>
            </w:r>
          </w:hyperlink>
        </w:p>
        <w:p w14:paraId="13D5ADAD" w14:textId="5EC79569" w:rsidR="00F67D79" w:rsidRPr="00872293" w:rsidRDefault="00513656">
          <w:pPr>
            <w:pStyle w:val="TOC2"/>
            <w:tabs>
              <w:tab w:val="right" w:leader="dot" w:pos="9350"/>
            </w:tabs>
            <w:rPr>
              <w:rFonts w:ascii="Times New Roman" w:hAnsi="Times New Roman"/>
              <w:noProof/>
              <w:sz w:val="24"/>
              <w:szCs w:val="24"/>
            </w:rPr>
          </w:pPr>
          <w:hyperlink w:anchor="_Toc53689049" w:history="1">
            <w:r w:rsidR="00F67D79" w:rsidRPr="00872293">
              <w:rPr>
                <w:rStyle w:val="Hyperlink"/>
                <w:rFonts w:ascii="Times New Roman" w:hAnsi="Times New Roman"/>
                <w:noProof/>
                <w:color w:val="auto"/>
                <w:sz w:val="24"/>
                <w:szCs w:val="24"/>
                <w:shd w:val="clear" w:color="auto" w:fill="FFFFFF"/>
              </w:rPr>
              <w:t>Tropical forests and Puerto Rico</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_Toc53689049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5</w:t>
            </w:r>
            <w:r w:rsidR="00F67D79" w:rsidRPr="00872293">
              <w:rPr>
                <w:rFonts w:ascii="Times New Roman" w:hAnsi="Times New Roman"/>
                <w:noProof/>
                <w:webHidden/>
                <w:sz w:val="24"/>
                <w:szCs w:val="24"/>
              </w:rPr>
              <w:fldChar w:fldCharType="end"/>
            </w:r>
          </w:hyperlink>
        </w:p>
        <w:p w14:paraId="07747F19" w14:textId="5F3AB46C" w:rsidR="00F67D79" w:rsidRPr="00872293" w:rsidRDefault="00513656">
          <w:pPr>
            <w:pStyle w:val="TOC2"/>
            <w:tabs>
              <w:tab w:val="right" w:leader="dot" w:pos="9350"/>
            </w:tabs>
            <w:rPr>
              <w:rFonts w:ascii="Times New Roman" w:hAnsi="Times New Roman"/>
              <w:noProof/>
              <w:sz w:val="24"/>
              <w:szCs w:val="24"/>
            </w:rPr>
          </w:pPr>
          <w:hyperlink w:anchor="_Toc53689050" w:history="1">
            <w:r w:rsidR="00F67D79" w:rsidRPr="00872293">
              <w:rPr>
                <w:rStyle w:val="Hyperlink"/>
                <w:rFonts w:ascii="Times New Roman" w:hAnsi="Times New Roman"/>
                <w:noProof/>
                <w:color w:val="auto"/>
                <w:sz w:val="24"/>
                <w:szCs w:val="24"/>
              </w:rPr>
              <w:t>References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8</w:t>
            </w:r>
            <w:r w:rsidR="00F67D79" w:rsidRPr="00872293">
              <w:rPr>
                <w:rFonts w:ascii="Times New Roman" w:hAnsi="Times New Roman"/>
                <w:noProof/>
                <w:webHidden/>
                <w:sz w:val="24"/>
                <w:szCs w:val="24"/>
              </w:rPr>
              <w:fldChar w:fldCharType="end"/>
            </w:r>
          </w:hyperlink>
        </w:p>
        <w:p w14:paraId="1B3C8CDE" w14:textId="34294931" w:rsidR="00F67D79" w:rsidRPr="00872293" w:rsidRDefault="00513656">
          <w:pPr>
            <w:pStyle w:val="TOC1"/>
            <w:tabs>
              <w:tab w:val="right" w:leader="dot" w:pos="9350"/>
            </w:tabs>
            <w:rPr>
              <w:rFonts w:ascii="Times New Roman" w:eastAsiaTheme="minorEastAsia" w:hAnsi="Times New Roman" w:cs="Times New Roman"/>
              <w:noProof/>
            </w:rPr>
          </w:pPr>
          <w:hyperlink w:anchor="_Toc53689051" w:history="1">
            <w:r w:rsidR="00F67D79" w:rsidRPr="00872293">
              <w:rPr>
                <w:rStyle w:val="Hyperlink"/>
                <w:rFonts w:ascii="Times New Roman" w:hAnsi="Times New Roman" w:cs="Times New Roman"/>
                <w:noProof/>
                <w:color w:val="auto"/>
              </w:rPr>
              <w:t>A historical and comparative review of 50 years of root data collection in Puerto Rico</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_Toc53689051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14</w:t>
            </w:r>
            <w:r w:rsidR="00F67D79" w:rsidRPr="00872293">
              <w:rPr>
                <w:rFonts w:ascii="Times New Roman" w:hAnsi="Times New Roman" w:cs="Times New Roman"/>
                <w:noProof/>
                <w:webHidden/>
              </w:rPr>
              <w:fldChar w:fldCharType="end"/>
            </w:r>
          </w:hyperlink>
        </w:p>
        <w:p w14:paraId="7CF4EF9F" w14:textId="6CADB18B" w:rsidR="00F67D79" w:rsidRPr="00872293" w:rsidRDefault="00513656">
          <w:pPr>
            <w:pStyle w:val="TOC2"/>
            <w:tabs>
              <w:tab w:val="right" w:leader="dot" w:pos="9350"/>
            </w:tabs>
            <w:rPr>
              <w:rFonts w:ascii="Times New Roman" w:hAnsi="Times New Roman"/>
              <w:noProof/>
              <w:sz w:val="24"/>
              <w:szCs w:val="24"/>
            </w:rPr>
          </w:pPr>
          <w:hyperlink w:anchor="_Toc53689052" w:history="1">
            <w:r w:rsidR="00F67D79" w:rsidRPr="00872293">
              <w:rPr>
                <w:rStyle w:val="Hyperlink"/>
                <w:rFonts w:ascii="Times New Roman" w:hAnsi="Times New Roman"/>
                <w:noProof/>
                <w:color w:val="auto"/>
                <w:sz w:val="24"/>
                <w:szCs w:val="24"/>
              </w:rPr>
              <w:t>Abstract</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15</w:t>
            </w:r>
            <w:r w:rsidR="00F67D79" w:rsidRPr="00872293">
              <w:rPr>
                <w:rFonts w:ascii="Times New Roman" w:hAnsi="Times New Roman"/>
                <w:noProof/>
                <w:webHidden/>
                <w:sz w:val="24"/>
                <w:szCs w:val="24"/>
              </w:rPr>
              <w:fldChar w:fldCharType="end"/>
            </w:r>
          </w:hyperlink>
        </w:p>
        <w:p w14:paraId="5B9991D5" w14:textId="6FC61DA0" w:rsidR="00F67D79" w:rsidRPr="00872293" w:rsidRDefault="00513656">
          <w:pPr>
            <w:pStyle w:val="TOC2"/>
            <w:tabs>
              <w:tab w:val="right" w:leader="dot" w:pos="9350"/>
            </w:tabs>
            <w:rPr>
              <w:rFonts w:ascii="Times New Roman" w:hAnsi="Times New Roman"/>
              <w:noProof/>
              <w:sz w:val="24"/>
              <w:szCs w:val="24"/>
            </w:rPr>
          </w:pPr>
          <w:hyperlink w:anchor="_Toc53689053" w:history="1">
            <w:r w:rsidR="00F67D79" w:rsidRPr="00872293">
              <w:rPr>
                <w:rStyle w:val="Hyperlink"/>
                <w:rFonts w:ascii="Times New Roman" w:hAnsi="Times New Roman"/>
                <w:noProof/>
                <w:color w:val="auto"/>
                <w:sz w:val="24"/>
                <w:szCs w:val="24"/>
              </w:rPr>
              <w:t>Introduction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16</w:t>
            </w:r>
            <w:r w:rsidR="00F67D79" w:rsidRPr="00872293">
              <w:rPr>
                <w:rFonts w:ascii="Times New Roman" w:hAnsi="Times New Roman"/>
                <w:noProof/>
                <w:webHidden/>
                <w:sz w:val="24"/>
                <w:szCs w:val="24"/>
              </w:rPr>
              <w:fldChar w:fldCharType="end"/>
            </w:r>
          </w:hyperlink>
        </w:p>
        <w:p w14:paraId="2D7C87F3" w14:textId="65D11717" w:rsidR="00F67D79" w:rsidRPr="00872293" w:rsidRDefault="00513656">
          <w:pPr>
            <w:pStyle w:val="TOC3"/>
            <w:tabs>
              <w:tab w:val="right" w:leader="dot" w:pos="9350"/>
            </w:tabs>
            <w:rPr>
              <w:rFonts w:ascii="Times New Roman" w:hAnsi="Times New Roman"/>
              <w:noProof/>
              <w:sz w:val="24"/>
              <w:szCs w:val="24"/>
            </w:rPr>
          </w:pPr>
          <w:hyperlink w:anchor="_Toc53689054" w:history="1">
            <w:r w:rsidR="00F67D79" w:rsidRPr="00872293">
              <w:rPr>
                <w:rStyle w:val="Hyperlink"/>
                <w:rFonts w:ascii="Times New Roman" w:hAnsi="Times New Roman"/>
                <w:noProof/>
                <w:color w:val="auto"/>
                <w:sz w:val="24"/>
                <w:szCs w:val="24"/>
              </w:rPr>
              <w:t>Puerto Rico as a tropical research site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17</w:t>
            </w:r>
            <w:r w:rsidR="00F67D79" w:rsidRPr="00872293">
              <w:rPr>
                <w:rFonts w:ascii="Times New Roman" w:hAnsi="Times New Roman"/>
                <w:noProof/>
                <w:webHidden/>
                <w:sz w:val="24"/>
                <w:szCs w:val="24"/>
              </w:rPr>
              <w:fldChar w:fldCharType="end"/>
            </w:r>
          </w:hyperlink>
        </w:p>
        <w:p w14:paraId="1D783A83" w14:textId="6071AF23" w:rsidR="00F67D79" w:rsidRPr="00872293" w:rsidRDefault="00513656">
          <w:pPr>
            <w:pStyle w:val="TOC2"/>
            <w:tabs>
              <w:tab w:val="right" w:leader="dot" w:pos="9350"/>
            </w:tabs>
            <w:rPr>
              <w:rFonts w:ascii="Times New Roman" w:hAnsi="Times New Roman"/>
              <w:noProof/>
              <w:sz w:val="24"/>
              <w:szCs w:val="24"/>
            </w:rPr>
          </w:pPr>
          <w:hyperlink w:anchor="_Toc53689055" w:history="1">
            <w:r w:rsidR="00F67D79" w:rsidRPr="00872293">
              <w:rPr>
                <w:rStyle w:val="Hyperlink"/>
                <w:rFonts w:ascii="Times New Roman" w:hAnsi="Times New Roman"/>
                <w:noProof/>
                <w:color w:val="auto"/>
                <w:sz w:val="24"/>
                <w:szCs w:val="24"/>
              </w:rPr>
              <w:t>Data sources and analysis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18</w:t>
            </w:r>
            <w:r w:rsidR="00F67D79" w:rsidRPr="00872293">
              <w:rPr>
                <w:rFonts w:ascii="Times New Roman" w:hAnsi="Times New Roman"/>
                <w:noProof/>
                <w:webHidden/>
                <w:sz w:val="24"/>
                <w:szCs w:val="24"/>
              </w:rPr>
              <w:fldChar w:fldCharType="end"/>
            </w:r>
          </w:hyperlink>
        </w:p>
        <w:p w14:paraId="28698723" w14:textId="599FEA51" w:rsidR="00F67D79" w:rsidRPr="00872293" w:rsidRDefault="00513656">
          <w:pPr>
            <w:pStyle w:val="TOC2"/>
            <w:tabs>
              <w:tab w:val="right" w:leader="dot" w:pos="9350"/>
            </w:tabs>
            <w:rPr>
              <w:rFonts w:ascii="Times New Roman" w:hAnsi="Times New Roman"/>
              <w:noProof/>
              <w:sz w:val="24"/>
              <w:szCs w:val="24"/>
            </w:rPr>
          </w:pPr>
          <w:hyperlink w:anchor="_Toc53689056" w:history="1">
            <w:r w:rsidR="00F67D79" w:rsidRPr="00872293">
              <w:rPr>
                <w:rStyle w:val="Hyperlink"/>
                <w:rFonts w:ascii="Times New Roman" w:hAnsi="Times New Roman"/>
                <w:noProof/>
                <w:color w:val="auto"/>
                <w:sz w:val="24"/>
                <w:szCs w:val="24"/>
              </w:rPr>
              <w:t>The story of “root digging” in Puerto Rico</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19</w:t>
            </w:r>
            <w:r w:rsidR="00F67D79" w:rsidRPr="00872293">
              <w:rPr>
                <w:rFonts w:ascii="Times New Roman" w:hAnsi="Times New Roman"/>
                <w:noProof/>
                <w:webHidden/>
                <w:sz w:val="24"/>
                <w:szCs w:val="24"/>
              </w:rPr>
              <w:fldChar w:fldCharType="end"/>
            </w:r>
          </w:hyperlink>
        </w:p>
        <w:p w14:paraId="7372117E" w14:textId="072A00FF" w:rsidR="00F67D79" w:rsidRPr="00872293" w:rsidRDefault="00513656">
          <w:pPr>
            <w:pStyle w:val="TOC2"/>
            <w:tabs>
              <w:tab w:val="right" w:leader="dot" w:pos="9350"/>
            </w:tabs>
            <w:rPr>
              <w:rFonts w:ascii="Times New Roman" w:hAnsi="Times New Roman"/>
              <w:noProof/>
              <w:sz w:val="24"/>
              <w:szCs w:val="24"/>
            </w:rPr>
          </w:pPr>
          <w:hyperlink w:anchor="_Toc53689057" w:history="1">
            <w:r w:rsidR="00F67D79" w:rsidRPr="00872293">
              <w:rPr>
                <w:rStyle w:val="Hyperlink"/>
                <w:rFonts w:ascii="Times New Roman" w:hAnsi="Times New Roman"/>
                <w:noProof/>
                <w:color w:val="auto"/>
                <w:sz w:val="24"/>
                <w:szCs w:val="24"/>
              </w:rPr>
              <w:t>Root system</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20</w:t>
            </w:r>
            <w:r w:rsidR="00F67D79" w:rsidRPr="00872293">
              <w:rPr>
                <w:rFonts w:ascii="Times New Roman" w:hAnsi="Times New Roman"/>
                <w:noProof/>
                <w:webHidden/>
                <w:sz w:val="24"/>
                <w:szCs w:val="24"/>
              </w:rPr>
              <w:fldChar w:fldCharType="end"/>
            </w:r>
          </w:hyperlink>
        </w:p>
        <w:p w14:paraId="7A160F6C" w14:textId="3F203C43" w:rsidR="00F67D79" w:rsidRPr="00872293" w:rsidRDefault="00513656">
          <w:pPr>
            <w:pStyle w:val="TOC3"/>
            <w:tabs>
              <w:tab w:val="right" w:leader="dot" w:pos="9350"/>
            </w:tabs>
            <w:rPr>
              <w:rFonts w:ascii="Times New Roman" w:hAnsi="Times New Roman"/>
              <w:noProof/>
              <w:sz w:val="24"/>
              <w:szCs w:val="24"/>
            </w:rPr>
          </w:pPr>
          <w:hyperlink w:anchor="_Toc53689058" w:history="1">
            <w:r w:rsidR="00F67D79" w:rsidRPr="00872293">
              <w:rPr>
                <w:rStyle w:val="Hyperlink"/>
                <w:rFonts w:ascii="Times New Roman" w:hAnsi="Times New Roman"/>
                <w:noProof/>
                <w:color w:val="auto"/>
                <w:sz w:val="24"/>
                <w:szCs w:val="24"/>
              </w:rPr>
              <w:t>Root biomass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20</w:t>
            </w:r>
            <w:r w:rsidR="00F67D79" w:rsidRPr="00872293">
              <w:rPr>
                <w:rFonts w:ascii="Times New Roman" w:hAnsi="Times New Roman"/>
                <w:noProof/>
                <w:webHidden/>
                <w:sz w:val="24"/>
                <w:szCs w:val="24"/>
              </w:rPr>
              <w:fldChar w:fldCharType="end"/>
            </w:r>
          </w:hyperlink>
        </w:p>
        <w:p w14:paraId="3B5A9DCB" w14:textId="3EF84583" w:rsidR="00F67D79" w:rsidRPr="00872293" w:rsidRDefault="00513656">
          <w:pPr>
            <w:pStyle w:val="TOC3"/>
            <w:tabs>
              <w:tab w:val="right" w:leader="dot" w:pos="9350"/>
            </w:tabs>
            <w:rPr>
              <w:rFonts w:ascii="Times New Roman" w:hAnsi="Times New Roman"/>
              <w:noProof/>
              <w:sz w:val="24"/>
              <w:szCs w:val="24"/>
            </w:rPr>
          </w:pPr>
          <w:hyperlink w:anchor="_Toc53689059" w:history="1">
            <w:r w:rsidR="00F67D79" w:rsidRPr="00872293">
              <w:rPr>
                <w:rStyle w:val="Hyperlink"/>
                <w:rFonts w:ascii="Times New Roman" w:hAnsi="Times New Roman"/>
                <w:noProof/>
                <w:color w:val="auto"/>
                <w:sz w:val="24"/>
                <w:szCs w:val="24"/>
              </w:rPr>
              <w:t>Vertical root distribution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_Toc53689059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23</w:t>
            </w:r>
            <w:r w:rsidR="00F67D79" w:rsidRPr="00872293">
              <w:rPr>
                <w:rFonts w:ascii="Times New Roman" w:hAnsi="Times New Roman"/>
                <w:noProof/>
                <w:webHidden/>
                <w:sz w:val="24"/>
                <w:szCs w:val="24"/>
              </w:rPr>
              <w:fldChar w:fldCharType="end"/>
            </w:r>
          </w:hyperlink>
        </w:p>
        <w:p w14:paraId="1E643C74" w14:textId="1BC71C8D" w:rsidR="00F67D79" w:rsidRPr="00872293" w:rsidRDefault="00513656">
          <w:pPr>
            <w:pStyle w:val="TOC3"/>
            <w:tabs>
              <w:tab w:val="right" w:leader="dot" w:pos="9350"/>
            </w:tabs>
            <w:rPr>
              <w:rFonts w:ascii="Times New Roman" w:hAnsi="Times New Roman"/>
              <w:noProof/>
              <w:sz w:val="24"/>
              <w:szCs w:val="24"/>
            </w:rPr>
          </w:pPr>
          <w:hyperlink w:anchor="_Toc53689060" w:history="1">
            <w:r w:rsidR="00F67D79" w:rsidRPr="00872293">
              <w:rPr>
                <w:rStyle w:val="Hyperlink"/>
                <w:rFonts w:ascii="Times New Roman" w:hAnsi="Times New Roman"/>
                <w:noProof/>
                <w:color w:val="auto"/>
                <w:sz w:val="24"/>
                <w:szCs w:val="24"/>
              </w:rPr>
              <w:t>Root:shoot ratio</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23</w:t>
            </w:r>
            <w:r w:rsidR="00F67D79" w:rsidRPr="00872293">
              <w:rPr>
                <w:rFonts w:ascii="Times New Roman" w:hAnsi="Times New Roman"/>
                <w:noProof/>
                <w:webHidden/>
                <w:sz w:val="24"/>
                <w:szCs w:val="24"/>
              </w:rPr>
              <w:fldChar w:fldCharType="end"/>
            </w:r>
          </w:hyperlink>
        </w:p>
        <w:p w14:paraId="06700177" w14:textId="357F91D5" w:rsidR="00F67D79" w:rsidRPr="00872293" w:rsidRDefault="00513656">
          <w:pPr>
            <w:pStyle w:val="TOC2"/>
            <w:tabs>
              <w:tab w:val="right" w:leader="dot" w:pos="9350"/>
            </w:tabs>
            <w:rPr>
              <w:rFonts w:ascii="Times New Roman" w:hAnsi="Times New Roman"/>
              <w:noProof/>
              <w:sz w:val="24"/>
              <w:szCs w:val="24"/>
            </w:rPr>
          </w:pPr>
          <w:hyperlink w:anchor="_Toc53689061" w:history="1">
            <w:r w:rsidR="00F67D79" w:rsidRPr="00872293">
              <w:rPr>
                <w:rStyle w:val="Hyperlink"/>
                <w:rFonts w:ascii="Times New Roman" w:hAnsi="Times New Roman"/>
                <w:noProof/>
                <w:color w:val="auto"/>
                <w:sz w:val="24"/>
                <w:szCs w:val="24"/>
              </w:rPr>
              <w:t>Root chemistry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24</w:t>
            </w:r>
            <w:r w:rsidR="00F67D79" w:rsidRPr="00872293">
              <w:rPr>
                <w:rFonts w:ascii="Times New Roman" w:hAnsi="Times New Roman"/>
                <w:noProof/>
                <w:webHidden/>
                <w:sz w:val="24"/>
                <w:szCs w:val="24"/>
              </w:rPr>
              <w:fldChar w:fldCharType="end"/>
            </w:r>
          </w:hyperlink>
        </w:p>
        <w:p w14:paraId="11F4E51C" w14:textId="75A57CE3" w:rsidR="00F67D79" w:rsidRPr="00872293" w:rsidRDefault="00513656">
          <w:pPr>
            <w:pStyle w:val="TOC2"/>
            <w:tabs>
              <w:tab w:val="right" w:leader="dot" w:pos="9350"/>
            </w:tabs>
            <w:rPr>
              <w:rFonts w:ascii="Times New Roman" w:hAnsi="Times New Roman"/>
              <w:noProof/>
              <w:sz w:val="24"/>
              <w:szCs w:val="24"/>
            </w:rPr>
          </w:pPr>
          <w:hyperlink w:anchor="_Toc53689062" w:history="1">
            <w:r w:rsidR="00F67D79" w:rsidRPr="00872293">
              <w:rPr>
                <w:rStyle w:val="Hyperlink"/>
                <w:rFonts w:ascii="Times New Roman" w:hAnsi="Times New Roman"/>
                <w:noProof/>
                <w:color w:val="auto"/>
                <w:sz w:val="24"/>
                <w:szCs w:val="24"/>
              </w:rPr>
              <w:t>Root dynamics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26</w:t>
            </w:r>
            <w:r w:rsidR="00F67D79" w:rsidRPr="00872293">
              <w:rPr>
                <w:rFonts w:ascii="Times New Roman" w:hAnsi="Times New Roman"/>
                <w:noProof/>
                <w:webHidden/>
                <w:sz w:val="24"/>
                <w:szCs w:val="24"/>
              </w:rPr>
              <w:fldChar w:fldCharType="end"/>
            </w:r>
          </w:hyperlink>
        </w:p>
        <w:p w14:paraId="7B062375" w14:textId="45227098" w:rsidR="00F67D79" w:rsidRPr="00872293" w:rsidRDefault="00513656">
          <w:pPr>
            <w:pStyle w:val="TOC3"/>
            <w:tabs>
              <w:tab w:val="right" w:leader="dot" w:pos="9350"/>
            </w:tabs>
            <w:rPr>
              <w:rFonts w:ascii="Times New Roman" w:hAnsi="Times New Roman"/>
              <w:noProof/>
              <w:sz w:val="24"/>
              <w:szCs w:val="24"/>
            </w:rPr>
          </w:pPr>
          <w:hyperlink w:anchor="_Toc53689063" w:history="1">
            <w:r w:rsidR="00F67D79" w:rsidRPr="00872293">
              <w:rPr>
                <w:rStyle w:val="Hyperlink"/>
                <w:rFonts w:ascii="Times New Roman" w:hAnsi="Times New Roman"/>
                <w:noProof/>
                <w:color w:val="auto"/>
                <w:sz w:val="24"/>
                <w:szCs w:val="24"/>
              </w:rPr>
              <w:t>Root production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26</w:t>
            </w:r>
            <w:r w:rsidR="00F67D79" w:rsidRPr="00872293">
              <w:rPr>
                <w:rFonts w:ascii="Times New Roman" w:hAnsi="Times New Roman"/>
                <w:noProof/>
                <w:webHidden/>
                <w:sz w:val="24"/>
                <w:szCs w:val="24"/>
              </w:rPr>
              <w:fldChar w:fldCharType="end"/>
            </w:r>
          </w:hyperlink>
        </w:p>
        <w:p w14:paraId="358B39DD" w14:textId="772C6096" w:rsidR="00F67D79" w:rsidRPr="00872293" w:rsidRDefault="00513656">
          <w:pPr>
            <w:pStyle w:val="TOC3"/>
            <w:tabs>
              <w:tab w:val="right" w:leader="dot" w:pos="9350"/>
            </w:tabs>
            <w:rPr>
              <w:rFonts w:ascii="Times New Roman" w:hAnsi="Times New Roman"/>
              <w:noProof/>
              <w:sz w:val="24"/>
              <w:szCs w:val="24"/>
            </w:rPr>
          </w:pPr>
          <w:hyperlink w:anchor="_Toc53689064" w:history="1">
            <w:r w:rsidR="00F67D79" w:rsidRPr="00872293">
              <w:rPr>
                <w:rStyle w:val="Hyperlink"/>
                <w:rFonts w:ascii="Times New Roman" w:hAnsi="Times New Roman"/>
                <w:noProof/>
                <w:color w:val="auto"/>
                <w:sz w:val="24"/>
                <w:szCs w:val="24"/>
              </w:rPr>
              <w:t>Root decomposition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27</w:t>
            </w:r>
            <w:r w:rsidR="00F67D79" w:rsidRPr="00872293">
              <w:rPr>
                <w:rFonts w:ascii="Times New Roman" w:hAnsi="Times New Roman"/>
                <w:noProof/>
                <w:webHidden/>
                <w:sz w:val="24"/>
                <w:szCs w:val="24"/>
              </w:rPr>
              <w:fldChar w:fldCharType="end"/>
            </w:r>
          </w:hyperlink>
        </w:p>
        <w:p w14:paraId="39379E97" w14:textId="2BCC9B56" w:rsidR="00F67D79" w:rsidRPr="00872293" w:rsidRDefault="00513656">
          <w:pPr>
            <w:pStyle w:val="TOC2"/>
            <w:tabs>
              <w:tab w:val="right" w:leader="dot" w:pos="9350"/>
            </w:tabs>
            <w:rPr>
              <w:rFonts w:ascii="Times New Roman" w:hAnsi="Times New Roman"/>
              <w:noProof/>
              <w:sz w:val="24"/>
              <w:szCs w:val="24"/>
            </w:rPr>
          </w:pPr>
          <w:hyperlink w:anchor="_Toc53689065" w:history="1">
            <w:r w:rsidR="00F67D79" w:rsidRPr="00872293">
              <w:rPr>
                <w:rStyle w:val="Hyperlink"/>
                <w:rFonts w:ascii="Times New Roman" w:hAnsi="Times New Roman"/>
                <w:noProof/>
                <w:color w:val="auto"/>
                <w:sz w:val="24"/>
                <w:szCs w:val="24"/>
              </w:rPr>
              <w:t>Root physiology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28</w:t>
            </w:r>
            <w:r w:rsidR="00F67D79" w:rsidRPr="00872293">
              <w:rPr>
                <w:rFonts w:ascii="Times New Roman" w:hAnsi="Times New Roman"/>
                <w:noProof/>
                <w:webHidden/>
                <w:sz w:val="24"/>
                <w:szCs w:val="24"/>
              </w:rPr>
              <w:fldChar w:fldCharType="end"/>
            </w:r>
          </w:hyperlink>
        </w:p>
        <w:p w14:paraId="25CBCF63" w14:textId="791B6656" w:rsidR="00F67D79" w:rsidRPr="00872293" w:rsidRDefault="00513656">
          <w:pPr>
            <w:pStyle w:val="TOC2"/>
            <w:tabs>
              <w:tab w:val="right" w:leader="dot" w:pos="9350"/>
            </w:tabs>
            <w:rPr>
              <w:rFonts w:ascii="Times New Roman" w:hAnsi="Times New Roman"/>
              <w:noProof/>
              <w:sz w:val="24"/>
              <w:szCs w:val="24"/>
            </w:rPr>
          </w:pPr>
          <w:hyperlink w:anchor="_Toc53689066" w:history="1">
            <w:r w:rsidR="00F67D79" w:rsidRPr="00872293">
              <w:rPr>
                <w:rStyle w:val="Hyperlink"/>
                <w:rFonts w:ascii="Times New Roman" w:hAnsi="Times New Roman"/>
                <w:noProof/>
                <w:color w:val="auto"/>
                <w:sz w:val="24"/>
                <w:szCs w:val="24"/>
              </w:rPr>
              <w:t>Microbial association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28</w:t>
            </w:r>
            <w:r w:rsidR="00F67D79" w:rsidRPr="00872293">
              <w:rPr>
                <w:rFonts w:ascii="Times New Roman" w:hAnsi="Times New Roman"/>
                <w:noProof/>
                <w:webHidden/>
                <w:sz w:val="24"/>
                <w:szCs w:val="24"/>
              </w:rPr>
              <w:fldChar w:fldCharType="end"/>
            </w:r>
          </w:hyperlink>
        </w:p>
        <w:p w14:paraId="16DFDC37" w14:textId="67F4E81F" w:rsidR="00F67D79" w:rsidRPr="00872293" w:rsidRDefault="00513656">
          <w:pPr>
            <w:pStyle w:val="TOC2"/>
            <w:tabs>
              <w:tab w:val="right" w:leader="dot" w:pos="9350"/>
            </w:tabs>
            <w:rPr>
              <w:rFonts w:ascii="Times New Roman" w:hAnsi="Times New Roman"/>
              <w:noProof/>
              <w:sz w:val="24"/>
              <w:szCs w:val="24"/>
            </w:rPr>
          </w:pPr>
          <w:hyperlink w:anchor="_Toc53689067" w:history="1">
            <w:r w:rsidR="00F67D79" w:rsidRPr="00872293">
              <w:rPr>
                <w:rStyle w:val="Hyperlink"/>
                <w:rFonts w:ascii="Times New Roman" w:hAnsi="Times New Roman"/>
                <w:noProof/>
                <w:color w:val="auto"/>
                <w:sz w:val="24"/>
                <w:szCs w:val="24"/>
              </w:rPr>
              <w:t>Root response to environmental changes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30</w:t>
            </w:r>
            <w:r w:rsidR="00F67D79" w:rsidRPr="00872293">
              <w:rPr>
                <w:rFonts w:ascii="Times New Roman" w:hAnsi="Times New Roman"/>
                <w:noProof/>
                <w:webHidden/>
                <w:sz w:val="24"/>
                <w:szCs w:val="24"/>
              </w:rPr>
              <w:fldChar w:fldCharType="end"/>
            </w:r>
          </w:hyperlink>
        </w:p>
        <w:p w14:paraId="250FD5E4" w14:textId="25B17FA4" w:rsidR="00F67D79" w:rsidRPr="00872293" w:rsidRDefault="00513656">
          <w:pPr>
            <w:pStyle w:val="TOC3"/>
            <w:tabs>
              <w:tab w:val="right" w:leader="dot" w:pos="9350"/>
            </w:tabs>
            <w:rPr>
              <w:rFonts w:ascii="Times New Roman" w:hAnsi="Times New Roman"/>
              <w:noProof/>
              <w:sz w:val="24"/>
              <w:szCs w:val="24"/>
            </w:rPr>
          </w:pPr>
          <w:hyperlink w:anchor="_Toc53689068" w:history="1">
            <w:r w:rsidR="00F67D79" w:rsidRPr="00872293">
              <w:rPr>
                <w:rStyle w:val="Hyperlink"/>
                <w:rFonts w:ascii="Times New Roman" w:hAnsi="Times New Roman"/>
                <w:noProof/>
                <w:color w:val="auto"/>
                <w:sz w:val="24"/>
                <w:szCs w:val="24"/>
              </w:rPr>
              <w:t>Root response to hurricanes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30</w:t>
            </w:r>
            <w:r w:rsidR="00F67D79" w:rsidRPr="00872293">
              <w:rPr>
                <w:rFonts w:ascii="Times New Roman" w:hAnsi="Times New Roman"/>
                <w:noProof/>
                <w:webHidden/>
                <w:sz w:val="24"/>
                <w:szCs w:val="24"/>
              </w:rPr>
              <w:fldChar w:fldCharType="end"/>
            </w:r>
          </w:hyperlink>
        </w:p>
        <w:p w14:paraId="6B8D503C" w14:textId="54836589" w:rsidR="00F67D79" w:rsidRPr="00872293" w:rsidRDefault="00513656">
          <w:pPr>
            <w:pStyle w:val="TOC3"/>
            <w:tabs>
              <w:tab w:val="right" w:leader="dot" w:pos="9350"/>
            </w:tabs>
            <w:rPr>
              <w:rFonts w:ascii="Times New Roman" w:hAnsi="Times New Roman"/>
              <w:noProof/>
              <w:sz w:val="24"/>
              <w:szCs w:val="24"/>
            </w:rPr>
          </w:pPr>
          <w:hyperlink w:anchor="_Toc53689069" w:history="1">
            <w:r w:rsidR="00F67D79" w:rsidRPr="00872293">
              <w:rPr>
                <w:rStyle w:val="Hyperlink"/>
                <w:rFonts w:ascii="Times New Roman" w:hAnsi="Times New Roman"/>
                <w:noProof/>
                <w:color w:val="auto"/>
                <w:sz w:val="24"/>
                <w:szCs w:val="24"/>
              </w:rPr>
              <w:t>Root response to soil chemical and physical changes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_Toc53689069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32</w:t>
            </w:r>
            <w:r w:rsidR="00F67D79" w:rsidRPr="00872293">
              <w:rPr>
                <w:rFonts w:ascii="Times New Roman" w:hAnsi="Times New Roman"/>
                <w:noProof/>
                <w:webHidden/>
                <w:sz w:val="24"/>
                <w:szCs w:val="24"/>
              </w:rPr>
              <w:fldChar w:fldCharType="end"/>
            </w:r>
          </w:hyperlink>
        </w:p>
        <w:p w14:paraId="274C07C8" w14:textId="724934AF" w:rsidR="00F67D79" w:rsidRPr="00872293" w:rsidRDefault="00513656">
          <w:pPr>
            <w:pStyle w:val="TOC2"/>
            <w:tabs>
              <w:tab w:val="right" w:leader="dot" w:pos="9350"/>
            </w:tabs>
            <w:rPr>
              <w:rFonts w:ascii="Times New Roman" w:hAnsi="Times New Roman"/>
              <w:noProof/>
              <w:sz w:val="24"/>
              <w:szCs w:val="24"/>
            </w:rPr>
          </w:pPr>
          <w:hyperlink w:anchor="_Toc53689070" w:history="1">
            <w:r w:rsidR="00F67D79" w:rsidRPr="00872293">
              <w:rPr>
                <w:rStyle w:val="Hyperlink"/>
                <w:rFonts w:ascii="Times New Roman" w:hAnsi="Times New Roman"/>
                <w:noProof/>
                <w:color w:val="auto"/>
                <w:sz w:val="24"/>
                <w:szCs w:val="24"/>
              </w:rPr>
              <w:t>Conclusions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32</w:t>
            </w:r>
            <w:r w:rsidR="00F67D79" w:rsidRPr="00872293">
              <w:rPr>
                <w:rFonts w:ascii="Times New Roman" w:hAnsi="Times New Roman"/>
                <w:noProof/>
                <w:webHidden/>
                <w:sz w:val="24"/>
                <w:szCs w:val="24"/>
              </w:rPr>
              <w:fldChar w:fldCharType="end"/>
            </w:r>
          </w:hyperlink>
        </w:p>
        <w:p w14:paraId="2AD35268" w14:textId="2377F8B3" w:rsidR="00F67D79" w:rsidRPr="00872293" w:rsidRDefault="00513656">
          <w:pPr>
            <w:pStyle w:val="TOC2"/>
            <w:tabs>
              <w:tab w:val="right" w:leader="dot" w:pos="9350"/>
            </w:tabs>
            <w:rPr>
              <w:rFonts w:ascii="Times New Roman" w:hAnsi="Times New Roman"/>
              <w:noProof/>
              <w:sz w:val="24"/>
              <w:szCs w:val="24"/>
            </w:rPr>
          </w:pPr>
          <w:hyperlink w:anchor="_Toc53689071" w:history="1">
            <w:r w:rsidR="00F67D79" w:rsidRPr="00872293">
              <w:rPr>
                <w:rStyle w:val="Hyperlink"/>
                <w:rFonts w:ascii="Times New Roman" w:hAnsi="Times New Roman"/>
                <w:noProof/>
                <w:color w:val="auto"/>
                <w:sz w:val="24"/>
                <w:szCs w:val="24"/>
                <w:lang w:val="es-BO"/>
              </w:rPr>
              <w:t>References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34</w:t>
            </w:r>
            <w:r w:rsidR="00F67D79" w:rsidRPr="00872293">
              <w:rPr>
                <w:rFonts w:ascii="Times New Roman" w:hAnsi="Times New Roman"/>
                <w:noProof/>
                <w:webHidden/>
                <w:sz w:val="24"/>
                <w:szCs w:val="24"/>
              </w:rPr>
              <w:fldChar w:fldCharType="end"/>
            </w:r>
          </w:hyperlink>
        </w:p>
        <w:p w14:paraId="080D35F4" w14:textId="450B5587" w:rsidR="00F67D79" w:rsidRPr="00872293" w:rsidRDefault="00513656">
          <w:pPr>
            <w:pStyle w:val="TOC2"/>
            <w:tabs>
              <w:tab w:val="right" w:leader="dot" w:pos="9350"/>
            </w:tabs>
            <w:rPr>
              <w:rFonts w:ascii="Times New Roman" w:hAnsi="Times New Roman"/>
              <w:noProof/>
              <w:sz w:val="24"/>
              <w:szCs w:val="24"/>
            </w:rPr>
          </w:pPr>
          <w:hyperlink w:anchor="_Toc53689072" w:history="1">
            <w:r w:rsidR="00F67D79" w:rsidRPr="00872293">
              <w:rPr>
                <w:rStyle w:val="Hyperlink"/>
                <w:rFonts w:ascii="Times New Roman" w:hAnsi="Times New Roman"/>
                <w:noProof/>
                <w:color w:val="auto"/>
                <w:sz w:val="24"/>
                <w:szCs w:val="24"/>
              </w:rPr>
              <w:t>Appendix</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45</w:t>
            </w:r>
            <w:r w:rsidR="00F67D79" w:rsidRPr="00872293">
              <w:rPr>
                <w:rFonts w:ascii="Times New Roman" w:hAnsi="Times New Roman"/>
                <w:noProof/>
                <w:webHidden/>
                <w:sz w:val="24"/>
                <w:szCs w:val="24"/>
              </w:rPr>
              <w:fldChar w:fldCharType="end"/>
            </w:r>
          </w:hyperlink>
        </w:p>
        <w:p w14:paraId="7DDB80C4" w14:textId="20E04214" w:rsidR="00F67D79" w:rsidRPr="00872293" w:rsidRDefault="00513656">
          <w:pPr>
            <w:pStyle w:val="TOC1"/>
            <w:tabs>
              <w:tab w:val="right" w:leader="dot" w:pos="9350"/>
            </w:tabs>
            <w:rPr>
              <w:rFonts w:ascii="Times New Roman" w:eastAsiaTheme="minorEastAsia" w:hAnsi="Times New Roman" w:cs="Times New Roman"/>
              <w:noProof/>
            </w:rPr>
          </w:pPr>
          <w:hyperlink w:anchor="_Toc53689073" w:history="1">
            <w:r w:rsidR="00F67D79" w:rsidRPr="00872293">
              <w:rPr>
                <w:rStyle w:val="Hyperlink"/>
                <w:rFonts w:ascii="Times New Roman" w:hAnsi="Times New Roman" w:cs="Times New Roman"/>
                <w:noProof/>
                <w:color w:val="auto"/>
              </w:rPr>
              <w:t>Soil warming and its legacy effects on root dynamics following hurricane disturbance in a wet tropical forest</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_Toc53689073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57</w:t>
            </w:r>
            <w:r w:rsidR="00F67D79" w:rsidRPr="00872293">
              <w:rPr>
                <w:rFonts w:ascii="Times New Roman" w:hAnsi="Times New Roman" w:cs="Times New Roman"/>
                <w:noProof/>
                <w:webHidden/>
              </w:rPr>
              <w:fldChar w:fldCharType="end"/>
            </w:r>
          </w:hyperlink>
        </w:p>
        <w:p w14:paraId="68E7E912" w14:textId="3C678EC4" w:rsidR="00F67D79" w:rsidRPr="00872293" w:rsidRDefault="00513656">
          <w:pPr>
            <w:pStyle w:val="TOC2"/>
            <w:tabs>
              <w:tab w:val="right" w:leader="dot" w:pos="9350"/>
            </w:tabs>
            <w:rPr>
              <w:rFonts w:ascii="Times New Roman" w:hAnsi="Times New Roman"/>
              <w:noProof/>
              <w:sz w:val="24"/>
              <w:szCs w:val="24"/>
            </w:rPr>
          </w:pPr>
          <w:hyperlink w:anchor="_Toc53689074" w:history="1">
            <w:r w:rsidR="00F67D79" w:rsidRPr="00872293">
              <w:rPr>
                <w:rStyle w:val="Hyperlink"/>
                <w:rFonts w:ascii="Times New Roman" w:hAnsi="Times New Roman"/>
                <w:noProof/>
                <w:color w:val="auto"/>
                <w:sz w:val="24"/>
                <w:szCs w:val="24"/>
              </w:rPr>
              <w:t>Abstract</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58</w:t>
            </w:r>
            <w:r w:rsidR="00F67D79" w:rsidRPr="00872293">
              <w:rPr>
                <w:rFonts w:ascii="Times New Roman" w:hAnsi="Times New Roman"/>
                <w:noProof/>
                <w:webHidden/>
                <w:sz w:val="24"/>
                <w:szCs w:val="24"/>
              </w:rPr>
              <w:fldChar w:fldCharType="end"/>
            </w:r>
          </w:hyperlink>
        </w:p>
        <w:p w14:paraId="23E539C6" w14:textId="1FE813FA" w:rsidR="00F67D79" w:rsidRPr="00872293" w:rsidRDefault="00513656">
          <w:pPr>
            <w:pStyle w:val="TOC2"/>
            <w:tabs>
              <w:tab w:val="right" w:leader="dot" w:pos="9350"/>
            </w:tabs>
            <w:rPr>
              <w:rFonts w:ascii="Times New Roman" w:hAnsi="Times New Roman"/>
              <w:noProof/>
              <w:sz w:val="24"/>
              <w:szCs w:val="24"/>
            </w:rPr>
          </w:pPr>
          <w:hyperlink w:anchor="_Toc53689075" w:history="1">
            <w:r w:rsidR="00F67D79" w:rsidRPr="00872293">
              <w:rPr>
                <w:rStyle w:val="Hyperlink"/>
                <w:rFonts w:ascii="Times New Roman" w:hAnsi="Times New Roman"/>
                <w:noProof/>
                <w:color w:val="auto"/>
                <w:sz w:val="24"/>
                <w:szCs w:val="24"/>
              </w:rPr>
              <w:t>Introduction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59</w:t>
            </w:r>
            <w:r w:rsidR="00F67D79" w:rsidRPr="00872293">
              <w:rPr>
                <w:rFonts w:ascii="Times New Roman" w:hAnsi="Times New Roman"/>
                <w:noProof/>
                <w:webHidden/>
                <w:sz w:val="24"/>
                <w:szCs w:val="24"/>
              </w:rPr>
              <w:fldChar w:fldCharType="end"/>
            </w:r>
          </w:hyperlink>
        </w:p>
        <w:p w14:paraId="2BE6196D" w14:textId="27C3EADB" w:rsidR="00F67D79" w:rsidRPr="00872293" w:rsidRDefault="00513656">
          <w:pPr>
            <w:pStyle w:val="TOC2"/>
            <w:tabs>
              <w:tab w:val="right" w:leader="dot" w:pos="9350"/>
            </w:tabs>
            <w:rPr>
              <w:rFonts w:ascii="Times New Roman" w:hAnsi="Times New Roman"/>
              <w:noProof/>
              <w:sz w:val="24"/>
              <w:szCs w:val="24"/>
            </w:rPr>
          </w:pPr>
          <w:hyperlink w:anchor="_Toc53689076" w:history="1">
            <w:r w:rsidR="00F67D79" w:rsidRPr="00872293">
              <w:rPr>
                <w:rStyle w:val="Hyperlink"/>
                <w:rFonts w:ascii="Times New Roman" w:hAnsi="Times New Roman"/>
                <w:noProof/>
                <w:color w:val="auto"/>
                <w:sz w:val="24"/>
                <w:szCs w:val="24"/>
              </w:rPr>
              <w:t>Materials and methods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62</w:t>
            </w:r>
            <w:r w:rsidR="00F67D79" w:rsidRPr="00872293">
              <w:rPr>
                <w:rFonts w:ascii="Times New Roman" w:hAnsi="Times New Roman"/>
                <w:noProof/>
                <w:webHidden/>
                <w:sz w:val="24"/>
                <w:szCs w:val="24"/>
              </w:rPr>
              <w:fldChar w:fldCharType="end"/>
            </w:r>
          </w:hyperlink>
        </w:p>
        <w:p w14:paraId="356A42CA" w14:textId="0C8165B1" w:rsidR="00F67D79" w:rsidRPr="00872293" w:rsidRDefault="00513656">
          <w:pPr>
            <w:pStyle w:val="TOC3"/>
            <w:tabs>
              <w:tab w:val="right" w:leader="dot" w:pos="9350"/>
            </w:tabs>
            <w:rPr>
              <w:rFonts w:ascii="Times New Roman" w:hAnsi="Times New Roman"/>
              <w:noProof/>
              <w:sz w:val="24"/>
              <w:szCs w:val="24"/>
            </w:rPr>
          </w:pPr>
          <w:hyperlink w:anchor="_Toc53689077" w:history="1">
            <w:r w:rsidR="00F67D79" w:rsidRPr="00872293">
              <w:rPr>
                <w:rStyle w:val="Hyperlink"/>
                <w:rFonts w:ascii="Times New Roman" w:hAnsi="Times New Roman"/>
                <w:noProof/>
                <w:color w:val="auto"/>
                <w:sz w:val="24"/>
                <w:szCs w:val="24"/>
              </w:rPr>
              <w:t>Study site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62</w:t>
            </w:r>
            <w:r w:rsidR="00F67D79" w:rsidRPr="00872293">
              <w:rPr>
                <w:rFonts w:ascii="Times New Roman" w:hAnsi="Times New Roman"/>
                <w:noProof/>
                <w:webHidden/>
                <w:sz w:val="24"/>
                <w:szCs w:val="24"/>
              </w:rPr>
              <w:fldChar w:fldCharType="end"/>
            </w:r>
          </w:hyperlink>
        </w:p>
        <w:p w14:paraId="48911134" w14:textId="1CAF710E" w:rsidR="00F67D79" w:rsidRPr="00872293" w:rsidRDefault="00513656">
          <w:pPr>
            <w:pStyle w:val="TOC3"/>
            <w:tabs>
              <w:tab w:val="right" w:leader="dot" w:pos="9350"/>
            </w:tabs>
            <w:rPr>
              <w:rFonts w:ascii="Times New Roman" w:hAnsi="Times New Roman"/>
              <w:noProof/>
              <w:sz w:val="24"/>
              <w:szCs w:val="24"/>
            </w:rPr>
          </w:pPr>
          <w:hyperlink w:anchor="_Toc53689078" w:history="1">
            <w:r w:rsidR="00F67D79" w:rsidRPr="00872293">
              <w:rPr>
                <w:rStyle w:val="Hyperlink"/>
                <w:rFonts w:ascii="Times New Roman" w:hAnsi="Times New Roman"/>
                <w:noProof/>
                <w:color w:val="auto"/>
                <w:sz w:val="24"/>
                <w:szCs w:val="24"/>
              </w:rPr>
              <w:t>The warming experiment</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62</w:t>
            </w:r>
            <w:r w:rsidR="00F67D79" w:rsidRPr="00872293">
              <w:rPr>
                <w:rFonts w:ascii="Times New Roman" w:hAnsi="Times New Roman"/>
                <w:noProof/>
                <w:webHidden/>
                <w:sz w:val="24"/>
                <w:szCs w:val="24"/>
              </w:rPr>
              <w:fldChar w:fldCharType="end"/>
            </w:r>
          </w:hyperlink>
        </w:p>
        <w:p w14:paraId="004DDF39" w14:textId="1563BA7C" w:rsidR="00F67D79" w:rsidRPr="00872293" w:rsidRDefault="00513656">
          <w:pPr>
            <w:pStyle w:val="TOC3"/>
            <w:tabs>
              <w:tab w:val="right" w:leader="dot" w:pos="9350"/>
            </w:tabs>
            <w:rPr>
              <w:rFonts w:ascii="Times New Roman" w:hAnsi="Times New Roman"/>
              <w:noProof/>
              <w:sz w:val="24"/>
              <w:szCs w:val="24"/>
            </w:rPr>
          </w:pPr>
          <w:hyperlink w:anchor="_Toc53689079" w:history="1">
            <w:r w:rsidR="00F67D79" w:rsidRPr="00872293">
              <w:rPr>
                <w:rStyle w:val="Hyperlink"/>
                <w:rFonts w:ascii="Times New Roman" w:hAnsi="Times New Roman"/>
                <w:noProof/>
                <w:color w:val="auto"/>
                <w:sz w:val="24"/>
                <w:szCs w:val="24"/>
              </w:rPr>
              <w:t>The hurricane events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_Toc53689079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63</w:t>
            </w:r>
            <w:r w:rsidR="00F67D79" w:rsidRPr="00872293">
              <w:rPr>
                <w:rFonts w:ascii="Times New Roman" w:hAnsi="Times New Roman"/>
                <w:noProof/>
                <w:webHidden/>
                <w:sz w:val="24"/>
                <w:szCs w:val="24"/>
              </w:rPr>
              <w:fldChar w:fldCharType="end"/>
            </w:r>
          </w:hyperlink>
        </w:p>
        <w:p w14:paraId="46792D54" w14:textId="15A10EDA" w:rsidR="00F67D79" w:rsidRPr="00872293" w:rsidRDefault="00513656">
          <w:pPr>
            <w:pStyle w:val="TOC3"/>
            <w:tabs>
              <w:tab w:val="right" w:leader="dot" w:pos="9350"/>
            </w:tabs>
            <w:rPr>
              <w:rFonts w:ascii="Times New Roman" w:hAnsi="Times New Roman"/>
              <w:noProof/>
              <w:sz w:val="24"/>
              <w:szCs w:val="24"/>
            </w:rPr>
          </w:pPr>
          <w:hyperlink w:anchor="_Toc53689080" w:history="1">
            <w:r w:rsidR="00F67D79" w:rsidRPr="00872293">
              <w:rPr>
                <w:rStyle w:val="Hyperlink"/>
                <w:rFonts w:ascii="Times New Roman" w:hAnsi="Times New Roman"/>
                <w:noProof/>
                <w:color w:val="auto"/>
                <w:sz w:val="24"/>
                <w:szCs w:val="24"/>
              </w:rPr>
              <w:t>Root measurements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64</w:t>
            </w:r>
            <w:r w:rsidR="00F67D79" w:rsidRPr="00872293">
              <w:rPr>
                <w:rFonts w:ascii="Times New Roman" w:hAnsi="Times New Roman"/>
                <w:noProof/>
                <w:webHidden/>
                <w:sz w:val="24"/>
                <w:szCs w:val="24"/>
              </w:rPr>
              <w:fldChar w:fldCharType="end"/>
            </w:r>
          </w:hyperlink>
        </w:p>
        <w:p w14:paraId="31CCBC05" w14:textId="3D572761" w:rsidR="00F67D79" w:rsidRPr="00872293" w:rsidRDefault="00513656">
          <w:pPr>
            <w:pStyle w:val="TOC3"/>
            <w:tabs>
              <w:tab w:val="right" w:leader="dot" w:pos="9350"/>
            </w:tabs>
            <w:rPr>
              <w:rFonts w:ascii="Times New Roman" w:hAnsi="Times New Roman"/>
              <w:noProof/>
              <w:sz w:val="24"/>
              <w:szCs w:val="24"/>
            </w:rPr>
          </w:pPr>
          <w:hyperlink w:anchor="_Toc53689081" w:history="1">
            <w:r w:rsidR="00F67D79" w:rsidRPr="00872293">
              <w:rPr>
                <w:rStyle w:val="Hyperlink"/>
                <w:rFonts w:ascii="Times New Roman" w:hAnsi="Times New Roman"/>
                <w:noProof/>
                <w:color w:val="auto"/>
                <w:sz w:val="24"/>
                <w:szCs w:val="24"/>
              </w:rPr>
              <w:t>Statistical analysis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66</w:t>
            </w:r>
            <w:r w:rsidR="00F67D79" w:rsidRPr="00872293">
              <w:rPr>
                <w:rFonts w:ascii="Times New Roman" w:hAnsi="Times New Roman"/>
                <w:noProof/>
                <w:webHidden/>
                <w:sz w:val="24"/>
                <w:szCs w:val="24"/>
              </w:rPr>
              <w:fldChar w:fldCharType="end"/>
            </w:r>
          </w:hyperlink>
        </w:p>
        <w:p w14:paraId="1655DF24" w14:textId="38060ACC" w:rsidR="00F67D79" w:rsidRPr="00872293" w:rsidRDefault="00513656">
          <w:pPr>
            <w:pStyle w:val="TOC2"/>
            <w:tabs>
              <w:tab w:val="right" w:leader="dot" w:pos="9350"/>
            </w:tabs>
            <w:rPr>
              <w:rFonts w:ascii="Times New Roman" w:hAnsi="Times New Roman"/>
              <w:noProof/>
              <w:sz w:val="24"/>
              <w:szCs w:val="24"/>
            </w:rPr>
          </w:pPr>
          <w:hyperlink w:anchor="_Toc53689082" w:history="1">
            <w:r w:rsidR="00F67D79" w:rsidRPr="00872293">
              <w:rPr>
                <w:rStyle w:val="Hyperlink"/>
                <w:rFonts w:ascii="Times New Roman" w:hAnsi="Times New Roman"/>
                <w:noProof/>
                <w:color w:val="auto"/>
                <w:sz w:val="24"/>
                <w:szCs w:val="24"/>
              </w:rPr>
              <w:t>Results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68</w:t>
            </w:r>
            <w:r w:rsidR="00F67D79" w:rsidRPr="00872293">
              <w:rPr>
                <w:rFonts w:ascii="Times New Roman" w:hAnsi="Times New Roman"/>
                <w:noProof/>
                <w:webHidden/>
                <w:sz w:val="24"/>
                <w:szCs w:val="24"/>
              </w:rPr>
              <w:fldChar w:fldCharType="end"/>
            </w:r>
          </w:hyperlink>
        </w:p>
        <w:p w14:paraId="775E1AF4" w14:textId="7D77A7B4" w:rsidR="00F67D79" w:rsidRPr="00872293" w:rsidRDefault="00513656">
          <w:pPr>
            <w:pStyle w:val="TOC3"/>
            <w:tabs>
              <w:tab w:val="right" w:leader="dot" w:pos="9350"/>
            </w:tabs>
            <w:rPr>
              <w:rFonts w:ascii="Times New Roman" w:hAnsi="Times New Roman"/>
              <w:noProof/>
              <w:sz w:val="24"/>
              <w:szCs w:val="24"/>
            </w:rPr>
          </w:pPr>
          <w:hyperlink w:anchor="_Toc53689083" w:history="1">
            <w:r w:rsidR="00F67D79" w:rsidRPr="00872293">
              <w:rPr>
                <w:rStyle w:val="Hyperlink"/>
                <w:rFonts w:ascii="Times New Roman" w:hAnsi="Times New Roman"/>
                <w:noProof/>
                <w:color w:val="auto"/>
                <w:sz w:val="24"/>
                <w:szCs w:val="24"/>
              </w:rPr>
              <w:t>Root dynamics in response to the warming treatment</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68</w:t>
            </w:r>
            <w:r w:rsidR="00F67D79" w:rsidRPr="00872293">
              <w:rPr>
                <w:rFonts w:ascii="Times New Roman" w:hAnsi="Times New Roman"/>
                <w:noProof/>
                <w:webHidden/>
                <w:sz w:val="24"/>
                <w:szCs w:val="24"/>
              </w:rPr>
              <w:fldChar w:fldCharType="end"/>
            </w:r>
          </w:hyperlink>
        </w:p>
        <w:p w14:paraId="703CE94A" w14:textId="62D0135A" w:rsidR="00F67D79" w:rsidRPr="00872293" w:rsidRDefault="00513656">
          <w:pPr>
            <w:pStyle w:val="TOC3"/>
            <w:tabs>
              <w:tab w:val="right" w:leader="dot" w:pos="9350"/>
            </w:tabs>
            <w:rPr>
              <w:rFonts w:ascii="Times New Roman" w:hAnsi="Times New Roman"/>
              <w:noProof/>
              <w:sz w:val="24"/>
              <w:szCs w:val="24"/>
            </w:rPr>
          </w:pPr>
          <w:hyperlink w:anchor="_Toc53689084" w:history="1">
            <w:r w:rsidR="00F67D79" w:rsidRPr="00872293">
              <w:rPr>
                <w:rStyle w:val="Hyperlink"/>
                <w:rFonts w:ascii="Times New Roman" w:hAnsi="Times New Roman"/>
                <w:noProof/>
                <w:color w:val="auto"/>
                <w:sz w:val="24"/>
                <w:szCs w:val="24"/>
              </w:rPr>
              <w:t>Root dynamics response to the hurricane and the warming treatment legacy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69</w:t>
            </w:r>
            <w:r w:rsidR="00F67D79" w:rsidRPr="00872293">
              <w:rPr>
                <w:rFonts w:ascii="Times New Roman" w:hAnsi="Times New Roman"/>
                <w:noProof/>
                <w:webHidden/>
                <w:sz w:val="24"/>
                <w:szCs w:val="24"/>
              </w:rPr>
              <w:fldChar w:fldCharType="end"/>
            </w:r>
          </w:hyperlink>
        </w:p>
        <w:p w14:paraId="6BCEB663" w14:textId="50D99D2E" w:rsidR="00F67D79" w:rsidRPr="00872293" w:rsidRDefault="00513656">
          <w:pPr>
            <w:pStyle w:val="TOC3"/>
            <w:tabs>
              <w:tab w:val="right" w:leader="dot" w:pos="9350"/>
            </w:tabs>
            <w:rPr>
              <w:rFonts w:ascii="Times New Roman" w:hAnsi="Times New Roman"/>
              <w:noProof/>
              <w:sz w:val="24"/>
              <w:szCs w:val="24"/>
            </w:rPr>
          </w:pPr>
          <w:hyperlink w:anchor="_Toc53689085" w:history="1">
            <w:r w:rsidR="00F67D79" w:rsidRPr="00872293">
              <w:rPr>
                <w:rStyle w:val="Hyperlink"/>
                <w:rFonts w:ascii="Times New Roman" w:hAnsi="Times New Roman"/>
                <w:noProof/>
                <w:color w:val="auto"/>
                <w:sz w:val="24"/>
                <w:szCs w:val="24"/>
              </w:rPr>
              <w:t>Root dynamics by soil depth</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70</w:t>
            </w:r>
            <w:r w:rsidR="00F67D79" w:rsidRPr="00872293">
              <w:rPr>
                <w:rFonts w:ascii="Times New Roman" w:hAnsi="Times New Roman"/>
                <w:noProof/>
                <w:webHidden/>
                <w:sz w:val="24"/>
                <w:szCs w:val="24"/>
              </w:rPr>
              <w:fldChar w:fldCharType="end"/>
            </w:r>
          </w:hyperlink>
        </w:p>
        <w:p w14:paraId="7437F391" w14:textId="1C4F7434" w:rsidR="00F67D79" w:rsidRPr="00872293" w:rsidRDefault="00513656">
          <w:pPr>
            <w:pStyle w:val="TOC3"/>
            <w:tabs>
              <w:tab w:val="right" w:leader="dot" w:pos="9350"/>
            </w:tabs>
            <w:rPr>
              <w:rFonts w:ascii="Times New Roman" w:hAnsi="Times New Roman"/>
              <w:noProof/>
              <w:sz w:val="24"/>
              <w:szCs w:val="24"/>
            </w:rPr>
          </w:pPr>
          <w:hyperlink w:anchor="_Toc53689086" w:history="1">
            <w:r w:rsidR="00F67D79" w:rsidRPr="00872293">
              <w:rPr>
                <w:rStyle w:val="Hyperlink"/>
                <w:rFonts w:ascii="Times New Roman" w:hAnsi="Times New Roman"/>
                <w:noProof/>
                <w:color w:val="auto"/>
                <w:sz w:val="24"/>
                <w:szCs w:val="24"/>
              </w:rPr>
              <w:t>Root morphology from soil in-growth cores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70</w:t>
            </w:r>
            <w:r w:rsidR="00F67D79" w:rsidRPr="00872293">
              <w:rPr>
                <w:rFonts w:ascii="Times New Roman" w:hAnsi="Times New Roman"/>
                <w:noProof/>
                <w:webHidden/>
                <w:sz w:val="24"/>
                <w:szCs w:val="24"/>
              </w:rPr>
              <w:fldChar w:fldCharType="end"/>
            </w:r>
          </w:hyperlink>
        </w:p>
        <w:p w14:paraId="2187E868" w14:textId="088184C4" w:rsidR="00F67D79" w:rsidRPr="00872293" w:rsidRDefault="00513656">
          <w:pPr>
            <w:pStyle w:val="TOC2"/>
            <w:tabs>
              <w:tab w:val="right" w:leader="dot" w:pos="9350"/>
            </w:tabs>
            <w:rPr>
              <w:rFonts w:ascii="Times New Roman" w:hAnsi="Times New Roman"/>
              <w:noProof/>
              <w:sz w:val="24"/>
              <w:szCs w:val="24"/>
            </w:rPr>
          </w:pPr>
          <w:hyperlink w:anchor="_Toc53689087" w:history="1">
            <w:r w:rsidR="00F67D79" w:rsidRPr="00872293">
              <w:rPr>
                <w:rStyle w:val="Hyperlink"/>
                <w:rFonts w:ascii="Times New Roman" w:hAnsi="Times New Roman"/>
                <w:noProof/>
                <w:color w:val="auto"/>
                <w:sz w:val="24"/>
                <w:szCs w:val="24"/>
              </w:rPr>
              <w:t>Discussion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70</w:t>
            </w:r>
            <w:r w:rsidR="00F67D79" w:rsidRPr="00872293">
              <w:rPr>
                <w:rFonts w:ascii="Times New Roman" w:hAnsi="Times New Roman"/>
                <w:noProof/>
                <w:webHidden/>
                <w:sz w:val="24"/>
                <w:szCs w:val="24"/>
              </w:rPr>
              <w:fldChar w:fldCharType="end"/>
            </w:r>
          </w:hyperlink>
        </w:p>
        <w:p w14:paraId="75EB9274" w14:textId="041F9EC4" w:rsidR="00F67D79" w:rsidRPr="00872293" w:rsidRDefault="00513656">
          <w:pPr>
            <w:pStyle w:val="TOC3"/>
            <w:tabs>
              <w:tab w:val="right" w:leader="dot" w:pos="9350"/>
            </w:tabs>
            <w:rPr>
              <w:rFonts w:ascii="Times New Roman" w:hAnsi="Times New Roman"/>
              <w:noProof/>
              <w:sz w:val="24"/>
              <w:szCs w:val="24"/>
            </w:rPr>
          </w:pPr>
          <w:hyperlink w:anchor="_Toc53689088" w:history="1">
            <w:r w:rsidR="00F67D79" w:rsidRPr="00872293">
              <w:rPr>
                <w:rStyle w:val="Hyperlink"/>
                <w:rFonts w:ascii="Times New Roman" w:hAnsi="Times New Roman"/>
                <w:noProof/>
                <w:color w:val="auto"/>
                <w:sz w:val="24"/>
                <w:szCs w:val="24"/>
              </w:rPr>
              <w:t>Response to warming</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71</w:t>
            </w:r>
            <w:r w:rsidR="00F67D79" w:rsidRPr="00872293">
              <w:rPr>
                <w:rFonts w:ascii="Times New Roman" w:hAnsi="Times New Roman"/>
                <w:noProof/>
                <w:webHidden/>
                <w:sz w:val="24"/>
                <w:szCs w:val="24"/>
              </w:rPr>
              <w:fldChar w:fldCharType="end"/>
            </w:r>
          </w:hyperlink>
        </w:p>
        <w:p w14:paraId="695E6094" w14:textId="7220999C" w:rsidR="00F67D79" w:rsidRPr="00872293" w:rsidRDefault="00513656">
          <w:pPr>
            <w:pStyle w:val="TOC3"/>
            <w:tabs>
              <w:tab w:val="right" w:leader="dot" w:pos="9350"/>
            </w:tabs>
            <w:rPr>
              <w:rFonts w:ascii="Times New Roman" w:hAnsi="Times New Roman"/>
              <w:noProof/>
              <w:sz w:val="24"/>
              <w:szCs w:val="24"/>
            </w:rPr>
          </w:pPr>
          <w:hyperlink w:anchor="_Toc53689089" w:history="1">
            <w:r w:rsidR="00F67D79" w:rsidRPr="00872293">
              <w:rPr>
                <w:rStyle w:val="Hyperlink"/>
                <w:rFonts w:ascii="Times New Roman" w:hAnsi="Times New Roman"/>
                <w:noProof/>
                <w:color w:val="auto"/>
                <w:sz w:val="24"/>
                <w:szCs w:val="24"/>
              </w:rPr>
              <w:t>Hurricane response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_Toc53689089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74</w:t>
            </w:r>
            <w:r w:rsidR="00F67D79" w:rsidRPr="00872293">
              <w:rPr>
                <w:rFonts w:ascii="Times New Roman" w:hAnsi="Times New Roman"/>
                <w:noProof/>
                <w:webHidden/>
                <w:sz w:val="24"/>
                <w:szCs w:val="24"/>
              </w:rPr>
              <w:fldChar w:fldCharType="end"/>
            </w:r>
          </w:hyperlink>
        </w:p>
        <w:p w14:paraId="64ABF218" w14:textId="2062D355" w:rsidR="00F67D79" w:rsidRPr="00872293" w:rsidRDefault="00513656">
          <w:pPr>
            <w:pStyle w:val="TOC2"/>
            <w:tabs>
              <w:tab w:val="right" w:leader="dot" w:pos="9350"/>
            </w:tabs>
            <w:rPr>
              <w:rFonts w:ascii="Times New Roman" w:hAnsi="Times New Roman"/>
              <w:noProof/>
              <w:sz w:val="24"/>
              <w:szCs w:val="24"/>
            </w:rPr>
          </w:pPr>
          <w:hyperlink w:anchor="_Toc53689090" w:history="1">
            <w:r w:rsidR="00F67D79" w:rsidRPr="00872293">
              <w:rPr>
                <w:rStyle w:val="Hyperlink"/>
                <w:rFonts w:ascii="Times New Roman" w:hAnsi="Times New Roman"/>
                <w:noProof/>
                <w:color w:val="auto"/>
                <w:sz w:val="24"/>
                <w:szCs w:val="24"/>
              </w:rPr>
              <w:t>Conclusions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76</w:t>
            </w:r>
            <w:r w:rsidR="00F67D79" w:rsidRPr="00872293">
              <w:rPr>
                <w:rFonts w:ascii="Times New Roman" w:hAnsi="Times New Roman"/>
                <w:noProof/>
                <w:webHidden/>
                <w:sz w:val="24"/>
                <w:szCs w:val="24"/>
              </w:rPr>
              <w:fldChar w:fldCharType="end"/>
            </w:r>
          </w:hyperlink>
        </w:p>
        <w:p w14:paraId="337364E0" w14:textId="52AF352D" w:rsidR="00F67D79" w:rsidRPr="00872293" w:rsidRDefault="00513656">
          <w:pPr>
            <w:pStyle w:val="TOC2"/>
            <w:tabs>
              <w:tab w:val="right" w:leader="dot" w:pos="9350"/>
            </w:tabs>
            <w:rPr>
              <w:rFonts w:ascii="Times New Roman" w:hAnsi="Times New Roman"/>
              <w:noProof/>
              <w:sz w:val="24"/>
              <w:szCs w:val="24"/>
            </w:rPr>
          </w:pPr>
          <w:hyperlink w:anchor="_Toc53689091" w:history="1">
            <w:r w:rsidR="00F67D79" w:rsidRPr="00872293">
              <w:rPr>
                <w:rStyle w:val="Hyperlink"/>
                <w:rFonts w:ascii="Times New Roman" w:hAnsi="Times New Roman"/>
                <w:noProof/>
                <w:color w:val="auto"/>
                <w:sz w:val="24"/>
                <w:szCs w:val="24"/>
              </w:rPr>
              <w:t>References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78</w:t>
            </w:r>
            <w:r w:rsidR="00F67D79" w:rsidRPr="00872293">
              <w:rPr>
                <w:rFonts w:ascii="Times New Roman" w:hAnsi="Times New Roman"/>
                <w:noProof/>
                <w:webHidden/>
                <w:sz w:val="24"/>
                <w:szCs w:val="24"/>
              </w:rPr>
              <w:fldChar w:fldCharType="end"/>
            </w:r>
          </w:hyperlink>
        </w:p>
        <w:p w14:paraId="6CF1BD43" w14:textId="3B3C84BC" w:rsidR="00F67D79" w:rsidRPr="00872293" w:rsidRDefault="00513656">
          <w:pPr>
            <w:pStyle w:val="TOC2"/>
            <w:tabs>
              <w:tab w:val="right" w:leader="dot" w:pos="9350"/>
            </w:tabs>
            <w:rPr>
              <w:rFonts w:ascii="Times New Roman" w:hAnsi="Times New Roman"/>
              <w:noProof/>
              <w:sz w:val="24"/>
              <w:szCs w:val="24"/>
            </w:rPr>
          </w:pPr>
          <w:hyperlink w:anchor="_Toc53689092" w:history="1">
            <w:r w:rsidR="00F67D79" w:rsidRPr="00872293">
              <w:rPr>
                <w:rStyle w:val="Hyperlink"/>
                <w:rFonts w:ascii="Times New Roman" w:hAnsi="Times New Roman"/>
                <w:noProof/>
                <w:color w:val="auto"/>
                <w:sz w:val="24"/>
                <w:szCs w:val="24"/>
              </w:rPr>
              <w:t>Appendix</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90</w:t>
            </w:r>
            <w:r w:rsidR="00F67D79" w:rsidRPr="00872293">
              <w:rPr>
                <w:rFonts w:ascii="Times New Roman" w:hAnsi="Times New Roman"/>
                <w:noProof/>
                <w:webHidden/>
                <w:sz w:val="24"/>
                <w:szCs w:val="24"/>
              </w:rPr>
              <w:fldChar w:fldCharType="end"/>
            </w:r>
          </w:hyperlink>
        </w:p>
        <w:p w14:paraId="10F6B605" w14:textId="3679B228" w:rsidR="00F67D79" w:rsidRPr="00872293" w:rsidRDefault="00513656">
          <w:pPr>
            <w:pStyle w:val="TOC1"/>
            <w:tabs>
              <w:tab w:val="right" w:leader="dot" w:pos="9350"/>
            </w:tabs>
            <w:rPr>
              <w:rFonts w:ascii="Times New Roman" w:eastAsiaTheme="minorEastAsia" w:hAnsi="Times New Roman" w:cs="Times New Roman"/>
              <w:noProof/>
            </w:rPr>
          </w:pPr>
          <w:hyperlink w:anchor="_Toc53689093" w:history="1">
            <w:r w:rsidR="00F67D79" w:rsidRPr="00872293">
              <w:rPr>
                <w:rStyle w:val="Hyperlink"/>
                <w:rFonts w:ascii="Times New Roman" w:hAnsi="Times New Roman" w:cs="Times New Roman"/>
                <w:noProof/>
                <w:color w:val="auto"/>
              </w:rPr>
              <w:t>Tropical fine-root trait strategies for phosphorus acquisition and their response to hurricane disturbance in a wet tropical forest of Puerto Rico</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_Toc53689093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100</w:t>
            </w:r>
            <w:r w:rsidR="00F67D79" w:rsidRPr="00872293">
              <w:rPr>
                <w:rFonts w:ascii="Times New Roman" w:hAnsi="Times New Roman" w:cs="Times New Roman"/>
                <w:noProof/>
                <w:webHidden/>
              </w:rPr>
              <w:fldChar w:fldCharType="end"/>
            </w:r>
          </w:hyperlink>
        </w:p>
        <w:p w14:paraId="63B188E6" w14:textId="61F4D38C" w:rsidR="00F67D79" w:rsidRPr="00872293" w:rsidRDefault="00513656">
          <w:pPr>
            <w:pStyle w:val="TOC2"/>
            <w:tabs>
              <w:tab w:val="right" w:leader="dot" w:pos="9350"/>
            </w:tabs>
            <w:rPr>
              <w:rFonts w:ascii="Times New Roman" w:hAnsi="Times New Roman"/>
              <w:noProof/>
              <w:sz w:val="24"/>
              <w:szCs w:val="24"/>
            </w:rPr>
          </w:pPr>
          <w:hyperlink w:anchor="_Toc53689094" w:history="1">
            <w:r w:rsidR="00F67D79" w:rsidRPr="00872293">
              <w:rPr>
                <w:rStyle w:val="Hyperlink"/>
                <w:rFonts w:ascii="Times New Roman" w:hAnsi="Times New Roman"/>
                <w:noProof/>
                <w:color w:val="auto"/>
                <w:sz w:val="24"/>
                <w:szCs w:val="24"/>
              </w:rPr>
              <w:t>Abstract</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101</w:t>
            </w:r>
            <w:r w:rsidR="00F67D79" w:rsidRPr="00872293">
              <w:rPr>
                <w:rFonts w:ascii="Times New Roman" w:hAnsi="Times New Roman"/>
                <w:noProof/>
                <w:webHidden/>
                <w:sz w:val="24"/>
                <w:szCs w:val="24"/>
              </w:rPr>
              <w:fldChar w:fldCharType="end"/>
            </w:r>
          </w:hyperlink>
        </w:p>
        <w:p w14:paraId="2CDDCA67" w14:textId="7C8BA149" w:rsidR="00F67D79" w:rsidRPr="00872293" w:rsidRDefault="00513656">
          <w:pPr>
            <w:pStyle w:val="TOC2"/>
            <w:tabs>
              <w:tab w:val="right" w:leader="dot" w:pos="9350"/>
            </w:tabs>
            <w:rPr>
              <w:rFonts w:ascii="Times New Roman" w:hAnsi="Times New Roman"/>
              <w:noProof/>
              <w:sz w:val="24"/>
              <w:szCs w:val="24"/>
            </w:rPr>
          </w:pPr>
          <w:hyperlink w:anchor="_Toc53689095" w:history="1">
            <w:r w:rsidR="00F67D79" w:rsidRPr="00872293">
              <w:rPr>
                <w:rStyle w:val="Hyperlink"/>
                <w:rFonts w:ascii="Times New Roman" w:hAnsi="Times New Roman"/>
                <w:noProof/>
                <w:color w:val="auto"/>
                <w:sz w:val="24"/>
                <w:szCs w:val="24"/>
              </w:rPr>
              <w:t>Introduction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102</w:t>
            </w:r>
            <w:r w:rsidR="00F67D79" w:rsidRPr="00872293">
              <w:rPr>
                <w:rFonts w:ascii="Times New Roman" w:hAnsi="Times New Roman"/>
                <w:noProof/>
                <w:webHidden/>
                <w:sz w:val="24"/>
                <w:szCs w:val="24"/>
              </w:rPr>
              <w:fldChar w:fldCharType="end"/>
            </w:r>
          </w:hyperlink>
        </w:p>
        <w:p w14:paraId="53AAAC01" w14:textId="3E80B841" w:rsidR="00F67D79" w:rsidRPr="00872293" w:rsidRDefault="00513656">
          <w:pPr>
            <w:pStyle w:val="TOC2"/>
            <w:tabs>
              <w:tab w:val="right" w:leader="dot" w:pos="9350"/>
            </w:tabs>
            <w:rPr>
              <w:rFonts w:ascii="Times New Roman" w:hAnsi="Times New Roman"/>
              <w:noProof/>
              <w:sz w:val="24"/>
              <w:szCs w:val="24"/>
            </w:rPr>
          </w:pPr>
          <w:hyperlink w:anchor="_Toc53689096" w:history="1">
            <w:r w:rsidR="00F67D79" w:rsidRPr="00872293">
              <w:rPr>
                <w:rStyle w:val="Hyperlink"/>
                <w:rFonts w:ascii="Times New Roman" w:hAnsi="Times New Roman"/>
                <w:noProof/>
                <w:color w:val="auto"/>
                <w:sz w:val="24"/>
                <w:szCs w:val="24"/>
              </w:rPr>
              <w:t>Methods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105</w:t>
            </w:r>
            <w:r w:rsidR="00F67D79" w:rsidRPr="00872293">
              <w:rPr>
                <w:rFonts w:ascii="Times New Roman" w:hAnsi="Times New Roman"/>
                <w:noProof/>
                <w:webHidden/>
                <w:sz w:val="24"/>
                <w:szCs w:val="24"/>
              </w:rPr>
              <w:fldChar w:fldCharType="end"/>
            </w:r>
          </w:hyperlink>
        </w:p>
        <w:p w14:paraId="5595935B" w14:textId="215CAB76" w:rsidR="00F67D79" w:rsidRPr="00872293" w:rsidRDefault="00513656">
          <w:pPr>
            <w:pStyle w:val="TOC3"/>
            <w:tabs>
              <w:tab w:val="right" w:leader="dot" w:pos="9350"/>
            </w:tabs>
            <w:rPr>
              <w:rFonts w:ascii="Times New Roman" w:hAnsi="Times New Roman"/>
              <w:noProof/>
              <w:sz w:val="24"/>
              <w:szCs w:val="24"/>
            </w:rPr>
          </w:pPr>
          <w:hyperlink w:anchor="_Toc53689097" w:history="1">
            <w:r w:rsidR="00F67D79" w:rsidRPr="00872293">
              <w:rPr>
                <w:rStyle w:val="Hyperlink"/>
                <w:rFonts w:ascii="Times New Roman" w:hAnsi="Times New Roman"/>
                <w:noProof/>
                <w:color w:val="auto"/>
                <w:sz w:val="24"/>
                <w:szCs w:val="24"/>
              </w:rPr>
              <w:t>Study site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105</w:t>
            </w:r>
            <w:r w:rsidR="00F67D79" w:rsidRPr="00872293">
              <w:rPr>
                <w:rFonts w:ascii="Times New Roman" w:hAnsi="Times New Roman"/>
                <w:noProof/>
                <w:webHidden/>
                <w:sz w:val="24"/>
                <w:szCs w:val="24"/>
              </w:rPr>
              <w:fldChar w:fldCharType="end"/>
            </w:r>
          </w:hyperlink>
        </w:p>
        <w:p w14:paraId="6642E099" w14:textId="1E09D552" w:rsidR="00F67D79" w:rsidRPr="00872293" w:rsidRDefault="00513656">
          <w:pPr>
            <w:pStyle w:val="TOC3"/>
            <w:tabs>
              <w:tab w:val="right" w:leader="dot" w:pos="9350"/>
            </w:tabs>
            <w:rPr>
              <w:rFonts w:ascii="Times New Roman" w:hAnsi="Times New Roman"/>
              <w:noProof/>
              <w:sz w:val="24"/>
              <w:szCs w:val="24"/>
            </w:rPr>
          </w:pPr>
          <w:hyperlink w:anchor="_Toc53689098" w:history="1">
            <w:r w:rsidR="00F67D79" w:rsidRPr="00872293">
              <w:rPr>
                <w:rStyle w:val="Hyperlink"/>
                <w:rFonts w:ascii="Times New Roman" w:hAnsi="Times New Roman"/>
                <w:noProof/>
                <w:color w:val="auto"/>
                <w:sz w:val="24"/>
                <w:szCs w:val="24"/>
              </w:rPr>
              <w:t>Hurricane events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105</w:t>
            </w:r>
            <w:r w:rsidR="00F67D79" w:rsidRPr="00872293">
              <w:rPr>
                <w:rFonts w:ascii="Times New Roman" w:hAnsi="Times New Roman"/>
                <w:noProof/>
                <w:webHidden/>
                <w:sz w:val="24"/>
                <w:szCs w:val="24"/>
              </w:rPr>
              <w:fldChar w:fldCharType="end"/>
            </w:r>
          </w:hyperlink>
        </w:p>
        <w:p w14:paraId="2EAF45EB" w14:textId="3E7D5A73" w:rsidR="00F67D79" w:rsidRPr="00872293" w:rsidRDefault="00513656">
          <w:pPr>
            <w:pStyle w:val="TOC3"/>
            <w:tabs>
              <w:tab w:val="right" w:leader="dot" w:pos="9350"/>
            </w:tabs>
            <w:rPr>
              <w:rFonts w:ascii="Times New Roman" w:hAnsi="Times New Roman"/>
              <w:noProof/>
              <w:sz w:val="24"/>
              <w:szCs w:val="24"/>
            </w:rPr>
          </w:pPr>
          <w:hyperlink w:anchor="_Toc53689099" w:history="1">
            <w:r w:rsidR="00F67D79" w:rsidRPr="00872293">
              <w:rPr>
                <w:rStyle w:val="Hyperlink"/>
                <w:rFonts w:ascii="Times New Roman" w:hAnsi="Times New Roman"/>
                <w:noProof/>
                <w:color w:val="auto"/>
                <w:sz w:val="24"/>
                <w:szCs w:val="24"/>
              </w:rPr>
              <w:t>Species and root voucher collection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_Toc53689099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106</w:t>
            </w:r>
            <w:r w:rsidR="00F67D79" w:rsidRPr="00872293">
              <w:rPr>
                <w:rFonts w:ascii="Times New Roman" w:hAnsi="Times New Roman"/>
                <w:noProof/>
                <w:webHidden/>
                <w:sz w:val="24"/>
                <w:szCs w:val="24"/>
              </w:rPr>
              <w:fldChar w:fldCharType="end"/>
            </w:r>
          </w:hyperlink>
        </w:p>
        <w:p w14:paraId="151A1746" w14:textId="73E6A124" w:rsidR="00F67D79" w:rsidRPr="00872293" w:rsidRDefault="00513656">
          <w:pPr>
            <w:pStyle w:val="TOC3"/>
            <w:tabs>
              <w:tab w:val="right" w:leader="dot" w:pos="9350"/>
            </w:tabs>
            <w:rPr>
              <w:rFonts w:ascii="Times New Roman" w:hAnsi="Times New Roman"/>
              <w:noProof/>
              <w:sz w:val="24"/>
              <w:szCs w:val="24"/>
            </w:rPr>
          </w:pPr>
          <w:hyperlink w:anchor="_Toc53689100" w:history="1">
            <w:r w:rsidR="00F67D79" w:rsidRPr="00872293">
              <w:rPr>
                <w:rStyle w:val="Hyperlink"/>
                <w:rFonts w:ascii="Times New Roman" w:hAnsi="Times New Roman"/>
                <w:noProof/>
                <w:color w:val="auto"/>
                <w:sz w:val="24"/>
                <w:szCs w:val="24"/>
              </w:rPr>
              <w:t>Root morphological trait measurements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107</w:t>
            </w:r>
            <w:r w:rsidR="00F67D79" w:rsidRPr="00872293">
              <w:rPr>
                <w:rFonts w:ascii="Times New Roman" w:hAnsi="Times New Roman"/>
                <w:noProof/>
                <w:webHidden/>
                <w:sz w:val="24"/>
                <w:szCs w:val="24"/>
              </w:rPr>
              <w:fldChar w:fldCharType="end"/>
            </w:r>
          </w:hyperlink>
        </w:p>
        <w:p w14:paraId="24FB962C" w14:textId="6A804A44" w:rsidR="00F67D79" w:rsidRPr="00872293" w:rsidRDefault="00513656">
          <w:pPr>
            <w:pStyle w:val="TOC3"/>
            <w:tabs>
              <w:tab w:val="right" w:leader="dot" w:pos="9350"/>
            </w:tabs>
            <w:rPr>
              <w:rFonts w:ascii="Times New Roman" w:hAnsi="Times New Roman"/>
              <w:noProof/>
              <w:sz w:val="24"/>
              <w:szCs w:val="24"/>
            </w:rPr>
          </w:pPr>
          <w:hyperlink w:anchor="_Toc53689101" w:history="1">
            <w:r w:rsidR="00F67D79" w:rsidRPr="00872293">
              <w:rPr>
                <w:rStyle w:val="Hyperlink"/>
                <w:rFonts w:ascii="Times New Roman" w:hAnsi="Times New Roman"/>
                <w:noProof/>
                <w:color w:val="auto"/>
                <w:sz w:val="24"/>
                <w:szCs w:val="24"/>
              </w:rPr>
              <w:t>Root P concentration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107</w:t>
            </w:r>
            <w:r w:rsidR="00F67D79" w:rsidRPr="00872293">
              <w:rPr>
                <w:rFonts w:ascii="Times New Roman" w:hAnsi="Times New Roman"/>
                <w:noProof/>
                <w:webHidden/>
                <w:sz w:val="24"/>
                <w:szCs w:val="24"/>
              </w:rPr>
              <w:fldChar w:fldCharType="end"/>
            </w:r>
          </w:hyperlink>
        </w:p>
        <w:p w14:paraId="62BCE33C" w14:textId="1B615F14" w:rsidR="00F67D79" w:rsidRPr="00872293" w:rsidRDefault="00513656">
          <w:pPr>
            <w:pStyle w:val="TOC3"/>
            <w:tabs>
              <w:tab w:val="right" w:leader="dot" w:pos="9350"/>
            </w:tabs>
            <w:rPr>
              <w:rFonts w:ascii="Times New Roman" w:hAnsi="Times New Roman"/>
              <w:noProof/>
              <w:sz w:val="24"/>
              <w:szCs w:val="24"/>
            </w:rPr>
          </w:pPr>
          <w:hyperlink w:anchor="_Toc53689102" w:history="1">
            <w:r w:rsidR="00F67D79" w:rsidRPr="00872293">
              <w:rPr>
                <w:rStyle w:val="Hyperlink"/>
                <w:rFonts w:ascii="Times New Roman" w:hAnsi="Times New Roman"/>
                <w:noProof/>
                <w:color w:val="auto"/>
                <w:sz w:val="24"/>
                <w:szCs w:val="24"/>
              </w:rPr>
              <w:t>Mycorrhizal colonization analysis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108</w:t>
            </w:r>
            <w:r w:rsidR="00F67D79" w:rsidRPr="00872293">
              <w:rPr>
                <w:rFonts w:ascii="Times New Roman" w:hAnsi="Times New Roman"/>
                <w:noProof/>
                <w:webHidden/>
                <w:sz w:val="24"/>
                <w:szCs w:val="24"/>
              </w:rPr>
              <w:fldChar w:fldCharType="end"/>
            </w:r>
          </w:hyperlink>
        </w:p>
        <w:p w14:paraId="0366590E" w14:textId="3D4E2A40" w:rsidR="00F67D79" w:rsidRPr="00872293" w:rsidRDefault="00513656">
          <w:pPr>
            <w:pStyle w:val="TOC3"/>
            <w:tabs>
              <w:tab w:val="right" w:leader="dot" w:pos="9350"/>
            </w:tabs>
            <w:rPr>
              <w:rFonts w:ascii="Times New Roman" w:hAnsi="Times New Roman"/>
              <w:noProof/>
              <w:sz w:val="24"/>
              <w:szCs w:val="24"/>
            </w:rPr>
          </w:pPr>
          <w:hyperlink w:anchor="_Toc53689103" w:history="1">
            <w:r w:rsidR="00F67D79" w:rsidRPr="00872293">
              <w:rPr>
                <w:rStyle w:val="Hyperlink"/>
                <w:rFonts w:ascii="Times New Roman" w:hAnsi="Times New Roman"/>
                <w:noProof/>
                <w:color w:val="auto"/>
                <w:sz w:val="24"/>
                <w:szCs w:val="24"/>
              </w:rPr>
              <w:t>Root phosphatase activity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108</w:t>
            </w:r>
            <w:r w:rsidR="00F67D79" w:rsidRPr="00872293">
              <w:rPr>
                <w:rFonts w:ascii="Times New Roman" w:hAnsi="Times New Roman"/>
                <w:noProof/>
                <w:webHidden/>
                <w:sz w:val="24"/>
                <w:szCs w:val="24"/>
              </w:rPr>
              <w:fldChar w:fldCharType="end"/>
            </w:r>
          </w:hyperlink>
        </w:p>
        <w:p w14:paraId="087322EA" w14:textId="15EA403F" w:rsidR="00F67D79" w:rsidRPr="00872293" w:rsidRDefault="00513656">
          <w:pPr>
            <w:pStyle w:val="TOC3"/>
            <w:tabs>
              <w:tab w:val="right" w:leader="dot" w:pos="9350"/>
            </w:tabs>
            <w:rPr>
              <w:rFonts w:ascii="Times New Roman" w:hAnsi="Times New Roman"/>
              <w:noProof/>
              <w:sz w:val="24"/>
              <w:szCs w:val="24"/>
            </w:rPr>
          </w:pPr>
          <w:hyperlink w:anchor="_Toc53689104" w:history="1">
            <w:r w:rsidR="00F67D79" w:rsidRPr="00872293">
              <w:rPr>
                <w:rStyle w:val="Hyperlink"/>
                <w:rFonts w:ascii="Times New Roman" w:hAnsi="Times New Roman"/>
                <w:noProof/>
                <w:color w:val="auto"/>
                <w:sz w:val="24"/>
                <w:szCs w:val="24"/>
              </w:rPr>
              <w:t>Soil measurements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109</w:t>
            </w:r>
            <w:r w:rsidR="00F67D79" w:rsidRPr="00872293">
              <w:rPr>
                <w:rFonts w:ascii="Times New Roman" w:hAnsi="Times New Roman"/>
                <w:noProof/>
                <w:webHidden/>
                <w:sz w:val="24"/>
                <w:szCs w:val="24"/>
              </w:rPr>
              <w:fldChar w:fldCharType="end"/>
            </w:r>
          </w:hyperlink>
        </w:p>
        <w:p w14:paraId="440F20A8" w14:textId="150602E5" w:rsidR="00F67D79" w:rsidRPr="00872293" w:rsidRDefault="00513656">
          <w:pPr>
            <w:pStyle w:val="TOC3"/>
            <w:tabs>
              <w:tab w:val="right" w:leader="dot" w:pos="9350"/>
            </w:tabs>
            <w:rPr>
              <w:rFonts w:ascii="Times New Roman" w:hAnsi="Times New Roman"/>
              <w:noProof/>
              <w:sz w:val="24"/>
              <w:szCs w:val="24"/>
            </w:rPr>
          </w:pPr>
          <w:hyperlink w:anchor="_Toc53689105" w:history="1">
            <w:r w:rsidR="00F67D79" w:rsidRPr="00872293">
              <w:rPr>
                <w:rStyle w:val="Hyperlink"/>
                <w:rFonts w:ascii="Times New Roman" w:hAnsi="Times New Roman"/>
                <w:noProof/>
                <w:color w:val="auto"/>
                <w:sz w:val="24"/>
                <w:szCs w:val="24"/>
              </w:rPr>
              <w:t>Statistical analysis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110</w:t>
            </w:r>
            <w:r w:rsidR="00F67D79" w:rsidRPr="00872293">
              <w:rPr>
                <w:rFonts w:ascii="Times New Roman" w:hAnsi="Times New Roman"/>
                <w:noProof/>
                <w:webHidden/>
                <w:sz w:val="24"/>
                <w:szCs w:val="24"/>
              </w:rPr>
              <w:fldChar w:fldCharType="end"/>
            </w:r>
          </w:hyperlink>
        </w:p>
        <w:p w14:paraId="1364A8F9" w14:textId="3FA62B1A" w:rsidR="00F67D79" w:rsidRPr="00872293" w:rsidRDefault="00513656">
          <w:pPr>
            <w:pStyle w:val="TOC2"/>
            <w:tabs>
              <w:tab w:val="right" w:leader="dot" w:pos="9350"/>
            </w:tabs>
            <w:rPr>
              <w:rFonts w:ascii="Times New Roman" w:hAnsi="Times New Roman"/>
              <w:noProof/>
              <w:sz w:val="24"/>
              <w:szCs w:val="24"/>
            </w:rPr>
          </w:pPr>
          <w:hyperlink w:anchor="_Toc53689106" w:history="1">
            <w:r w:rsidR="00F67D79" w:rsidRPr="00872293">
              <w:rPr>
                <w:rStyle w:val="Hyperlink"/>
                <w:rFonts w:ascii="Times New Roman" w:hAnsi="Times New Roman"/>
                <w:noProof/>
                <w:color w:val="auto"/>
                <w:sz w:val="24"/>
                <w:szCs w:val="24"/>
              </w:rPr>
              <w:t>Results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110</w:t>
            </w:r>
            <w:r w:rsidR="00F67D79" w:rsidRPr="00872293">
              <w:rPr>
                <w:rFonts w:ascii="Times New Roman" w:hAnsi="Times New Roman"/>
                <w:noProof/>
                <w:webHidden/>
                <w:sz w:val="24"/>
                <w:szCs w:val="24"/>
              </w:rPr>
              <w:fldChar w:fldCharType="end"/>
            </w:r>
          </w:hyperlink>
        </w:p>
        <w:p w14:paraId="17B30711" w14:textId="165C5AEA" w:rsidR="00F67D79" w:rsidRPr="00872293" w:rsidRDefault="00513656">
          <w:pPr>
            <w:pStyle w:val="TOC3"/>
            <w:tabs>
              <w:tab w:val="right" w:leader="dot" w:pos="9350"/>
            </w:tabs>
            <w:rPr>
              <w:rFonts w:ascii="Times New Roman" w:hAnsi="Times New Roman"/>
              <w:noProof/>
              <w:sz w:val="24"/>
              <w:szCs w:val="24"/>
            </w:rPr>
          </w:pPr>
          <w:hyperlink w:anchor="_Toc53689107" w:history="1">
            <w:r w:rsidR="00F67D79" w:rsidRPr="00872293">
              <w:rPr>
                <w:rStyle w:val="Hyperlink"/>
                <w:rFonts w:ascii="Times New Roman" w:hAnsi="Times New Roman"/>
                <w:noProof/>
                <w:color w:val="auto"/>
                <w:sz w:val="24"/>
                <w:szCs w:val="24"/>
              </w:rPr>
              <w:t>Soil phosphorus concentrations between sites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110</w:t>
            </w:r>
            <w:r w:rsidR="00F67D79" w:rsidRPr="00872293">
              <w:rPr>
                <w:rFonts w:ascii="Times New Roman" w:hAnsi="Times New Roman"/>
                <w:noProof/>
                <w:webHidden/>
                <w:sz w:val="24"/>
                <w:szCs w:val="24"/>
              </w:rPr>
              <w:fldChar w:fldCharType="end"/>
            </w:r>
          </w:hyperlink>
        </w:p>
        <w:p w14:paraId="4A22C9E7" w14:textId="6BAB6BDD" w:rsidR="00F67D79" w:rsidRPr="00872293" w:rsidRDefault="00513656">
          <w:pPr>
            <w:pStyle w:val="TOC3"/>
            <w:tabs>
              <w:tab w:val="right" w:leader="dot" w:pos="9350"/>
            </w:tabs>
            <w:rPr>
              <w:rFonts w:ascii="Times New Roman" w:hAnsi="Times New Roman"/>
              <w:noProof/>
              <w:sz w:val="24"/>
              <w:szCs w:val="24"/>
            </w:rPr>
          </w:pPr>
          <w:hyperlink w:anchor="_Toc53689108" w:history="1">
            <w:r w:rsidR="00F67D79" w:rsidRPr="00872293">
              <w:rPr>
                <w:rStyle w:val="Hyperlink"/>
                <w:rFonts w:ascii="Times New Roman" w:hAnsi="Times New Roman"/>
                <w:noProof/>
                <w:color w:val="auto"/>
                <w:sz w:val="24"/>
                <w:szCs w:val="24"/>
              </w:rPr>
              <w:t>Root traits by species and sites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111</w:t>
            </w:r>
            <w:r w:rsidR="00F67D79" w:rsidRPr="00872293">
              <w:rPr>
                <w:rFonts w:ascii="Times New Roman" w:hAnsi="Times New Roman"/>
                <w:noProof/>
                <w:webHidden/>
                <w:sz w:val="24"/>
                <w:szCs w:val="24"/>
              </w:rPr>
              <w:fldChar w:fldCharType="end"/>
            </w:r>
          </w:hyperlink>
        </w:p>
        <w:p w14:paraId="33A87BA2" w14:textId="26B6A34C" w:rsidR="00F67D79" w:rsidRPr="00872293" w:rsidRDefault="00513656">
          <w:pPr>
            <w:pStyle w:val="TOC3"/>
            <w:tabs>
              <w:tab w:val="right" w:leader="dot" w:pos="9350"/>
            </w:tabs>
            <w:rPr>
              <w:rFonts w:ascii="Times New Roman" w:hAnsi="Times New Roman"/>
              <w:noProof/>
              <w:sz w:val="24"/>
              <w:szCs w:val="24"/>
            </w:rPr>
          </w:pPr>
          <w:hyperlink w:anchor="_Toc53689109" w:history="1">
            <w:r w:rsidR="00F67D79" w:rsidRPr="00872293">
              <w:rPr>
                <w:rStyle w:val="Hyperlink"/>
                <w:rFonts w:ascii="Times New Roman" w:hAnsi="Times New Roman"/>
                <w:noProof/>
                <w:color w:val="auto"/>
                <w:sz w:val="24"/>
                <w:szCs w:val="24"/>
              </w:rPr>
              <w:t>Root trait regressions across species and sites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_Toc53689109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111</w:t>
            </w:r>
            <w:r w:rsidR="00F67D79" w:rsidRPr="00872293">
              <w:rPr>
                <w:rFonts w:ascii="Times New Roman" w:hAnsi="Times New Roman"/>
                <w:noProof/>
                <w:webHidden/>
                <w:sz w:val="24"/>
                <w:szCs w:val="24"/>
              </w:rPr>
              <w:fldChar w:fldCharType="end"/>
            </w:r>
          </w:hyperlink>
        </w:p>
        <w:p w14:paraId="619BD216" w14:textId="0AEC8528" w:rsidR="00F67D79" w:rsidRPr="00872293" w:rsidRDefault="00513656">
          <w:pPr>
            <w:pStyle w:val="TOC3"/>
            <w:tabs>
              <w:tab w:val="right" w:leader="dot" w:pos="9350"/>
            </w:tabs>
            <w:rPr>
              <w:rFonts w:ascii="Times New Roman" w:hAnsi="Times New Roman"/>
              <w:noProof/>
              <w:sz w:val="24"/>
              <w:szCs w:val="24"/>
            </w:rPr>
          </w:pPr>
          <w:hyperlink w:anchor="_Toc53689110" w:history="1">
            <w:r w:rsidR="00F67D79" w:rsidRPr="00872293">
              <w:rPr>
                <w:rStyle w:val="Hyperlink"/>
                <w:rFonts w:ascii="Times New Roman" w:hAnsi="Times New Roman"/>
                <w:noProof/>
                <w:color w:val="auto"/>
                <w:sz w:val="24"/>
                <w:szCs w:val="24"/>
              </w:rPr>
              <w:t>Root traits before and after the hurricane disturbances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112</w:t>
            </w:r>
            <w:r w:rsidR="00F67D79" w:rsidRPr="00872293">
              <w:rPr>
                <w:rFonts w:ascii="Times New Roman" w:hAnsi="Times New Roman"/>
                <w:noProof/>
                <w:webHidden/>
                <w:sz w:val="24"/>
                <w:szCs w:val="24"/>
              </w:rPr>
              <w:fldChar w:fldCharType="end"/>
            </w:r>
          </w:hyperlink>
        </w:p>
        <w:p w14:paraId="31D786D6" w14:textId="12899569" w:rsidR="00F67D79" w:rsidRPr="00872293" w:rsidRDefault="00513656">
          <w:pPr>
            <w:pStyle w:val="TOC2"/>
            <w:tabs>
              <w:tab w:val="right" w:leader="dot" w:pos="9350"/>
            </w:tabs>
            <w:rPr>
              <w:rFonts w:ascii="Times New Roman" w:hAnsi="Times New Roman"/>
              <w:noProof/>
              <w:sz w:val="24"/>
              <w:szCs w:val="24"/>
            </w:rPr>
          </w:pPr>
          <w:hyperlink w:anchor="_Toc53689111" w:history="1">
            <w:r w:rsidR="00F67D79" w:rsidRPr="00872293">
              <w:rPr>
                <w:rStyle w:val="Hyperlink"/>
                <w:rFonts w:ascii="Times New Roman" w:hAnsi="Times New Roman"/>
                <w:noProof/>
                <w:color w:val="auto"/>
                <w:sz w:val="24"/>
                <w:szCs w:val="24"/>
              </w:rPr>
              <w:t>Discussion</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113</w:t>
            </w:r>
            <w:r w:rsidR="00F67D79" w:rsidRPr="00872293">
              <w:rPr>
                <w:rFonts w:ascii="Times New Roman" w:hAnsi="Times New Roman"/>
                <w:noProof/>
                <w:webHidden/>
                <w:sz w:val="24"/>
                <w:szCs w:val="24"/>
              </w:rPr>
              <w:fldChar w:fldCharType="end"/>
            </w:r>
          </w:hyperlink>
        </w:p>
        <w:p w14:paraId="345C8859" w14:textId="5AF3C971" w:rsidR="00F67D79" w:rsidRPr="00872293" w:rsidRDefault="00513656">
          <w:pPr>
            <w:pStyle w:val="TOC3"/>
            <w:tabs>
              <w:tab w:val="right" w:leader="dot" w:pos="9350"/>
            </w:tabs>
            <w:rPr>
              <w:rFonts w:ascii="Times New Roman" w:hAnsi="Times New Roman"/>
              <w:noProof/>
              <w:sz w:val="24"/>
              <w:szCs w:val="24"/>
            </w:rPr>
          </w:pPr>
          <w:hyperlink w:anchor="_Toc53689112" w:history="1">
            <w:r w:rsidR="00F67D79" w:rsidRPr="00872293">
              <w:rPr>
                <w:rStyle w:val="Hyperlink"/>
                <w:rFonts w:ascii="Times New Roman" w:hAnsi="Times New Roman"/>
                <w:noProof/>
                <w:color w:val="auto"/>
                <w:sz w:val="24"/>
                <w:szCs w:val="24"/>
              </w:rPr>
              <w:t>Soil P concentration between sites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113</w:t>
            </w:r>
            <w:r w:rsidR="00F67D79" w:rsidRPr="00872293">
              <w:rPr>
                <w:rFonts w:ascii="Times New Roman" w:hAnsi="Times New Roman"/>
                <w:noProof/>
                <w:webHidden/>
                <w:sz w:val="24"/>
                <w:szCs w:val="24"/>
              </w:rPr>
              <w:fldChar w:fldCharType="end"/>
            </w:r>
          </w:hyperlink>
        </w:p>
        <w:p w14:paraId="5CE7988B" w14:textId="67BEC556" w:rsidR="00F67D79" w:rsidRPr="00872293" w:rsidRDefault="00513656">
          <w:pPr>
            <w:pStyle w:val="TOC3"/>
            <w:tabs>
              <w:tab w:val="right" w:leader="dot" w:pos="9350"/>
            </w:tabs>
            <w:rPr>
              <w:rFonts w:ascii="Times New Roman" w:hAnsi="Times New Roman"/>
              <w:noProof/>
              <w:sz w:val="24"/>
              <w:szCs w:val="24"/>
            </w:rPr>
          </w:pPr>
          <w:hyperlink w:anchor="_Toc53689113" w:history="1">
            <w:r w:rsidR="00F67D79" w:rsidRPr="00872293">
              <w:rPr>
                <w:rStyle w:val="Hyperlink"/>
                <w:rFonts w:ascii="Times New Roman" w:hAnsi="Times New Roman"/>
                <w:noProof/>
                <w:color w:val="auto"/>
                <w:sz w:val="24"/>
                <w:szCs w:val="24"/>
              </w:rPr>
              <w:t>Root traits by species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114</w:t>
            </w:r>
            <w:r w:rsidR="00F67D79" w:rsidRPr="00872293">
              <w:rPr>
                <w:rFonts w:ascii="Times New Roman" w:hAnsi="Times New Roman"/>
                <w:noProof/>
                <w:webHidden/>
                <w:sz w:val="24"/>
                <w:szCs w:val="24"/>
              </w:rPr>
              <w:fldChar w:fldCharType="end"/>
            </w:r>
          </w:hyperlink>
        </w:p>
        <w:p w14:paraId="3BD40103" w14:textId="6D36DD81" w:rsidR="00F67D79" w:rsidRPr="00872293" w:rsidRDefault="00513656">
          <w:pPr>
            <w:pStyle w:val="TOC3"/>
            <w:tabs>
              <w:tab w:val="right" w:leader="dot" w:pos="9350"/>
            </w:tabs>
            <w:rPr>
              <w:rFonts w:ascii="Times New Roman" w:hAnsi="Times New Roman"/>
              <w:noProof/>
              <w:sz w:val="24"/>
              <w:szCs w:val="24"/>
            </w:rPr>
          </w:pPr>
          <w:hyperlink w:anchor="_Toc53689114" w:history="1">
            <w:r w:rsidR="00F67D79" w:rsidRPr="00872293">
              <w:rPr>
                <w:rStyle w:val="Hyperlink"/>
                <w:rFonts w:ascii="Times New Roman" w:hAnsi="Times New Roman"/>
                <w:noProof/>
                <w:color w:val="auto"/>
                <w:sz w:val="24"/>
                <w:szCs w:val="24"/>
              </w:rPr>
              <w:t>Root traits relationships and strategies across sites and species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115</w:t>
            </w:r>
            <w:r w:rsidR="00F67D79" w:rsidRPr="00872293">
              <w:rPr>
                <w:rFonts w:ascii="Times New Roman" w:hAnsi="Times New Roman"/>
                <w:noProof/>
                <w:webHidden/>
                <w:sz w:val="24"/>
                <w:szCs w:val="24"/>
              </w:rPr>
              <w:fldChar w:fldCharType="end"/>
            </w:r>
          </w:hyperlink>
        </w:p>
        <w:p w14:paraId="4F3794E0" w14:textId="1760B5D1" w:rsidR="00F67D79" w:rsidRPr="00872293" w:rsidRDefault="00513656">
          <w:pPr>
            <w:pStyle w:val="TOC3"/>
            <w:tabs>
              <w:tab w:val="right" w:leader="dot" w:pos="9350"/>
            </w:tabs>
            <w:rPr>
              <w:rFonts w:ascii="Times New Roman" w:hAnsi="Times New Roman"/>
              <w:noProof/>
              <w:sz w:val="24"/>
              <w:szCs w:val="24"/>
            </w:rPr>
          </w:pPr>
          <w:hyperlink w:anchor="_Toc53689115" w:history="1">
            <w:r w:rsidR="00F67D79" w:rsidRPr="00872293">
              <w:rPr>
                <w:rStyle w:val="Hyperlink"/>
                <w:rFonts w:ascii="Times New Roman" w:hAnsi="Times New Roman"/>
                <w:noProof/>
                <w:color w:val="auto"/>
                <w:sz w:val="24"/>
                <w:szCs w:val="24"/>
                <w:shd w:val="clear" w:color="auto" w:fill="FFFFFF"/>
              </w:rPr>
              <w:t>Hurricane impact on root traits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117</w:t>
            </w:r>
            <w:r w:rsidR="00F67D79" w:rsidRPr="00872293">
              <w:rPr>
                <w:rFonts w:ascii="Times New Roman" w:hAnsi="Times New Roman"/>
                <w:noProof/>
                <w:webHidden/>
                <w:sz w:val="24"/>
                <w:szCs w:val="24"/>
              </w:rPr>
              <w:fldChar w:fldCharType="end"/>
            </w:r>
          </w:hyperlink>
        </w:p>
        <w:p w14:paraId="2257257A" w14:textId="5B8174E7" w:rsidR="00F67D79" w:rsidRPr="00872293" w:rsidRDefault="00513656">
          <w:pPr>
            <w:pStyle w:val="TOC2"/>
            <w:tabs>
              <w:tab w:val="right" w:leader="dot" w:pos="9350"/>
            </w:tabs>
            <w:rPr>
              <w:rFonts w:ascii="Times New Roman" w:hAnsi="Times New Roman"/>
              <w:noProof/>
              <w:sz w:val="24"/>
              <w:szCs w:val="24"/>
            </w:rPr>
          </w:pPr>
          <w:hyperlink w:anchor="_Toc53689116" w:history="1">
            <w:r w:rsidR="00F67D79" w:rsidRPr="00872293">
              <w:rPr>
                <w:rStyle w:val="Hyperlink"/>
                <w:rFonts w:ascii="Times New Roman" w:hAnsi="Times New Roman"/>
                <w:noProof/>
                <w:color w:val="auto"/>
                <w:sz w:val="24"/>
                <w:szCs w:val="24"/>
              </w:rPr>
              <w:t>Conclusions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118</w:t>
            </w:r>
            <w:r w:rsidR="00F67D79" w:rsidRPr="00872293">
              <w:rPr>
                <w:rFonts w:ascii="Times New Roman" w:hAnsi="Times New Roman"/>
                <w:noProof/>
                <w:webHidden/>
                <w:sz w:val="24"/>
                <w:szCs w:val="24"/>
              </w:rPr>
              <w:fldChar w:fldCharType="end"/>
            </w:r>
          </w:hyperlink>
        </w:p>
        <w:p w14:paraId="04457378" w14:textId="676F135D" w:rsidR="00F67D79" w:rsidRPr="00872293" w:rsidRDefault="00513656">
          <w:pPr>
            <w:pStyle w:val="TOC2"/>
            <w:tabs>
              <w:tab w:val="right" w:leader="dot" w:pos="9350"/>
            </w:tabs>
            <w:rPr>
              <w:rFonts w:ascii="Times New Roman" w:hAnsi="Times New Roman"/>
              <w:noProof/>
              <w:sz w:val="24"/>
              <w:szCs w:val="24"/>
            </w:rPr>
          </w:pPr>
          <w:hyperlink w:anchor="_Toc53689117" w:history="1">
            <w:r w:rsidR="00F67D79" w:rsidRPr="00872293">
              <w:rPr>
                <w:rStyle w:val="Hyperlink"/>
                <w:rFonts w:ascii="Times New Roman" w:hAnsi="Times New Roman"/>
                <w:noProof/>
                <w:color w:val="auto"/>
                <w:sz w:val="24"/>
                <w:szCs w:val="24"/>
              </w:rPr>
              <w:t>References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119</w:t>
            </w:r>
            <w:r w:rsidR="00F67D79" w:rsidRPr="00872293">
              <w:rPr>
                <w:rFonts w:ascii="Times New Roman" w:hAnsi="Times New Roman"/>
                <w:noProof/>
                <w:webHidden/>
                <w:sz w:val="24"/>
                <w:szCs w:val="24"/>
              </w:rPr>
              <w:fldChar w:fldCharType="end"/>
            </w:r>
          </w:hyperlink>
        </w:p>
        <w:p w14:paraId="776B7445" w14:textId="3A6B0B52" w:rsidR="00F67D79" w:rsidRPr="00872293" w:rsidRDefault="00513656">
          <w:pPr>
            <w:pStyle w:val="TOC2"/>
            <w:tabs>
              <w:tab w:val="right" w:leader="dot" w:pos="9350"/>
            </w:tabs>
            <w:rPr>
              <w:rFonts w:ascii="Times New Roman" w:hAnsi="Times New Roman"/>
              <w:noProof/>
              <w:sz w:val="24"/>
              <w:szCs w:val="24"/>
            </w:rPr>
          </w:pPr>
          <w:hyperlink w:anchor="_Toc53689118" w:history="1">
            <w:r w:rsidR="00F67D79" w:rsidRPr="00872293">
              <w:rPr>
                <w:rStyle w:val="Hyperlink"/>
                <w:rFonts w:ascii="Times New Roman" w:hAnsi="Times New Roman"/>
                <w:noProof/>
                <w:color w:val="auto"/>
                <w:sz w:val="24"/>
                <w:szCs w:val="24"/>
              </w:rPr>
              <w:t>Appendix</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_Toc53689118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129</w:t>
            </w:r>
            <w:r w:rsidR="00F67D79" w:rsidRPr="00872293">
              <w:rPr>
                <w:rFonts w:ascii="Times New Roman" w:hAnsi="Times New Roman"/>
                <w:noProof/>
                <w:webHidden/>
                <w:sz w:val="24"/>
                <w:szCs w:val="24"/>
              </w:rPr>
              <w:fldChar w:fldCharType="end"/>
            </w:r>
          </w:hyperlink>
        </w:p>
        <w:p w14:paraId="70586550" w14:textId="78F2614B" w:rsidR="00F67D79" w:rsidRPr="00872293" w:rsidRDefault="00513656">
          <w:pPr>
            <w:pStyle w:val="TOC1"/>
            <w:tabs>
              <w:tab w:val="right" w:leader="dot" w:pos="9350"/>
            </w:tabs>
            <w:rPr>
              <w:rFonts w:ascii="Times New Roman" w:eastAsiaTheme="minorEastAsia" w:hAnsi="Times New Roman" w:cs="Times New Roman"/>
              <w:noProof/>
            </w:rPr>
          </w:pPr>
          <w:hyperlink w:anchor="_Toc53689119" w:history="1">
            <w:r w:rsidR="00F67D79" w:rsidRPr="00872293">
              <w:rPr>
                <w:rStyle w:val="Hyperlink"/>
                <w:rFonts w:ascii="Times New Roman" w:hAnsi="Times New Roman" w:cs="Times New Roman"/>
                <w:bCs/>
                <w:noProof/>
                <w:color w:val="auto"/>
              </w:rPr>
              <w:t>Conclusions</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_Toc53689119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141</w:t>
            </w:r>
            <w:r w:rsidR="00F67D79" w:rsidRPr="00872293">
              <w:rPr>
                <w:rFonts w:ascii="Times New Roman" w:hAnsi="Times New Roman" w:cs="Times New Roman"/>
                <w:noProof/>
                <w:webHidden/>
              </w:rPr>
              <w:fldChar w:fldCharType="end"/>
            </w:r>
          </w:hyperlink>
        </w:p>
        <w:p w14:paraId="0A339DC9" w14:textId="3F18060F" w:rsidR="00F67D79" w:rsidRPr="00872293" w:rsidRDefault="00513656">
          <w:pPr>
            <w:pStyle w:val="TOC2"/>
            <w:tabs>
              <w:tab w:val="right" w:leader="dot" w:pos="9350"/>
            </w:tabs>
            <w:rPr>
              <w:rFonts w:ascii="Times New Roman" w:hAnsi="Times New Roman"/>
              <w:noProof/>
              <w:sz w:val="24"/>
              <w:szCs w:val="24"/>
            </w:rPr>
          </w:pPr>
          <w:hyperlink w:anchor="_Toc53689120" w:history="1">
            <w:r w:rsidR="00F67D79" w:rsidRPr="00872293">
              <w:rPr>
                <w:rStyle w:val="Hyperlink"/>
                <w:rFonts w:ascii="Times New Roman" w:hAnsi="Times New Roman"/>
                <w:noProof/>
                <w:color w:val="auto"/>
                <w:sz w:val="24"/>
                <w:szCs w:val="24"/>
              </w:rPr>
              <w:t>Root traits at the Island scale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_Toc53689120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143</w:t>
            </w:r>
            <w:r w:rsidR="00F67D79" w:rsidRPr="00872293">
              <w:rPr>
                <w:rFonts w:ascii="Times New Roman" w:hAnsi="Times New Roman"/>
                <w:noProof/>
                <w:webHidden/>
                <w:sz w:val="24"/>
                <w:szCs w:val="24"/>
              </w:rPr>
              <w:fldChar w:fldCharType="end"/>
            </w:r>
          </w:hyperlink>
        </w:p>
        <w:p w14:paraId="7938D4E6" w14:textId="1221691C" w:rsidR="00F67D79" w:rsidRPr="00872293" w:rsidRDefault="00513656">
          <w:pPr>
            <w:pStyle w:val="TOC2"/>
            <w:tabs>
              <w:tab w:val="right" w:leader="dot" w:pos="9350"/>
            </w:tabs>
            <w:rPr>
              <w:rFonts w:ascii="Times New Roman" w:hAnsi="Times New Roman"/>
              <w:noProof/>
              <w:sz w:val="24"/>
              <w:szCs w:val="24"/>
            </w:rPr>
          </w:pPr>
          <w:hyperlink w:anchor="_Toc53689121" w:history="1">
            <w:r w:rsidR="00F67D79" w:rsidRPr="00872293">
              <w:rPr>
                <w:rStyle w:val="Hyperlink"/>
                <w:rFonts w:ascii="Times New Roman" w:hAnsi="Times New Roman"/>
                <w:bCs/>
                <w:noProof/>
                <w:color w:val="auto"/>
                <w:sz w:val="24"/>
                <w:szCs w:val="24"/>
              </w:rPr>
              <w:t>Root-dynamics traits under warming on a forest scale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_Toc53689121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144</w:t>
            </w:r>
            <w:r w:rsidR="00F67D79" w:rsidRPr="00872293">
              <w:rPr>
                <w:rFonts w:ascii="Times New Roman" w:hAnsi="Times New Roman"/>
                <w:noProof/>
                <w:webHidden/>
                <w:sz w:val="24"/>
                <w:szCs w:val="24"/>
              </w:rPr>
              <w:fldChar w:fldCharType="end"/>
            </w:r>
          </w:hyperlink>
        </w:p>
        <w:p w14:paraId="144C7431" w14:textId="2C0741AE" w:rsidR="00F67D79" w:rsidRPr="00872293" w:rsidRDefault="00513656">
          <w:pPr>
            <w:pStyle w:val="TOC2"/>
            <w:tabs>
              <w:tab w:val="right" w:leader="dot" w:pos="9350"/>
            </w:tabs>
            <w:rPr>
              <w:rFonts w:ascii="Times New Roman" w:hAnsi="Times New Roman"/>
              <w:noProof/>
              <w:sz w:val="24"/>
              <w:szCs w:val="24"/>
            </w:rPr>
          </w:pPr>
          <w:hyperlink w:anchor="_Toc53689122" w:history="1">
            <w:r w:rsidR="00F67D79" w:rsidRPr="00872293">
              <w:rPr>
                <w:rStyle w:val="Hyperlink"/>
                <w:rFonts w:ascii="Times New Roman" w:hAnsi="Times New Roman"/>
                <w:noProof/>
                <w:color w:val="auto"/>
                <w:sz w:val="24"/>
                <w:szCs w:val="24"/>
              </w:rPr>
              <w:t>Root dynamics traits under hurricane disturbance on a forest scale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_Toc53689122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144</w:t>
            </w:r>
            <w:r w:rsidR="00F67D79" w:rsidRPr="00872293">
              <w:rPr>
                <w:rFonts w:ascii="Times New Roman" w:hAnsi="Times New Roman"/>
                <w:noProof/>
                <w:webHidden/>
                <w:sz w:val="24"/>
                <w:szCs w:val="24"/>
              </w:rPr>
              <w:fldChar w:fldCharType="end"/>
            </w:r>
          </w:hyperlink>
        </w:p>
        <w:p w14:paraId="5412405C" w14:textId="7EA5615F" w:rsidR="00F67D79" w:rsidRPr="00872293" w:rsidRDefault="00513656">
          <w:pPr>
            <w:pStyle w:val="TOC2"/>
            <w:tabs>
              <w:tab w:val="right" w:leader="dot" w:pos="9350"/>
            </w:tabs>
            <w:rPr>
              <w:rFonts w:ascii="Times New Roman" w:hAnsi="Times New Roman"/>
              <w:noProof/>
              <w:sz w:val="24"/>
              <w:szCs w:val="24"/>
            </w:rPr>
          </w:pPr>
          <w:hyperlink w:anchor="_Toc53689123" w:history="1">
            <w:r w:rsidR="00F67D79" w:rsidRPr="00872293">
              <w:rPr>
                <w:rStyle w:val="Hyperlink"/>
                <w:rFonts w:ascii="Times New Roman" w:hAnsi="Times New Roman"/>
                <w:noProof/>
                <w:color w:val="auto"/>
                <w:sz w:val="24"/>
                <w:szCs w:val="24"/>
              </w:rPr>
              <w:t>Root traits related to P acquisition on a species scale</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_Toc53689123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145</w:t>
            </w:r>
            <w:r w:rsidR="00F67D79" w:rsidRPr="00872293">
              <w:rPr>
                <w:rFonts w:ascii="Times New Roman" w:hAnsi="Times New Roman"/>
                <w:noProof/>
                <w:webHidden/>
                <w:sz w:val="24"/>
                <w:szCs w:val="24"/>
              </w:rPr>
              <w:fldChar w:fldCharType="end"/>
            </w:r>
          </w:hyperlink>
        </w:p>
        <w:p w14:paraId="5B3BEAFA" w14:textId="6EE4F7DC" w:rsidR="00F67D79" w:rsidRPr="00872293" w:rsidRDefault="00513656">
          <w:pPr>
            <w:pStyle w:val="TOC2"/>
            <w:tabs>
              <w:tab w:val="right" w:leader="dot" w:pos="9350"/>
            </w:tabs>
            <w:rPr>
              <w:rFonts w:ascii="Times New Roman" w:hAnsi="Times New Roman"/>
              <w:noProof/>
              <w:sz w:val="24"/>
              <w:szCs w:val="24"/>
            </w:rPr>
          </w:pPr>
          <w:hyperlink w:anchor="_Toc53689124" w:history="1">
            <w:r w:rsidR="00F67D79" w:rsidRPr="00872293">
              <w:rPr>
                <w:rStyle w:val="Hyperlink"/>
                <w:rFonts w:ascii="Times New Roman" w:hAnsi="Times New Roman"/>
                <w:noProof/>
                <w:color w:val="auto"/>
                <w:sz w:val="24"/>
                <w:szCs w:val="24"/>
              </w:rPr>
              <w:t>Representation of the belowground system in this study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_Toc53689124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146</w:t>
            </w:r>
            <w:r w:rsidR="00F67D79" w:rsidRPr="00872293">
              <w:rPr>
                <w:rFonts w:ascii="Times New Roman" w:hAnsi="Times New Roman"/>
                <w:noProof/>
                <w:webHidden/>
                <w:sz w:val="24"/>
                <w:szCs w:val="24"/>
              </w:rPr>
              <w:fldChar w:fldCharType="end"/>
            </w:r>
          </w:hyperlink>
        </w:p>
        <w:p w14:paraId="24B265B1" w14:textId="1EFBF907" w:rsidR="00F67D79" w:rsidRPr="00872293" w:rsidRDefault="00513656">
          <w:pPr>
            <w:pStyle w:val="TOC2"/>
            <w:tabs>
              <w:tab w:val="right" w:leader="dot" w:pos="9350"/>
            </w:tabs>
            <w:rPr>
              <w:rFonts w:ascii="Times New Roman" w:hAnsi="Times New Roman"/>
              <w:noProof/>
              <w:sz w:val="24"/>
              <w:szCs w:val="24"/>
            </w:rPr>
          </w:pPr>
          <w:hyperlink w:anchor="_Toc53689125" w:history="1">
            <w:r w:rsidR="00F67D79" w:rsidRPr="00872293">
              <w:rPr>
                <w:rStyle w:val="Hyperlink"/>
                <w:rFonts w:ascii="Times New Roman" w:hAnsi="Times New Roman"/>
                <w:noProof/>
                <w:color w:val="auto"/>
                <w:sz w:val="24"/>
                <w:szCs w:val="24"/>
              </w:rPr>
              <w:t>Implications of this study</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_Toc53689125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148</w:t>
            </w:r>
            <w:r w:rsidR="00F67D79" w:rsidRPr="00872293">
              <w:rPr>
                <w:rFonts w:ascii="Times New Roman" w:hAnsi="Times New Roman"/>
                <w:noProof/>
                <w:webHidden/>
                <w:sz w:val="24"/>
                <w:szCs w:val="24"/>
              </w:rPr>
              <w:fldChar w:fldCharType="end"/>
            </w:r>
          </w:hyperlink>
        </w:p>
        <w:p w14:paraId="6AF40E37" w14:textId="0661328F" w:rsidR="00F67D79" w:rsidRPr="00872293" w:rsidRDefault="00513656">
          <w:pPr>
            <w:pStyle w:val="TOC2"/>
            <w:tabs>
              <w:tab w:val="right" w:leader="dot" w:pos="9350"/>
            </w:tabs>
            <w:rPr>
              <w:rFonts w:ascii="Times New Roman" w:hAnsi="Times New Roman"/>
              <w:noProof/>
              <w:sz w:val="24"/>
              <w:szCs w:val="24"/>
            </w:rPr>
          </w:pPr>
          <w:hyperlink w:anchor="_Toc53689126" w:history="1">
            <w:r w:rsidR="00F67D79" w:rsidRPr="00872293">
              <w:rPr>
                <w:rStyle w:val="Hyperlink"/>
                <w:rFonts w:ascii="Times New Roman" w:hAnsi="Times New Roman"/>
                <w:noProof/>
                <w:color w:val="auto"/>
                <w:sz w:val="24"/>
                <w:szCs w:val="24"/>
              </w:rPr>
              <w:t>References</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_Toc53689126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150</w:t>
            </w:r>
            <w:r w:rsidR="00F67D79" w:rsidRPr="00872293">
              <w:rPr>
                <w:rFonts w:ascii="Times New Roman" w:hAnsi="Times New Roman"/>
                <w:noProof/>
                <w:webHidden/>
                <w:sz w:val="24"/>
                <w:szCs w:val="24"/>
              </w:rPr>
              <w:fldChar w:fldCharType="end"/>
            </w:r>
          </w:hyperlink>
        </w:p>
        <w:p w14:paraId="2FD248CC" w14:textId="1528FC28" w:rsidR="00F67D79" w:rsidRPr="00872293" w:rsidRDefault="00513656">
          <w:pPr>
            <w:pStyle w:val="TOC2"/>
            <w:tabs>
              <w:tab w:val="right" w:leader="dot" w:pos="9350"/>
            </w:tabs>
            <w:rPr>
              <w:rFonts w:ascii="Times New Roman" w:hAnsi="Times New Roman"/>
              <w:noProof/>
              <w:sz w:val="24"/>
              <w:szCs w:val="24"/>
            </w:rPr>
          </w:pPr>
          <w:hyperlink w:anchor="_Toc53689127" w:history="1">
            <w:r w:rsidR="00F67D79" w:rsidRPr="00872293">
              <w:rPr>
                <w:rStyle w:val="Hyperlink"/>
                <w:rFonts w:ascii="Times New Roman" w:hAnsi="Times New Roman"/>
                <w:noProof/>
                <w:color w:val="auto"/>
                <w:sz w:val="24"/>
                <w:szCs w:val="24"/>
              </w:rPr>
              <w:t>Appendix</w:t>
            </w:r>
            <w:r w:rsidR="00F67D79" w:rsidRPr="00872293">
              <w:rPr>
                <w:rFonts w:ascii="Times New Roman" w:hAnsi="Times New Roman"/>
                <w:noProof/>
                <w:webHidden/>
                <w:sz w:val="24"/>
                <w:szCs w:val="24"/>
              </w:rPr>
              <w:tab/>
            </w:r>
            <w:r w:rsidR="00F67D79" w:rsidRPr="00872293">
              <w:rPr>
                <w:rFonts w:ascii="Times New Roman" w:hAnsi="Times New Roman"/>
                <w:noProof/>
                <w:webHidden/>
                <w:sz w:val="24"/>
                <w:szCs w:val="24"/>
              </w:rPr>
              <w:fldChar w:fldCharType="begin"/>
            </w:r>
            <w:r w:rsidR="00F67D79" w:rsidRPr="00872293">
              <w:rPr>
                <w:rFonts w:ascii="Times New Roman" w:hAnsi="Times New Roman"/>
                <w:noProof/>
                <w:webHidden/>
                <w:sz w:val="24"/>
                <w:szCs w:val="24"/>
              </w:rPr>
              <w:instrText xml:space="preserve"> PAGEREF _Toc53689127 \h </w:instrText>
            </w:r>
            <w:r w:rsidR="00F67D79" w:rsidRPr="00872293">
              <w:rPr>
                <w:rFonts w:ascii="Times New Roman" w:hAnsi="Times New Roman"/>
                <w:noProof/>
                <w:webHidden/>
                <w:sz w:val="24"/>
                <w:szCs w:val="24"/>
              </w:rPr>
            </w:r>
            <w:r w:rsidR="00F67D79" w:rsidRPr="00872293">
              <w:rPr>
                <w:rFonts w:ascii="Times New Roman" w:hAnsi="Times New Roman"/>
                <w:noProof/>
                <w:webHidden/>
                <w:sz w:val="24"/>
                <w:szCs w:val="24"/>
              </w:rPr>
              <w:fldChar w:fldCharType="separate"/>
            </w:r>
            <w:r w:rsidR="004F6F7B">
              <w:rPr>
                <w:rFonts w:ascii="Times New Roman" w:hAnsi="Times New Roman"/>
                <w:noProof/>
                <w:webHidden/>
                <w:sz w:val="24"/>
                <w:szCs w:val="24"/>
              </w:rPr>
              <w:t>155</w:t>
            </w:r>
            <w:r w:rsidR="00F67D79" w:rsidRPr="00872293">
              <w:rPr>
                <w:rFonts w:ascii="Times New Roman" w:hAnsi="Times New Roman"/>
                <w:noProof/>
                <w:webHidden/>
                <w:sz w:val="24"/>
                <w:szCs w:val="24"/>
              </w:rPr>
              <w:fldChar w:fldCharType="end"/>
            </w:r>
          </w:hyperlink>
        </w:p>
        <w:p w14:paraId="313F747B" w14:textId="40F6DDED" w:rsidR="00F67D79" w:rsidRPr="00872293" w:rsidRDefault="00513656">
          <w:pPr>
            <w:pStyle w:val="TOC1"/>
            <w:tabs>
              <w:tab w:val="right" w:leader="dot" w:pos="9350"/>
            </w:tabs>
            <w:rPr>
              <w:rFonts w:asciiTheme="minorHAnsi" w:eastAsiaTheme="minorEastAsia" w:hAnsiTheme="minorHAnsi" w:cstheme="minorBidi"/>
              <w:noProof/>
              <w:sz w:val="22"/>
              <w:szCs w:val="22"/>
            </w:rPr>
          </w:pPr>
          <w:hyperlink w:anchor="_Toc53689128" w:history="1">
            <w:r w:rsidR="00F67D79" w:rsidRPr="00872293">
              <w:rPr>
                <w:rStyle w:val="Hyperlink"/>
                <w:rFonts w:ascii="Times New Roman" w:hAnsi="Times New Roman" w:cs="Times New Roman"/>
                <w:noProof/>
                <w:color w:val="auto"/>
              </w:rPr>
              <w:t>Vita</w:t>
            </w:r>
            <w:r w:rsidR="00F67D79" w:rsidRPr="00872293">
              <w:rPr>
                <w:rFonts w:ascii="Times New Roman" w:hAnsi="Times New Roman" w:cs="Times New Roman"/>
                <w:noProof/>
                <w:webHidden/>
              </w:rPr>
              <w:tab/>
            </w:r>
            <w:r w:rsidR="00F67D79" w:rsidRPr="00872293">
              <w:rPr>
                <w:rFonts w:ascii="Times New Roman" w:hAnsi="Times New Roman" w:cs="Times New Roman"/>
                <w:noProof/>
                <w:webHidden/>
              </w:rPr>
              <w:fldChar w:fldCharType="begin"/>
            </w:r>
            <w:r w:rsidR="00F67D79" w:rsidRPr="00872293">
              <w:rPr>
                <w:rFonts w:ascii="Times New Roman" w:hAnsi="Times New Roman" w:cs="Times New Roman"/>
                <w:noProof/>
                <w:webHidden/>
              </w:rPr>
              <w:instrText xml:space="preserve"> PAGEREF _Toc53689128 \h </w:instrText>
            </w:r>
            <w:r w:rsidR="00F67D79" w:rsidRPr="00872293">
              <w:rPr>
                <w:rFonts w:ascii="Times New Roman" w:hAnsi="Times New Roman" w:cs="Times New Roman"/>
                <w:noProof/>
                <w:webHidden/>
              </w:rPr>
            </w:r>
            <w:r w:rsidR="00F67D79" w:rsidRPr="00872293">
              <w:rPr>
                <w:rFonts w:ascii="Times New Roman" w:hAnsi="Times New Roman" w:cs="Times New Roman"/>
                <w:noProof/>
                <w:webHidden/>
              </w:rPr>
              <w:fldChar w:fldCharType="separate"/>
            </w:r>
            <w:r w:rsidR="004F6F7B">
              <w:rPr>
                <w:rFonts w:ascii="Times New Roman" w:hAnsi="Times New Roman" w:cs="Times New Roman"/>
                <w:noProof/>
                <w:webHidden/>
              </w:rPr>
              <w:t>156</w:t>
            </w:r>
            <w:r w:rsidR="00F67D79" w:rsidRPr="00872293">
              <w:rPr>
                <w:rFonts w:ascii="Times New Roman" w:hAnsi="Times New Roman" w:cs="Times New Roman"/>
                <w:noProof/>
                <w:webHidden/>
              </w:rPr>
              <w:fldChar w:fldCharType="end"/>
            </w:r>
          </w:hyperlink>
        </w:p>
        <w:p w14:paraId="07E1D00B" w14:textId="6A645944" w:rsidR="00A472DF" w:rsidRPr="00872293" w:rsidRDefault="00CE76B7" w:rsidP="003B49B5">
          <w:pPr>
            <w:jc w:val="center"/>
            <w:rPr>
              <w:rFonts w:ascii="Times New Roman" w:hAnsi="Times New Roman" w:cs="Times New Roman"/>
            </w:rPr>
          </w:pPr>
          <w:r w:rsidRPr="00872293">
            <w:rPr>
              <w:rFonts w:ascii="Times New Roman" w:hAnsi="Times New Roman" w:cs="Times New Roman"/>
              <w:b/>
              <w:bCs/>
              <w:noProof/>
            </w:rPr>
            <w:fldChar w:fldCharType="end"/>
          </w:r>
        </w:p>
      </w:sdtContent>
    </w:sdt>
    <w:p w14:paraId="7CF6E5CC" w14:textId="77777777" w:rsidR="0089663E" w:rsidRPr="00872293" w:rsidRDefault="0089663E" w:rsidP="003B49B5">
      <w:pPr>
        <w:rPr>
          <w:rFonts w:ascii="Times New Roman" w:hAnsi="Times New Roman" w:cs="Times New Roman"/>
        </w:rPr>
      </w:pPr>
    </w:p>
    <w:p w14:paraId="26DABEF8" w14:textId="77777777" w:rsidR="0089663E" w:rsidRPr="00872293" w:rsidRDefault="0089663E" w:rsidP="003B49B5">
      <w:pPr>
        <w:rPr>
          <w:rFonts w:ascii="Times New Roman" w:hAnsi="Times New Roman" w:cs="Times New Roman"/>
        </w:rPr>
      </w:pPr>
      <w:r w:rsidRPr="00872293">
        <w:rPr>
          <w:rFonts w:ascii="Times New Roman" w:hAnsi="Times New Roman" w:cs="Times New Roman"/>
        </w:rPr>
        <w:br w:type="page"/>
      </w:r>
    </w:p>
    <w:p w14:paraId="30DCED50" w14:textId="77777777" w:rsidR="0089663E" w:rsidRPr="00872293" w:rsidRDefault="007D1FAC" w:rsidP="004F6F7B">
      <w:pPr>
        <w:jc w:val="center"/>
        <w:rPr>
          <w:rFonts w:ascii="Times New Roman" w:hAnsi="Times New Roman" w:cs="Times New Roman"/>
          <w:b/>
          <w:bCs/>
          <w:sz w:val="36"/>
          <w:szCs w:val="36"/>
        </w:rPr>
      </w:pPr>
      <w:r w:rsidRPr="00872293">
        <w:rPr>
          <w:rFonts w:ascii="Times New Roman" w:hAnsi="Times New Roman" w:cs="Times New Roman"/>
          <w:b/>
          <w:bCs/>
          <w:sz w:val="36"/>
          <w:szCs w:val="36"/>
        </w:rPr>
        <w:lastRenderedPageBreak/>
        <w:t>L</w:t>
      </w:r>
      <w:r w:rsidR="007E6826" w:rsidRPr="00872293">
        <w:rPr>
          <w:rFonts w:ascii="Times New Roman" w:hAnsi="Times New Roman" w:cs="Times New Roman"/>
          <w:b/>
          <w:bCs/>
          <w:sz w:val="36"/>
          <w:szCs w:val="36"/>
        </w:rPr>
        <w:t>ist of tables</w:t>
      </w:r>
    </w:p>
    <w:p w14:paraId="2688D8E7" w14:textId="77777777" w:rsidR="0089663E" w:rsidRPr="00872293" w:rsidRDefault="0089663E" w:rsidP="00B6666D">
      <w:pPr>
        <w:spacing w:line="360" w:lineRule="auto"/>
        <w:rPr>
          <w:rFonts w:ascii="Times New Roman" w:hAnsi="Times New Roman" w:cs="Times New Roman"/>
        </w:rPr>
      </w:pPr>
    </w:p>
    <w:p w14:paraId="591C4730" w14:textId="7A9CA3AE" w:rsidR="00926BC5" w:rsidRPr="00872293" w:rsidRDefault="007E66AE" w:rsidP="00B6666D">
      <w:pPr>
        <w:pStyle w:val="TableofFigures"/>
        <w:tabs>
          <w:tab w:val="right" w:leader="dot" w:pos="9350"/>
        </w:tabs>
        <w:rPr>
          <w:rFonts w:asciiTheme="minorHAnsi" w:eastAsiaTheme="minorEastAsia" w:hAnsiTheme="minorHAnsi" w:cstheme="minorBidi"/>
          <w:noProof/>
          <w:sz w:val="22"/>
          <w:szCs w:val="22"/>
        </w:rPr>
      </w:pPr>
      <w:r w:rsidRPr="00872293">
        <w:rPr>
          <w:rFonts w:cs="Times New Roman"/>
        </w:rPr>
        <w:fldChar w:fldCharType="begin"/>
      </w:r>
      <w:r w:rsidRPr="00872293">
        <w:rPr>
          <w:rFonts w:cs="Times New Roman"/>
        </w:rPr>
        <w:instrText xml:space="preserve"> TOC \h \z \c "Table" </w:instrText>
      </w:r>
      <w:r w:rsidRPr="00872293">
        <w:rPr>
          <w:rFonts w:cs="Times New Roman"/>
        </w:rPr>
        <w:fldChar w:fldCharType="separate"/>
      </w:r>
      <w:hyperlink w:anchor="_Toc53755743" w:history="1">
        <w:r w:rsidR="00926BC5" w:rsidRPr="00872293">
          <w:rPr>
            <w:rStyle w:val="Hyperlink"/>
            <w:rFonts w:cs="Times New Roman"/>
            <w:noProof/>
            <w:color w:val="auto"/>
          </w:rPr>
          <w:t>Table 1. Total root biomass (fine+coarse) by depth, forest type, and site. This data is a compilation of studies (each chapter/author) from Lugo (1983).</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_Toc53755743 \h </w:instrText>
        </w:r>
        <w:r w:rsidR="00926BC5" w:rsidRPr="00872293">
          <w:rPr>
            <w:noProof/>
            <w:webHidden/>
          </w:rPr>
        </w:r>
        <w:r w:rsidR="00926BC5" w:rsidRPr="00872293">
          <w:rPr>
            <w:noProof/>
            <w:webHidden/>
          </w:rPr>
          <w:fldChar w:fldCharType="separate"/>
        </w:r>
        <w:r w:rsidR="00F546E0">
          <w:rPr>
            <w:noProof/>
            <w:webHidden/>
          </w:rPr>
          <w:t>45</w:t>
        </w:r>
        <w:r w:rsidR="00926BC5" w:rsidRPr="00872293">
          <w:rPr>
            <w:noProof/>
            <w:webHidden/>
          </w:rPr>
          <w:fldChar w:fldCharType="end"/>
        </w:r>
      </w:hyperlink>
    </w:p>
    <w:p w14:paraId="2CE3D604" w14:textId="4C56AC1D"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4" w:history="1">
        <w:r w:rsidR="00926BC5" w:rsidRPr="00872293">
          <w:rPr>
            <w:rStyle w:val="Hyperlink"/>
            <w:rFonts w:cs="Times New Roman"/>
            <w:noProof/>
            <w:color w:val="auto"/>
          </w:rPr>
          <w:t>Table 2. Root N and P average concentration at an ecosystem scale from different sites, forest type, and using different root diameter</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_Toc53755744 \h </w:instrText>
        </w:r>
        <w:r w:rsidR="00926BC5" w:rsidRPr="00872293">
          <w:rPr>
            <w:noProof/>
            <w:webHidden/>
          </w:rPr>
        </w:r>
        <w:r w:rsidR="00926BC5" w:rsidRPr="00872293">
          <w:rPr>
            <w:noProof/>
            <w:webHidden/>
          </w:rPr>
          <w:fldChar w:fldCharType="separate"/>
        </w:r>
        <w:r w:rsidR="00F546E0">
          <w:rPr>
            <w:noProof/>
            <w:webHidden/>
          </w:rPr>
          <w:t>47</w:t>
        </w:r>
        <w:r w:rsidR="00926BC5" w:rsidRPr="00872293">
          <w:rPr>
            <w:noProof/>
            <w:webHidden/>
          </w:rPr>
          <w:fldChar w:fldCharType="end"/>
        </w:r>
      </w:hyperlink>
    </w:p>
    <w:p w14:paraId="3B9623E1" w14:textId="3E091379"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5" w:history="1">
        <w:r w:rsidR="00926BC5" w:rsidRPr="00872293">
          <w:rPr>
            <w:rStyle w:val="Hyperlink"/>
            <w:rFonts w:cs="Times New Roman"/>
            <w:noProof/>
            <w:color w:val="auto"/>
          </w:rPr>
          <w:t>Table 3. Fine-root decomposition rate (k value) in Puerto Rico by site, author who reported, and forest species dominance</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_Toc53755745 \h </w:instrText>
        </w:r>
        <w:r w:rsidR="00926BC5" w:rsidRPr="00872293">
          <w:rPr>
            <w:noProof/>
            <w:webHidden/>
          </w:rPr>
        </w:r>
        <w:r w:rsidR="00926BC5" w:rsidRPr="00872293">
          <w:rPr>
            <w:noProof/>
            <w:webHidden/>
          </w:rPr>
          <w:fldChar w:fldCharType="separate"/>
        </w:r>
        <w:r w:rsidR="00F546E0">
          <w:rPr>
            <w:noProof/>
            <w:webHidden/>
          </w:rPr>
          <w:t>48</w:t>
        </w:r>
        <w:r w:rsidR="00926BC5" w:rsidRPr="00872293">
          <w:rPr>
            <w:noProof/>
            <w:webHidden/>
          </w:rPr>
          <w:fldChar w:fldCharType="end"/>
        </w:r>
      </w:hyperlink>
    </w:p>
    <w:p w14:paraId="09EB5312" w14:textId="2063057D"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6" w:history="1">
        <w:r w:rsidR="00926BC5" w:rsidRPr="00872293">
          <w:rPr>
            <w:rStyle w:val="Hyperlink"/>
            <w:rFonts w:cs="Times New Roman"/>
            <w:noProof/>
            <w:color w:val="auto"/>
          </w:rPr>
          <w:t>Table 4. Mixed effect models; dependent variables; fixed effects; random effects; P values; R</w:t>
        </w:r>
        <w:r w:rsidR="00926BC5" w:rsidRPr="00AC55FE">
          <w:rPr>
            <w:rStyle w:val="Hyperlink"/>
            <w:rFonts w:cs="Times New Roman"/>
            <w:noProof/>
            <w:color w:val="auto"/>
            <w:vertAlign w:val="superscript"/>
          </w:rPr>
          <w:t>2</w:t>
        </w:r>
        <w:r w:rsidR="00926BC5" w:rsidRPr="00872293">
          <w:rPr>
            <w:rStyle w:val="Hyperlink"/>
            <w:rFonts w:cs="Times New Roman"/>
            <w:noProof/>
            <w:color w:val="auto"/>
          </w:rPr>
          <w:t xml:space="preserve"> marginal and R</w:t>
        </w:r>
        <w:r w:rsidR="00926BC5" w:rsidRPr="00AC55FE">
          <w:rPr>
            <w:rStyle w:val="Hyperlink"/>
            <w:rFonts w:cs="Times New Roman"/>
            <w:noProof/>
            <w:color w:val="auto"/>
            <w:vertAlign w:val="superscript"/>
          </w:rPr>
          <w:t>2</w:t>
        </w:r>
        <w:r w:rsidR="00926BC5" w:rsidRPr="00872293">
          <w:rPr>
            <w:rStyle w:val="Hyperlink"/>
            <w:rFonts w:cs="Times New Roman"/>
            <w:noProof/>
            <w:color w:val="auto"/>
          </w:rPr>
          <w:t xml:space="preserve"> conditional; coefficient estimates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_Toc53755746 \h </w:instrText>
        </w:r>
        <w:r w:rsidR="00926BC5" w:rsidRPr="00872293">
          <w:rPr>
            <w:noProof/>
            <w:webHidden/>
          </w:rPr>
        </w:r>
        <w:r w:rsidR="00926BC5" w:rsidRPr="00872293">
          <w:rPr>
            <w:noProof/>
            <w:webHidden/>
          </w:rPr>
          <w:fldChar w:fldCharType="separate"/>
        </w:r>
        <w:r w:rsidR="00F546E0">
          <w:rPr>
            <w:noProof/>
            <w:webHidden/>
          </w:rPr>
          <w:t>90</w:t>
        </w:r>
        <w:r w:rsidR="00926BC5" w:rsidRPr="00872293">
          <w:rPr>
            <w:noProof/>
            <w:webHidden/>
          </w:rPr>
          <w:fldChar w:fldCharType="end"/>
        </w:r>
      </w:hyperlink>
    </w:p>
    <w:p w14:paraId="23DE9555" w14:textId="632FBB34"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7" w:history="1">
        <w:r w:rsidR="00926BC5" w:rsidRPr="00872293">
          <w:rPr>
            <w:rStyle w:val="Hyperlink"/>
            <w:rFonts w:cs="Times New Roman"/>
            <w:noProof/>
            <w:color w:val="auto"/>
          </w:rPr>
          <w:t xml:space="preserve">Table 5. </w:t>
        </w:r>
        <w:r w:rsidR="00926BC5" w:rsidRPr="00872293">
          <w:rPr>
            <w:rStyle w:val="Hyperlink"/>
            <w:rFonts w:eastAsia="Times New Roman" w:cs="Times New Roman"/>
            <w:noProof/>
            <w:color w:val="auto"/>
          </w:rPr>
          <w:t>Total leaf area (m</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xml:space="preserve"> m</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and treatment since conditions of pre-warming (2016), through warming (2017), post-hurricane but unwarmed (2018), up to the re-start of the warming treatment after the hurricanes (2019)</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_Toc53755747 \h </w:instrText>
        </w:r>
        <w:r w:rsidR="00926BC5" w:rsidRPr="00872293">
          <w:rPr>
            <w:noProof/>
            <w:webHidden/>
          </w:rPr>
        </w:r>
        <w:r w:rsidR="00926BC5" w:rsidRPr="00872293">
          <w:rPr>
            <w:noProof/>
            <w:webHidden/>
          </w:rPr>
          <w:fldChar w:fldCharType="separate"/>
        </w:r>
        <w:r w:rsidR="00F546E0">
          <w:rPr>
            <w:noProof/>
            <w:webHidden/>
          </w:rPr>
          <w:t>92</w:t>
        </w:r>
        <w:r w:rsidR="00926BC5" w:rsidRPr="00872293">
          <w:rPr>
            <w:noProof/>
            <w:webHidden/>
          </w:rPr>
          <w:fldChar w:fldCharType="end"/>
        </w:r>
      </w:hyperlink>
    </w:p>
    <w:p w14:paraId="2D13B5C5" w14:textId="2899CFCB"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8" w:history="1">
        <w:r w:rsidR="00926BC5" w:rsidRPr="00872293">
          <w:rPr>
            <w:rStyle w:val="Hyperlink"/>
            <w:rFonts w:cs="Times New Roman"/>
            <w:noProof/>
            <w:color w:val="auto"/>
          </w:rPr>
          <w:t xml:space="preserve">Table 6. </w:t>
        </w:r>
        <w:r w:rsidR="00926BC5" w:rsidRPr="00872293">
          <w:rPr>
            <w:rStyle w:val="Hyperlink"/>
            <w:rFonts w:eastAsia="Times New Roman" w:cs="Times New Roman"/>
            <w:noProof/>
            <w:color w:val="auto"/>
          </w:rPr>
          <w:t>Mixed effect models for before and after the hurricane events. Model; dependent variables; fixed effects; random effects; P values; R</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xml:space="preserve"> marginal and R</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xml:space="preserve"> conditional; coefficient estimates.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_Toc53755748 \h </w:instrText>
        </w:r>
        <w:r w:rsidR="00926BC5" w:rsidRPr="00872293">
          <w:rPr>
            <w:noProof/>
            <w:webHidden/>
          </w:rPr>
        </w:r>
        <w:r w:rsidR="00926BC5" w:rsidRPr="00872293">
          <w:rPr>
            <w:noProof/>
            <w:webHidden/>
          </w:rPr>
          <w:fldChar w:fldCharType="separate"/>
        </w:r>
        <w:r w:rsidR="00F546E0">
          <w:rPr>
            <w:noProof/>
            <w:webHidden/>
          </w:rPr>
          <w:t>93</w:t>
        </w:r>
        <w:r w:rsidR="00926BC5" w:rsidRPr="00872293">
          <w:rPr>
            <w:noProof/>
            <w:webHidden/>
          </w:rPr>
          <w:fldChar w:fldCharType="end"/>
        </w:r>
      </w:hyperlink>
    </w:p>
    <w:p w14:paraId="683122E0" w14:textId="40859FA7"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49" w:history="1">
        <w:r w:rsidR="00926BC5" w:rsidRPr="00872293">
          <w:rPr>
            <w:rStyle w:val="Hyperlink"/>
            <w:rFonts w:cs="Times New Roman"/>
            <w:noProof/>
            <w:color w:val="auto"/>
          </w:rPr>
          <w:t xml:space="preserve">Table 7. </w:t>
        </w:r>
        <w:r w:rsidR="00926BC5" w:rsidRPr="00872293">
          <w:rPr>
            <w:rStyle w:val="Hyperlink"/>
            <w:rFonts w:eastAsia="Times New Roman" w:cs="Times New Roman"/>
            <w:noProof/>
            <w:color w:val="auto"/>
          </w:rPr>
          <w:t>Mixed effect models for specific root length (SRL) and root diameter; model; dependent variables; fixed effects; random effects; P values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_Toc53755749 \h </w:instrText>
        </w:r>
        <w:r w:rsidR="00926BC5" w:rsidRPr="00872293">
          <w:rPr>
            <w:noProof/>
            <w:webHidden/>
          </w:rPr>
        </w:r>
        <w:r w:rsidR="00926BC5" w:rsidRPr="00872293">
          <w:rPr>
            <w:noProof/>
            <w:webHidden/>
          </w:rPr>
          <w:fldChar w:fldCharType="separate"/>
        </w:r>
        <w:r w:rsidR="00F546E0">
          <w:rPr>
            <w:noProof/>
            <w:webHidden/>
          </w:rPr>
          <w:t>94</w:t>
        </w:r>
        <w:r w:rsidR="00926BC5" w:rsidRPr="00872293">
          <w:rPr>
            <w:noProof/>
            <w:webHidden/>
          </w:rPr>
          <w:fldChar w:fldCharType="end"/>
        </w:r>
      </w:hyperlink>
    </w:p>
    <w:p w14:paraId="4013E330" w14:textId="09BFA943"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50" w:history="1">
        <w:r w:rsidR="00926BC5" w:rsidRPr="00872293">
          <w:rPr>
            <w:rStyle w:val="Hyperlink"/>
            <w:rFonts w:cs="Times New Roman"/>
            <w:noProof/>
            <w:color w:val="auto"/>
          </w:rPr>
          <w:t>Table 8. P-value results from one-way ANOVA comparing root traits: root diameter (RD), root branching ratio (RBR), root branching intensity (RBI), mycorrhizal colonization percentage (AM col.), root phosphatase activity (PME), root phosphorus percentage (RP), specific root length (SRL), A) between sites for each species that are repeated in sites, and B) between species within each site. *Significant values.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_Toc53755750 \h </w:instrText>
        </w:r>
        <w:r w:rsidR="00926BC5" w:rsidRPr="00872293">
          <w:rPr>
            <w:noProof/>
            <w:webHidden/>
          </w:rPr>
        </w:r>
        <w:r w:rsidR="00926BC5" w:rsidRPr="00872293">
          <w:rPr>
            <w:noProof/>
            <w:webHidden/>
          </w:rPr>
          <w:fldChar w:fldCharType="separate"/>
        </w:r>
        <w:r w:rsidR="00F546E0">
          <w:rPr>
            <w:noProof/>
            <w:webHidden/>
          </w:rPr>
          <w:t>129</w:t>
        </w:r>
        <w:r w:rsidR="00926BC5" w:rsidRPr="00872293">
          <w:rPr>
            <w:noProof/>
            <w:webHidden/>
          </w:rPr>
          <w:fldChar w:fldCharType="end"/>
        </w:r>
      </w:hyperlink>
    </w:p>
    <w:p w14:paraId="55FF6CEC" w14:textId="0FEE86EA"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51" w:history="1">
        <w:r w:rsidR="00926BC5" w:rsidRPr="00872293">
          <w:rPr>
            <w:rStyle w:val="Hyperlink"/>
            <w:rFonts w:cs="Times New Roman"/>
            <w:noProof/>
            <w:color w:val="auto"/>
          </w:rPr>
          <w:t xml:space="preserve">Table 9. </w:t>
        </w:r>
        <w:r w:rsidR="00926BC5" w:rsidRPr="00872293">
          <w:rPr>
            <w:rStyle w:val="Hyperlink"/>
            <w:rFonts w:eastAsia="Times New Roman" w:cs="Times New Roman"/>
            <w:noProof/>
            <w:color w:val="auto"/>
          </w:rPr>
          <w:t>Mixed effect models; dependent variables; fixed effects; random effects; P values; R</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xml:space="preserve"> marginal and R</w:t>
        </w:r>
        <w:r w:rsidR="00926BC5" w:rsidRPr="00872293">
          <w:rPr>
            <w:rStyle w:val="Hyperlink"/>
            <w:rFonts w:eastAsia="Times New Roman" w:cs="Times New Roman"/>
            <w:noProof/>
            <w:color w:val="auto"/>
            <w:vertAlign w:val="superscript"/>
          </w:rPr>
          <w:t>2</w:t>
        </w:r>
        <w:r w:rsidR="00926BC5" w:rsidRPr="00872293">
          <w:rPr>
            <w:rStyle w:val="Hyperlink"/>
            <w:rFonts w:eastAsia="Times New Roman" w:cs="Times New Roman"/>
            <w:noProof/>
            <w:color w:val="auto"/>
          </w:rPr>
          <w:t xml:space="preserve"> conditional; coefficient estimates.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_Toc53755751 \h </w:instrText>
        </w:r>
        <w:r w:rsidR="00926BC5" w:rsidRPr="00872293">
          <w:rPr>
            <w:noProof/>
            <w:webHidden/>
          </w:rPr>
        </w:r>
        <w:r w:rsidR="00926BC5" w:rsidRPr="00872293">
          <w:rPr>
            <w:noProof/>
            <w:webHidden/>
          </w:rPr>
          <w:fldChar w:fldCharType="separate"/>
        </w:r>
        <w:r w:rsidR="00F546E0">
          <w:rPr>
            <w:noProof/>
            <w:webHidden/>
          </w:rPr>
          <w:t>130</w:t>
        </w:r>
        <w:r w:rsidR="00926BC5" w:rsidRPr="00872293">
          <w:rPr>
            <w:noProof/>
            <w:webHidden/>
          </w:rPr>
          <w:fldChar w:fldCharType="end"/>
        </w:r>
      </w:hyperlink>
    </w:p>
    <w:p w14:paraId="43027453" w14:textId="262EA316"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52" w:history="1">
        <w:r w:rsidR="00926BC5" w:rsidRPr="00872293">
          <w:rPr>
            <w:rStyle w:val="Hyperlink"/>
            <w:rFonts w:cs="Times New Roman"/>
            <w:noProof/>
            <w:color w:val="auto"/>
          </w:rPr>
          <w:t xml:space="preserve">Table 10. </w:t>
        </w:r>
        <w:r w:rsidR="00926BC5" w:rsidRPr="00872293">
          <w:rPr>
            <w:rStyle w:val="Hyperlink"/>
            <w:rFonts w:eastAsia="Times New Roman" w:cs="Times New Roman"/>
            <w:noProof/>
            <w:color w:val="auto"/>
          </w:rPr>
          <w:t>Mixed effect model ANOVA; dependent variables; fixed effects; random effects (ID refers to the specific tree ID); P values; Emmeans are the estimated marginal means for time 1 (6 months before the hurricanes), and time 2 (6 months after the hurricanes).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_Toc53755752 \h </w:instrText>
        </w:r>
        <w:r w:rsidR="00926BC5" w:rsidRPr="00872293">
          <w:rPr>
            <w:noProof/>
            <w:webHidden/>
          </w:rPr>
        </w:r>
        <w:r w:rsidR="00926BC5" w:rsidRPr="00872293">
          <w:rPr>
            <w:noProof/>
            <w:webHidden/>
          </w:rPr>
          <w:fldChar w:fldCharType="separate"/>
        </w:r>
        <w:r w:rsidR="00F546E0">
          <w:rPr>
            <w:noProof/>
            <w:webHidden/>
          </w:rPr>
          <w:t>131</w:t>
        </w:r>
        <w:r w:rsidR="00926BC5" w:rsidRPr="00872293">
          <w:rPr>
            <w:noProof/>
            <w:webHidden/>
          </w:rPr>
          <w:fldChar w:fldCharType="end"/>
        </w:r>
      </w:hyperlink>
    </w:p>
    <w:p w14:paraId="6AF5CA4A" w14:textId="50355EC8" w:rsidR="00417DE8" w:rsidRPr="00872293" w:rsidRDefault="007E66AE" w:rsidP="00926BC5">
      <w:pPr>
        <w:spacing w:before="240" w:line="360" w:lineRule="auto"/>
        <w:rPr>
          <w:rFonts w:ascii="Times New Roman" w:hAnsi="Times New Roman" w:cs="Times New Roman"/>
        </w:rPr>
      </w:pPr>
      <w:r w:rsidRPr="00872293">
        <w:rPr>
          <w:rFonts w:ascii="Times New Roman" w:hAnsi="Times New Roman" w:cs="Times New Roman"/>
        </w:rPr>
        <w:fldChar w:fldCharType="end"/>
      </w:r>
    </w:p>
    <w:p w14:paraId="725E77CF" w14:textId="77777777" w:rsidR="00417DE8" w:rsidRPr="00872293" w:rsidRDefault="00417DE8" w:rsidP="003C456F">
      <w:pPr>
        <w:spacing w:line="360" w:lineRule="auto"/>
        <w:rPr>
          <w:rFonts w:ascii="Times New Roman" w:hAnsi="Times New Roman" w:cs="Times New Roman"/>
        </w:rPr>
      </w:pPr>
      <w:r w:rsidRPr="00872293">
        <w:rPr>
          <w:rFonts w:ascii="Times New Roman" w:hAnsi="Times New Roman" w:cs="Times New Roman"/>
        </w:rPr>
        <w:br w:type="page"/>
      </w:r>
    </w:p>
    <w:p w14:paraId="2D273504" w14:textId="04FE49C7" w:rsidR="00D063F2" w:rsidRPr="00872293" w:rsidRDefault="007E6826" w:rsidP="002B4E92">
      <w:pPr>
        <w:tabs>
          <w:tab w:val="left" w:pos="3090"/>
        </w:tabs>
        <w:jc w:val="center"/>
        <w:rPr>
          <w:rFonts w:ascii="Times New Roman" w:hAnsi="Times New Roman" w:cs="Times New Roman"/>
          <w:b/>
          <w:bCs/>
          <w:sz w:val="36"/>
          <w:szCs w:val="36"/>
        </w:rPr>
      </w:pPr>
      <w:r w:rsidRPr="00872293">
        <w:rPr>
          <w:rFonts w:ascii="Times New Roman" w:hAnsi="Times New Roman" w:cs="Times New Roman"/>
          <w:b/>
          <w:bCs/>
          <w:sz w:val="36"/>
          <w:szCs w:val="36"/>
        </w:rPr>
        <w:lastRenderedPageBreak/>
        <w:t xml:space="preserve">List of </w:t>
      </w:r>
      <w:r w:rsidR="00114658" w:rsidRPr="00872293">
        <w:rPr>
          <w:rFonts w:ascii="Times New Roman" w:hAnsi="Times New Roman" w:cs="Times New Roman"/>
          <w:b/>
          <w:bCs/>
          <w:sz w:val="36"/>
          <w:szCs w:val="36"/>
        </w:rPr>
        <w:t>f</w:t>
      </w:r>
      <w:r w:rsidRPr="00872293">
        <w:rPr>
          <w:rFonts w:ascii="Times New Roman" w:hAnsi="Times New Roman" w:cs="Times New Roman"/>
          <w:b/>
          <w:bCs/>
          <w:sz w:val="36"/>
          <w:szCs w:val="36"/>
        </w:rPr>
        <w:t>igures</w:t>
      </w:r>
    </w:p>
    <w:p w14:paraId="542994D2" w14:textId="77777777" w:rsidR="00226005" w:rsidRPr="00872293" w:rsidRDefault="00226005" w:rsidP="00B6666D">
      <w:pPr>
        <w:spacing w:line="360" w:lineRule="auto"/>
        <w:rPr>
          <w:rFonts w:ascii="Times New Roman" w:hAnsi="Times New Roman" w:cs="Times New Roman"/>
          <w:b/>
          <w:bCs/>
        </w:rPr>
      </w:pPr>
    </w:p>
    <w:p w14:paraId="187F493D" w14:textId="5721DB3A" w:rsidR="00926BC5" w:rsidRPr="00872293" w:rsidRDefault="00CE76B7" w:rsidP="00B6666D">
      <w:pPr>
        <w:pStyle w:val="TableofFigures"/>
        <w:tabs>
          <w:tab w:val="right" w:leader="dot" w:pos="9350"/>
        </w:tabs>
        <w:rPr>
          <w:rFonts w:asciiTheme="minorHAnsi" w:eastAsiaTheme="minorEastAsia" w:hAnsiTheme="minorHAnsi" w:cstheme="minorBidi"/>
          <w:noProof/>
          <w:sz w:val="22"/>
          <w:szCs w:val="22"/>
        </w:rPr>
      </w:pPr>
      <w:r w:rsidRPr="00872293">
        <w:rPr>
          <w:rFonts w:cs="Times New Roman"/>
        </w:rPr>
        <w:fldChar w:fldCharType="begin"/>
      </w:r>
      <w:r w:rsidR="00226005" w:rsidRPr="00872293">
        <w:rPr>
          <w:rFonts w:cs="Times New Roman"/>
        </w:rPr>
        <w:instrText xml:space="preserve"> TOC \h \z \c "Figure" </w:instrText>
      </w:r>
      <w:r w:rsidRPr="00872293">
        <w:rPr>
          <w:rFonts w:cs="Times New Roman"/>
        </w:rPr>
        <w:fldChar w:fldCharType="separate"/>
      </w:r>
      <w:hyperlink w:anchor="_Toc53755770" w:history="1">
        <w:r w:rsidR="00926BC5" w:rsidRPr="00872293">
          <w:rPr>
            <w:rStyle w:val="Hyperlink"/>
            <w:rFonts w:cs="Times New Roman"/>
            <w:noProof/>
            <w:color w:val="auto"/>
          </w:rPr>
          <w:t>Figure 1. Map of the land cover of Puerto Rico from the USDA Gap Analysis Project (https://www.treesearch.fs.fed.us/pubs/38430/), showing where study sites were located. Symbols represent root traits according to FRED classification. The bar plot shows the number of studies per site.</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_Toc53755770 \h </w:instrText>
        </w:r>
        <w:r w:rsidR="00926BC5" w:rsidRPr="00872293">
          <w:rPr>
            <w:noProof/>
            <w:webHidden/>
          </w:rPr>
        </w:r>
        <w:r w:rsidR="00926BC5" w:rsidRPr="00872293">
          <w:rPr>
            <w:noProof/>
            <w:webHidden/>
          </w:rPr>
          <w:fldChar w:fldCharType="separate"/>
        </w:r>
        <w:r w:rsidR="00F546E0">
          <w:rPr>
            <w:noProof/>
            <w:webHidden/>
          </w:rPr>
          <w:t>49</w:t>
        </w:r>
        <w:r w:rsidR="00926BC5" w:rsidRPr="00872293">
          <w:rPr>
            <w:noProof/>
            <w:webHidden/>
          </w:rPr>
          <w:fldChar w:fldCharType="end"/>
        </w:r>
      </w:hyperlink>
    </w:p>
    <w:p w14:paraId="6629640D" w14:textId="2CF5D162"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1" w:history="1">
        <w:r w:rsidR="00926BC5" w:rsidRPr="00872293">
          <w:rPr>
            <w:rStyle w:val="Hyperlink"/>
            <w:rFonts w:cs="Times New Roman"/>
            <w:noProof/>
            <w:color w:val="auto"/>
          </w:rPr>
          <w:t>Figure 2. Logarithmic regression of root biomass in kg</w:t>
        </w:r>
        <w:r w:rsidR="00AC55FE">
          <w:rPr>
            <w:rStyle w:val="Hyperlink"/>
            <w:rFonts w:cs="Times New Roman"/>
            <w:noProof/>
            <w:color w:val="auto"/>
          </w:rPr>
          <w:t xml:space="preserve"> </w:t>
        </w:r>
        <w:r w:rsidR="00926BC5" w:rsidRPr="00872293">
          <w:rPr>
            <w:rStyle w:val="Hyperlink"/>
            <w:rFonts w:cs="Times New Roman"/>
            <w:noProof/>
            <w:color w:val="auto"/>
          </w:rPr>
          <w:t>ha</w:t>
        </w:r>
        <w:r w:rsidR="00AC55FE" w:rsidRPr="00AC55FE">
          <w:rPr>
            <w:rStyle w:val="Hyperlink"/>
            <w:rFonts w:cs="Times New Roman"/>
            <w:noProof/>
            <w:color w:val="auto"/>
            <w:vertAlign w:val="superscript"/>
          </w:rPr>
          <w:t>-1</w:t>
        </w:r>
        <w:r w:rsidR="00926BC5" w:rsidRPr="00872293">
          <w:rPr>
            <w:rStyle w:val="Hyperlink"/>
            <w:rFonts w:cs="Times New Roman"/>
            <w:noProof/>
            <w:color w:val="auto"/>
          </w:rPr>
          <w:t xml:space="preserve"> by depth in (a) a wet forest and (b) in a dry forest (Studies are represented by authors, which are organized by colors)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_Toc53755771 \h </w:instrText>
        </w:r>
        <w:r w:rsidR="00926BC5" w:rsidRPr="00872293">
          <w:rPr>
            <w:noProof/>
            <w:webHidden/>
          </w:rPr>
        </w:r>
        <w:r w:rsidR="00926BC5" w:rsidRPr="00872293">
          <w:rPr>
            <w:noProof/>
            <w:webHidden/>
          </w:rPr>
          <w:fldChar w:fldCharType="separate"/>
        </w:r>
        <w:r w:rsidR="00F546E0">
          <w:rPr>
            <w:noProof/>
            <w:webHidden/>
          </w:rPr>
          <w:t>50</w:t>
        </w:r>
        <w:r w:rsidR="00926BC5" w:rsidRPr="00872293">
          <w:rPr>
            <w:noProof/>
            <w:webHidden/>
          </w:rPr>
          <w:fldChar w:fldCharType="end"/>
        </w:r>
      </w:hyperlink>
    </w:p>
    <w:p w14:paraId="5CF03E15" w14:textId="25DDEA93"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2" w:history="1">
        <w:r w:rsidR="00926BC5" w:rsidRPr="00872293">
          <w:rPr>
            <w:rStyle w:val="Hyperlink"/>
            <w:rFonts w:cs="Times New Roman"/>
            <w:noProof/>
            <w:color w:val="auto"/>
          </w:rPr>
          <w:t>Figure 3. Comparison between the vertical rooting distribution of studies in Puerto Rico from  wet forests (blue line), dry forests (green line),  and the generalized beta distribution of the tropics (Jackson et al., 1996; red line)</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_Toc53755772 \h </w:instrText>
        </w:r>
        <w:r w:rsidR="00926BC5" w:rsidRPr="00872293">
          <w:rPr>
            <w:noProof/>
            <w:webHidden/>
          </w:rPr>
        </w:r>
        <w:r w:rsidR="00926BC5" w:rsidRPr="00872293">
          <w:rPr>
            <w:noProof/>
            <w:webHidden/>
          </w:rPr>
          <w:fldChar w:fldCharType="separate"/>
        </w:r>
        <w:r w:rsidR="00F546E0">
          <w:rPr>
            <w:noProof/>
            <w:webHidden/>
          </w:rPr>
          <w:t>51</w:t>
        </w:r>
        <w:r w:rsidR="00926BC5" w:rsidRPr="00872293">
          <w:rPr>
            <w:noProof/>
            <w:webHidden/>
          </w:rPr>
          <w:fldChar w:fldCharType="end"/>
        </w:r>
      </w:hyperlink>
    </w:p>
    <w:p w14:paraId="078A9309" w14:textId="47D0D99B"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3" w:history="1">
        <w:r w:rsidR="00926BC5" w:rsidRPr="00872293">
          <w:rPr>
            <w:rStyle w:val="Hyperlink"/>
            <w:rFonts w:cs="Times New Roman"/>
            <w:noProof/>
            <w:color w:val="auto"/>
          </w:rPr>
          <w:t>Figure 4. Linear correlation between root and shoot biomass from Puerto Rico data in blue, a world-wide meta-analysis (Cairns et al., 1997) in black, and another global meta-analysis only for forests (excluding shrublands, grasslands, Mokany et al., 2006) in red. The large graph shows all trees collected with various bole diameters, and the inset graph shows the correlation using only trees &lt; 5 cm bole diameter</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_Toc53755773 \h </w:instrText>
        </w:r>
        <w:r w:rsidR="00926BC5" w:rsidRPr="00872293">
          <w:rPr>
            <w:noProof/>
            <w:webHidden/>
          </w:rPr>
        </w:r>
        <w:r w:rsidR="00926BC5" w:rsidRPr="00872293">
          <w:rPr>
            <w:noProof/>
            <w:webHidden/>
          </w:rPr>
          <w:fldChar w:fldCharType="separate"/>
        </w:r>
        <w:r w:rsidR="00F546E0">
          <w:rPr>
            <w:noProof/>
            <w:webHidden/>
          </w:rPr>
          <w:t>52</w:t>
        </w:r>
        <w:r w:rsidR="00926BC5" w:rsidRPr="00872293">
          <w:rPr>
            <w:noProof/>
            <w:webHidden/>
          </w:rPr>
          <w:fldChar w:fldCharType="end"/>
        </w:r>
      </w:hyperlink>
    </w:p>
    <w:p w14:paraId="6A3766DB" w14:textId="4BB70F97"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4" w:history="1">
        <w:r w:rsidR="00926BC5" w:rsidRPr="00872293">
          <w:rPr>
            <w:rStyle w:val="Hyperlink"/>
            <w:rFonts w:cs="Times New Roman"/>
            <w:noProof/>
            <w:color w:val="auto"/>
          </w:rPr>
          <w:t>Figure 5. Logarithmic correlation between (a) fine-root nitrogen (%) and soil depth, and (b) fine-root phosphorus (%) and soil depth, using data from four studies in Puerto Rico that used the coring method</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_Toc53755774 \h </w:instrText>
        </w:r>
        <w:r w:rsidR="00926BC5" w:rsidRPr="00872293">
          <w:rPr>
            <w:noProof/>
            <w:webHidden/>
          </w:rPr>
        </w:r>
        <w:r w:rsidR="00926BC5" w:rsidRPr="00872293">
          <w:rPr>
            <w:noProof/>
            <w:webHidden/>
          </w:rPr>
          <w:fldChar w:fldCharType="separate"/>
        </w:r>
        <w:r w:rsidR="00F546E0">
          <w:rPr>
            <w:noProof/>
            <w:webHidden/>
          </w:rPr>
          <w:t>53</w:t>
        </w:r>
        <w:r w:rsidR="00926BC5" w:rsidRPr="00872293">
          <w:rPr>
            <w:noProof/>
            <w:webHidden/>
          </w:rPr>
          <w:fldChar w:fldCharType="end"/>
        </w:r>
      </w:hyperlink>
    </w:p>
    <w:p w14:paraId="6A71CE4D" w14:textId="045C3E32"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5" w:history="1">
        <w:r w:rsidR="00926BC5" w:rsidRPr="00872293">
          <w:rPr>
            <w:rStyle w:val="Hyperlink"/>
            <w:rFonts w:cs="Times New Roman"/>
            <w:noProof/>
            <w:color w:val="auto"/>
          </w:rPr>
          <w:t>Figure 6. Root a) P and b) N concentration by species. All species roots diameters are mixed, except for Leucaena leucocephala, Eucalyptus robusta, and Casuarina equisetifolia, which only fine roots were sampled for P concentration.</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_Toc53755775 \h </w:instrText>
        </w:r>
        <w:r w:rsidR="00926BC5" w:rsidRPr="00872293">
          <w:rPr>
            <w:noProof/>
            <w:webHidden/>
          </w:rPr>
        </w:r>
        <w:r w:rsidR="00926BC5" w:rsidRPr="00872293">
          <w:rPr>
            <w:noProof/>
            <w:webHidden/>
          </w:rPr>
          <w:fldChar w:fldCharType="separate"/>
        </w:r>
        <w:r w:rsidR="00F546E0">
          <w:rPr>
            <w:noProof/>
            <w:webHidden/>
          </w:rPr>
          <w:t>54</w:t>
        </w:r>
        <w:r w:rsidR="00926BC5" w:rsidRPr="00872293">
          <w:rPr>
            <w:noProof/>
            <w:webHidden/>
          </w:rPr>
          <w:fldChar w:fldCharType="end"/>
        </w:r>
      </w:hyperlink>
    </w:p>
    <w:p w14:paraId="2B044BA5" w14:textId="371F5555"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6" w:history="1">
        <w:r w:rsidR="00926BC5" w:rsidRPr="00872293">
          <w:rPr>
            <w:rStyle w:val="Hyperlink"/>
            <w:rFonts w:cs="Times New Roman"/>
            <w:noProof/>
            <w:color w:val="auto"/>
          </w:rPr>
          <w:t>Figure 7. Linear correlation between (a) fine-root nitrogen (%) and soil nitrogen (%) and (b) Linear correlation between fine-root biomass and soil nitrogen (%) from secondary forests, pine plantations, and mahogany plantations in LEF</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_Toc53755776 \h </w:instrText>
        </w:r>
        <w:r w:rsidR="00926BC5" w:rsidRPr="00872293">
          <w:rPr>
            <w:noProof/>
            <w:webHidden/>
          </w:rPr>
        </w:r>
        <w:r w:rsidR="00926BC5" w:rsidRPr="00872293">
          <w:rPr>
            <w:noProof/>
            <w:webHidden/>
          </w:rPr>
          <w:fldChar w:fldCharType="separate"/>
        </w:r>
        <w:r w:rsidR="00F546E0">
          <w:rPr>
            <w:noProof/>
            <w:webHidden/>
          </w:rPr>
          <w:t>55</w:t>
        </w:r>
        <w:r w:rsidR="00926BC5" w:rsidRPr="00872293">
          <w:rPr>
            <w:noProof/>
            <w:webHidden/>
          </w:rPr>
          <w:fldChar w:fldCharType="end"/>
        </w:r>
      </w:hyperlink>
    </w:p>
    <w:p w14:paraId="5ED6D374" w14:textId="112FE0C1"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7" w:history="1">
        <w:r w:rsidR="00926BC5" w:rsidRPr="00872293">
          <w:rPr>
            <w:rStyle w:val="Hyperlink"/>
            <w:rFonts w:cs="Times New Roman"/>
            <w:noProof/>
            <w:color w:val="auto"/>
          </w:rPr>
          <w:t>Figure 8. Linear correlation between fine-root phosphorus (%) and soil phosphorus (%) from secondary forests, pine plantations, and mahogany plantations in LEF.</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_Toc53755777 \h </w:instrText>
        </w:r>
        <w:r w:rsidR="00926BC5" w:rsidRPr="00872293">
          <w:rPr>
            <w:noProof/>
            <w:webHidden/>
          </w:rPr>
        </w:r>
        <w:r w:rsidR="00926BC5" w:rsidRPr="00872293">
          <w:rPr>
            <w:noProof/>
            <w:webHidden/>
          </w:rPr>
          <w:fldChar w:fldCharType="separate"/>
        </w:r>
        <w:r w:rsidR="00F546E0">
          <w:rPr>
            <w:noProof/>
            <w:webHidden/>
          </w:rPr>
          <w:t>56</w:t>
        </w:r>
        <w:r w:rsidR="00926BC5" w:rsidRPr="00872293">
          <w:rPr>
            <w:noProof/>
            <w:webHidden/>
          </w:rPr>
          <w:fldChar w:fldCharType="end"/>
        </w:r>
      </w:hyperlink>
    </w:p>
    <w:p w14:paraId="727AF329" w14:textId="213FCE16"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8" w:history="1">
        <w:r w:rsidR="00926BC5" w:rsidRPr="00872293">
          <w:rPr>
            <w:rStyle w:val="Hyperlink"/>
            <w:rFonts w:cs="Times New Roman"/>
            <w:noProof/>
            <w:color w:val="auto"/>
          </w:rPr>
          <w:t>Figure 9. Ten years of root biomass from LEF, before and after hurricane Hugo, since 1990</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_Toc53755778 \h </w:instrText>
        </w:r>
        <w:r w:rsidR="00926BC5" w:rsidRPr="00872293">
          <w:rPr>
            <w:noProof/>
            <w:webHidden/>
          </w:rPr>
        </w:r>
        <w:r w:rsidR="00926BC5" w:rsidRPr="00872293">
          <w:rPr>
            <w:noProof/>
            <w:webHidden/>
          </w:rPr>
          <w:fldChar w:fldCharType="separate"/>
        </w:r>
        <w:r w:rsidR="00F546E0">
          <w:rPr>
            <w:noProof/>
            <w:webHidden/>
          </w:rPr>
          <w:t>56</w:t>
        </w:r>
        <w:r w:rsidR="00926BC5" w:rsidRPr="00872293">
          <w:rPr>
            <w:noProof/>
            <w:webHidden/>
          </w:rPr>
          <w:fldChar w:fldCharType="end"/>
        </w:r>
      </w:hyperlink>
    </w:p>
    <w:p w14:paraId="71CF6CEB" w14:textId="39449F44"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79" w:history="1">
        <w:r w:rsidR="00926BC5" w:rsidRPr="00872293">
          <w:rPr>
            <w:rStyle w:val="Hyperlink"/>
            <w:rFonts w:cs="Times New Roman"/>
            <w:noProof/>
            <w:color w:val="auto"/>
          </w:rPr>
          <w:t xml:space="preserve">Figure 10. </w:t>
        </w:r>
        <w:r w:rsidR="00926BC5" w:rsidRPr="00872293">
          <w:rPr>
            <w:rStyle w:val="Hyperlink"/>
            <w:rFonts w:eastAsia="Times New Roman" w:cs="Times New Roman"/>
            <w:noProof/>
            <w:color w:val="auto"/>
          </w:rPr>
          <w:t>Circles represent the average canopy openness (%) per treatment (red circles warming blue triangles control) in undisturbed conditions (pre-treatment, 2015), after the warming treatment started (2017), and post hurricane (2018). The error bars represent the standard error of plots per treatment. The dates in x axis are expressed in mm-yy.</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_Toc53755779 \h </w:instrText>
        </w:r>
        <w:r w:rsidR="00926BC5" w:rsidRPr="00872293">
          <w:rPr>
            <w:noProof/>
            <w:webHidden/>
          </w:rPr>
        </w:r>
        <w:r w:rsidR="00926BC5" w:rsidRPr="00872293">
          <w:rPr>
            <w:noProof/>
            <w:webHidden/>
          </w:rPr>
          <w:fldChar w:fldCharType="separate"/>
        </w:r>
        <w:r w:rsidR="00F546E0">
          <w:rPr>
            <w:noProof/>
            <w:webHidden/>
          </w:rPr>
          <w:t>95</w:t>
        </w:r>
        <w:r w:rsidR="00926BC5" w:rsidRPr="00872293">
          <w:rPr>
            <w:noProof/>
            <w:webHidden/>
          </w:rPr>
          <w:fldChar w:fldCharType="end"/>
        </w:r>
      </w:hyperlink>
    </w:p>
    <w:p w14:paraId="3D926B7B" w14:textId="1C887E78"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0" w:history="1">
        <w:r w:rsidR="00926BC5" w:rsidRPr="00872293">
          <w:rPr>
            <w:rStyle w:val="Hyperlink"/>
            <w:rFonts w:cs="Times New Roman"/>
            <w:noProof/>
            <w:color w:val="auto"/>
          </w:rPr>
          <w:t>Figure 11.</w:t>
        </w:r>
        <w:r w:rsidR="00926BC5" w:rsidRPr="00872293">
          <w:rPr>
            <w:rStyle w:val="Hyperlink"/>
            <w:rFonts w:eastAsia="Times New Roman" w:cs="Times New Roman"/>
            <w:noProof/>
            <w:color w:val="auto"/>
          </w:rPr>
          <w:t xml:space="preserve"> One plot from the warming experiment when the project began (left, April 2015). The same plot after a month from the two hurricanes disturbances (middle; Oct 2017), and nine months after (right; Jun 2018). Photo by TRACE team.</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_Toc53755780 \h </w:instrText>
        </w:r>
        <w:r w:rsidR="00926BC5" w:rsidRPr="00872293">
          <w:rPr>
            <w:noProof/>
            <w:webHidden/>
          </w:rPr>
        </w:r>
        <w:r w:rsidR="00926BC5" w:rsidRPr="00872293">
          <w:rPr>
            <w:noProof/>
            <w:webHidden/>
          </w:rPr>
          <w:fldChar w:fldCharType="separate"/>
        </w:r>
        <w:r w:rsidR="00F546E0">
          <w:rPr>
            <w:noProof/>
            <w:webHidden/>
          </w:rPr>
          <w:t>95</w:t>
        </w:r>
        <w:r w:rsidR="00926BC5" w:rsidRPr="00872293">
          <w:rPr>
            <w:noProof/>
            <w:webHidden/>
          </w:rPr>
          <w:fldChar w:fldCharType="end"/>
        </w:r>
      </w:hyperlink>
    </w:p>
    <w:p w14:paraId="35322E1E" w14:textId="3149063F"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1" w:history="1">
        <w:r w:rsidR="00926BC5" w:rsidRPr="00872293">
          <w:rPr>
            <w:rStyle w:val="Hyperlink"/>
            <w:rFonts w:cs="Times New Roman"/>
            <w:noProof/>
            <w:color w:val="auto"/>
          </w:rPr>
          <w:t xml:space="preserve">Figure 12. </w:t>
        </w:r>
        <w:r w:rsidR="00926BC5" w:rsidRPr="00872293">
          <w:rPr>
            <w:rStyle w:val="Hyperlink"/>
            <w:rFonts w:eastAsia="Times New Roman" w:cs="Times New Roman"/>
            <w:bCs/>
            <w:noProof/>
            <w:color w:val="auto"/>
          </w:rPr>
          <w:t>The top graphs represent a) Root biomass standing stock, b) root biomass production, and c) root biomass mortality through time. The dates represented by the points are the middle dates between one sampling and another. Dashed line determined when hurricane Maria hit Puerto Rico. The bottom graphs represent the difference of d) Root biomass standing stock, e) root biomass production, and f) root biomass mortality between control plots and warmed plots though time.</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_Toc53755781 \h </w:instrText>
        </w:r>
        <w:r w:rsidR="00926BC5" w:rsidRPr="00872293">
          <w:rPr>
            <w:noProof/>
            <w:webHidden/>
          </w:rPr>
        </w:r>
        <w:r w:rsidR="00926BC5" w:rsidRPr="00872293">
          <w:rPr>
            <w:noProof/>
            <w:webHidden/>
          </w:rPr>
          <w:fldChar w:fldCharType="separate"/>
        </w:r>
        <w:r w:rsidR="00F546E0">
          <w:rPr>
            <w:noProof/>
            <w:webHidden/>
          </w:rPr>
          <w:t>96</w:t>
        </w:r>
        <w:r w:rsidR="00926BC5" w:rsidRPr="00872293">
          <w:rPr>
            <w:noProof/>
            <w:webHidden/>
          </w:rPr>
          <w:fldChar w:fldCharType="end"/>
        </w:r>
      </w:hyperlink>
    </w:p>
    <w:p w14:paraId="612005F8" w14:textId="56211354"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2" w:history="1">
        <w:r w:rsidR="00926BC5" w:rsidRPr="00872293">
          <w:rPr>
            <w:rStyle w:val="Hyperlink"/>
            <w:rFonts w:cs="Times New Roman"/>
            <w:noProof/>
            <w:color w:val="auto"/>
          </w:rPr>
          <w:t xml:space="preserve">Figure 13. </w:t>
        </w:r>
        <w:r w:rsidR="00926BC5" w:rsidRPr="00872293">
          <w:rPr>
            <w:rStyle w:val="Hyperlink"/>
            <w:rFonts w:eastAsia="Times New Roman" w:cs="Times New Roman"/>
            <w:noProof/>
            <w:color w:val="auto"/>
          </w:rPr>
          <w:t>Significant regressions between root production and soil and microbial nutrient concentrations. Colors represent the treatment (red=warmed plots, blue=control plots), and the lines represent two different mixed models. Filled lines represent models that did not include treatment as a fixed effect, and dotted lines represent the models that included treatment.</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_Toc53755782 \h </w:instrText>
        </w:r>
        <w:r w:rsidR="00926BC5" w:rsidRPr="00872293">
          <w:rPr>
            <w:noProof/>
            <w:webHidden/>
          </w:rPr>
        </w:r>
        <w:r w:rsidR="00926BC5" w:rsidRPr="00872293">
          <w:rPr>
            <w:noProof/>
            <w:webHidden/>
          </w:rPr>
          <w:fldChar w:fldCharType="separate"/>
        </w:r>
        <w:r w:rsidR="00F546E0">
          <w:rPr>
            <w:noProof/>
            <w:webHidden/>
          </w:rPr>
          <w:t>97</w:t>
        </w:r>
        <w:r w:rsidR="00926BC5" w:rsidRPr="00872293">
          <w:rPr>
            <w:noProof/>
            <w:webHidden/>
          </w:rPr>
          <w:fldChar w:fldCharType="end"/>
        </w:r>
      </w:hyperlink>
    </w:p>
    <w:p w14:paraId="2491E977" w14:textId="7413776A"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3" w:history="1">
        <w:r w:rsidR="00926BC5" w:rsidRPr="00872293">
          <w:rPr>
            <w:rStyle w:val="Hyperlink"/>
            <w:rFonts w:cs="Times New Roman"/>
            <w:noProof/>
            <w:color w:val="auto"/>
          </w:rPr>
          <w:t>Figure 14. Averaged cumulative root biomass from all plots and time frame through the whole profile depth.</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_Toc53755783 \h </w:instrText>
        </w:r>
        <w:r w:rsidR="00926BC5" w:rsidRPr="00872293">
          <w:rPr>
            <w:noProof/>
            <w:webHidden/>
          </w:rPr>
        </w:r>
        <w:r w:rsidR="00926BC5" w:rsidRPr="00872293">
          <w:rPr>
            <w:noProof/>
            <w:webHidden/>
          </w:rPr>
          <w:fldChar w:fldCharType="separate"/>
        </w:r>
        <w:r w:rsidR="00F546E0">
          <w:rPr>
            <w:noProof/>
            <w:webHidden/>
          </w:rPr>
          <w:t>98</w:t>
        </w:r>
        <w:r w:rsidR="00926BC5" w:rsidRPr="00872293">
          <w:rPr>
            <w:noProof/>
            <w:webHidden/>
          </w:rPr>
          <w:fldChar w:fldCharType="end"/>
        </w:r>
      </w:hyperlink>
    </w:p>
    <w:p w14:paraId="0CB64310" w14:textId="0824EE94"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4" w:history="1">
        <w:r w:rsidR="00926BC5" w:rsidRPr="00872293">
          <w:rPr>
            <w:rStyle w:val="Hyperlink"/>
            <w:rFonts w:cs="Times New Roman"/>
            <w:noProof/>
            <w:color w:val="auto"/>
          </w:rPr>
          <w:t xml:space="preserve">Figure 15. a-c) </w:t>
        </w:r>
        <w:r w:rsidR="00926BC5" w:rsidRPr="00872293">
          <w:rPr>
            <w:rStyle w:val="Hyperlink"/>
            <w:rFonts w:eastAsia="Times New Roman" w:cs="Times New Roman"/>
            <w:noProof/>
            <w:color w:val="auto"/>
          </w:rPr>
          <w:t xml:space="preserve">Root stock, root production, and root mortality before the hurricanes and d-f) after the hurricanes, as measured by the minirhizotron method by depth. </w:t>
        </w:r>
        <w:r w:rsidR="00926BC5" w:rsidRPr="00872293">
          <w:rPr>
            <w:rStyle w:val="Hyperlink"/>
            <w:rFonts w:eastAsia="Times New Roman" w:cs="Times New Roman"/>
            <w:bCs/>
            <w:noProof/>
            <w:color w:val="auto"/>
          </w:rPr>
          <w:t>The circles are the mean and the error bars represent the standard error. Blue circles with dashed lines depict control plot data and red circles with solid lines depict data from the warmed plots.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_Toc53755784 \h </w:instrText>
        </w:r>
        <w:r w:rsidR="00926BC5" w:rsidRPr="00872293">
          <w:rPr>
            <w:noProof/>
            <w:webHidden/>
          </w:rPr>
        </w:r>
        <w:r w:rsidR="00926BC5" w:rsidRPr="00872293">
          <w:rPr>
            <w:noProof/>
            <w:webHidden/>
          </w:rPr>
          <w:fldChar w:fldCharType="separate"/>
        </w:r>
        <w:r w:rsidR="00F546E0">
          <w:rPr>
            <w:noProof/>
            <w:webHidden/>
          </w:rPr>
          <w:t>98</w:t>
        </w:r>
        <w:r w:rsidR="00926BC5" w:rsidRPr="00872293">
          <w:rPr>
            <w:noProof/>
            <w:webHidden/>
          </w:rPr>
          <w:fldChar w:fldCharType="end"/>
        </w:r>
      </w:hyperlink>
    </w:p>
    <w:p w14:paraId="47378591" w14:textId="5C50348D"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5" w:history="1">
        <w:r w:rsidR="00926BC5" w:rsidRPr="00872293">
          <w:rPr>
            <w:rStyle w:val="Hyperlink"/>
            <w:rFonts w:cs="Times New Roman"/>
            <w:noProof/>
            <w:color w:val="auto"/>
          </w:rPr>
          <w:t xml:space="preserve">Figure 16. </w:t>
        </w:r>
        <w:r w:rsidR="00926BC5" w:rsidRPr="00872293">
          <w:rPr>
            <w:rStyle w:val="Hyperlink"/>
            <w:rFonts w:eastAsia="Times New Roman" w:cs="Times New Roman"/>
            <w:noProof/>
            <w:color w:val="auto"/>
          </w:rPr>
          <w:t xml:space="preserve">Boxplots showing a) specific root length with time, and b) fine-root diameter with time, using new roots collected from the in-growth cores. </w:t>
        </w:r>
        <w:r w:rsidR="00926BC5" w:rsidRPr="00872293">
          <w:rPr>
            <w:rStyle w:val="Hyperlink"/>
            <w:rFonts w:eastAsia="Times New Roman" w:cs="Times New Roman"/>
            <w:bCs/>
            <w:noProof/>
            <w:color w:val="auto"/>
          </w:rPr>
          <w:t xml:space="preserve">The x axis represents the date of root in-growth core collection. </w:t>
        </w:r>
        <w:r w:rsidR="00926BC5" w:rsidRPr="00872293">
          <w:rPr>
            <w:rStyle w:val="Hyperlink"/>
            <w:rFonts w:eastAsia="Times New Roman" w:cs="Times New Roman"/>
            <w:noProof/>
            <w:color w:val="auto"/>
          </w:rPr>
          <w:t xml:space="preserve">The vertical dashed line depicts when Hurricane María struck the site. </w:t>
        </w:r>
        <w:r w:rsidR="00926BC5" w:rsidRPr="00872293">
          <w:rPr>
            <w:rStyle w:val="Hyperlink"/>
            <w:rFonts w:cs="Times New Roman"/>
            <w:noProof/>
            <w:color w:val="auto"/>
          </w:rPr>
          <w:t>Significant differences from the mixed model ANOVA coefficients are designated with different letters.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_Toc53755785 \h </w:instrText>
        </w:r>
        <w:r w:rsidR="00926BC5" w:rsidRPr="00872293">
          <w:rPr>
            <w:noProof/>
            <w:webHidden/>
          </w:rPr>
        </w:r>
        <w:r w:rsidR="00926BC5" w:rsidRPr="00872293">
          <w:rPr>
            <w:noProof/>
            <w:webHidden/>
          </w:rPr>
          <w:fldChar w:fldCharType="separate"/>
        </w:r>
        <w:r w:rsidR="00F546E0">
          <w:rPr>
            <w:noProof/>
            <w:webHidden/>
          </w:rPr>
          <w:t>99</w:t>
        </w:r>
        <w:r w:rsidR="00926BC5" w:rsidRPr="00872293">
          <w:rPr>
            <w:noProof/>
            <w:webHidden/>
          </w:rPr>
          <w:fldChar w:fldCharType="end"/>
        </w:r>
      </w:hyperlink>
    </w:p>
    <w:p w14:paraId="380BF3D4" w14:textId="012B41CA"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6" w:history="1">
        <w:r w:rsidR="00926BC5" w:rsidRPr="00872293">
          <w:rPr>
            <w:rStyle w:val="Hyperlink"/>
            <w:rFonts w:cs="Times New Roman"/>
            <w:noProof/>
            <w:color w:val="auto"/>
          </w:rPr>
          <w:t xml:space="preserve">Figure 17. Conceptual framework of the Root Economic Spectrum adapted from Bergmann et al. (2020) and Kramer-Walter et al. (2016). </w:t>
        </w:r>
        <w:r w:rsidR="00926BC5" w:rsidRPr="00872293">
          <w:rPr>
            <w:rStyle w:val="Hyperlink"/>
            <w:rFonts w:eastAsiaTheme="minorHAnsi" w:cs="Times New Roman"/>
            <w:noProof/>
            <w:color w:val="auto"/>
          </w:rPr>
          <w:t xml:space="preserve">The collaboration </w:t>
        </w:r>
        <w:r w:rsidR="00926BC5" w:rsidRPr="00872293">
          <w:rPr>
            <w:rStyle w:val="Hyperlink"/>
            <w:rFonts w:eastAsia="MyriadPro" w:cs="Times New Roman"/>
            <w:noProof/>
            <w:color w:val="auto"/>
          </w:rPr>
          <w:t>gradient (horizontal line) ranges from “do-it-yourself” soil resource acquisition strategy to “outsourcing” strategy. The conservation gradient (dotted lines) represents a “fast-slow” resource return on investment.</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_Toc53755786 \h </w:instrText>
        </w:r>
        <w:r w:rsidR="00926BC5" w:rsidRPr="00872293">
          <w:rPr>
            <w:noProof/>
            <w:webHidden/>
          </w:rPr>
        </w:r>
        <w:r w:rsidR="00926BC5" w:rsidRPr="00872293">
          <w:rPr>
            <w:noProof/>
            <w:webHidden/>
          </w:rPr>
          <w:fldChar w:fldCharType="separate"/>
        </w:r>
        <w:r w:rsidR="00F546E0">
          <w:rPr>
            <w:noProof/>
            <w:webHidden/>
          </w:rPr>
          <w:t>133</w:t>
        </w:r>
        <w:r w:rsidR="00926BC5" w:rsidRPr="00872293">
          <w:rPr>
            <w:noProof/>
            <w:webHidden/>
          </w:rPr>
          <w:fldChar w:fldCharType="end"/>
        </w:r>
      </w:hyperlink>
    </w:p>
    <w:p w14:paraId="3D95D1ED" w14:textId="3081EDA5"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7" w:history="1">
        <w:r w:rsidR="00926BC5" w:rsidRPr="00872293">
          <w:rPr>
            <w:rStyle w:val="Hyperlink"/>
            <w:rFonts w:cs="Times New Roman"/>
            <w:noProof/>
            <w:color w:val="auto"/>
          </w:rPr>
          <w:t xml:space="preserve">Figure 18. Phylogenetic tree </w:t>
        </w:r>
        <w:r w:rsidR="00926BC5" w:rsidRPr="00872293">
          <w:rPr>
            <w:rStyle w:val="Hyperlink"/>
            <w:rFonts w:eastAsiaTheme="minorHAnsi" w:cs="Times New Roman"/>
            <w:noProof/>
            <w:color w:val="auto"/>
          </w:rPr>
          <w:t>representing all the species considered in the study grouped by the clades and matching with their respective order from a phylogenetic tree of Puerto Rican tree species in the Dynamics Plots from the Luquillo Experimental Forest (Kress et al., 2010).</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_Toc53755787 \h </w:instrText>
        </w:r>
        <w:r w:rsidR="00926BC5" w:rsidRPr="00872293">
          <w:rPr>
            <w:noProof/>
            <w:webHidden/>
          </w:rPr>
        </w:r>
        <w:r w:rsidR="00926BC5" w:rsidRPr="00872293">
          <w:rPr>
            <w:noProof/>
            <w:webHidden/>
          </w:rPr>
          <w:fldChar w:fldCharType="separate"/>
        </w:r>
        <w:r w:rsidR="00F546E0">
          <w:rPr>
            <w:noProof/>
            <w:webHidden/>
          </w:rPr>
          <w:t>134</w:t>
        </w:r>
        <w:r w:rsidR="00926BC5" w:rsidRPr="00872293">
          <w:rPr>
            <w:noProof/>
            <w:webHidden/>
          </w:rPr>
          <w:fldChar w:fldCharType="end"/>
        </w:r>
      </w:hyperlink>
    </w:p>
    <w:p w14:paraId="37A336A2" w14:textId="5D2FADE6"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8" w:history="1">
        <w:r w:rsidR="00926BC5" w:rsidRPr="00872293">
          <w:rPr>
            <w:rStyle w:val="Hyperlink"/>
            <w:rFonts w:cs="Times New Roman"/>
            <w:noProof/>
            <w:color w:val="auto"/>
          </w:rPr>
          <w:t>Figure 19. Soil organic P (A), and available P (B), from the three sites: El Verde Station (EVS), El Verde 1 (EV1), and Sabana 2 (SB2). Significant Tukey posthoc differences are designated with different letters.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_Toc53755788 \h </w:instrText>
        </w:r>
        <w:r w:rsidR="00926BC5" w:rsidRPr="00872293">
          <w:rPr>
            <w:noProof/>
            <w:webHidden/>
          </w:rPr>
        </w:r>
        <w:r w:rsidR="00926BC5" w:rsidRPr="00872293">
          <w:rPr>
            <w:noProof/>
            <w:webHidden/>
          </w:rPr>
          <w:fldChar w:fldCharType="separate"/>
        </w:r>
        <w:r w:rsidR="00F546E0">
          <w:rPr>
            <w:noProof/>
            <w:webHidden/>
          </w:rPr>
          <w:t>134</w:t>
        </w:r>
        <w:r w:rsidR="00926BC5" w:rsidRPr="00872293">
          <w:rPr>
            <w:noProof/>
            <w:webHidden/>
          </w:rPr>
          <w:fldChar w:fldCharType="end"/>
        </w:r>
      </w:hyperlink>
    </w:p>
    <w:p w14:paraId="0B73ADE9" w14:textId="766AFD75"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89" w:history="1">
        <w:r w:rsidR="00926BC5" w:rsidRPr="00872293">
          <w:rPr>
            <w:rStyle w:val="Hyperlink"/>
            <w:rFonts w:cs="Times New Roman"/>
            <w:noProof/>
            <w:color w:val="auto"/>
          </w:rPr>
          <w:t>Figure 20. Non-metric multi-dimensional scaling of root traits: root branching ratio (RBR), root branching intensity (RBI), specific root length (SRL), root phosphatase activity (PME), root diameter (RD), root P percent (RPP), and arbuscular mycorrhizal colonization (AM col). The traits are grouped by a) site, and by b) species.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_Toc53755789 \h </w:instrText>
        </w:r>
        <w:r w:rsidR="00926BC5" w:rsidRPr="00872293">
          <w:rPr>
            <w:noProof/>
            <w:webHidden/>
          </w:rPr>
        </w:r>
        <w:r w:rsidR="00926BC5" w:rsidRPr="00872293">
          <w:rPr>
            <w:noProof/>
            <w:webHidden/>
          </w:rPr>
          <w:fldChar w:fldCharType="separate"/>
        </w:r>
        <w:r w:rsidR="00F546E0">
          <w:rPr>
            <w:noProof/>
            <w:webHidden/>
          </w:rPr>
          <w:t>135</w:t>
        </w:r>
        <w:r w:rsidR="00926BC5" w:rsidRPr="00872293">
          <w:rPr>
            <w:noProof/>
            <w:webHidden/>
          </w:rPr>
          <w:fldChar w:fldCharType="end"/>
        </w:r>
      </w:hyperlink>
    </w:p>
    <w:p w14:paraId="6FE37AF0" w14:textId="35A0D0DE"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0" w:history="1">
        <w:r w:rsidR="00926BC5" w:rsidRPr="00872293">
          <w:rPr>
            <w:rStyle w:val="Hyperlink"/>
            <w:rFonts w:cs="Times New Roman"/>
            <w:noProof/>
            <w:color w:val="auto"/>
          </w:rPr>
          <w:t>Figure 21. Root trait values represented by species (colors) and divided by sites (dotted vertical lines). Significant Tukey Posthoc differences within each site are designated with different letters.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_Toc53755790 \h </w:instrText>
        </w:r>
        <w:r w:rsidR="00926BC5" w:rsidRPr="00872293">
          <w:rPr>
            <w:noProof/>
            <w:webHidden/>
          </w:rPr>
        </w:r>
        <w:r w:rsidR="00926BC5" w:rsidRPr="00872293">
          <w:rPr>
            <w:noProof/>
            <w:webHidden/>
          </w:rPr>
          <w:fldChar w:fldCharType="separate"/>
        </w:r>
        <w:r w:rsidR="00F546E0">
          <w:rPr>
            <w:noProof/>
            <w:webHidden/>
          </w:rPr>
          <w:t>136</w:t>
        </w:r>
        <w:r w:rsidR="00926BC5" w:rsidRPr="00872293">
          <w:rPr>
            <w:noProof/>
            <w:webHidden/>
          </w:rPr>
          <w:fldChar w:fldCharType="end"/>
        </w:r>
      </w:hyperlink>
    </w:p>
    <w:p w14:paraId="04F04B58" w14:textId="54D7D4B2"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1" w:history="1">
        <w:r w:rsidR="00926BC5" w:rsidRPr="00872293">
          <w:rPr>
            <w:rStyle w:val="Hyperlink"/>
            <w:rFonts w:cs="Times New Roman"/>
            <w:noProof/>
            <w:color w:val="auto"/>
          </w:rPr>
          <w:t>Figure 22. Significant regressions between root mycorrhizal colonization, root branching ratio, root PME, and root P percent. The patterns were evaluated under two different model regression lines. P-values are reported in the graphs for each model.</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_Toc53755791 \h </w:instrText>
        </w:r>
        <w:r w:rsidR="00926BC5" w:rsidRPr="00872293">
          <w:rPr>
            <w:noProof/>
            <w:webHidden/>
          </w:rPr>
        </w:r>
        <w:r w:rsidR="00926BC5" w:rsidRPr="00872293">
          <w:rPr>
            <w:noProof/>
            <w:webHidden/>
          </w:rPr>
          <w:fldChar w:fldCharType="separate"/>
        </w:r>
        <w:r w:rsidR="00F546E0">
          <w:rPr>
            <w:noProof/>
            <w:webHidden/>
          </w:rPr>
          <w:t>137</w:t>
        </w:r>
        <w:r w:rsidR="00926BC5" w:rsidRPr="00872293">
          <w:rPr>
            <w:noProof/>
            <w:webHidden/>
          </w:rPr>
          <w:fldChar w:fldCharType="end"/>
        </w:r>
      </w:hyperlink>
    </w:p>
    <w:p w14:paraId="11870FB7" w14:textId="7A0B297E"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2" w:history="1">
        <w:r w:rsidR="00926BC5" w:rsidRPr="00872293">
          <w:rPr>
            <w:rStyle w:val="Hyperlink"/>
            <w:rFonts w:cs="Times New Roman"/>
            <w:noProof/>
            <w:color w:val="auto"/>
          </w:rPr>
          <w:t>Figure 23. Estimated marginal means and standard error for each root traits before and after the hurricanes taken from the mixed model</w:t>
        </w:r>
        <w:r w:rsidR="00926BC5" w:rsidRPr="00872293">
          <w:rPr>
            <w:rStyle w:val="Hyperlink"/>
            <w:rFonts w:eastAsiaTheme="minorHAnsi" w:cs="Times New Roman"/>
            <w:noProof/>
            <w:color w:val="auto"/>
          </w:rPr>
          <w:t>. Differences of root traits before and after the hurricanes with a P-values &lt;0.1 are represented with a red asterisk.</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_Toc53755792 \h </w:instrText>
        </w:r>
        <w:r w:rsidR="00926BC5" w:rsidRPr="00872293">
          <w:rPr>
            <w:noProof/>
            <w:webHidden/>
          </w:rPr>
        </w:r>
        <w:r w:rsidR="00926BC5" w:rsidRPr="00872293">
          <w:rPr>
            <w:noProof/>
            <w:webHidden/>
          </w:rPr>
          <w:fldChar w:fldCharType="separate"/>
        </w:r>
        <w:r w:rsidR="00F546E0">
          <w:rPr>
            <w:noProof/>
            <w:webHidden/>
          </w:rPr>
          <w:t>138</w:t>
        </w:r>
        <w:r w:rsidR="00926BC5" w:rsidRPr="00872293">
          <w:rPr>
            <w:noProof/>
            <w:webHidden/>
          </w:rPr>
          <w:fldChar w:fldCharType="end"/>
        </w:r>
      </w:hyperlink>
    </w:p>
    <w:p w14:paraId="0572A16C" w14:textId="596BA899"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3" w:history="1">
        <w:r w:rsidR="00926BC5" w:rsidRPr="00872293">
          <w:rPr>
            <w:rStyle w:val="Hyperlink"/>
            <w:rFonts w:cs="Times New Roman"/>
            <w:noProof/>
            <w:color w:val="auto"/>
          </w:rPr>
          <w:t>Figure 24. Conceptual framework of the Root Economic Spectrum space adapted from Bergmann et al. (2020) and Kramer-Walter et al. (2016), with the correspondent location of the tree species based on their root traits over the “collaboration” gradient (</w:t>
        </w:r>
        <w:r w:rsidR="00926BC5" w:rsidRPr="00872293">
          <w:rPr>
            <w:rStyle w:val="Hyperlink"/>
            <w:rFonts w:eastAsia="MyriadPro" w:cs="Times New Roman"/>
            <w:noProof/>
            <w:color w:val="auto"/>
          </w:rPr>
          <w:t>horizontal line), and the location of the root traits based on this study results. Root tissue density is RTD, and root nitrogen is N.</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_Toc53755793 \h </w:instrText>
        </w:r>
        <w:r w:rsidR="00926BC5" w:rsidRPr="00872293">
          <w:rPr>
            <w:noProof/>
            <w:webHidden/>
          </w:rPr>
        </w:r>
        <w:r w:rsidR="00926BC5" w:rsidRPr="00872293">
          <w:rPr>
            <w:noProof/>
            <w:webHidden/>
          </w:rPr>
          <w:fldChar w:fldCharType="separate"/>
        </w:r>
        <w:r w:rsidR="00F546E0">
          <w:rPr>
            <w:noProof/>
            <w:webHidden/>
          </w:rPr>
          <w:t>139</w:t>
        </w:r>
        <w:r w:rsidR="00926BC5" w:rsidRPr="00872293">
          <w:rPr>
            <w:noProof/>
            <w:webHidden/>
          </w:rPr>
          <w:fldChar w:fldCharType="end"/>
        </w:r>
      </w:hyperlink>
    </w:p>
    <w:p w14:paraId="19A759B8" w14:textId="5279AE46"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4" w:history="1">
        <w:r w:rsidR="00926BC5" w:rsidRPr="00872293">
          <w:rPr>
            <w:rStyle w:val="Hyperlink"/>
            <w:rFonts w:cs="Times New Roman"/>
            <w:noProof/>
            <w:color w:val="auto"/>
          </w:rPr>
          <w:t>Figure 25. Non-metric multi-dimensional scaling of root traits: root branching ratio (RBR), root branching intensity (RBI), specific root length (SRL), root phosphatase activity (PME), root diameter (RD), root P percent (RPP). The traits are grouped by a) site, and by b) species before the hurricane events.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_Toc53755794 \h </w:instrText>
        </w:r>
        <w:r w:rsidR="00926BC5" w:rsidRPr="00872293">
          <w:rPr>
            <w:noProof/>
            <w:webHidden/>
          </w:rPr>
        </w:r>
        <w:r w:rsidR="00926BC5" w:rsidRPr="00872293">
          <w:rPr>
            <w:noProof/>
            <w:webHidden/>
          </w:rPr>
          <w:fldChar w:fldCharType="separate"/>
        </w:r>
        <w:r w:rsidR="00F546E0">
          <w:rPr>
            <w:noProof/>
            <w:webHidden/>
          </w:rPr>
          <w:t>140</w:t>
        </w:r>
        <w:r w:rsidR="00926BC5" w:rsidRPr="00872293">
          <w:rPr>
            <w:noProof/>
            <w:webHidden/>
          </w:rPr>
          <w:fldChar w:fldCharType="end"/>
        </w:r>
      </w:hyperlink>
    </w:p>
    <w:p w14:paraId="4429A523" w14:textId="50EBD3B7" w:rsidR="00926BC5" w:rsidRPr="00872293" w:rsidRDefault="00513656" w:rsidP="00926BC5">
      <w:pPr>
        <w:pStyle w:val="TableofFigures"/>
        <w:tabs>
          <w:tab w:val="right" w:leader="dot" w:pos="9350"/>
        </w:tabs>
        <w:spacing w:before="240"/>
        <w:rPr>
          <w:rFonts w:asciiTheme="minorHAnsi" w:eastAsiaTheme="minorEastAsia" w:hAnsiTheme="minorHAnsi" w:cstheme="minorBidi"/>
          <w:noProof/>
          <w:sz w:val="22"/>
          <w:szCs w:val="22"/>
        </w:rPr>
      </w:pPr>
      <w:hyperlink w:anchor="_Toc53755795" w:history="1">
        <w:r w:rsidR="00926BC5" w:rsidRPr="00872293">
          <w:rPr>
            <w:rStyle w:val="Hyperlink"/>
            <w:rFonts w:cs="Times New Roman"/>
            <w:noProof/>
            <w:color w:val="auto"/>
          </w:rPr>
          <w:t>Figure 26. Ecosystem diagram representing the pools and fluxes of C and P studied in this research including root traits as a regulator from the microbial pool to the vegetation belowground and vice versa. The system is inside the main box. Warming and hurricane disturbance are represented as external sources, just like weather, sun, and CO</w:t>
        </w:r>
        <w:r w:rsidR="00926BC5" w:rsidRPr="00872293">
          <w:rPr>
            <w:rStyle w:val="Hyperlink"/>
            <w:rFonts w:cs="Times New Roman"/>
            <w:noProof/>
            <w:color w:val="auto"/>
            <w:vertAlign w:val="subscript"/>
          </w:rPr>
          <w:t>2</w:t>
        </w:r>
        <w:r w:rsidR="00926BC5" w:rsidRPr="00872293">
          <w:rPr>
            <w:rStyle w:val="Hyperlink"/>
            <w:rFonts w:cs="Times New Roman"/>
            <w:noProof/>
            <w:color w:val="auto"/>
          </w:rPr>
          <w:t>. All symbols are explained in the rectangle below the System. This diagram is based on Odum System Diagrams.</w:t>
        </w:r>
        <w:r w:rsidR="00926BC5" w:rsidRPr="00872293">
          <w:rPr>
            <w:noProof/>
            <w:webHidden/>
          </w:rPr>
          <w:tab/>
        </w:r>
        <w:r w:rsidR="00926BC5" w:rsidRPr="00872293">
          <w:rPr>
            <w:noProof/>
            <w:webHidden/>
          </w:rPr>
          <w:fldChar w:fldCharType="begin"/>
        </w:r>
        <w:r w:rsidR="00926BC5" w:rsidRPr="00872293">
          <w:rPr>
            <w:noProof/>
            <w:webHidden/>
          </w:rPr>
          <w:instrText xml:space="preserve"> PAGEREF _Toc53755795 \h </w:instrText>
        </w:r>
        <w:r w:rsidR="00926BC5" w:rsidRPr="00872293">
          <w:rPr>
            <w:noProof/>
            <w:webHidden/>
          </w:rPr>
        </w:r>
        <w:r w:rsidR="00926BC5" w:rsidRPr="00872293">
          <w:rPr>
            <w:noProof/>
            <w:webHidden/>
          </w:rPr>
          <w:fldChar w:fldCharType="separate"/>
        </w:r>
        <w:r w:rsidR="00F546E0">
          <w:rPr>
            <w:noProof/>
            <w:webHidden/>
          </w:rPr>
          <w:t>155</w:t>
        </w:r>
        <w:r w:rsidR="00926BC5" w:rsidRPr="00872293">
          <w:rPr>
            <w:noProof/>
            <w:webHidden/>
          </w:rPr>
          <w:fldChar w:fldCharType="end"/>
        </w:r>
      </w:hyperlink>
    </w:p>
    <w:p w14:paraId="64A27718" w14:textId="0CB0F986" w:rsidR="00B076BA" w:rsidRPr="00872293" w:rsidRDefault="00CE76B7" w:rsidP="00926BC5">
      <w:pPr>
        <w:spacing w:before="240"/>
        <w:rPr>
          <w:rFonts w:ascii="Times New Roman" w:hAnsi="Times New Roman" w:cs="Times New Roman"/>
        </w:rPr>
      </w:pPr>
      <w:r w:rsidRPr="00872293">
        <w:rPr>
          <w:rFonts w:ascii="Times New Roman" w:hAnsi="Times New Roman" w:cs="Times New Roman"/>
        </w:rPr>
        <w:fldChar w:fldCharType="end"/>
      </w:r>
    </w:p>
    <w:p w14:paraId="47BFBF3E" w14:textId="77777777" w:rsidR="001C3E11" w:rsidRPr="00872293" w:rsidRDefault="001C3E11" w:rsidP="008F4169">
      <w:pPr>
        <w:spacing w:before="240" w:line="360" w:lineRule="auto"/>
        <w:rPr>
          <w:rFonts w:ascii="Times New Roman" w:hAnsi="Times New Roman" w:cs="Times New Roman"/>
          <w:sz w:val="36"/>
          <w:szCs w:val="36"/>
        </w:rPr>
      </w:pPr>
    </w:p>
    <w:p w14:paraId="22187A1A" w14:textId="70866AA6" w:rsidR="002C738C" w:rsidRPr="00872293" w:rsidRDefault="002C738C" w:rsidP="002E6E5B">
      <w:pPr>
        <w:rPr>
          <w:rFonts w:ascii="Times New Roman" w:hAnsi="Times New Roman" w:cs="Times New Roman"/>
          <w:b/>
          <w:bCs/>
          <w:sz w:val="36"/>
          <w:szCs w:val="36"/>
        </w:rPr>
      </w:pPr>
    </w:p>
    <w:p w14:paraId="2011035A" w14:textId="77777777" w:rsidR="00DD688D" w:rsidRPr="00872293" w:rsidRDefault="00DD688D" w:rsidP="00DD688D">
      <w:pPr>
        <w:rPr>
          <w:rFonts w:ascii="Times New Roman" w:hAnsi="Times New Roman" w:cs="Times New Roman"/>
          <w:sz w:val="36"/>
          <w:szCs w:val="36"/>
        </w:rPr>
      </w:pPr>
    </w:p>
    <w:p w14:paraId="47BA473F" w14:textId="77777777" w:rsidR="00586ED6" w:rsidRPr="00872293" w:rsidRDefault="00586ED6" w:rsidP="003C456F">
      <w:pPr>
        <w:spacing w:line="360" w:lineRule="auto"/>
        <w:rPr>
          <w:rFonts w:ascii="Times New Roman" w:hAnsi="Times New Roman" w:cs="Times New Roman"/>
        </w:rPr>
        <w:sectPr w:rsidR="00586ED6" w:rsidRPr="00872293" w:rsidSect="00CB4657">
          <w:footerReference w:type="default" r:id="rId9"/>
          <w:footerReference w:type="first" r:id="rId10"/>
          <w:pgSz w:w="12240" w:h="15840" w:code="1"/>
          <w:pgMar w:top="1440" w:right="1440" w:bottom="1440" w:left="1440" w:header="720" w:footer="720" w:gutter="0"/>
          <w:pgNumType w:fmt="lowerRoman" w:start="1"/>
          <w:cols w:space="720"/>
          <w:titlePg/>
          <w:docGrid w:linePitch="326"/>
        </w:sectPr>
      </w:pPr>
    </w:p>
    <w:p w14:paraId="1645D10F" w14:textId="77777777" w:rsidR="00E6733C" w:rsidRPr="00872293" w:rsidRDefault="00E6733C" w:rsidP="005C7D93">
      <w:pPr>
        <w:jc w:val="center"/>
        <w:rPr>
          <w:rFonts w:ascii="Times New Roman" w:hAnsi="Times New Roman" w:cs="Times New Roman"/>
          <w:b/>
          <w:bCs/>
          <w:sz w:val="36"/>
          <w:szCs w:val="36"/>
        </w:rPr>
      </w:pPr>
    </w:p>
    <w:p w14:paraId="07FBE15B" w14:textId="6CDFC48A" w:rsidR="007731F1" w:rsidRPr="00872293" w:rsidRDefault="002C738C" w:rsidP="005F0BBC">
      <w:pPr>
        <w:spacing w:line="360" w:lineRule="auto"/>
        <w:jc w:val="center"/>
        <w:rPr>
          <w:rFonts w:ascii="Times New Roman" w:hAnsi="Times New Roman" w:cs="Times New Roman"/>
          <w:b/>
          <w:bCs/>
          <w:sz w:val="36"/>
          <w:szCs w:val="36"/>
        </w:rPr>
      </w:pPr>
      <w:r w:rsidRPr="00872293">
        <w:rPr>
          <w:rFonts w:ascii="Times New Roman" w:hAnsi="Times New Roman" w:cs="Times New Roman"/>
          <w:b/>
          <w:bCs/>
          <w:sz w:val="36"/>
          <w:szCs w:val="36"/>
        </w:rPr>
        <w:t>C</w:t>
      </w:r>
      <w:r w:rsidR="00367F21" w:rsidRPr="00872293">
        <w:rPr>
          <w:rFonts w:ascii="Times New Roman" w:hAnsi="Times New Roman" w:cs="Times New Roman"/>
          <w:b/>
          <w:bCs/>
          <w:sz w:val="36"/>
          <w:szCs w:val="36"/>
        </w:rPr>
        <w:t xml:space="preserve">hapter </w:t>
      </w:r>
      <w:r w:rsidR="007A1DC3" w:rsidRPr="00872293">
        <w:rPr>
          <w:rFonts w:ascii="Times New Roman" w:hAnsi="Times New Roman" w:cs="Times New Roman"/>
          <w:b/>
          <w:bCs/>
          <w:sz w:val="36"/>
          <w:szCs w:val="36"/>
        </w:rPr>
        <w:t>1</w:t>
      </w:r>
    </w:p>
    <w:p w14:paraId="11BC5451" w14:textId="77777777" w:rsidR="003840EF" w:rsidRPr="00872293" w:rsidRDefault="00A521E7" w:rsidP="005F0BBC">
      <w:pPr>
        <w:pStyle w:val="Heading1"/>
      </w:pPr>
      <w:bookmarkStart w:id="1" w:name="_Toc53689045"/>
      <w:r w:rsidRPr="00872293">
        <w:t>Introduction</w:t>
      </w:r>
      <w:bookmarkEnd w:id="1"/>
    </w:p>
    <w:p w14:paraId="00FB4FAB" w14:textId="77777777" w:rsidR="00A521E7" w:rsidRPr="00872293" w:rsidRDefault="00A521E7" w:rsidP="00314B78">
      <w:pPr>
        <w:spacing w:before="120" w:line="360" w:lineRule="auto"/>
        <w:jc w:val="center"/>
        <w:rPr>
          <w:rFonts w:ascii="Times New Roman" w:eastAsia="Times New Roman" w:hAnsi="Times New Roman" w:cs="Times New Roman"/>
          <w:b/>
        </w:rPr>
      </w:pPr>
    </w:p>
    <w:p w14:paraId="442BF4FD" w14:textId="77777777" w:rsidR="007A1DC3" w:rsidRPr="00872293" w:rsidRDefault="007A1DC3" w:rsidP="00276D22">
      <w:pPr>
        <w:rPr>
          <w:rFonts w:ascii="Times New Roman" w:eastAsia="Times New Roman" w:hAnsi="Times New Roman" w:cs="Times New Roman"/>
          <w:b/>
        </w:rPr>
      </w:pPr>
    </w:p>
    <w:p w14:paraId="65626BA5" w14:textId="77777777" w:rsidR="00E52E01" w:rsidRPr="00872293" w:rsidRDefault="00276D22" w:rsidP="00E52E01">
      <w:pPr>
        <w:spacing w:line="360" w:lineRule="auto"/>
        <w:rPr>
          <w:rFonts w:ascii="Times New Roman" w:hAnsi="Times New Roman" w:cs="Times New Roman"/>
          <w:b/>
          <w:bCs/>
        </w:rPr>
      </w:pPr>
      <w:r w:rsidRPr="00872293">
        <w:rPr>
          <w:rFonts w:ascii="Times New Roman" w:hAnsi="Times New Roman" w:cs="Times New Roman"/>
          <w:b/>
          <w:bCs/>
          <w:sz w:val="36"/>
          <w:szCs w:val="36"/>
        </w:rPr>
        <w:br w:type="page"/>
      </w:r>
      <w:r w:rsidR="00E52E01" w:rsidRPr="00872293">
        <w:rPr>
          <w:rFonts w:ascii="Times New Roman" w:hAnsi="Times New Roman" w:cs="Times New Roman"/>
        </w:rPr>
        <w:lastRenderedPageBreak/>
        <w:t xml:space="preserve"> </w:t>
      </w:r>
    </w:p>
    <w:p w14:paraId="4C86D108" w14:textId="48D436F4" w:rsidR="00680C52" w:rsidRPr="00872293" w:rsidRDefault="00680C52" w:rsidP="00680C52">
      <w:pPr>
        <w:spacing w:line="360" w:lineRule="auto"/>
        <w:rPr>
          <w:rFonts w:ascii="Times New Roman" w:hAnsi="Times New Roman" w:cs="Times New Roman"/>
        </w:rPr>
      </w:pPr>
      <w:r w:rsidRPr="00872293">
        <w:rPr>
          <w:rFonts w:ascii="Times New Roman" w:hAnsi="Times New Roman" w:cs="Times New Roman"/>
        </w:rPr>
        <w:t xml:space="preserve">Plant roots, together with soil microbiota and invertebrates, compose the “hidden half” of the ecosystem, or the “black box” of carbon (C) budget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10.1017/s002185960008566x","ISSN":"0021-8596","author":[{"dropping-particle":"","family":"Waisel","given":"Y.","non-dropping-particle":"","parse-names":false,"suffix":""},{"dropping-particle":"","family":"Eshel","given":"A.","non-dropping-particle":"","parse-names":false,"suffix":""},{"dropping-particle":"","family":"Kafkafi","given":"U.","non-dropping-particle":"","parse-names":false,"suffix":""}],"container-title":"The Journal of Agricultural Science","id":"ITEM-1","issued":{"date-parts":[["1991"]]},"publisher":"Marcel Dekker","publisher-place":"New York","title":"Plant Roots: The Hidden Half","type":"book"},"uris":["http://www.mendeley.com/documents/?uuid=f099f7cf-a3bc-4e04-abad-403bdf9c9b14"]},{"id":"ITEM-2","itemData":{"DOI":"10.1038/41441","ISSN":"00280836","author":[{"dropping-particle":"","family":"Norby","given":"Richard","non-dropping-particle":"","parse-names":false,"suffix":""}],"container-title":"Nature","id":"ITEM-2","issued":{"date-parts":[["1997"]]},"page":"522-523","title":"Inside the black box","type":"article-journal","volume":"388"},"uris":["http://www.mendeley.com/documents/?uuid=ac0605c5-90d6-4d27-9fc7-64e223396187"]},{"id":"ITEM-3","itemData":{"DOI":"10.1038/41550","ISSN":"00280836","abstract":"The concentration of carbon dioxide (CO2) in the Earth's atmosphere is rising rapidly, with the potential to alter many ecosystem processes. Elevated CO2 often stimulates photosynthesis, creating the possibility that the terrestrial biosphere will sequester carbon in response to rising atmospheric CO2 concentration, partly offsetting emissions from fossil-fuel combustion, cement manufacture, and deforestation. However, the responses of intact ecosystems to elevated CO2 concentration, particularly the below- ground responses, are not well understood. Here we present an annual budget focusing on below-ground carbon cycling for two grassland ecosystems exposed to elevated CO2 concentrations. Three years of experimental CO2 doubling increased ecosystem carbon uptake, but greatly increased carbon partitioning to rapidly cycling carbon pools below ground. This provides an explanation for the imbalance observed in numerous CO2 experiments, where the carbon increment from increased photosynthesis is greater than the increments in ecosystem carbon stocks. The shift in ecosystem carbon partitioning suggests that elevated CO2 concentration causes a greater increase in carbon cycling than in carbon storage in grasslands.","author":[{"dropping-particle":"","family":"Hungate","given":"Bruce A.","non-dropping-particle":"","parse-names":false,"suffix":""},{"dropping-particle":"","family":"Holland","given":"Elisabeth A.","non-dropping-particle":"","parse-names":false,"suffix":""},{"dropping-particle":"","family":"Jackson","given":"Robert B.","non-dropping-particle":"","parse-names":false,"suffix":""},{"dropping-particle":"","family":"Chapin","given":"F. Stuart","non-dropping-particle":"","parse-names":false,"suffix":""},{"dropping-particle":"","family":"Mooney","given":"Harold A.","non-dropping-particle":"","parse-names":false,"suffix":""},{"dropping-particle":"","family":"Field","given":"Christopher B.","non-dropping-particle":"","parse-names":false,"suffix":""}],"container-title":"Nature","id":"ITEM-3","issued":{"date-parts":[["1997"]]},"page":"576-579","title":"The fate of carbon in grasslands under carbon dioxide enrichment","type":"article-journal","volume":"388"},"uris":["http://www.mendeley.com/documents/?uuid=265aeeef-1b66-465d-bfdb-70b6a9ae1ddc"]}],"mendeley":{"formattedCitation":"(Waisel &lt;i&gt;et al.&lt;/i&gt;, 1991; Hungate &lt;i&gt;et al.&lt;/i&gt;, 1997; Norby, 1997)","plainTextFormattedCitation":"(Waisel et al., 1991; Hungate et al., 1997; Norby, 1997)","previouslyFormattedCitation":"(Waisel &lt;i&gt;et al.&lt;/i&gt;, 1991; Hungate &lt;i&gt;et al.&lt;/i&gt;, 1997; Norby, 1997)"},"properties":{"noteIndex":0},"schema":"https://github.com/citation-style-language/schema/raw/master/csl-citation.json"}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(Waisel </w:t>
      </w:r>
      <w:r w:rsidRPr="00872293">
        <w:rPr>
          <w:rFonts w:ascii="Times New Roman" w:hAnsi="Times New Roman" w:cs="Times New Roman"/>
          <w:i/>
          <w:noProof/>
        </w:rPr>
        <w:t>et al.</w:t>
      </w:r>
      <w:r w:rsidRPr="00872293">
        <w:rPr>
          <w:rFonts w:ascii="Times New Roman" w:hAnsi="Times New Roman" w:cs="Times New Roman"/>
          <w:noProof/>
        </w:rPr>
        <w:t xml:space="preserve">, 1991; Hungate </w:t>
      </w:r>
      <w:r w:rsidRPr="00872293">
        <w:rPr>
          <w:rFonts w:ascii="Times New Roman" w:hAnsi="Times New Roman" w:cs="Times New Roman"/>
          <w:i/>
          <w:noProof/>
        </w:rPr>
        <w:t>et al.</w:t>
      </w:r>
      <w:r w:rsidRPr="00872293">
        <w:rPr>
          <w:rFonts w:ascii="Times New Roman" w:hAnsi="Times New Roman" w:cs="Times New Roman"/>
          <w:noProof/>
        </w:rPr>
        <w:t>, 1997; Norby, 1997)</w:t>
      </w:r>
      <w:r w:rsidRPr="00872293">
        <w:rPr>
          <w:rFonts w:ascii="Times New Roman" w:hAnsi="Times New Roman" w:cs="Times New Roman"/>
        </w:rPr>
        <w:fldChar w:fldCharType="end"/>
      </w:r>
      <w:r w:rsidRPr="00872293">
        <w:rPr>
          <w:rFonts w:ascii="Times New Roman" w:hAnsi="Times New Roman" w:cs="Times New Roman"/>
        </w:rPr>
        <w:t>. Despite its importance in plant nutrition, and C cycling, our understanding of the rhizosphere has been a struggle for centuries. Some recogniz</w:t>
      </w:r>
      <w:r w:rsidR="00050AE9" w:rsidRPr="00872293">
        <w:rPr>
          <w:rFonts w:ascii="Times New Roman" w:hAnsi="Times New Roman" w:cs="Times New Roman"/>
        </w:rPr>
        <w:t>ed</w:t>
      </w:r>
      <w:r w:rsidRPr="00872293">
        <w:rPr>
          <w:rFonts w:ascii="Times New Roman" w:hAnsi="Times New Roman" w:cs="Times New Roman"/>
        </w:rPr>
        <w:t xml:space="preserve"> root ecologists still agree with the limitations of belowground studies. “Fine roots (..) are a royal pain to study”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{"citationItems":[{"id":"ITEM-1","itemData":{"DOI":"10.1046/j.1469-8137.2002.00413_1.x","ISSN":"0028646X","abstract":"King et al. have demonstrated that the lifespan of the fine roots of loblolly pine is shorter for smaller roots compared to larger roots, and that EM fungi greatly increase the life expectancy of very small roots. Nitrogen additions also increased the rate of fine root growth and mortality. These results combined with other evidence suggest the position of an individual root on the branching fine root system is directly related to its lifespan and physiological function. The traditional approach of studying fine roots across divergent plant taxa according to arbitrary size classes has serious limitations. Diversity in fine root form and physiological activity between species and environments, and in relationship to symbiotic fungi, may be directly related to the acquisition of essential, growth-limiting soil resources. We will continue to improve our understanding of how the fine roots of trees function if we now turn to the systematic study of the form and physiology of individual roots on the branching root system. We may eventually learn that variability in fine root branch structure and function is just as anatomically, physiologically, and ecologically important as is variability in shoot system structure and function. After all, plants must acquire growth limiting water and nutrients in a highly heterogeneous volume of soil where they host a variety of symbiotic fungi and compete directly with other plants and a biologically complex soil food web. Surely, millions of years of organic evolution must have resulted in multiple 'fine root' solutions to this complex ecological challenge.","author":[{"dropping-particle":"","family":"Pregitzer","given":"Kurt S.","non-dropping-particle":"","parse-names":false,"suffix":""}],"container-title":"New Phytologist","id":"ITEM-1","issue":"2","issued":{"date-parts":[["2002"]]},"page":"267-270","title":"Fine roots of trees - A new perspective","type":"article-journal","volume":"154"},"uris":["http://www.mendeley.com/documents/?uuid=b580f00d-98a9-48fb-9b84-cd8cf6c8b5eb"]}],"mendeley":{"formattedCitation":"(Pregitzer, 2002)","plainTextFormattedCitation":"(Pregitzer, 2002)","previouslyFormattedCitation":"(Pregitzer, 2002)"},"properties":{"noteIndex":0},"schema":"https://github.com/citation-style-language/schema/raw/master/csl-citation.json"}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(Pregitzer, 2002)</w:t>
      </w:r>
      <w:r w:rsidRPr="00872293">
        <w:rPr>
          <w:rFonts w:ascii="Times New Roman" w:hAnsi="Times New Roman" w:cs="Times New Roman"/>
        </w:rPr>
        <w:fldChar w:fldCharType="end"/>
      </w:r>
      <w:r w:rsidRPr="00872293">
        <w:rPr>
          <w:rFonts w:ascii="Times New Roman" w:hAnsi="Times New Roman" w:cs="Times New Roman"/>
        </w:rPr>
        <w:t xml:space="preserve">, “our mechanistic understanding of many of the linkages between root form and function is still in its infancy”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{"citationItems":[{"id":"ITEM-1","itemData":{"DOI":"10.1111/nph.12902","ISBN":"1469-8137","ISSN":"14698137","PMID":"25040729","abstract":"A royal pain It has been said – and even written – that the 'fine roots of perennial plants are a royal pain to study' (Pregitzer, 2002). This is because the complex branching architecture of ephemeral roots leads to changes in root form and function across sub-millimeter scales (Fig. 1). While painful to consider, the variation in traits from short-lived, absorptive root tips to more proximal, trans-portive roots, may be our best hope of quantifying and understanding the functional role of living roots throughout the soil profile. Further, inherent variation in root functional traits across plant species may allow us to scale root function from the rhizosphere to the biosphere in order to understand global biogeochemical cycling under current and future climatic conditions. This issue of New Phytologist contains two papers that approach the linkages between root form and function from different, but complementary, directions. Kong et al. (pp. 863–872) take a broad geographic approach, describing patterns of trait variation across the distal root tips of 96 subtropical and tropical tree species in southern China, while Smith et al. (pp. 851–862) worked at the scale of a single site to investigate the relationships among root traits and root decomposition rates of graminoid species across a gradient of soil moisture in grazed ecosystems in central Scotland. '. . . our mechanistic understanding of many of the linkages between root form and function is still in its infancy.' Linking root form with function Natural variation in plant traits is emerging as a powerful tool to understand plant function and its effect on the surrounding environment (Cornwell et al., 2008). Root researchers have long recognized the important linkages between fine-root anatomical and morphological characteristics and their function (e.g. Wilcox, 1968). A number of studies over the past few decades have expanded upon and formalized this earlier work, demon-strating that root traits such as anatomy, morphology, architecture, chemistry, and mycorrhizal colonization are strongly related to root order, changing in predictable ways within a species across the hierarchy of ephemeral, first-order, distal root tips to higher-order roots. Furthermore, traits associated with the most distal, absorptive roots vary substantially across plant species and biomes (Fig. 1). In turn, these traits predict important root functions within and among species, including respiration, water and nutrient a…","author":[{"dropping-particle":"","family":"Iversen","given":"Colleen M.","non-dropping-particle":"","parse-names":false,"suffix":""}],"container-title":"New Phytologist","id":"ITEM-1","issue":"3","issued":{"date-parts":[["2014"]]},"page":"707-709","title":"Using root form to improve our understanding of root function","type":"article-journal","volume":"203"},"uris":["http://www.mendeley.com/documents/?uuid=441d914c-33dc-48a5-8ae4-141270a6aadc"]}],"mendeley":{"formattedCitation":"(Iversen, 2014)","plainTextFormattedCitation":"(Iversen, 2014)","previouslyFormattedCitation":"(Iversen, 2014)"},"properties":{"noteIndex":0},"schema":"https://github.com/citation-style-language/schema/raw/master/csl-citation.json"}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(Iversen, 2014)</w:t>
      </w:r>
      <w:r w:rsidRPr="00872293">
        <w:rPr>
          <w:rFonts w:ascii="Times New Roman" w:hAnsi="Times New Roman" w:cs="Times New Roman"/>
        </w:rPr>
        <w:fldChar w:fldCharType="end"/>
      </w:r>
      <w:r w:rsidRPr="00872293">
        <w:rPr>
          <w:rFonts w:ascii="Times New Roman" w:hAnsi="Times New Roman" w:cs="Times New Roman"/>
        </w:rPr>
        <w:t xml:space="preserve">, and </w:t>
      </w:r>
      <w:r w:rsidRPr="00872293">
        <w:rPr>
          <w:rFonts w:ascii="Times New Roman" w:hAnsi="Times New Roman" w:cs="Times New Roman"/>
          <w:b/>
          <w:bCs/>
        </w:rPr>
        <w:t>“</w:t>
      </w:r>
      <w:r w:rsidRPr="00872293">
        <w:rPr>
          <w:rFonts w:ascii="Times New Roman" w:hAnsi="Times New Roman" w:cs="Times New Roman"/>
        </w:rPr>
        <w:t xml:space="preserve">Sampling roots beneath the soil is much like sampling leaves blindfolded” (Norby, pers. conv., 2019) are some of the examples. Although, advancing technology (e.g. DNA sequencing) has facilitated species-specific root measurements and greatly improved belowground imaging (e.g. automated minirhizotrons and 3D magnetic resonance imaging;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https://doi.org/10.3390/s20030787","author":[{"dropping-particle":"","family":"Rahman","given":"Gazi","non-dropping-particle":"","parse-names":false,"suffix":""},{"dropping-particle":"","family":"Sohag","given":"Hanif","non-dropping-particle":"","parse-names":false,"suffix":""},{"dropping-particle":"","family":"Chowdhury","given":"Rakibul","non-dropping-particle":"","parse-names":false,"suffix":""},{"dropping-particle":"","family":"Wahid","given":"Khan","non-dropping-particle":"","parse-names":false,"suffix":""},{"dropping-particle":"","family":"Dinh","given":"Anh","non-dropping-particle":"","parse-names":false,"suffix":""},{"dropping-particle":"","family":"Arcand","given":"Melissa","non-dropping-particle":"","parse-names":false,"suffix":""},{"dropping-particle":"","family":"Vail","given":"Sally","non-dropping-particle":"","parse-names":false,"suffix":""}],"container-title":"Sensors","id":"ITEM-1","issue":"3","issued":{"date-parts":[["2020"]]},"page":"787","title":"SoilCam: A Fully Automated Minirhizotron using Multispectral Imaging for Root Activity Monitoring","type":"article-journal","volume":"20"},"uris":["http://www.mendeley.com/documents/?uuid=d138b7c1-0fe2-4c1d-b46c-b3c8462bf268"]},{"id":"ITEM-2","itemData":{"DOI":"10.1104/pp.15.01388","ISSN":"15322548","abstract":"Precise measurements of root system architecture traits are an important requirement for plant phenotyping. Most of the current methods for analyzing root growth require either artificial growing conditions (e.g. hydroponics), are severely restricted in the fraction of roots detectable (e.g. rhizotrons), or are destructive (e.g. soil coring). On the other hand, modalities such as magnetic resonance imaging (MRI) are noninvasive and allow high-quality three-dimensional imaging of roots in soil. Here, we present a plant root imaging and analysis pipeline using MRI together with an advanced image visualization and analysis software toolbox named NMRooting. Pots up to 117 mm in diameter and 800 mm in height can be measured with the 4.7 T MRI instrument used here. For 1.5 L pots (81 mm diameter, 300 mm high), a fully automated system was developed enabling measurement of up to 18 pots per day. The most important root traits that can be nondestructively monitored over time are root mass, length, diameter, tip number, and growth angles (in two-dimensional polar coordinates) and spatial distribution. Various validation measurements for these traits were performed, showing that roots down to a diameter range between 200 mm and 300 mm can be quantitatively measured. Root fresh weight correlates linearly with root mass determined by MRI. We demonstrate the capabilities of MRI and the dedicated imaging pipeline in experimental series performed on soil-grown maize (Zea mays) and barley (Hordeum vulgare) plants.","author":[{"dropping-particle":"","family":"Dusschoten","given":"Dagmar","non-dropping-particle":"van","parse-names":false,"suffix":""},{"dropping-particle":"","family":"Metzner","given":"Ralf","non-dropping-particle":"","parse-names":false,"suffix":""},{"dropping-particle":"","family":"Kochs","given":"Johannes","non-dropping-particle":"","parse-names":false,"suffix":""},{"dropping-particle":"","family":"Postma","given":"Johannes A.","non-dropping-particle":"","parse-names":false,"suffix":""},{"dropping-particle":"","family":"Pflugfelder","given":"Daniel","non-dropping-particle":"","parse-names":false,"suffix":""},{"dropping-particle":"","family":"Bühler","given":"Jonas","non-dropping-particle":"","parse-names":false,"suffix":""},{"dropping-particle":"","family":"Schurr","given":"Ulrich","non-dropping-particle":"","parse-names":false,"suffix":""},{"dropping-particle":"","family":"Jahnke","given":"Siegfried","non-dropping-particle":"","parse-names":false,"suffix":""}],"container-title":"Plant Physiology","id":"ITEM-2","issue":"3","issued":{"date-parts":[["2016"]]},"page":"1176-1188","title":"Quantitative 3D analysis of plant roots growing in soil using magnetic resonance imaging","type":"article-journal","volume":"170"},"uris":["http://www.mendeley.com/documents/?uuid=b2bd0cac-26b1-47f4-b2a1-a736180ae01c"]}],"mendeley":{"formattedCitation":"(van Dusschoten &lt;i&gt;et al.&lt;/i&gt;, 2016; Rahman &lt;i&gt;et al.&lt;/i&gt;, 2020)","manualFormatting":"van Dusschoten et al., 2016, Rahman et al. 2020)","plainTextFormattedCitation":"(van Dusschoten et al., 2016; Rahman et al., 2020)","previouslyFormattedCitation":"(van Dusschoten &lt;i&gt;et al.&lt;/i&gt;, 2016; Rahman &lt;i&gt;et al.&lt;/i&gt;, 2020)"},"properties":{"noteIndex":0},"schema":"https://github.com/citation-style-language/schema/raw/master/csl-citation.json"}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van Dusschoten </w:t>
      </w:r>
      <w:r w:rsidRPr="00872293">
        <w:rPr>
          <w:rFonts w:ascii="Times New Roman" w:hAnsi="Times New Roman" w:cs="Times New Roman"/>
          <w:i/>
          <w:noProof/>
        </w:rPr>
        <w:t>et al.,</w:t>
      </w:r>
      <w:r w:rsidRPr="00872293">
        <w:rPr>
          <w:rFonts w:ascii="Times New Roman" w:hAnsi="Times New Roman" w:cs="Times New Roman"/>
          <w:noProof/>
        </w:rPr>
        <w:t xml:space="preserve"> 2016, Rahman </w:t>
      </w:r>
      <w:r w:rsidRPr="00872293">
        <w:rPr>
          <w:rFonts w:ascii="Times New Roman" w:hAnsi="Times New Roman" w:cs="Times New Roman"/>
          <w:i/>
          <w:noProof/>
        </w:rPr>
        <w:t>et al.</w:t>
      </w:r>
      <w:r w:rsidR="007E2C06" w:rsidRPr="00872293">
        <w:rPr>
          <w:rFonts w:ascii="Times New Roman" w:hAnsi="Times New Roman" w:cs="Times New Roman"/>
          <w:i/>
          <w:noProof/>
        </w:rPr>
        <w:t>,</w:t>
      </w:r>
      <w:r w:rsidRPr="00872293">
        <w:rPr>
          <w:rFonts w:ascii="Times New Roman" w:hAnsi="Times New Roman" w:cs="Times New Roman"/>
          <w:noProof/>
        </w:rPr>
        <w:t xml:space="preserve"> 2020)</w:t>
      </w:r>
      <w:r w:rsidRPr="00872293">
        <w:rPr>
          <w:rFonts w:ascii="Times New Roman" w:hAnsi="Times New Roman" w:cs="Times New Roman"/>
        </w:rPr>
        <w:fldChar w:fldCharType="end"/>
      </w:r>
      <w:r w:rsidRPr="00872293">
        <w:rPr>
          <w:rFonts w:ascii="Times New Roman" w:hAnsi="Times New Roman" w:cs="Times New Roman"/>
        </w:rPr>
        <w:t xml:space="preserve">, equipment costs and sampling time and </w:t>
      </w:r>
      <w:proofErr w:type="spellStart"/>
      <w:r w:rsidRPr="00872293">
        <w:rPr>
          <w:rFonts w:ascii="Times New Roman" w:hAnsi="Times New Roman" w:cs="Times New Roman"/>
        </w:rPr>
        <w:t>technic</w:t>
      </w:r>
      <w:r w:rsidR="00FD7A15" w:rsidRPr="00872293">
        <w:rPr>
          <w:rFonts w:ascii="Times New Roman" w:hAnsi="Times New Roman" w:cs="Times New Roman"/>
        </w:rPr>
        <w:t>ques</w:t>
      </w:r>
      <w:proofErr w:type="spellEnd"/>
      <w:r w:rsidRPr="00872293">
        <w:rPr>
          <w:rFonts w:ascii="Times New Roman" w:hAnsi="Times New Roman" w:cs="Times New Roman"/>
        </w:rPr>
        <w:t xml:space="preserve"> remain a problem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ecology","type":"article-journal","volume":"215"},"uris":["http://www.mendeley.com/documents/?uuid=62937dca-e72a-453c-9b0f-d0150091b641"]}],"mendeley":{"formattedCitation":"(Iversen &lt;i&gt;et al.&lt;/i&gt;, 2017)","plainTextFormattedCitation":"(Iversen et al., 2017)","previouslyFormattedCitation":"(Iversen &lt;i&gt;et al.&lt;/i&gt;, 2017)"},"properties":{"noteIndex":0},"schema":"https://github.com/citation-style-language/schema/raw/master/csl-citation.json"}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(Iversen </w:t>
      </w:r>
      <w:r w:rsidRPr="00872293">
        <w:rPr>
          <w:rFonts w:ascii="Times New Roman" w:hAnsi="Times New Roman" w:cs="Times New Roman"/>
          <w:i/>
          <w:noProof/>
        </w:rPr>
        <w:t>et al.</w:t>
      </w:r>
      <w:r w:rsidRPr="00872293">
        <w:rPr>
          <w:rFonts w:ascii="Times New Roman" w:hAnsi="Times New Roman" w:cs="Times New Roman"/>
          <w:noProof/>
        </w:rPr>
        <w:t>, 2017)</w:t>
      </w:r>
      <w:r w:rsidRPr="00872293">
        <w:rPr>
          <w:rFonts w:ascii="Times New Roman" w:hAnsi="Times New Roman" w:cs="Times New Roman"/>
        </w:rPr>
        <w:fldChar w:fldCharType="end"/>
      </w:r>
      <w:r w:rsidRPr="00872293">
        <w:rPr>
          <w:rFonts w:ascii="Times New Roman" w:hAnsi="Times New Roman" w:cs="Times New Roman"/>
        </w:rPr>
        <w:t>. This is especially true in tropical ecosystems, where there is greater species diversity combined with less accessibility to infrastructure than in any other biome.</w:t>
      </w:r>
    </w:p>
    <w:p w14:paraId="104D03D6" w14:textId="77777777" w:rsidR="00E47E45" w:rsidRPr="00872293" w:rsidRDefault="00E47E45" w:rsidP="00680C52">
      <w:pPr>
        <w:spacing w:line="360" w:lineRule="auto"/>
        <w:rPr>
          <w:rFonts w:ascii="Times New Roman" w:hAnsi="Times New Roman" w:cs="Times New Roman"/>
        </w:rPr>
      </w:pPr>
    </w:p>
    <w:p w14:paraId="0FB93F29" w14:textId="79D14EF7" w:rsidR="00434597" w:rsidRPr="00872293" w:rsidRDefault="00680C52" w:rsidP="00434597">
      <w:pPr>
        <w:spacing w:line="360" w:lineRule="auto"/>
        <w:rPr>
          <w:rFonts w:ascii="Times New Roman" w:hAnsi="Times New Roman" w:cs="Times New Roman"/>
        </w:rPr>
      </w:pPr>
      <w:r w:rsidRPr="00872293">
        <w:rPr>
          <w:rFonts w:ascii="Times New Roman" w:hAnsi="Times New Roman" w:cs="Times New Roman"/>
        </w:rPr>
        <w:t xml:space="preserve">In recent years, there has been a trend of more integrated belowground analyses that include the networking of empiricists with modelers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10.5194/bg-2019-409","ISSN":"1810-6277","author":[{"dropping-particle":"","family":"Koven","given":"Charles","non-dropping-particle":"","parse-names":false,"suffix":""},{"dropping-particle":"","family":"Knox","given":"Ryan","non-dropping-particle":"","parse-names":false,"suffix":""},{"dropping-particle":"","family":"Fisher","given":"Rosie","non-dropping-particle":"","parse-names":false,"suffix":""},{"dropping-particle":"","family":"Chambers","given":"Jeffrey","non-dropping-particle":"","parse-names":false,"suffix":""},{"dropping-particle":"","family":"Christoffersen","given":"Bradley","non-dropping-particle":"","parse-names":false,"suffix":""},{"dropping-particle":"","family":"Davies","given":"Stuart","non-dropping-particle":"","parse-names":false,"suffix":""},{"dropping-particle":"","family":"Detto","given":"Matteo","non-dropping-particle":"","parse-names":false,"suffix":""},{"dropping-particle":"","family":"Dietze","given":"Michael","non-dropping-particle":"","parse-names":false,"suffix":""},{"dropping-particle":"","family":"Faybishenko","given":"Boris","non-dropping-particle":"","parse-names":false,"suffix":""},{"dropping-particle":"","family":"Holm","given":"Jennifer","non-dropping-particle":"","parse-names":false,"suffix":""},{"dropping-particle":"","family":"Huang","given":"Maoyi","non-dropping-particle":"","parse-names":false,"suffix":""},{"dropping-particle":"","family":"Kovenock","given":"Marlies","non-dropping-particle":"","parse-names":false,"suffix":""},{"dropping-particle":"","family":"Kueppers","given":"Lara","non-dropping-particle":"","parse-names":false,"suffix":""},{"dropping-particle":"","family":"Lemieux","given":"Gregory","non-dropping-particle":"","parse-names":false,"suffix":""},{"dropping-particle":"","family":"Massoud","given":"Elias","non-dropping-particle":"","parse-names":false,"suffix":""},{"dropping-particle":"","family":"McDowell","given":"Nathan","non-dropping-particle":"","parse-names":false,"suffix":""},{"dropping-particle":"","family":"Muller-Landau","given":"Helene","non-dropping-particle":"","parse-names":false,"suffix":""},{"dropping-particle":"","family":"Needham","given":"Jessica","non-dropping-particle":"","parse-names":false,"suffix":""},{"dropping-particle":"","family":"Norby","given":"Richard","non-dropping-particle":"","parse-names":false,"suffix":""},{"dropping-particle":"","family":"Powell","given":"Thomas","non-dropping-particle":"","parse-names":false,"suffix":""},{"dropping-particle":"","family":"Rogers","given":"Alistair","non-dropping-particle":"","parse-names":false,"suffix":""},{"dropping-particle":"","family":"Serbin","given":"Shawn","non-dropping-particle":"","parse-names":false,"suffix":""},{"dropping-particle":"","family":"Shuman","given":"Jacquelyn","non-dropping-particle":"","parse-names":false,"suffix":""},{"dropping-particle":"","family":"Swann","given":"Abigail","non-dropping-particle":"","parse-names":false,"suffix":""},{"dropping-particle":"","family":"Varadharajan","given":"Charuleka","non-dropping-particle":"","parse-names":false,"suffix":""},{"dropping-particle":"","family":"Walker","given":"Anthony","non-dropping-particle":"","parse-names":false,"suffix":""},{"dropping-particle":"","family":"Wright","given":"S. Joseph","non-dropping-particle":"","parse-names":false,"suffix":""},{"dropping-particle":"","family":"Xu","given":"Chonggang","non-dropping-particle":"","parse-names":false,"suffix":""}],"container-title":"Biogeosciences Discussions","id":"ITEM-1","issue":"11","issued":{"date-parts":[["2019"]]},"page":"3017-3044","title":"Benchmarking and Parameter Sensitivity of Physiological and Vegetation Dynamics using the Functionally Assembled Terrestrial Ecosystem Simulator (FATES) at Barro Colorado Island, Panama","type":"article-journal","volume":"17"},"uris":["http://www.mendeley.com/documents/?uuid=186493d3-03f7-469f-883d-a773c8894470"]},{"id":"ITEM-2","itemData":{"DOI":"10.1111/ele.12802","author":[{"dropping-particle":"","family":"Sulman","given":"Benjamin N.","non-dropping-particle":"","parse-names":false,"suffix":""},{"dropping-particle":"","family":"Brzostek","given":"Edward R.","non-dropping-particle":"","parse-names":false,"suffix":""},{"dropping-particle":"","family":"Medici","given":"Chiara","non-dropping-particle":"","parse-names":false,"suffix":""},{"dropping-particle":"","family":"Shevliakova","given":"Elena","non-dropping-particle":"","parse-names":false,"suffix":""},{"dropping-particle":"","family":"Menge","given":"Ducan N. L.","non-dropping-particle":"","parse-names":false,"suffix":""},{"dropping-particle":"","family":"Phillips","given":"Richard P.","non-dropping-particle":"","parse-names":false,"suffix":""}],"container-title":"Ecology Letters","id":"ITEM-2","issued":{"date-parts":[["2017"]]},"page":"1043-2053","title":"Feedbacks between plant N demand and rhizosphere priming depend on type of mycorrhizal association","type":"article-journal","volume":"20"},"uris":["http://www.mendeley.com/documents/?uuid=9003b21c-1e0e-46ab-ae7a-b9e98e3e050a"]},{"id":"ITEM-3","itemData":{"author":[{"dropping-particle":"","family":"Matamala","given":"Roser","non-dropping-particle":"","parse-names":false,"suffix":""},{"dropping-particle":"","family":"Stover","given":"Daniel B.","non-dropping-particle":"","parse-names":false,"suffix":""}],"container-title":"New Phytologist","id":"ITEM-3","issued":{"date-parts":[["2013"]]},"page":"939-942","title":"Introduction to a Virtual Special Issue: modeling the hidden half – the root of our problem","type":"article-journal","volume":"200"},"uris":["http://www.mendeley.com/documents/?uuid=bf4d155e-30c3-4525-9621-ab9ab1cb6f72"]},{"id":"ITEM-4","itemData":{"author":[{"dropping-particle":"","family":"Norby","given":"Richard J.","non-dropping-particle":"","parse-names":false,"suffix":""},{"dropping-particle":"","family":"Iversen","given":"Colleen M.","non-dropping-particle":"","parse-names":false,"suffix":""}],"container-title":"New Phytologist","id":"ITEM-4","issue":"1","issued":{"date-parts":[["2013"]]},"page":"5-8","title":"Introduction to a Virtual Issue on root traits","type":"article-journal","volume":"215"},"uris":["http://www.mendeley.com/documents/?uuid=4525621a-88b4-479d-82dd-4fb59a3fbf8b"]}],"mendeley":{"formattedCitation":"(Matamala &amp; Stover, 2013; Norby &amp; Iversen, 2013; Sulman &lt;i&gt;et al.&lt;/i&gt;, 2017; Koven &lt;i&gt;et al.&lt;/i&gt;, 2019)","plainTextFormattedCitation":"(Matamala &amp; Stover, 2013; Norby &amp; Iversen, 2013; Sulman et al., 2017; Koven et al., 2019)","previouslyFormattedCitation":"(Matamala &amp; Stover, 2013; Norby &amp; Iversen, 2013; Sulman &lt;i&gt;et al.&lt;/i&gt;, 2017; Koven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(Matamala &amp; Stover, 2013; Norby &amp; Iversen, 2013; Sulman </w:t>
      </w:r>
      <w:r w:rsidRPr="00872293">
        <w:rPr>
          <w:rFonts w:ascii="Times New Roman" w:hAnsi="Times New Roman" w:cs="Times New Roman"/>
          <w:i/>
          <w:noProof/>
        </w:rPr>
        <w:t>et al.</w:t>
      </w:r>
      <w:r w:rsidRPr="00872293">
        <w:rPr>
          <w:rFonts w:ascii="Times New Roman" w:hAnsi="Times New Roman" w:cs="Times New Roman"/>
          <w:noProof/>
        </w:rPr>
        <w:t xml:space="preserve">, 2017; Koven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Pr="00872293">
        <w:rPr>
          <w:rFonts w:ascii="Times New Roman" w:hAnsi="Times New Roman" w:cs="Times New Roman"/>
        </w:rPr>
        <w:t xml:space="preserve">, microbiologists with ecologists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{"citationItems":[{"id":"ITEM-1","itemData":{"DOI":"10.1126/science.1256688","ISSN":"10959203","abstract":"Fungi play major roles in ecosystem processes, but the determinants of fungal diversity and biogeographic patterns remain poorly understood. Using DNA metabarcoding data from hundreds of globally distributed soil samples,we demonstrate that fungal richness is decoupled from plant diversity.The plant-to-fungus richness ratio declines exponentially toward the poles. Climatic factors, followed by edaphic and spatial variables, constitute the best predictors of fungal richness and community composition at the global scale. Fungi show similar latitudinal diversity gradients to other organisms,with several notable exceptions.These findings advance our understanding of global fungal diversity patterns and permit integration of fungi into a general macroecological framework.","author":[{"dropping-particle":"","family":"Tedersoo","given":"Leho","non-dropping-particle":"","parse-names":false,"suffix":""},{"dropping-particle":"","family":"Bahram","given":"Mohammad","non-dropping-particle":"","parse-names":false,"suffix":""},{"dropping-particle":"","family":"Põlme","given":"Sergei","non-dropping-particle":"","parse-names":false,"suffix":""},{"dropping-particle":"","family":"Kõljalg","given":"Urmas","non-dropping-particle":"","parse-names":false,"suffix":""},{"dropping-particle":"","family":"Yorou","given":"Nourou S.","non-dropping-particle":"","parse-names":false,"suffix":""},{"dropping-particle":"","family":"Wijesundera","given":"Ravi","non-dropping-particle":"","parse-names":false,"suffix":""},{"dropping-particle":"","family":"Ruiz","given":"Luis Villarreal","non-dropping-particle":"","parse-names":false,"suffix":""},{"dropping-particle":"","family":"Vasco-Palacios","given":"Aí M.","non-dropping-particle":"","parse-names":false,"suffix":""},{"dropping-particle":"","family":"Thu","given":"Pham Quang","non-dropping-particle":"","parse-names":false,"suffix":""},{"dropping-particle":"","family":"Suija","given":"Ave","non-dropping-particle":"","parse-names":false,"suffix":""},{"dropping-particle":"","family":"Smith","given":"Matthew E.","non-dropping-particle":"","parse-names":false,"suffix":""},{"dropping-particle":"","family":"Sharp","given":"Cathy","non-dropping-particle":"","parse-names":false,"suffix":""},{"dropping-particle":"","family":"Saluveer","given":"Erki","non-dropping-particle":"","parse-names":false,"suffix":""},{"dropping-particle":"","family":"Saitta","given":"Alessro","non-dropping-particle":"","parse-names":false,"suffix":""},{"dropping-particle":"","family":"Rosas","given":"Miguel","non-dropping-particle":"","parse-names":false,"suffix":""},{"dropping-particle":"","family":"Riit","given":"Taavi","non-dropping-particle":"","parse-names":false,"suffix":""},{"dropping-particle":"","family":"Ratkowsky","given":"David","non-dropping-particle":"","parse-names":false,"suffix":""},{"dropping-particle":"","family":"Pritsch","given":"Karin","non-dropping-particle":"","parse-names":false,"suffix":""},{"dropping-particle":"","family":"Põldmaa","given":"Kadri","non-dropping-particle":"","parse-names":false,"suffix":""},{"dropping-particle":"","family":"Piepenbring","given":"Meike","non-dropping-particle":"","parse-names":false,"suffix":""},{"dropping-particle":"","family":"Phosri","given":"Cherdchai","non-dropping-particle":"","parse-names":false,"suffix":""},{"dropping-particle":"","family":"Peterson","given":"Marko","non-dropping-particle":"","parse-names":false,"suffix":""},{"dropping-particle":"","family":"Parts","given":"Kaarin","non-dropping-particle":"","parse-names":false,"suffix":""},{"dropping-particle":"","family":"Pärtel","given":"Kadri","non-dropping-particle":"","parse-names":false,"suffix":""},{"dropping-particle":"","family":"Otsing","given":"Eveli","non-dropping-particle":"","parse-names":false,"suffix":""},{"dropping-particle":"","family":"Nouhra","given":"Eduardo","non-dropping-particle":"","parse-names":false,"suffix":""},{"dropping-particle":"","family":"Njouonkou","given":"André L.","non-dropping-particle":"","parse-names":false,"suffix":""},{"dropping-particle":"","family":"Nilsson","given":"R. Henrik","non-dropping-particle":"","parse-names":false,"suffix":""},{"dropping-particle":"","family":"Morgado","given":"Luis N.","non-dropping-particle":"","parse-names":false,"suffix":""},{"dropping-particle":"","family":"Mayor","given":"Jordan","non-dropping-particle":"","parse-names":false,"suffix":""},{"dropping-particle":"","family":"May","given":"Tom W.","non-dropping-particle":"","parse-names":false,"suffix":""},{"dropping-particle":"","family":"Majuakim","given":"Luiza","non-dropping-particle":"","parse-names":false,"suffix":""},{"dropping-particle":"","family":"Lodge","given":"D. Jean","non-dropping-particle":"","parse-names":false,"suffix":""},{"dropping-particle":"","family":"Lee","given":"Su","non-dropping-particle":"","parse-names":false,"suffix":""},{"dropping-particle":"","family":"Larsson","given":"Karl Henrik","non-dropping-particle":"","parse-names":false,"suffix":""},{"dropping-particle":"","family":"Kohout","given":"Petr","non-dropping-particle":"","parse-names":false,"suffix":""},{"dropping-particle":"","family":"Hosaka","given":"Kentaro","non-dropping-particle":"","parse-names":false,"suffix":""},{"dropping-particle":"","family":"Hiiesalu","given":"Indrek","non-dropping-particle":"","parse-names":false,"suffix":""},{"dropping-particle":"","family":"Henkel","given":"Terry W.","non-dropping-particle":"","parse-names":false,"suffix":""},{"dropping-particle":"","family":"Harend","given":"Helery","non-dropping-particle":"","parse-names":false,"suffix":""},{"dropping-particle":"","family":"Guo","given":"Liang Dong","non-dropping-particle":"","parse-names":false,"suffix":""},{"dropping-particle":"","family":"Greslebin","given":"Alina","non-dropping-particle":"","parse-names":false,"suffix":""},{"dropping-particle":"","family":"Grelet","given":"Gwen","non-dropping-particle":"","parse-names":false,"suffix":""},{"dropping-particle":"","family":"Geml","given":"Jozsef","non-dropping-particle":"","parse-names":false,"suffix":""},{"dropping-particle":"","family":"Gates","given":"Genevieve","non-dropping-particle":"","parse-names":false,"suffix":""},{"dropping-particle":"","family":"Dunstan","given":"William","non-dropping-particle":"","parse-names":false,"suffix":""},{"dropping-particle":"","family":"Dunk","given":"Chris","non-dropping-particle":"","parse-names":false,"suffix":""},{"dropping-particle":"","family":"Drenkhan","given":"Rein","non-dropping-particle":"","parse-names":false,"suffix":""},{"dropping-particle":"","family":"Dearnaley","given":"John","non-dropping-particle":"","parse-names":false,"suffix":""},{"dropping-particle":"","family":"Kesel","given":"André","non-dropping-particle":"De","parse-names":false,"suffix":""},{"dropping-particle":"","family":"Dang","given":"Tan","non-dropping-particle":"","parse-names":false,"suffix":""},{"dropping-particle":"","family":"Chen","given":"Xin","non-dropping-particle":"","parse-names":false,"suffix":""},{"dropping-particle":"","family":"Buegger","given":"Franz","non-dropping-particle":"","parse-names":false,"suffix":""},{"dropping-particle":"","family":"Brearley","given":"Francis Q.","non-dropping-particle":"","parse-names":false,"suffix":""},{"dropping-particle":"","family":"Bonito","given":"Gregory","non-dropping-particle":"","parse-names":false,"suffix":""},{"dropping-particle":"","family":"Anslan","given":"Sten","non-dropping-particle":"","parse-names":false,"suffix":""},{"dropping-particle":"","family":"Abell","given":"Sra","non-dropping-particle":"","parse-names":false,"suffix":""},{"dropping-particle":"","family":"Abarenkov","given":"Kessy","non-dropping-particle":"","parse-names":false,"suffix":""}],"container-title":"Science","id":"ITEM-1","issued":{"date-parts":[["2014"]]},"page":"6213","title":"Global diversity and geography of soil fungi","type":"article-journal","volume":"346"},"uris":["http://www.mendeley.com/documents/?uuid=b3d5c52c-597d-4947-a1c0-fd27f9ade786"]},{"id":"ITEM-2","itemData":{"DOI":"10.3389/fpls.2017.01834","ISSN":"1664462X","abstract":"Tropical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Science","id":"ITEM-2","issued":{"date-parts":[["2017"]]},"page":"1834","title":"Root and rhizosphere bacterial phosphatase activity varies with tree species and soil phosphorus availability in puerto rico tropical forest","type":"article-journal","volume":"8"},"uris":["http://www.mendeley.com/documents/?uuid=ee08b569-0c01-4b5f-a00a-3303eaa23e7f"]},{"id":"ITEM-3","itemData":{"DOI":"10.3389/fevo.2020.00191","ISSN":"2296701X","abstract":"Past research on plant-soil feedbacks (PSF), largely undertaken in highly controlled greenhouse conditions, has established that plant species differentially alter abiotic and biotic soil conditions that in turn affect growth of other conspecific and heterospecific individuals in that soil. Yet, whether feedbacks under controlled greenhouse conditions reflect feedbacks in natural environments where plants are exposed to a range of abiotic and biotic pressures is still unresolved. To address how environmental context affects PSF, we conducted a meta-analysis of previously published studies that examined plant growth responses to multiple forms of competition, stress, and disturbance across various PSF methodology. We asked the following questions: (1) Can competition, stress, and disturbance alter the direction and/or strength of PSF? (2) Do particular types of competition, stress, or disturbance affect the direction and/or strength of PSF more than others? and (3) Do methods of conducting PSF research (i.e., greenhouse vs. field experiments and whether the source of soil inoculum conditioning is from the field vs. greenhouse) affect plant growth responses to PSF or competition, stress, and disturbance, or their interactions? We discovered four patterns that may be predictive of what future PSF studies conducted under more realistic conditions might reveal. First, relatively little is known about how PSF responds to environmental stress and disturbance compared to plant-plant competition. Second, specific types of competition enhanced negative effects of soil microbes on plant growth, and specific environmental stressors enhanced positive effects of soil microbes on plant growth. Third, whether PSF experiments are conducted in the field or greenhouse can change plant growth responses. And, fourth, how the soil conditioning phase is conducted can change plant growth responses. With more detail than previously shown, these results confirm that environmental context writ large can change plant growth responses in PSF experiments. These data should aid theory and predictions for conservation and restoration applications by showing the relative importance of competition, stress, and disturbance in PSF studies over time. Lastly, these data demonstrate how variation in experimental methods can alter interpretation and conclusions of PSF studies.","author":[{"dropping-particle":"","family":"Beals","given":"Kendall K.","non-dropping-particle":"","parse-names":false,"suffix":""},{"dropping-particle":"","family":"Moore","given":"Jessica A.M.","non-dropping-particle":"","parse-names":false,"suffix":""},{"dropping-particle":"","family":"Kivlin","given":"Stephanie N.","non-dropping-particle":"","parse-names":false,"suffix":""},{"dropping-particle":"","family":"Bayliss","given":"Shannon L.J.","non-dropping-particle":"","parse-names":false,"suffix":""},{"dropping-particle":"","family":"Lumibao","given":"Candice Y.","non-dropping-particle":"","parse-names":false,"suffix":""},{"dropping-particle":"","family":"Moorhead","given":"Leigh C.","non-dropping-particle":"","parse-names":false,"suffix":""},{"dropping-particle":"","family":"Patel","given":"Megan","non-dropping-particle":"","parse-names":false,"suffix":""},{"dropping-particle":"","family":"Summers","given":"Jennifer L.","non-dropping-particle":"","parse-names":false,"suffix":""},{"dropping-particle":"","family":"Ware","given":"Ian M.","non-dropping-particle":"","parse-names":false,"suffix":""},{"dropping-particle":"","family":"Bailey","given":"Joseph K.","non-dropping-particle":"","parse-names":false,"suffix":""},{"dropping-particle":"","family":"Schweitzer","given":"Jennifer A.","non-dropping-particle":"","parse-names":false,"suffix":""}],"container-title":"Frontiers in Ecology and Evolution","id":"ITEM-3","issued":{"date-parts":[["2020"]]},"title":"Predicting plant-soil feedback in the field: Meta-analysis reveals that competition and environmental stress differentially influence psf","type":"article"},"uris":["http://www.mendeley.com/documents/?uuid=edffc486-40c9-49b9-b653-ffc50e897705"]}],"mendeley":{"formattedCitation":"(Tedersoo &lt;i&gt;et al.&lt;/i&gt;, 2014; Cabugao &lt;i&gt;et al.&lt;/i&gt;, 2017; Beals &lt;i&gt;et al.&lt;/i&gt;, 2020)","plainTextFormattedCitation":"(Tedersoo et al., 2014; Cabugao et al., 2017; Beals et al., 2020)","previouslyFormattedCitation":"(Tedersoo &lt;i&gt;et al.&lt;/i&gt;, 2014; Cabugao &lt;i&gt;et al.&lt;/i&gt;, 2017; Beals &lt;i&gt;et al.&lt;/i&gt;, 2020)"},"properties":{"noteIndex":0},"schema":"https://github.com/citation-style-language/schema/raw/master/csl-citation.json"}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(Tedersoo </w:t>
      </w:r>
      <w:r w:rsidRPr="00872293">
        <w:rPr>
          <w:rFonts w:ascii="Times New Roman" w:hAnsi="Times New Roman" w:cs="Times New Roman"/>
          <w:i/>
          <w:noProof/>
        </w:rPr>
        <w:t>et al.</w:t>
      </w:r>
      <w:r w:rsidRPr="00872293">
        <w:rPr>
          <w:rFonts w:ascii="Times New Roman" w:hAnsi="Times New Roman" w:cs="Times New Roman"/>
          <w:noProof/>
        </w:rPr>
        <w:t xml:space="preserve">, 2014; Cabugao </w:t>
      </w:r>
      <w:r w:rsidRPr="00872293">
        <w:rPr>
          <w:rFonts w:ascii="Times New Roman" w:hAnsi="Times New Roman" w:cs="Times New Roman"/>
          <w:i/>
          <w:noProof/>
        </w:rPr>
        <w:t>et al.</w:t>
      </w:r>
      <w:r w:rsidRPr="00872293">
        <w:rPr>
          <w:rFonts w:ascii="Times New Roman" w:hAnsi="Times New Roman" w:cs="Times New Roman"/>
          <w:noProof/>
        </w:rPr>
        <w:t xml:space="preserve">, 2017; Beals </w:t>
      </w:r>
      <w:r w:rsidRPr="00872293">
        <w:rPr>
          <w:rFonts w:ascii="Times New Roman" w:hAnsi="Times New Roman" w:cs="Times New Roman"/>
          <w:i/>
          <w:noProof/>
        </w:rPr>
        <w:t>et al.</w:t>
      </w:r>
      <w:r w:rsidRPr="00872293">
        <w:rPr>
          <w:rFonts w:ascii="Times New Roman" w:hAnsi="Times New Roman" w:cs="Times New Roman"/>
          <w:noProof/>
        </w:rPr>
        <w:t>, 2020)</w:t>
      </w:r>
      <w:r w:rsidRPr="00872293">
        <w:rPr>
          <w:rFonts w:ascii="Times New Roman" w:hAnsi="Times New Roman" w:cs="Times New Roman"/>
        </w:rPr>
        <w:fldChar w:fldCharType="end"/>
      </w:r>
      <w:r w:rsidRPr="00872293">
        <w:rPr>
          <w:rFonts w:ascii="Times New Roman" w:hAnsi="Times New Roman" w:cs="Times New Roman"/>
        </w:rPr>
        <w:t xml:space="preserve">, and a more centralized database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ecology","type":"article-journal","volume":"215"},"uris":["http://www.mendeley.com/documents/?uuid=62937dca-e72a-453c-9b0f-d0150091b641"]}],"mendeley":{"formattedCitation":"(Iversen &lt;i&gt;et al.&lt;/i&gt;, 2017)","plainTextFormattedCitation":"(Iversen et al., 2017)","previouslyFormattedCitation":"(Iversen &lt;i&gt;et al.&lt;/i&gt;, 2017)"},"properties":{"noteIndex":0},"schema":"https://github.com/citation-style-language/schema/raw/master/csl-citation.json"}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(Iversen </w:t>
      </w:r>
      <w:r w:rsidRPr="00872293">
        <w:rPr>
          <w:rFonts w:ascii="Times New Roman" w:hAnsi="Times New Roman" w:cs="Times New Roman"/>
          <w:i/>
          <w:noProof/>
        </w:rPr>
        <w:t>et al.</w:t>
      </w:r>
      <w:r w:rsidRPr="00872293">
        <w:rPr>
          <w:rFonts w:ascii="Times New Roman" w:hAnsi="Times New Roman" w:cs="Times New Roman"/>
          <w:noProof/>
        </w:rPr>
        <w:t>, 2017)</w:t>
      </w:r>
      <w:r w:rsidRPr="00872293">
        <w:rPr>
          <w:rFonts w:ascii="Times New Roman" w:hAnsi="Times New Roman" w:cs="Times New Roman"/>
        </w:rPr>
        <w:fldChar w:fldCharType="end"/>
      </w:r>
      <w:r w:rsidRPr="00872293">
        <w:rPr>
          <w:rFonts w:ascii="Times New Roman" w:hAnsi="Times New Roman" w:cs="Times New Roman"/>
        </w:rPr>
        <w:t xml:space="preserve">, which has helped to better develop Belowground Ecology. However, belowground biological diversity and variability, combined with underrepresented biomes (e.g. tropics) entail a continuing effort to include belowground components in basic forest monitoring around the world, and thus, in global models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{"citationItems":[{"id":"ITEM-1","itemData":{"DOI":"10.1111/nph.13034","ISSN":"14698137","abstract":"59 I. 59 II. 62 III. 69 IV. 73 73 References 73 Summary: There is wide breadth of root function within ecosystems that should be considered when modeling the terrestrial biosphere. Root structure and function are closely associated with control of plant water and nutrient uptake from the soil, plant carbon (C) assimilation, partitioning and release to the soils, and control of biogeochemical cycles through interactions within the rhizosphere. Root function is extremely dynamic and dependent on internal plant signals, root traits and morphology, and the physical, chemical and biotic soil environment. While plant roots have significant structural and functional plasticity to changing environmental conditions, their dynamics are noticeably absent from the land component of process-based Earth system models used to simulate global biogeochemical cycling. Their dynamic representation in large-scale models should improve model veracity. Here, we describe current root inclusion in models across scales, ranging from mechanistic processes of single roots to parameterized root processes operating at the landscape scale. With this foundation we discuss how existing and future root functional knowledge, new data compilation efforts, and novel modeling platforms can be leveraged to enhance root functionality in large-scale terrestrial biosphere models by improving parameterization within models, and introducing new components such as dynamic root distribution and root functional traits linked to resource extraction.","author":[{"dropping-particle":"","family":"Warren","given":"Jeffrey M.","non-dropping-particle":"","parse-names":false,"suffix":""},{"dropping-particle":"","family":"Hanson","given":"Paul J.","non-dropping-particle":"","parse-names":false,"suffix":""},{"dropping-particle":"","family":"Iversen","given":"Colleen M.","non-dropping-particle":"","parse-names":false,"suffix":""},{"dropping-particle":"","family":"Kumar","given":"Jitendra","non-dropping-particle":"","parse-names":false,"suffix":""},{"dropping-particle":"","family":"Walker","given":"Anthony P.","non-dropping-particle":"","parse-names":false,"suffix":""},{"dropping-particle":"","family":"Wullschleger","given":"Stan D.","non-dropping-particle":"","parse-names":false,"suffix":""}],"container-title":"New Phytologist","id":"ITEM-1","issue":"1","issued":{"date-parts":[["2015"]]},"page":"59-78","title":"Root structural and functional dynamics in terrestrial biosphere models - evaluation and recommendations","type":"article-journal","volume":"205"},"uris":["http://www.mendeley.com/documents/?uuid=15684f42-0abb-4c55-b2d3-505481a8c6e2"]}],"mendeley":{"formattedCitation":"(Warren &lt;i&gt;et al.&lt;/i&gt;, 2015)","plainTextFormattedCitation":"(Warren et al., 2015)","previouslyFormattedCitation":"(Warren &lt;i&gt;et al.&lt;/i&gt;, 2015)"},"properties":{"noteIndex":0},"schema":"https://github.com/citation-style-language/schema/raw/master/csl-citation.json"}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(Warren </w:t>
      </w:r>
      <w:r w:rsidRPr="00872293">
        <w:rPr>
          <w:rFonts w:ascii="Times New Roman" w:hAnsi="Times New Roman" w:cs="Times New Roman"/>
          <w:i/>
          <w:noProof/>
        </w:rPr>
        <w:t>et al.</w:t>
      </w:r>
      <w:r w:rsidRPr="00872293">
        <w:rPr>
          <w:rFonts w:ascii="Times New Roman" w:hAnsi="Times New Roman" w:cs="Times New Roman"/>
          <w:noProof/>
        </w:rPr>
        <w:t>, 2015)</w:t>
      </w:r>
      <w:r w:rsidRPr="00872293">
        <w:rPr>
          <w:rFonts w:ascii="Times New Roman" w:hAnsi="Times New Roman" w:cs="Times New Roman"/>
        </w:rPr>
        <w:fldChar w:fldCharType="end"/>
      </w:r>
      <w:r w:rsidRPr="00872293">
        <w:rPr>
          <w:rFonts w:ascii="Times New Roman" w:hAnsi="Times New Roman" w:cs="Times New Roman"/>
        </w:rPr>
        <w:t xml:space="preserve">. This </w:t>
      </w:r>
      <w:r w:rsidR="00FD7A15" w:rsidRPr="00872293">
        <w:rPr>
          <w:rFonts w:ascii="Times New Roman" w:hAnsi="Times New Roman" w:cs="Times New Roman"/>
        </w:rPr>
        <w:t xml:space="preserve">lack </w:t>
      </w:r>
      <w:r w:rsidRPr="00872293">
        <w:rPr>
          <w:rFonts w:ascii="Times New Roman" w:hAnsi="Times New Roman" w:cs="Times New Roman"/>
        </w:rPr>
        <w:t>hinders predictions o</w:t>
      </w:r>
      <w:r w:rsidR="00FD7A15" w:rsidRPr="00872293">
        <w:rPr>
          <w:rFonts w:ascii="Times New Roman" w:hAnsi="Times New Roman" w:cs="Times New Roman"/>
        </w:rPr>
        <w:t>f</w:t>
      </w:r>
      <w:r w:rsidRPr="00872293">
        <w:rPr>
          <w:rFonts w:ascii="Times New Roman" w:hAnsi="Times New Roman" w:cs="Times New Roman"/>
        </w:rPr>
        <w:t xml:space="preserve"> root response to disturbances and their effect on ecosystem function. Further, the relationships between root structure (e.g. morphology) and function (e.g. nutrient uptake), is still under debate. Therefore, our understanding of the interactive soil-plant-microbe feedbacks in general and in response to disturbance is still limited. </w:t>
      </w:r>
    </w:p>
    <w:p w14:paraId="6DCF5403" w14:textId="77777777" w:rsidR="00891159" w:rsidRPr="00872293" w:rsidRDefault="00891159" w:rsidP="007E18C8">
      <w:pPr>
        <w:spacing w:line="360" w:lineRule="auto"/>
        <w:rPr>
          <w:rFonts w:ascii="Times New Roman" w:hAnsi="Times New Roman" w:cs="Times New Roman"/>
        </w:rPr>
      </w:pPr>
    </w:p>
    <w:p w14:paraId="10F3EB6C" w14:textId="664F6A98" w:rsidR="00680C52" w:rsidRPr="00872293" w:rsidRDefault="00680C52" w:rsidP="00891159">
      <w:pPr>
        <w:pStyle w:val="Heading2"/>
        <w:spacing w:before="0" w:after="0"/>
      </w:pPr>
      <w:bookmarkStart w:id="2" w:name="_Toc53689046"/>
      <w:r w:rsidRPr="00872293">
        <w:t>Fine roots and fine root traits</w:t>
      </w:r>
      <w:bookmarkEnd w:id="2"/>
    </w:p>
    <w:p w14:paraId="755D49FF" w14:textId="10CAC935" w:rsidR="00680C52" w:rsidRPr="00872293" w:rsidRDefault="00680C52" w:rsidP="007E18C8">
      <w:pPr>
        <w:widowControl w:val="0"/>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 xml:space="preserve">Fine roots are commonly classified as any root that is less than 2 mm in diameter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{"citationItems":[{"id":"ITEM-1","itemData":{"DOI":"10.1111/nph.13363","ISSN":"14698137","PMID":"25756288","abstract":"Fine roots acquire essential soil resources and mediate biogeochemical cycling in terrestrial ecosystems. Estimates of carbon and nutrient allocation to build and maintain these structures remain uncertain because of the challenges of consistently measuring and interpreting fine-root systems. Traditionally, fine roots have been defined as all roots ≤ 2 mm in diameter, yet it is now recognized that this approach fails to capture the diversity of form and function observed among fine-root orders. Here, we demonstrate how order-based and functional classification frameworks improve our understanding of dynamic root processes in ecosystems dominated by perennial plants. In these frameworks, fine roots are either separated into individual root orders or functionally defined into a shorter-lived absorptive pool and a longer-lived transport fine-root pool. Using these frameworks, we estimate that fine-root production and turnover represent 22% of terrestrial net primary production globally - a c. 30% reduction from previous estimates assuming a single fine-root pool. Future work developing tools to rapidly differentiate functional fine-root classes, explicit incorporation of mycorrhizal fungi into fine-root studies, and wider adoption of a two-pool approach to model fine roots provide opportunities to better understand below-ground processes in the terrestrial biosphere.","author":[{"dropping-particle":"","family":"McCormack","given":"M. Luke","non-dropping-particle":"","parse-names":false,"suffix":""},{"dropping-particle":"","family":"Dickie","given":"Ian A.","non-dropping-particle":"","parse-names":false,"suffix":""},{"dropping-particle":"","family":"Eissenstat","given":"David M.","non-dropping-particle":"","parse-names":false,"suffix":""},{"dropping-particle":"","family":"Fahey","given":"Timothy J.","non-dropping-particle":"","parse-names":false,"suffix":""},{"dropping-particle":"","family":"Fernandez","given":"Christopher W.","non-dropping-particle":"","parse-names":false,"suffix":""},{"dropping-particle":"","family":"Guo","given":"Dali","non-dropping-particle":"","parse-names":false,"suffix":""},{"dropping-particle":"","family":"Helmisaari","given":"Heljä Sisko","non-dropping-particle":"","parse-names":false,"suffix":""},{"dropping-particle":"","family":"Hobbie","given":"Erik A.","non-dropping-particle":"","parse-names":false,"suffix":""},{"dropping-particle":"","family":"Iversen","given":"Colleen M.","non-dropping-particle":"","parse-names":false,"suffix":""},{"dropping-particle":"","family":"Jackson","given":"Robert B.","non-dropping-particle":"","parse-names":false,"suffix":""},{"dropping-particle":"","family":"Leppälammi-Kujansuu","given":"Jaana","non-dropping-particle":"","parse-names":false,"suffix":""},{"dropping-particle":"","family":"Norby","given":"Richard J.","non-dropping-particle":"","parse-names":false,"suffix":""},{"dropping-particle":"","family":"Phillips","given":"Richard P.","non-dropping-particle":"","parse-names":false,"suffix":""},{"dropping-particle":"","family":"Pregitzer","given":"Kurt S.","non-dropping-particle":"","parse-names":false,"suffix":""},{"dropping-particle":"","family":"Pritchard","given":"Seth G.","non-dropping-particle":"","parse-names":false,"suffix":""},{"dropping-particle":"","family":"Rewald","given":"Boris","non-dropping-particle":"","parse-names":false,"suffix":""},{"dropping-particle":"","family":"Zadworny","given":"Marcin","non-dropping-particle":"","parse-names":false,"suffix":""}],"container-title":"New Phytologist","id":"ITEM-1","issue":"3","issued":{"date-parts":[["2015"]]},"page":"505-518","title":"Redefining fine roots improves understanding of below-ground contributions to terrestrial biosphere processes","type":"article-journal","volume":"207"},"uris":["http://www.mendeley.com/documents/?uuid=62dbc848-98e4-4c13-9906-dd774ad9c407"]}],"mendeley":{"formattedCitation":"(McCormack &lt;i&gt;et al.&lt;/i&gt;, 2015)","plainTextFormattedCitation":"(McCormack et al., 2015)","previouslyFormattedCitation":"(McCormack &lt;i&gt;et al.&lt;/i&gt;, 2015)"},"properties":{"noteIndex":0},"schema":"https://github.com/citation-style-language/schema/raw/master/csl-citation.json"}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(McCormack </w:t>
      </w:r>
      <w:r w:rsidRPr="00872293">
        <w:rPr>
          <w:rFonts w:ascii="Times New Roman" w:hAnsi="Times New Roman" w:cs="Times New Roman"/>
          <w:i/>
          <w:noProof/>
        </w:rPr>
        <w:t xml:space="preserve">et </w:t>
      </w:r>
      <w:r w:rsidRPr="00872293">
        <w:rPr>
          <w:rFonts w:ascii="Times New Roman" w:hAnsi="Times New Roman" w:cs="Times New Roman"/>
          <w:i/>
          <w:noProof/>
        </w:rPr>
        <w:lastRenderedPageBreak/>
        <w:t>al.</w:t>
      </w:r>
      <w:r w:rsidRPr="00872293">
        <w:rPr>
          <w:rFonts w:ascii="Times New Roman" w:hAnsi="Times New Roman" w:cs="Times New Roman"/>
          <w:noProof/>
        </w:rPr>
        <w:t>, 2015)</w:t>
      </w:r>
      <w:r w:rsidRPr="00872293">
        <w:rPr>
          <w:rFonts w:ascii="Times New Roman" w:hAnsi="Times New Roman" w:cs="Times New Roman"/>
        </w:rPr>
        <w:fldChar w:fldCharType="end"/>
      </w:r>
      <w:r w:rsidRPr="00872293">
        <w:rPr>
          <w:rFonts w:ascii="Times New Roman" w:hAnsi="Times New Roman" w:cs="Times New Roman"/>
        </w:rPr>
        <w:t>. Recently, however, a classification based on root function and root order, rather than root size</w:t>
      </w:r>
      <w:r w:rsidR="00050AE9" w:rsidRPr="00872293">
        <w:rPr>
          <w:rFonts w:ascii="Times New Roman" w:hAnsi="Times New Roman" w:cs="Times New Roman"/>
        </w:rPr>
        <w:t>, has been considered more useful</w:t>
      </w:r>
      <w:r w:rsidRPr="00872293">
        <w:rPr>
          <w:rFonts w:ascii="Times New Roman" w:hAnsi="Times New Roman" w:cs="Times New Roman"/>
        </w:rPr>
        <w:t xml:space="preserv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{"citationItems":[{"id":"ITEM-1","itemData":{"DOI":"10.2307/3100029","ISSN":"00129615","abstract":"The fine roots of trees are concentrated on lateral branches that arise from perennial roots. They are important in the acquisition of water and essential nutrients, and at the ecosystem level, they make a significant contribution to biogeochemical cycling. Fine roots have often been studied according to arbitrary size classes, e.g., all roots less than 1 or 2 mm in diameter. Because of the size class approach, the position of an individual root on the complex lateral branching system has often been ignored, and relationships between the form of the branching root system and its function are poorly understood. The fine roots of both gymnosperms and angiosperms, which formed ectomycorrhizae (EM) and arbuscular mycorrhizae (AM) fungal associations, were sampled in 1998 and 1999. Study sites were chosen to encompass a wide variety of environments in four regions of North America. Intact lateral branches were collected from each species and 18561 individual roots were dissected by order, with distal roots numbered as first-order roots. This scheme is similar to the one commonly used to number the order of streams. Fine root diameter, length, specific root length (SRL; m/g), and nitrogen (N) concentration of nine North American tree species (Acer saccharum, Juniperus monosperma, Liriodendron tulipifera, Picea glauca, Pinus edulis, Pinus elliottii, Pinus resinosa, Populus balsamifera, and Quercus alba) were then compared and contrasted. Lateral roots &lt;0.5 mm in diameter accounted for &gt;75% of the total number and length of individual roots sampled in all species except Liriodendron tulipifera. Both SRL and N concentration decreased with increasing root order in all nine species, and this pattern appears to be universal in all temperate and boreal trees. Nitrogen concentrations ranged from 8.5 to 30.9 g/kg and were highest in the first-order \"root tips.\" On a mass basis, first-order roots are expensive to maintain per unit time (high tissue N concentration). Tissue N appears to be a key factor in understanding the C cost of maintaining first- and second-order roots, which dominate the display of absorbing root length. There were many significant differences among species in diameter, length, SRL, and N concentration. For example, two different species can have similar SRL but very different tissue N concentrations. Our findings run contrary to the common idea that all roots of a given size class function the same way and that a common size class for fine roots …","author":[{"dropping-particle":"","family":"Pregitzer","given":"Kurt S.","non-dropping-particle":"","parse-names":false,"suffix":""},{"dropping-particle":"","family":"DeForest","given":"Jared L.","non-dropping-particle":"","parse-names":false,"suffix":""},{"dropping-particle":"","family":"Burton","given":"Andrew J.","non-dropping-particle":"","parse-names":false,"suffix":""},{"dropping-particle":"","family":"Allen","given":"Michael F.","non-dropping-particle":"","parse-names":false,"suffix":""},{"dropping-particle":"","family":"Ruess","given":"Roger W.","non-dropping-particle":"","parse-names":false,"suffix":""},{"dropping-particle":"","family":"Hendrick","given":"Ronald L.","non-dropping-particle":"","parse-names":false,"suffix":""}],"container-title":"Ecological Monographs","id":"ITEM-1","issue":"2","issued":{"date-parts":[["2002"]]},"page":"293-309","title":"Fine Root Architecture of Nine North American Trees","type":"article-journal","volume":"72"},"uris":["http://www.mendeley.com/documents/?uuid=d0bc12a6-bc25-4129-9c2b-87f5a05be093"]},{"id":"ITEM-2","itemData":{"DOI":"10.1111/nph.13363","ISSN":"14698137","PMID":"25756288","abstract":"Fine roots acquire essential soil resources and mediate biogeochemical cycling in terrestrial ecosystems. Estimates of carbon and nutrient allocation to build and maintain these structures remain uncertain because of the challenges of consistently measuring and interpreting fine-root systems. Traditionally, fine roots have been defined as all roots ≤ 2 mm in diameter, yet it is now recognized that this approach fails to capture the diversity of form and function observed among fine-root orders. Here, we demonstrate how order-based and functional classification frameworks improve our understanding of dynamic root processes in ecosystems dominated by perennial plants. In these frameworks, fine roots are either separated into individual root orders or functionally defined into a shorter-lived absorptive pool and a longer-lived transport fine-root pool. Using these frameworks, we estimate that fine-root production and turnover represent 22% of terrestrial net primary production globally - a c. 30% reduction from previous estimates assuming a single fine-root pool. Future work developing tools to rapidly differentiate functional fine-root classes, explicit incorporation of mycorrhizal fungi into fine-root studies, and wider adoption of a two-pool approach to model fine roots provide opportunities to better understand below-ground processes in the terrestrial biosphere.","author":[{"dropping-particle":"","family":"McCormack","given":"M. Luke","non-dropping-particle":"","parse-names":false,"suffix":""},{"dropping-particle":"","family":"Dickie","given":"Ian A.","non-dropping-particle":"","parse-names":false,"suffix":""},{"dropping-particle":"","family":"Eissenstat","given":"David M.","non-dropping-particle":"","parse-names":false,"suffix":""},{"dropping-particle":"","family":"Fahey","given":"Timothy J.","non-dropping-particle":"","parse-names":false,"suffix":""},{"dropping-particle":"","family":"Fernandez","given":"Christopher W.","non-dropping-particle":"","parse-names":false,"suffix":""},{"dropping-particle":"","family":"Guo","given":"Dali","non-dropping-particle":"","parse-names":false,"suffix":""},{"dropping-particle":"","family":"Helmisaari","given":"Heljä Sisko","non-dropping-particle":"","parse-names":false,"suffix":""},{"dropping-particle":"","family":"Hobbie","given":"Erik A.","non-dropping-particle":"","parse-names":false,"suffix":""},{"dropping-particle":"","family":"Iversen","given":"Colleen M.","non-dropping-particle":"","parse-names":false,"suffix":""},{"dropping-particle":"","family":"Jackson","given":"Robert B.","non-dropping-particle":"","parse-names":false,"suffix":""},{"dropping-particle":"","family":"Leppälammi-Kujansuu","given":"Jaana","non-dropping-particle":"","parse-names":false,"suffix":""},{"dropping-particle":"","family":"Norby","given":"Richard J.","non-dropping-particle":"","parse-names":false,"suffix":""},{"dropping-particle":"","family":"Phillips","given":"Richard P.","non-dropping-particle":"","parse-names":false,"suffix":""},{"dropping-particle":"","family":"Pregitzer","given":"Kurt S.","non-dropping-particle":"","parse-names":false,"suffix":""},{"dropping-particle":"","family":"Pritchard","given":"Seth G.","non-dropping-particle":"","parse-names":false,"suffix":""},{"dropping-particle":"","family":"Rewald","given":"Boris","non-dropping-particle":"","parse-names":false,"suffix":""},{"dropping-particle":"","family":"Zadworny","given":"Marcin","non-dropping-particle":"","parse-names":false,"suffix":""}],"container-title":"New Phytologist","id":"ITEM-2","issue":"3","issued":{"date-parts":[["2015"]]},"page":"505-518","title":"Redefining fine roots improves understanding of below-ground contributions to terrestrial biosphere processes","type":"article-journal","volume":"207"},"uris":["http://www.mendeley.com/documents/?uuid=62dbc848-98e4-4c13-9906-dd774ad9c407"]}],"mendeley":{"formattedCitation":"(Pregitzer &lt;i&gt;et al.&lt;/i&gt;, 2002; McCormack &lt;i&gt;et al.&lt;/i&gt;, 2015)","plainTextFormattedCitation":"(Pregitzer et al., 2002; McCormack et al., 2015)","previouslyFormattedCitation":"(Pregitzer &lt;i&gt;et al.&lt;/i&gt;, 2002; McCormack &lt;i&gt;et al.&lt;/i&gt;, 2015)"},"properties":{"noteIndex":0},"schema":"https://github.com/citation-style-language/schema/raw/master/csl-citation.json"}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(Pregitzer </w:t>
      </w:r>
      <w:r w:rsidRPr="00872293">
        <w:rPr>
          <w:rFonts w:ascii="Times New Roman" w:hAnsi="Times New Roman" w:cs="Times New Roman"/>
          <w:i/>
          <w:noProof/>
        </w:rPr>
        <w:t>et al.</w:t>
      </w:r>
      <w:r w:rsidRPr="00872293">
        <w:rPr>
          <w:rFonts w:ascii="Times New Roman" w:hAnsi="Times New Roman" w:cs="Times New Roman"/>
          <w:noProof/>
        </w:rPr>
        <w:t xml:space="preserve">, 2002; McCormack </w:t>
      </w:r>
      <w:r w:rsidRPr="00872293">
        <w:rPr>
          <w:rFonts w:ascii="Times New Roman" w:hAnsi="Times New Roman" w:cs="Times New Roman"/>
          <w:i/>
          <w:noProof/>
        </w:rPr>
        <w:t>et al.</w:t>
      </w:r>
      <w:r w:rsidRPr="00872293">
        <w:rPr>
          <w:rFonts w:ascii="Times New Roman" w:hAnsi="Times New Roman" w:cs="Times New Roman"/>
          <w:noProof/>
        </w:rPr>
        <w:t>, 2015)</w:t>
      </w:r>
      <w:r w:rsidRPr="00872293">
        <w:rPr>
          <w:rFonts w:ascii="Times New Roman" w:hAnsi="Times New Roman" w:cs="Times New Roman"/>
        </w:rPr>
        <w:fldChar w:fldCharType="end"/>
      </w:r>
      <w:r w:rsidRPr="00872293">
        <w:rPr>
          <w:rFonts w:ascii="Times New Roman" w:hAnsi="Times New Roman" w:cs="Times New Roman"/>
        </w:rPr>
        <w:t>. Following the stream-order description, first-order roots are those with no branching, second order roots are those in which first order roots originate, etc. Generally, only the first two</w:t>
      </w:r>
      <w:r w:rsidR="00FD7A15" w:rsidRPr="00872293">
        <w:rPr>
          <w:rFonts w:ascii="Times New Roman" w:hAnsi="Times New Roman" w:cs="Times New Roman"/>
        </w:rPr>
        <w:t xml:space="preserve"> root</w:t>
      </w:r>
      <w:r w:rsidRPr="00872293">
        <w:rPr>
          <w:rFonts w:ascii="Times New Roman" w:hAnsi="Times New Roman" w:cs="Times New Roman"/>
        </w:rPr>
        <w:t xml:space="preserve"> orders are capable of taking</w:t>
      </w:r>
      <w:r w:rsidR="00FD7A15" w:rsidRPr="00872293">
        <w:rPr>
          <w:rFonts w:ascii="Times New Roman" w:hAnsi="Times New Roman" w:cs="Times New Roman"/>
        </w:rPr>
        <w:t xml:space="preserve"> up</w:t>
      </w:r>
      <w:r w:rsidRPr="00872293">
        <w:rPr>
          <w:rFonts w:ascii="Times New Roman" w:hAnsi="Times New Roman" w:cs="Times New Roman"/>
        </w:rPr>
        <w:t xml:space="preserve"> nutrients, also called absorptive roots; whereas, the rest are called transportive roots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{"citationItems":[{"id":"ITEM-1","itemData":{"DOI":"10.1111/nph.12902","ISBN":"1469-8137","ISSN":"14698137","PMID":"25040729","abstract":"A royal pain It has been said – and even written – that the 'fine roots of perennial plants are a royal pain to study' (Pregitzer, 2002). This is because the complex branching architecture of ephemeral roots leads to changes in root form and function across sub-millimeter scales (Fig. 1). While painful to consider, the variation in traits from short-lived, absorptive root tips to more proximal, trans-portive roots, may be our best hope of quantifying and understanding the functional role of living roots throughout the soil profile. Further, inherent variation in root functional traits across plant species may allow us to scale root function from the rhizosphere to the biosphere in order to understand global biogeochemical cycling under current and future climatic conditions. This issue of New Phytologist contains two papers that approach the linkages between root form and function from different, but complementary, directions. Kong et al. (pp. 863–872) take a broad geographic approach, describing patterns of trait variation across the distal root tips of 96 subtropical and tropical tree species in southern China, while Smith et al. (pp. 851–862) worked at the scale of a single site to investigate the relationships among root traits and root decomposition rates of graminoid species across a gradient of soil moisture in grazed ecosystems in central Scotland. '. . . our mechanistic understanding of many of the linkages between root form and function is still in its infancy.' Linking root form with function Natural variation in plant traits is emerging as a powerful tool to understand plant function and its effect on the surrounding environment (Cornwell et al., 2008). Root researchers have long recognized the important linkages between fine-root anatomical and morphological characteristics and their function (e.g. Wilcox, 1968). A number of studies over the past few decades have expanded upon and formalized this earlier work, demon-strating that root traits such as anatomy, morphology, architecture, chemistry, and mycorrhizal colonization are strongly related to root order, changing in predictable ways within a species across the hierarchy of ephemeral, first-order, distal root tips to higher-order roots. Furthermore, traits associated with the most distal, absorptive roots vary substantially across plant species and biomes (Fig. 1). In turn, these traits predict important root functions within and among species, including respiration, water and nutrient a…","author":[{"dropping-particle":"","family":"Iversen","given":"Colleen M.","non-dropping-particle":"","parse-names":false,"suffix":""}],"container-title":"New Phytologist","id":"ITEM-1","issue":"3","issued":{"date-parts":[["2014"]]},"page":"707-709","title":"Using root form to improve our understanding of root function","type":"article-journal","volume":"203"},"uris":["http://www.mendeley.com/documents/?uuid=441d914c-33dc-48a5-8ae4-141270a6aadc"]}],"mendeley":{"formattedCitation":"(Iversen, 2014)","plainTextFormattedCitation":"(Iversen, 2014)","previouslyFormattedCitation":"(Iversen, 2014)"},"properties":{"noteIndex":0},"schema":"https://github.com/citation-style-language/schema/raw/master/csl-citation.json"}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(Iversen, 2014)</w:t>
      </w:r>
      <w:r w:rsidRPr="00872293">
        <w:rPr>
          <w:rFonts w:ascii="Times New Roman" w:hAnsi="Times New Roman" w:cs="Times New Roman"/>
        </w:rPr>
        <w:fldChar w:fldCharType="end"/>
      </w:r>
      <w:r w:rsidRPr="00872293">
        <w:rPr>
          <w:rFonts w:ascii="Times New Roman" w:hAnsi="Times New Roman" w:cs="Times New Roman"/>
        </w:rPr>
        <w:t>. D</w:t>
      </w:r>
      <w:r w:rsidRPr="00872293">
        <w:rPr>
          <w:rFonts w:ascii="Times New Roman" w:hAnsi="Times New Roman" w:cs="Times New Roman"/>
          <w:bCs/>
        </w:rPr>
        <w:t xml:space="preserve">espite their great importance, fine roots, along with coarse roots, are </w:t>
      </w:r>
      <w:r w:rsidRPr="00872293">
        <w:rPr>
          <w:rFonts w:ascii="Times New Roman" w:hAnsi="Times New Roman" w:cs="Times New Roman"/>
        </w:rPr>
        <w:t xml:space="preserve">the most poorly understood plant components in terrestrial ecology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{"citationItems":[{"id":"ITEM-1","itemData":{"DOI":"10.1111/j.1469-8137.2009.02799.x","ISBN":"1469-8137","ISSN":"0028646X","PMID":"19383105","abstract":"Ephemeral roots have essential roles in plant and ecosystem functioning. In forests, roots account for a major component of carbon cycling, yet few studies have examined ranges of root trait variation and how different species vary in root form and function in these communities. Root branching intensity, specific root length (SRL; root length per unit dry mass), root diameter, tissue density, phenolic concentration and nitrogen concentration were determined for the finest two root orders of 25 co-existing North American woody species sampled from mature plants in a single forest community. Trait correlations and multivariate patterns were examined to evaluate the most important trait differences among species. Branching intensity, SRL, and phenolic concentration varied most widely among species (coefficient of variation (CV) = 0.42, 0.57 and 0.58, respectively). Species predominately forming ectomycorrhiza (EM) had a higher branching intensity than those forming arbuscular mycorrhiza (AM) with mycorrhizal types correctly predicted in c. 70% of individual observations by branching intensity alone. There was notably no correlation between SRL and nitrogen. Variation in SRL among species mapped partially along phylogenetic lines (consistency index (CI) = 0.44), with remaining variation attributable to differences in species' ecological specialization. Variation found in root traits suggests different nutrient acquisition strategies within this community, which could have potential species-level effects on carbon and mineral nutrient cycling.","author":[{"dropping-particle":"","family":"Comas","given":"L. H.","non-dropping-particle":"","parse-names":false,"suffix":""},{"dropping-particle":"","family":"Eissenstat","given":"D. M.","non-dropping-particle":"","parse-names":false,"suffix":""}],"container-title":"New Phytologist","id":"ITEM-1","issue":"4","issued":{"date-parts":[["2009"]]},"page":"919-928","title":"Patterns in root trait variation among 25 co-existing North American forest species","type":"article-journal","volume":"182"},"uris":["http://www.mendeley.com/documents/?uuid=75e0bb0f-747f-4762-aa09-18fce5ae6ff1"]}],"mendeley":{"formattedCitation":"(Comas &amp; Eissenstat, 2009)","plainTextFormattedCitation":"(Comas &amp; Eissenstat, 2009)","previouslyFormattedCitation":"(Comas &amp; Eissenstat, 2009)"},"properties":{"noteIndex":0},"schema":"https://github.com/citation-style-language/schema/raw/master/csl-citation.json"}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(Comas &amp; Eissenstat, 2009)</w:t>
      </w:r>
      <w:r w:rsidRPr="00872293">
        <w:rPr>
          <w:rFonts w:ascii="Times New Roman" w:hAnsi="Times New Roman" w:cs="Times New Roman"/>
        </w:rPr>
        <w:fldChar w:fldCharType="end"/>
      </w:r>
      <w:r w:rsidRPr="00872293">
        <w:rPr>
          <w:rFonts w:ascii="Times New Roman" w:hAnsi="Times New Roman" w:cs="Times New Roman"/>
        </w:rPr>
        <w:t xml:space="preserve">. </w:t>
      </w:r>
    </w:p>
    <w:p w14:paraId="16ECACDB" w14:textId="77777777" w:rsidR="00680C52" w:rsidRPr="00872293" w:rsidRDefault="00680C52" w:rsidP="00680C52">
      <w:pPr>
        <w:widowControl w:val="0"/>
        <w:autoSpaceDE w:val="0"/>
        <w:autoSpaceDN w:val="0"/>
        <w:adjustRightInd w:val="0"/>
        <w:spacing w:line="360" w:lineRule="auto"/>
        <w:rPr>
          <w:rFonts w:ascii="Times New Roman" w:hAnsi="Times New Roman" w:cs="Times New Roman"/>
        </w:rPr>
        <w:sectPr w:rsidR="00680C52" w:rsidRPr="00872293" w:rsidSect="00CB4657">
          <w:pgSz w:w="12240" w:h="15840" w:code="1"/>
          <w:pgMar w:top="1440" w:right="1440" w:bottom="1440" w:left="1440" w:header="708" w:footer="708" w:gutter="0"/>
          <w:pgNumType w:start="1"/>
          <w:cols w:space="708"/>
          <w:docGrid w:linePitch="360"/>
        </w:sectPr>
      </w:pPr>
    </w:p>
    <w:p w14:paraId="10B012B8" w14:textId="77777777" w:rsidR="00680C52" w:rsidRPr="00872293" w:rsidRDefault="00680C52" w:rsidP="00680C52">
      <w:pPr>
        <w:widowControl w:val="0"/>
        <w:autoSpaceDE w:val="0"/>
        <w:autoSpaceDN w:val="0"/>
        <w:adjustRightInd w:val="0"/>
        <w:spacing w:line="360" w:lineRule="auto"/>
        <w:rPr>
          <w:rFonts w:ascii="Times New Roman" w:hAnsi="Times New Roman" w:cs="Times New Roman"/>
        </w:rPr>
      </w:pPr>
    </w:p>
    <w:p w14:paraId="4DCAE96C" w14:textId="0C7A726B" w:rsidR="00680C52" w:rsidRPr="00872293" w:rsidRDefault="00680C52" w:rsidP="00680C52">
      <w:pPr>
        <w:pStyle w:val="Default"/>
        <w:spacing w:line="360" w:lineRule="auto"/>
        <w:rPr>
          <w:color w:val="auto"/>
        </w:rPr>
      </w:pPr>
      <w:r w:rsidRPr="00872293">
        <w:rPr>
          <w:color w:val="auto"/>
        </w:rPr>
        <w:t>Fine-root traits are any morpho-</w:t>
      </w:r>
      <w:proofErr w:type="spellStart"/>
      <w:r w:rsidRPr="00872293">
        <w:rPr>
          <w:color w:val="auto"/>
        </w:rPr>
        <w:t>physiophenological</w:t>
      </w:r>
      <w:proofErr w:type="spellEnd"/>
      <w:r w:rsidRPr="00872293">
        <w:rPr>
          <w:color w:val="auto"/>
        </w:rPr>
        <w:t xml:space="preserve"> characteristic that we can measure, and which can </w:t>
      </w:r>
      <w:r w:rsidR="00FD7A15" w:rsidRPr="00872293">
        <w:rPr>
          <w:color w:val="auto"/>
        </w:rPr>
        <w:t>affect</w:t>
      </w:r>
      <w:r w:rsidRPr="00872293">
        <w:rPr>
          <w:color w:val="auto"/>
        </w:rPr>
        <w:t xml:space="preserve"> plant fitness directly or indirectly </w:t>
      </w:r>
      <w:r w:rsidRPr="00872293">
        <w:rPr>
          <w:color w:val="auto"/>
        </w:rPr>
        <w:fldChar w:fldCharType="begin" w:fldLock="1"/>
      </w:r>
      <w:r w:rsidRPr="00872293">
        <w:rPr>
          <w:color w:val="auto"/>
        </w:rPr>
        <w:instrText>ADDIN CSL_CITATION {"citationItems":[{"id":"ITEM-1","itemData":{"DOI":"10.1111/j.0030-1299.2007.15559.x","author":[{"dropping-particle":"","family":"Violle","given":"Cyrille","non-dropping-particle":"","parse-names":false,"suffix":""},{"dropping-particle":"","family":"Navas","given":"Marie-Laure","non-dropping-particle":"","parse-names":false,"suffix":""},{"dropping-particle":"","family":"Vile","given":"Denis","non-dropping-particle":"","parse-names":false,"suffix":""},{"dropping-particle":"","family":"Kazakou","given":"Elena","non-dropping-particle":"","parse-names":false,"suffix":""},{"dropping-particle":"","family":"Fortunel","given":"Claire","non-dropping-particle":"","parse-names":false,"suffix":""},{"dropping-particle":"","family":"Hummel","given":"Irene","non-dropping-particle":"","parse-names":false,"suffix":""},{"dropping-particle":"","family":"Garnier","given":"Eric","non-dropping-particle":"","parse-names":false,"suffix":""}],"container-title":"Oikos","id":"ITEM-1","issue":"5","issued":{"date-parts":[["2007"]]},"title":"Let the concept of trait be functional!","type":"article-journal","volume":"116"},"uris":["http://www.mendeley.com/documents/?uuid=6c9e42e9-582c-460f-adc2-49696a4147bf"]}],"mendeley":{"formattedCitation":"(Violle &lt;i&gt;et al.&lt;/i&gt;, 2007)","plainTextFormattedCitation":"(Violle et al., 2007)","previouslyFormattedCitation":"(Violle &lt;i&gt;et al.&lt;/i&gt;, 2007)"},"properties":{"noteIndex":0},"schema":"https://github.com/citation-style-language/schema/raw/master/csl-citation.json"}</w:instrText>
      </w:r>
      <w:r w:rsidRPr="00872293">
        <w:rPr>
          <w:color w:val="auto"/>
        </w:rPr>
        <w:fldChar w:fldCharType="separate"/>
      </w:r>
      <w:r w:rsidRPr="00872293">
        <w:rPr>
          <w:noProof/>
          <w:color w:val="auto"/>
        </w:rPr>
        <w:t xml:space="preserve">(Violle </w:t>
      </w:r>
      <w:r w:rsidRPr="00872293">
        <w:rPr>
          <w:i/>
          <w:noProof/>
          <w:color w:val="auto"/>
        </w:rPr>
        <w:t>et al.</w:t>
      </w:r>
      <w:r w:rsidRPr="00872293">
        <w:rPr>
          <w:noProof/>
          <w:color w:val="auto"/>
        </w:rPr>
        <w:t>, 2007)</w:t>
      </w:r>
      <w:r w:rsidRPr="00872293">
        <w:rPr>
          <w:color w:val="auto"/>
        </w:rPr>
        <w:fldChar w:fldCharType="end"/>
      </w:r>
      <w:r w:rsidRPr="00872293">
        <w:rPr>
          <w:color w:val="auto"/>
        </w:rPr>
        <w:t>. T</w:t>
      </w:r>
      <w:r w:rsidRPr="00872293">
        <w:rPr>
          <w:bCs/>
          <w:color w:val="auto"/>
        </w:rPr>
        <w:t xml:space="preserve">hese traits are primarily dependent upon species phylogeny, soil biogeochemistry, and nutrient availability </w:t>
      </w:r>
      <w:r w:rsidRPr="00872293">
        <w:rPr>
          <w:bCs/>
          <w:color w:val="auto"/>
        </w:rPr>
        <w:fldChar w:fldCharType="begin" w:fldLock="1"/>
      </w:r>
      <w:r w:rsidRPr="00872293">
        <w:rPr>
          <w:bCs/>
          <w:color w:val="auto"/>
        </w:rPr>
        <w:instrText>ADDIN CSL_CITATION {"citationItems":[{"id":"ITEM-1","itemData":{"DOI":"10.2307/1940664","author":[{"dropping-particle":"","family":"Nadelhoffer","given":"Knute J.","non-dropping-particle":"","parse-names":false,"suffix":""},{"dropping-particle":"","family":"Raich","given":"James W","non-dropping-particle":"","parse-names":false,"suffix":""}],"container-title":"Ecology","id":"ITEM-1","issue":"4","issued":{"date-parts":[["1992"]]},"page":"1139-1147","title":"Fine Root Production Estimates and Belowground Carbon Allocation in Forest Ecosystems","type":"article-journal","volume":"73"},"uris":["http://www.mendeley.com/documents/?uuid=9e4b28e6-d1f2-4540-ab06-530655120597"]}],"mendeley":{"formattedCitation":"(Nadelhoffer &amp; Raich, 1992)","plainTextFormattedCitation":"(Nadelhoffer &amp; Raich, 1992)","previouslyFormattedCitation":"(Nadelhoffer &amp; Raich, 1992)"},"properties":{"noteIndex":0},"schema":"https://github.com/citation-style-language/schema/raw/master/csl-citation.json"}</w:instrText>
      </w:r>
      <w:r w:rsidRPr="00872293">
        <w:rPr>
          <w:bCs/>
          <w:color w:val="auto"/>
        </w:rPr>
        <w:fldChar w:fldCharType="separate"/>
      </w:r>
      <w:r w:rsidRPr="00872293">
        <w:rPr>
          <w:bCs/>
          <w:noProof/>
          <w:color w:val="auto"/>
        </w:rPr>
        <w:t>(Nadelhoffer &amp; Raich, 1992)</w:t>
      </w:r>
      <w:r w:rsidRPr="00872293">
        <w:rPr>
          <w:bCs/>
          <w:color w:val="auto"/>
        </w:rPr>
        <w:fldChar w:fldCharType="end"/>
      </w:r>
      <w:r w:rsidRPr="00872293">
        <w:rPr>
          <w:bCs/>
          <w:color w:val="auto"/>
        </w:rPr>
        <w:t xml:space="preserve">. </w:t>
      </w:r>
      <w:r w:rsidRPr="00872293">
        <w:rPr>
          <w:color w:val="auto"/>
        </w:rPr>
        <w:t xml:space="preserve">Root system (e.g. root standing stock), root morphology (e.g. root diameter, specific root length), and root chemistry (e.g. root macronutrients) are some root traits generally more studied than others </w:t>
      </w:r>
      <w:r w:rsidRPr="00872293">
        <w:rPr>
          <w:color w:val="auto"/>
        </w:rPr>
        <w:fldChar w:fldCharType="begin" w:fldLock="1"/>
      </w:r>
      <w:r w:rsidRPr="00872293">
        <w:rPr>
          <w:color w:val="auto"/>
        </w:rPr>
        <w:instrText>ADDIN CSL_CITATION {"citationItems":[{"id":"ITEM-1","itemData":{"DOI":"10.1111/btp.12771","ISSN":"17447429","abstract":"Fine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J.","non-dropping-particle":"","parse-names":false,"suffix":""}],"container-title":"Biotropica","id":"ITEM-1","issue":"3","issued":{"date-parts":[["2020"]]},"page":"563-576","title":"A historical and comparative review of 50 years of root data collection in Puerto Rico","type":"article-journal","volume":"52"},"uris":["http://www.mendeley.com/documents/?uuid=27bc4c68-821d-4b96-979d-b5709dfa9b6c"]},{"id":"ITEM-2","itemData":{"DOI":"10.1111/nph.14486","ISSN":"14698137","abstract":"Variation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Phytologist","id":"ITEM-2","issued":{"date-parts":[["2017"]]},"page":"15-26","title":"A global Fine-Root Ecology Database to address below-ground challenges in plant ecology","type":"article-journal","volume":"215"},"uris":["http://www.mendeley.com/documents/?uuid=62937dca-e72a-453c-9b0f-d0150091b641"]}],"mendeley":{"formattedCitation":"(Iversen &lt;i&gt;et al.&lt;/i&gt;, 2017; Yaffar &amp; Norby, 2020)","plainTextFormattedCitation":"(Iversen et al., 2017; Yaffar &amp; Norby, 2020)","previouslyFormattedCitation":"(Iversen &lt;i&gt;et al.&lt;/i&gt;, 2017; Yaffar &amp; Norby, 2020)"},"properties":{"noteIndex":0},"schema":"https://github.com/citation-style-language/schema/raw/master/csl-citation.json"}</w:instrText>
      </w:r>
      <w:r w:rsidRPr="00872293">
        <w:rPr>
          <w:color w:val="auto"/>
        </w:rPr>
        <w:fldChar w:fldCharType="separate"/>
      </w:r>
      <w:r w:rsidRPr="00872293">
        <w:rPr>
          <w:noProof/>
          <w:color w:val="auto"/>
        </w:rPr>
        <w:t xml:space="preserve">(Iversen </w:t>
      </w:r>
      <w:r w:rsidRPr="00872293">
        <w:rPr>
          <w:i/>
          <w:noProof/>
          <w:color w:val="auto"/>
        </w:rPr>
        <w:t>et al.</w:t>
      </w:r>
      <w:r w:rsidRPr="00872293">
        <w:rPr>
          <w:noProof/>
          <w:color w:val="auto"/>
        </w:rPr>
        <w:t>, 2017; Yaffar &amp; Norby, 2020)</w:t>
      </w:r>
      <w:r w:rsidRPr="00872293">
        <w:rPr>
          <w:color w:val="auto"/>
        </w:rPr>
        <w:fldChar w:fldCharType="end"/>
      </w:r>
      <w:r w:rsidRPr="00872293">
        <w:rPr>
          <w:color w:val="auto"/>
        </w:rPr>
        <w:t xml:space="preserve">. Architectural traits describe the root topology, and it includes branching ratio and branching intensity which are obtained by the difference between first and second order roots </w:t>
      </w:r>
      <w:r w:rsidRPr="00872293">
        <w:rPr>
          <w:color w:val="auto"/>
        </w:rPr>
        <w:fldChar w:fldCharType="begin" w:fldLock="1"/>
      </w:r>
      <w:r w:rsidRPr="00872293">
        <w:rPr>
          <w:color w:val="auto"/>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species","type":"article-journal","volume":"203"},"uris":["http://www.mendeley.com/documents/?uuid=a7e2c871-4bd8-41c2-9249-3fc27422af67"]}],"mendeley":{"formattedCitation":"(Kong &lt;i&gt;et al.&lt;/i&gt;, 2014)","manualFormatting":"(Kong et al. 2014)","plainTextFormattedCitation":"(Kong et al., 2014)","previouslyFormattedCitation":"(Kong &lt;i&gt;et al.&lt;/i&gt;, 2014)"},"properties":{"noteIndex":0},"schema":"https://github.com/citation-style-language/schema/raw/master/csl-citation.json"}</w:instrText>
      </w:r>
      <w:r w:rsidRPr="00872293">
        <w:rPr>
          <w:color w:val="auto"/>
        </w:rPr>
        <w:fldChar w:fldCharType="separate"/>
      </w:r>
      <w:r w:rsidRPr="00872293">
        <w:rPr>
          <w:noProof/>
          <w:color w:val="auto"/>
        </w:rPr>
        <w:t xml:space="preserve">(Kong </w:t>
      </w:r>
      <w:r w:rsidRPr="00872293">
        <w:rPr>
          <w:i/>
          <w:noProof/>
          <w:color w:val="auto"/>
        </w:rPr>
        <w:t>et al.</w:t>
      </w:r>
      <w:r w:rsidR="007E2C06" w:rsidRPr="00872293">
        <w:rPr>
          <w:i/>
          <w:noProof/>
          <w:color w:val="auto"/>
        </w:rPr>
        <w:t>,</w:t>
      </w:r>
      <w:r w:rsidRPr="00872293">
        <w:rPr>
          <w:noProof/>
          <w:color w:val="auto"/>
        </w:rPr>
        <w:t xml:space="preserve"> 2014)</w:t>
      </w:r>
      <w:r w:rsidRPr="00872293">
        <w:rPr>
          <w:color w:val="auto"/>
        </w:rPr>
        <w:fldChar w:fldCharType="end"/>
      </w:r>
      <w:r w:rsidRPr="00872293">
        <w:rPr>
          <w:color w:val="auto"/>
        </w:rPr>
        <w:t xml:space="preserve">. Dynamic traits include productivity, mortality, turnover, life span, and others which can be determined by different methods such as ingrowth coring and minirhizotrons </w:t>
      </w:r>
      <w:r w:rsidRPr="00872293">
        <w:rPr>
          <w:color w:val="auto"/>
        </w:rPr>
        <w:fldChar w:fldCharType="begin" w:fldLock="1"/>
      </w:r>
      <w:r w:rsidRPr="00872293">
        <w:rPr>
          <w:color w:val="auto"/>
        </w:rPr>
        <w:instrText>ADDIN CSL_CITATION {"citationItems":[{"id":"ITEM-1","itemData":{"author":[{"dropping-particle":"","family":"Neill","given":"Christopher","non-dropping-particle":"","parse-names":false,"suffix":""}],"container-title":"Ecology","id":"ITEM-1","issued":{"date-parts":[["1992"]]},"page":"1918-1921","title":"Comparison of soil coring and ingrowth methods for measuring belowground production","type":"article-journal","volume":"73"},"uris":["http://www.mendeley.com/documents/?uuid=ff5c6535-45f0-462b-b881-7012d2d3f1a5"]},{"id":"ITEM-2","itemData":{"DOI":"10.1371/journal.pone.0048989","ISSN":"19326203","abstract":"The production and turnover of fine roots play substantial roles in the biogeochemical cycles of terrestrial ecosystems. However, the disparity among the estimates of both production and turnover, particularly due to technical limitations, has been debated for several decades. Here, we conducted a meta-analysis to compare published estimates of fine root production and turnover rates derived from different methods at the same sites and at the same sampling time. On average, the estimates of fine root production and turnover rates were 87% and 124% higher, respectively, by indirect methods than by direct methods. The substantially higher fine root production and turnover estimated by indirect methods, on which most global carbon models are based, indicate the necessity of re-assessing the global carbon model predictions for atmospheric carbon sequestration in soils as a result of the production and turnover of fine roots. © 2012 Yuan, Chen.","author":[{"dropping-particle":"","family":"Yuan","given":"Z. Y.","non-dropping-particle":"","parse-names":false,"suffix":""},{"dropping-particle":"","family":"Chen","given":"Han Y.H.","non-dropping-particle":"","parse-names":false,"suffix":""}],"container-title":"PLoS ONE","id":"ITEM-2","issue":"11","issued":{"date-parts":[["2012"]]},"page":"48989","title":"Indirect Methods Produce Higher Estimates of Fine Root Production and Turnover Rates than Direct Methods","type":"article-journal","volume":"7"},"uris":["http://www.mendeley.com/documents/?uuid=50ae3abe-b2f8-4c38-998d-d8cd96eea614"]}],"mendeley":{"formattedCitation":"(Neill, 1992; Yuan &amp; Chen, 2012)","plainTextFormattedCitation":"(Neill, 1992; Yuan &amp; Chen, 2012)","previouslyFormattedCitation":"(Neill, 1992; Yuan &amp; Chen, 2012)"},"properties":{"noteIndex":0},"schema":"https://github.com/citation-style-language/schema/raw/master/csl-citation.json"}</w:instrText>
      </w:r>
      <w:r w:rsidRPr="00872293">
        <w:rPr>
          <w:color w:val="auto"/>
        </w:rPr>
        <w:fldChar w:fldCharType="separate"/>
      </w:r>
      <w:r w:rsidRPr="00872293">
        <w:rPr>
          <w:noProof/>
          <w:color w:val="auto"/>
        </w:rPr>
        <w:t>(Neill, 1992; Yuan &amp; Chen, 2012)</w:t>
      </w:r>
      <w:r w:rsidRPr="00872293">
        <w:rPr>
          <w:color w:val="auto"/>
        </w:rPr>
        <w:fldChar w:fldCharType="end"/>
      </w:r>
      <w:r w:rsidRPr="00872293">
        <w:rPr>
          <w:color w:val="auto"/>
        </w:rPr>
        <w:t xml:space="preserve">.  Another important root trait is microbial association, which encompass mycorrhizal symbiosis with roots, and some of the measurements include counting the percent coverage of mycorrhizae fungal colonization inside fine-root tissue </w:t>
      </w:r>
      <w:r w:rsidRPr="00872293">
        <w:rPr>
          <w:color w:val="auto"/>
        </w:rPr>
        <w:fldChar w:fldCharType="begin" w:fldLock="1"/>
      </w:r>
      <w:r w:rsidRPr="00872293">
        <w:rPr>
          <w:color w:val="auto"/>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ecology","type":"article-journal","volume":"215"},"uris":["http://www.mendeley.com/documents/?uuid=62937dca-e72a-453c-9b0f-d0150091b641"]}],"mendeley":{"formattedCitation":"(Iversen &lt;i&gt;et al.&lt;/i&gt;, 2017)","plainTextFormattedCitation":"(Iversen et al., 2017)","previouslyFormattedCitation":"(Iversen &lt;i&gt;et al.&lt;/i&gt;, 2017)"},"properties":{"noteIndex":0},"schema":"https://github.com/citation-style-language/schema/raw/master/csl-citation.json"}</w:instrText>
      </w:r>
      <w:r w:rsidRPr="00872293">
        <w:rPr>
          <w:color w:val="auto"/>
        </w:rPr>
        <w:fldChar w:fldCharType="separate"/>
      </w:r>
      <w:r w:rsidRPr="00872293">
        <w:rPr>
          <w:noProof/>
          <w:color w:val="auto"/>
        </w:rPr>
        <w:t xml:space="preserve">(Iversen </w:t>
      </w:r>
      <w:r w:rsidRPr="00872293">
        <w:rPr>
          <w:i/>
          <w:noProof/>
          <w:color w:val="auto"/>
        </w:rPr>
        <w:t>et al.</w:t>
      </w:r>
      <w:r w:rsidRPr="00872293">
        <w:rPr>
          <w:noProof/>
          <w:color w:val="auto"/>
        </w:rPr>
        <w:t>, 2017)</w:t>
      </w:r>
      <w:r w:rsidRPr="00872293">
        <w:rPr>
          <w:color w:val="auto"/>
        </w:rPr>
        <w:fldChar w:fldCharType="end"/>
      </w:r>
      <w:r w:rsidRPr="00872293">
        <w:rPr>
          <w:color w:val="auto"/>
        </w:rPr>
        <w:t xml:space="preserve">. Finally root physiological characteristics, such as </w:t>
      </w:r>
      <w:r w:rsidR="007C3B26" w:rsidRPr="00872293">
        <w:rPr>
          <w:color w:val="auto"/>
        </w:rPr>
        <w:t>enzymatic</w:t>
      </w:r>
      <w:r w:rsidRPr="00872293">
        <w:rPr>
          <w:color w:val="auto"/>
        </w:rPr>
        <w:t xml:space="preserve"> activity, and nutrient uptake are far less commonly studied yet very important for </w:t>
      </w:r>
      <w:r w:rsidR="00FD7A15" w:rsidRPr="00872293">
        <w:rPr>
          <w:color w:val="auto"/>
        </w:rPr>
        <w:t>assessing</w:t>
      </w:r>
      <w:r w:rsidRPr="00872293">
        <w:rPr>
          <w:color w:val="auto"/>
        </w:rPr>
        <w:t xml:space="preserve"> root function </w:t>
      </w:r>
      <w:r w:rsidRPr="00872293">
        <w:rPr>
          <w:color w:val="auto"/>
        </w:rPr>
        <w:fldChar w:fldCharType="begin" w:fldLock="1"/>
      </w:r>
      <w:r w:rsidRPr="00872293">
        <w:rPr>
          <w:color w:val="auto"/>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ecology","type":"article-journal","volume":"215"},"uris":["http://www.mendeley.com/documents/?uuid=62937dca-e72a-453c-9b0f-d0150091b641"]}],"mendeley":{"formattedCitation":"(Iversen &lt;i&gt;et al.&lt;/i&gt;, 2017)","plainTextFormattedCitation":"(Iversen et al., 2017)","previouslyFormattedCitation":"(Iversen &lt;i&gt;et al.&lt;/i&gt;, 2017)"},"properties":{"noteIndex":0},"schema":"https://github.com/citation-style-language/schema/raw/master/csl-citation.json"}</w:instrText>
      </w:r>
      <w:r w:rsidRPr="00872293">
        <w:rPr>
          <w:color w:val="auto"/>
        </w:rPr>
        <w:fldChar w:fldCharType="separate"/>
      </w:r>
      <w:r w:rsidRPr="00872293">
        <w:rPr>
          <w:noProof/>
          <w:color w:val="auto"/>
        </w:rPr>
        <w:t xml:space="preserve">(Iversen </w:t>
      </w:r>
      <w:r w:rsidRPr="00872293">
        <w:rPr>
          <w:i/>
          <w:noProof/>
          <w:color w:val="auto"/>
        </w:rPr>
        <w:t>et al.</w:t>
      </w:r>
      <w:r w:rsidRPr="00872293">
        <w:rPr>
          <w:noProof/>
          <w:color w:val="auto"/>
        </w:rPr>
        <w:t>, 2017)</w:t>
      </w:r>
      <w:r w:rsidRPr="00872293">
        <w:rPr>
          <w:color w:val="auto"/>
        </w:rPr>
        <w:fldChar w:fldCharType="end"/>
      </w:r>
      <w:r w:rsidRPr="00872293">
        <w:rPr>
          <w:color w:val="auto"/>
        </w:rPr>
        <w:t xml:space="preserve">. Additionally, root anatomy is another poorly studied trait, and </w:t>
      </w:r>
      <w:r w:rsidR="00FD7A15" w:rsidRPr="00872293">
        <w:rPr>
          <w:color w:val="auto"/>
        </w:rPr>
        <w:t>was</w:t>
      </w:r>
      <w:r w:rsidRPr="00872293">
        <w:rPr>
          <w:color w:val="auto"/>
        </w:rPr>
        <w:t xml:space="preserve"> not measured it for this dissertation.</w:t>
      </w:r>
    </w:p>
    <w:p w14:paraId="5084188F" w14:textId="77777777" w:rsidR="001A2B4E" w:rsidRPr="00872293" w:rsidRDefault="001A2B4E" w:rsidP="00680C52">
      <w:pPr>
        <w:pStyle w:val="Default"/>
        <w:spacing w:line="360" w:lineRule="auto"/>
        <w:rPr>
          <w:color w:val="auto"/>
        </w:rPr>
      </w:pPr>
    </w:p>
    <w:p w14:paraId="7B3138A0" w14:textId="0D8722B4" w:rsidR="00680C52" w:rsidRPr="00872293" w:rsidRDefault="00680C52" w:rsidP="001A2B4E">
      <w:pPr>
        <w:pStyle w:val="Heading2"/>
        <w:spacing w:before="0" w:after="0"/>
      </w:pPr>
      <w:bookmarkStart w:id="3" w:name="_Toc53689047"/>
      <w:r w:rsidRPr="00872293">
        <w:t>Root traits trade-offs</w:t>
      </w:r>
      <w:bookmarkEnd w:id="3"/>
    </w:p>
    <w:p w14:paraId="2A565121" w14:textId="1D2A5BC7" w:rsidR="00680C52" w:rsidRPr="00872293" w:rsidRDefault="00680C52" w:rsidP="00D16044">
      <w:pPr>
        <w:widowControl w:val="0"/>
        <w:autoSpaceDE w:val="0"/>
        <w:autoSpaceDN w:val="0"/>
        <w:adjustRightInd w:val="0"/>
        <w:spacing w:before="240" w:line="360" w:lineRule="auto"/>
        <w:rPr>
          <w:rFonts w:ascii="Times New Roman" w:hAnsi="Times New Roman" w:cs="Times New Roman"/>
          <w:iCs/>
        </w:rPr>
      </w:pPr>
      <w:r w:rsidRPr="00872293">
        <w:rPr>
          <w:rFonts w:ascii="Times New Roman" w:hAnsi="Times New Roman" w:cs="Times New Roman"/>
        </w:rPr>
        <w:t xml:space="preserve">A basic principle in plant ecology is the trade-off between plant growth and survival </w:t>
      </w:r>
      <w:r w:rsidRPr="00872293">
        <w:rPr>
          <w:rFonts w:ascii="Times New Roman" w:hAnsi="Times New Roman" w:cs="Times New Roman"/>
          <w:iCs/>
        </w:rPr>
        <w:fldChar w:fldCharType="begin" w:fldLock="1"/>
      </w:r>
      <w:r w:rsidRPr="00872293">
        <w:rPr>
          <w:rFonts w:ascii="Times New Roman" w:hAnsi="Times New Roman" w:cs="Times New Roman"/>
          <w:iCs/>
        </w:rPr>
        <w:instrText>ADDIN CSL_CITATION {"citationItems":[{"id":"ITEM-1","itemData":{"abstract":"The external factors limiting plant biomass in any habitat may be classified into two categories. The first, which henceforth will be described as stress, consists of conditions that restrict production, e.g., shortages of light, water, or mineral nutrients and suboptimal temperatures. The second, referred to here as disturbance, is associated with the partial or total destruction of the plant biomass and arises from the activities of herbivores, pathogens, man (trampling, mowing, and plowing), and from phenomena such as wind damage, frosts, desiccation, soil erosion, and fire. When the four permutations of high and low stress with high and low dis- turbance are examined (table 1), it is apparent that only three are viable as plant habitats. This is because, in highly disturbed habitats, severe stress prevents recovery or reestablishment of the vegetation. It is suggested that each of the three remaining contingencies has been associated with the evolu- tion of a distinct type of strategy, i.e., low stress with low disturbance (com- petitive plants), high stress with low disturbance (stress-tolerant plants), and low stress with high disturbance (ruderal plants). These three strategies are, of course, extremes. The genotypes of the majority of plants appear to represent compromises between the conflicting selection pressures resulting from particular combinations of competition, stress, and disturbance. In the first part of this paper, an attempt is made to define competition, stress, and disturbance more closely and to review some of the evidence, most of which refers to vascular plants, for the existence of three primary strategies. The second part examines the implications of the three-strategy model with regard to (1) existing theories of natural selection, especially that of the r-K continuum (MacArthur and Wilson 1967; Pianka 1970); (2) secondary strategies; (3) vegetation succession; (4) dominance; and (5) strategies in fungi and in animals.","author":[{"dropping-particle":"","family":"Grime","given":"J. P.","non-dropping-particle":"","parse-names":false,"suffix":""}],"container-title":"The American Naturalist","id":"ITEM-1","issued":{"date-parts":[["1977"]]},"page":"1169-1194","title":"Evidence for the Existence of Three Primary Strategies in Plants and Its Relevance to Ecological and Evolutionary Theory","type":"article-journal","volume":"111"},"uris":["http://www.mendeley.com/documents/?uuid=a2846e4b-d9a2-4c92-bdc7-8d82fe493a12"]}],"mendeley":{"formattedCitation":"(Grime, 1977)","plainTextFormattedCitation":"(Grime, 1977)","previouslyFormattedCitation":"(Grime, 1977)"},"properties":{"noteIndex":0},"schema":"https://github.com/citation-style-language/schema/raw/master/csl-citation.json"}</w:instrText>
      </w:r>
      <w:r w:rsidRPr="00872293">
        <w:rPr>
          <w:rFonts w:ascii="Times New Roman" w:hAnsi="Times New Roman" w:cs="Times New Roman"/>
          <w:iCs/>
        </w:rPr>
        <w:fldChar w:fldCharType="separate"/>
      </w:r>
      <w:r w:rsidRPr="00872293">
        <w:rPr>
          <w:rFonts w:ascii="Times New Roman" w:hAnsi="Times New Roman" w:cs="Times New Roman"/>
          <w:iCs/>
          <w:noProof/>
        </w:rPr>
        <w:t>(Grime, 1977)</w:t>
      </w:r>
      <w:r w:rsidRPr="00872293">
        <w:rPr>
          <w:rFonts w:ascii="Times New Roman" w:hAnsi="Times New Roman" w:cs="Times New Roman"/>
          <w:iCs/>
        </w:rPr>
        <w:fldChar w:fldCharType="end"/>
      </w:r>
      <w:r w:rsidRPr="00872293">
        <w:rPr>
          <w:rFonts w:ascii="Times New Roman" w:hAnsi="Times New Roman" w:cs="Times New Roman"/>
          <w:iCs/>
        </w:rPr>
        <w:t xml:space="preserve">, which has been successfully applied to plant leaf traits </w:t>
      </w:r>
      <w:r w:rsidRPr="00872293">
        <w:rPr>
          <w:rFonts w:ascii="Times New Roman" w:hAnsi="Times New Roman" w:cs="Times New Roman"/>
          <w:iCs/>
        </w:rPr>
        <w:fldChar w:fldCharType="begin" w:fldLock="1"/>
      </w:r>
      <w:r w:rsidRPr="00872293">
        <w:rPr>
          <w:rFonts w:ascii="Times New Roman" w:hAnsi="Times New Roman" w:cs="Times New Roman"/>
          <w:iCs/>
        </w:rPr>
        <w:instrText>ADDIN CSL_CITATION {"citationItems":[{"id":"ITEM-1","itemData":{"DOI":"10.1038/nature02403","ISSN":"00280836","PMID":"15103368","abstract":"Bringing together leaf trait data spanning 2,548 species and 175 sites we describe, for the first time at global scale, a universal spectrum of leaf economics consisting of key chemical, structural and physiological properties. The spectrum runs from quick to slow return on investments of nutrients and dry mass in leaves, and operates largely independently of growth form, plant functional type or biome. Categories along the spectrum would, in general, describe leaf economic variation at the global scale better than plant functional types overlap substantially in their leaf traits. Overall, modulation of leaf traits and trait relationships by climate is surprisingly modest, although some striking and significant patterns can be seen. Reliable quantification of the leaf economics spectrum and its interaction with climate will prove valuable for modelling nutrient fluxes and vegetation boundaries under changing land-use and climate.","author":[{"dropping-particle":"","family":"Wright","given":"Ian J.","non-dropping-particle":"","parse-names":false,"suffix":""},{"dropping-particle":"","family":"Reich","given":"Peter B.","non-dropping-particle":"","parse-names":false,"suffix":""},{"dropping-particle":"","family":"Westoby","given":"Mark","non-dropping-particle":"","parse-names":false,"suffix":""},{"dropping-particle":"","family":"Ackerly","given":"David D.","non-dropping-particle":"","parse-names":false,"suffix":""},{"dropping-particle":"","family":"Baruch","given":"Zdravko","non-dropping-particle":"","parse-names":false,"suffix":""},{"dropping-particle":"","family":"Bongers","given":"Frans","non-dropping-particle":"","parse-names":false,"suffix":""},{"dropping-particle":"","family":"Cavender-Bares","given":"Jeannine","non-dropping-particle":"","parse-names":false,"suffix":""},{"dropping-particle":"","family":"Chapin","given":"Terry","non-dropping-particle":"","parse-names":false,"suffix":""},{"dropping-particle":"","family":"Cornellssen","given":"Johannes H.C.","non-dropping-particle":"","parse-names":false,"suffix":""},{"dropping-particle":"","family":"Diemer","given":"Matthias","non-dropping-particle":"","parse-names":false,"suffix":""},{"dropping-particle":"","family":"Flexas","given":"Jaume","non-dropping-particle":"","parse-names":false,"suffix":""},{"dropping-particle":"","family":"Garnier","given":"Eric","non-dropping-particle":"","parse-names":false,"suffix":""},{"dropping-particle":"","family":"Groom","given":"Philip K.","non-dropping-particle":"","parse-names":false,"suffix":""},{"dropping-particle":"","family":"Gulias","given":"Javier","non-dropping-particle":"","parse-names":false,"suffix":""},{"dropping-particle":"","family":"Hikosaka","given":"Kouki","non-dropping-particle":"","parse-names":false,"suffix":""},{"dropping-particle":"","family":"Lamont","given":"Byron B.","non-dropping-particle":"","parse-names":false,"suffix":""},{"dropping-particle":"","family":"Lee","given":"Tall","non-dropping-particle":"","parse-names":false,"suffix":""},{"dropping-particle":"","family":"Lee","given":"William","non-dropping-particle":"","parse-names":false,"suffix":""},{"dropping-particle":"","family":"Lusk","given":"Christopher","non-dropping-particle":"","parse-names":false,"suffix":""},{"dropping-particle":"","family":"Midgley","given":"Jeremy J.","non-dropping-particle":"","parse-names":false,"suffix":""},{"dropping-particle":"","family":"Navas","given":"Marie Laure","non-dropping-particle":"","parse-names":false,"suffix":""},{"dropping-particle":"","family":"Niinemets","given":"Ülo","non-dropping-particle":"","parse-names":false,"suffix":""},{"dropping-particle":"","family":"Oleksyn","given":"Jacek","non-dropping-particle":"","parse-names":false,"suffix":""},{"dropping-particle":"","family":"Osada","given":"Horiyuki","non-dropping-particle":"","parse-names":false,"suffix":""},{"dropping-particle":"","family":"Poorter","given":"Hendrik","non-dropping-particle":"","parse-names":false,"suffix":""},{"dropping-particle":"","family":"Pool","given":"Pleter","non-dropping-particle":"","parse-names":false,"suffix":""},{"dropping-particle":"","family":"Prior","given":"Lynda","non-dropping-particle":"","parse-names":false,"suffix":""},{"dropping-particle":"","family":"Pyankov","given":"Vladimir I.","non-dropping-particle":"","parse-names":false,"suffix":""},{"dropping-particle":"","family":"Roumet","given":"Catherine","non-dropping-particle":"","parse-names":false,"suffix":""},{"dropping-particle":"","family":"Thomas","given":"Sean C.","non-dropping-particle":"","parse-names":false,"suffix":""},{"dropping-particle":"","family":"Tjoelker","given":"Mark G.","non-dropping-particle":"","parse-names":false,"suffix":""},{"dropping-particle":"","family":"Veneklaas","given":"Erik J.","non-dropping-particle":"","parse-names":false,"suffix":""},{"dropping-particle":"","family":"Villar","given":"Rafael","non-dropping-particle":"","parse-names":false,"suffix":""}],"container-title":"Nature","id":"ITEM-1","issued":{"date-parts":[["2004"]]},"page":"829-827","title":"The worldwide leaf economics spectrum","type":"article-journal","volume":"428"},"uris":["http://www.mendeley.com/documents/?uuid=07211a9e-b175-40f6-a091-83c57a99ce2e"]}],"mendeley":{"formattedCitation":"(Wright &lt;i&gt;et al.&lt;/i&gt;, 2004)","plainTextFormattedCitation":"(Wright et al., 2004)","previouslyFormattedCitation":"(Wright &lt;i&gt;et al.&lt;/i&gt;, 2004)"},"properties":{"noteIndex":0},"schema":"https://github.com/citation-style-language/schema/raw/master/csl-citation.json"}</w:instrText>
      </w:r>
      <w:r w:rsidRPr="00872293">
        <w:rPr>
          <w:rFonts w:ascii="Times New Roman" w:hAnsi="Times New Roman" w:cs="Times New Roman"/>
          <w:iCs/>
        </w:rPr>
        <w:fldChar w:fldCharType="separate"/>
      </w:r>
      <w:r w:rsidRPr="00872293">
        <w:rPr>
          <w:rFonts w:ascii="Times New Roman" w:hAnsi="Times New Roman" w:cs="Times New Roman"/>
          <w:iCs/>
          <w:noProof/>
        </w:rPr>
        <w:t xml:space="preserve">(Wright </w:t>
      </w:r>
      <w:r w:rsidRPr="00872293">
        <w:rPr>
          <w:rFonts w:ascii="Times New Roman" w:hAnsi="Times New Roman" w:cs="Times New Roman"/>
          <w:i/>
          <w:iCs/>
          <w:noProof/>
        </w:rPr>
        <w:t>et al.</w:t>
      </w:r>
      <w:r w:rsidRPr="00872293">
        <w:rPr>
          <w:rFonts w:ascii="Times New Roman" w:hAnsi="Times New Roman" w:cs="Times New Roman"/>
          <w:iCs/>
          <w:noProof/>
        </w:rPr>
        <w:t>, 2004)</w:t>
      </w:r>
      <w:r w:rsidRPr="00872293">
        <w:rPr>
          <w:rFonts w:ascii="Times New Roman" w:hAnsi="Times New Roman" w:cs="Times New Roman"/>
          <w:iCs/>
        </w:rPr>
        <w:fldChar w:fldCharType="end"/>
      </w:r>
      <w:r w:rsidRPr="00872293">
        <w:rPr>
          <w:rFonts w:ascii="Times New Roman" w:hAnsi="Times New Roman" w:cs="Times New Roman"/>
          <w:iCs/>
        </w:rPr>
        <w:t xml:space="preserve">, yet not as successfully to root traits </w:t>
      </w:r>
      <w:r w:rsidRPr="00872293">
        <w:rPr>
          <w:rFonts w:ascii="Times New Roman" w:hAnsi="Times New Roman" w:cs="Times New Roman"/>
          <w:iCs/>
        </w:rPr>
        <w:fldChar w:fldCharType="begin" w:fldLock="1"/>
      </w:r>
      <w:r w:rsidRPr="00872293">
        <w:rPr>
          <w:rFonts w:ascii="Times New Roman" w:hAnsi="Times New Roman" w:cs="Times New Roman"/>
          <w:iCs/>
        </w:rPr>
        <w:instrText>ADDIN CSL_CITATION {"citationItems":[{"id":"ITEM-1","itemData":{"DOI":"10.1111/nph.14003","ISSN":"14698137","abstract":"Contents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phytologist","id":"ITEM-1","issue":"4","issued":{"date-parts":[["2016"]]},"page":"1159-1169","title":"Towards a multidimensional root trait framework: a tree root review","type":"article-journal","volume":"211"},"uris":["http://www.mendeley.com/documents/?uuid=d741bfb7-9707-4b75-9f0b-92e93dafa19e"]}],"mendeley":{"formattedCitation":"(Weemstra &lt;i&gt;et al.&lt;/i&gt;, 2016)","plainTextFormattedCitation":"(Weemstra et al., 2016)","previouslyFormattedCitation":"(Weemstra &lt;i&gt;et al.&lt;/i&gt;, 2016)"},"properties":{"noteIndex":0},"schema":"https://github.com/citation-style-language/schema/raw/master/csl-citation.json"}</w:instrText>
      </w:r>
      <w:r w:rsidRPr="00872293">
        <w:rPr>
          <w:rFonts w:ascii="Times New Roman" w:hAnsi="Times New Roman" w:cs="Times New Roman"/>
          <w:iCs/>
        </w:rPr>
        <w:fldChar w:fldCharType="separate"/>
      </w:r>
      <w:r w:rsidRPr="00872293">
        <w:rPr>
          <w:rFonts w:ascii="Times New Roman" w:hAnsi="Times New Roman" w:cs="Times New Roman"/>
          <w:iCs/>
          <w:noProof/>
        </w:rPr>
        <w:t xml:space="preserve">(Weemstra </w:t>
      </w:r>
      <w:r w:rsidRPr="00872293">
        <w:rPr>
          <w:rFonts w:ascii="Times New Roman" w:hAnsi="Times New Roman" w:cs="Times New Roman"/>
          <w:i/>
          <w:iCs/>
          <w:noProof/>
        </w:rPr>
        <w:t>et al.</w:t>
      </w:r>
      <w:r w:rsidRPr="00872293">
        <w:rPr>
          <w:rFonts w:ascii="Times New Roman" w:hAnsi="Times New Roman" w:cs="Times New Roman"/>
          <w:iCs/>
          <w:noProof/>
        </w:rPr>
        <w:t>, 2016)</w:t>
      </w:r>
      <w:r w:rsidRPr="00872293">
        <w:rPr>
          <w:rFonts w:ascii="Times New Roman" w:hAnsi="Times New Roman" w:cs="Times New Roman"/>
          <w:iCs/>
        </w:rPr>
        <w:fldChar w:fldCharType="end"/>
      </w:r>
      <w:r w:rsidRPr="00872293">
        <w:rPr>
          <w:rFonts w:ascii="Times New Roman" w:hAnsi="Times New Roman" w:cs="Times New Roman"/>
          <w:iCs/>
        </w:rPr>
        <w:t xml:space="preserve">. The endeavor of mirroring the leaf economic spectrum on root systems has taken root ecology to the next level of complexity, exploring the </w:t>
      </w:r>
      <w:r w:rsidRPr="00872293">
        <w:rPr>
          <w:rFonts w:ascii="Times New Roman" w:hAnsi="Times New Roman" w:cs="Times New Roman"/>
          <w:iCs/>
        </w:rPr>
        <w:lastRenderedPageBreak/>
        <w:t xml:space="preserve">multidimensional variation of root traits worldwide </w:t>
      </w:r>
      <w:r w:rsidRPr="00872293">
        <w:rPr>
          <w:rFonts w:ascii="Times New Roman" w:hAnsi="Times New Roman" w:cs="Times New Roman"/>
          <w:iCs/>
        </w:rPr>
        <w:fldChar w:fldCharType="begin" w:fldLock="1"/>
      </w:r>
      <w:r w:rsidRPr="00872293">
        <w:rPr>
          <w:rFonts w:ascii="Times New Roman" w:hAnsi="Times New Roman" w:cs="Times New Roman"/>
          <w:iCs/>
        </w:rPr>
        <w:instrText>ADDIN CSL_CITATION {"citationItems":[{"id":"ITEM-1","itemData":{"DOI":"10.1111/nph.14003","ISSN":"14698137","abstract":"Contents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phytologist","id":"ITEM-1","issue":"4","issued":{"date-parts":[["2016"]]},"page":"1159-1169","title":"Towards a multidimensional root trait framework: a tree root review","type":"article-journal","volume":"211"},"uris":["http://www.mendeley.com/documents/?uuid=d741bfb7-9707-4b75-9f0b-92e93dafa19e"]},{"id":"ITEM-2","itemData":{"author":[{"dropping-particle":"","family":"Norby","given":"Richard J.","non-dropping-particle":"","parse-names":false,"suffix":""},{"dropping-particle":"","family":"Iversen","given":"Colleen M.","non-dropping-particle":"","parse-names":false,"suffix":""}],"container-title":"New Phytologist","id":"ITEM-2","issue":"1","issued":{"date-parts":[["2013"]]},"page":"5-8","title":"Introduction to a Virtual Issue on root traits","type":"article-journal","volume":"215"},"uris":["http://www.mendeley.com/documents/?uuid=4525621a-88b4-479d-82dd-4fb59a3fbf8b"]},{"id":"ITEM-3","itemData":{"DOI":"10.1126/sciadv.aba3756","ISSN":"23752548","abstract":"Plant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Der","parse-names":false,"suffix":""},{"dropping-particle":"","family":"Laughli","given":"Daniel C.","non-dropping-particle":"","parse-names":false,"suffix":""},{"dropping-particle":"","family":"Kuype","given":"Thom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J.","non-dropping-particle":"","parse-names":false,"suffix":""},{"dropping-particle":"","family":"Bruelheide","given":"Helge","non-dropping-particle":"","parse-names":false,"suffix":""},{"dropping-particle":"","family":"Fresche","given":"Grégoire T.","non-dropping-particle":"","parse-names":false,"suffix":""},{"dropping-particle":"","family":"Iverse","given":"Colleen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Advances","id":"ITEM-3","issued":{"date-parts":[["2020"]]},"page":"27","title":"The fungal collaboration gradient dominates the root economics space in plants","type":"article-journal","volume":"6"},"uris":["http://www.mendeley.com/documents/?uuid=32db0a51-ef0e-4152-943b-b2fefc84c374"]}],"mendeley":{"formattedCitation":"(Norby &amp; Iversen, 2013; Weemstra &lt;i&gt;et al.&lt;/i&gt;, 2016; Bergmann &lt;i&gt;et al.&lt;/i&gt;, 2020)","plainTextFormattedCitation":"(Norby &amp; Iversen, 2013; Weemstra et al., 2016; Bergmann et al., 2020)","previouslyFormattedCitation":"(Norby &amp; Iversen, 2013; Weemstra &lt;i&gt;et al.&lt;/i&gt;, 2016; Bergmann &lt;i&gt;et al.&lt;/i&gt;, 2020)"},"properties":{"noteIndex":0},"schema":"https://github.com/citation-style-language/schema/raw/master/csl-citation.json"}</w:instrText>
      </w:r>
      <w:r w:rsidRPr="00872293">
        <w:rPr>
          <w:rFonts w:ascii="Times New Roman" w:hAnsi="Times New Roman" w:cs="Times New Roman"/>
          <w:iCs/>
        </w:rPr>
        <w:fldChar w:fldCharType="separate"/>
      </w:r>
      <w:r w:rsidRPr="00872293">
        <w:rPr>
          <w:rFonts w:ascii="Times New Roman" w:hAnsi="Times New Roman" w:cs="Times New Roman"/>
          <w:iCs/>
          <w:noProof/>
        </w:rPr>
        <w:t xml:space="preserve">(Norby &amp; Iversen, 2013; Weemstra </w:t>
      </w:r>
      <w:r w:rsidRPr="00872293">
        <w:rPr>
          <w:rFonts w:ascii="Times New Roman" w:hAnsi="Times New Roman" w:cs="Times New Roman"/>
          <w:i/>
          <w:iCs/>
          <w:noProof/>
        </w:rPr>
        <w:t>et al.</w:t>
      </w:r>
      <w:r w:rsidRPr="00872293">
        <w:rPr>
          <w:rFonts w:ascii="Times New Roman" w:hAnsi="Times New Roman" w:cs="Times New Roman"/>
          <w:iCs/>
          <w:noProof/>
        </w:rPr>
        <w:t xml:space="preserve">, 2016; Bergmann </w:t>
      </w:r>
      <w:r w:rsidRPr="00872293">
        <w:rPr>
          <w:rFonts w:ascii="Times New Roman" w:hAnsi="Times New Roman" w:cs="Times New Roman"/>
          <w:i/>
          <w:iCs/>
          <w:noProof/>
        </w:rPr>
        <w:t>et al.</w:t>
      </w:r>
      <w:r w:rsidRPr="00872293">
        <w:rPr>
          <w:rFonts w:ascii="Times New Roman" w:hAnsi="Times New Roman" w:cs="Times New Roman"/>
          <w:iCs/>
          <w:noProof/>
        </w:rPr>
        <w:t>, 2020)</w:t>
      </w:r>
      <w:r w:rsidRPr="00872293">
        <w:rPr>
          <w:rFonts w:ascii="Times New Roman" w:hAnsi="Times New Roman" w:cs="Times New Roman"/>
          <w:iCs/>
        </w:rPr>
        <w:fldChar w:fldCharType="end"/>
      </w:r>
      <w:r w:rsidRPr="00872293">
        <w:rPr>
          <w:rFonts w:ascii="Times New Roman" w:hAnsi="Times New Roman" w:cs="Times New Roman"/>
          <w:iCs/>
        </w:rPr>
        <w:t xml:space="preserve">. This hypothesis of root traits trade-off has resulted in many recent studies seeking the relationships between root traits across species </w:t>
      </w:r>
      <w:r w:rsidRPr="00872293">
        <w:rPr>
          <w:rFonts w:ascii="Times New Roman" w:hAnsi="Times New Roman" w:cs="Times New Roman"/>
          <w:iCs/>
        </w:rPr>
        <w:fldChar w:fldCharType="begin" w:fldLock="1"/>
      </w:r>
      <w:r w:rsidRPr="00872293">
        <w:rPr>
          <w:rFonts w:ascii="Times New Roman" w:hAnsi="Times New Roman" w:cs="Times New Roman"/>
          <w:iCs/>
        </w:rPr>
        <w:instrText>ADDIN CSL_CITATION {"citationItems":[{"id":"ITEM-1","itemData":{"DOI":"10.1007/s11104-019-03963-9","ISSN":"15735036","abstract":"Background and aims: Ancient Amazon soils are characterised by low concentrations of soil phosphorus (P). Therefore, it is hypothesised that plants may invest a substantial proportion of their resources belowground to adjust their P-uptake strategies, including root morphological, physiological (phosphatase enzyme activities) and biotic (arbuscular mycorrhizal (AM) associations) adaptations. Since these strategies are energy demanding, we hypothesise that trade-offs between morphological traits and root phosphatase exudation and symbiotic associations would occur. Specifically, we expected that plants which invest in finer roots, and therefore have greater ability to explore large soil volumes, would have a high investment in physiological adaptations such as enhanced phosphatase production. In contrast, we expected that plants with predominantly thicker roots would invest more in symbiotic associations, in which carbon is traded for P acquired from AM fungal communities. Methods: We collected absorptive roots (&lt;2 mm diameter) from a lowland Central Amazon forest near Manaus, Brazil. We measured fine root diameter, specific root length (SRL), specific root area (SRA), root tissue density (RTD), root phosphatase activity (APase) and arbuscular mycorrhizal (AM) fungi colonisation. Results: Root morphological traits were related to APase activity, with higher APase activity in roots with higher SRL and SRA but lower RTD. However, the degree of AM colonisation was not related to any measured root morphological trait. Conclusions: Fine absorptive roots likely benefit from having low RTD, high SRL, SRA and APase exudation to acquire P efficiently. However, because AM colonisation was not related to root morphology, we suggest that investment in multiple P-uptake strategies is required for maintaining productivity in Central Amazon forests.","author":[{"dropping-particle":"","family":"Lugli","given":"Laynara F.","non-dropping-particle":"","parse-names":false,"suffix":""},{"dropping-particle":"","family":"Andersen","given":"Kelly M.","non-dropping-particle":"","parse-names":false,"suffix":""},{"dropping-particle":"","family":"Aragão","given":"Luiz E.O.C.","non-dropping-particle":"","parse-names":false,"suffix":""},{"dropping-particle":"","family":"Cordeiro","given":"Amanda L.","non-dropping-particle":"","parse-names":false,"suffix":""},{"dropping-particle":"","family":"Cunha","given":"Hellen F.V.","non-dropping-particle":"","parse-names":false,"suffix":""},{"dropping-particle":"","family":"Fuchslueger","given":"Lucia","non-dropping-particle":"","parse-names":false,"suffix":""},{"dropping-particle":"","family":"Meir","given":"Patrick","non-dropping-particle":"","parse-names":false,"suffix":""},{"dropping-particle":"","family":"Mercado","given":"Lina M.","non-dropping-particle":"","parse-names":false,"suffix":""},{"dropping-particle":"","family":"Oblitas","given":"Erick","non-dropping-particle":"","parse-names":false,"suffix":""},{"dropping-particle":"","family":"Quesada","given":"Carlos A.","non-dropping-particle":"","parse-names":false,"suffix":""},{"dropping-particle":"","family":"Rosa","given":"Jessica S.","non-dropping-particle":"","parse-names":false,"suffix":""},{"dropping-particle":"","family":"Schaap","given":"Karst J.","non-dropping-particle":"","parse-names":false,"suffix":""},{"dropping-particle":"","family":"Valverde-Barrantes","given":"Oscar","non-dropping-particle":"","parse-names":false,"suffix":""},{"dropping-particle":"","family":"Hartley","given":"Iain P.","non-dropping-particle":"","parse-names":false,"suffix":""}],"container-title":"Plant and Soil","id":"ITEM-1","issued":{"date-parts":[["2019"]]},"page":"49-63","title":"Multiple phosphorus acquisition strategies adopted by fine roots in low-fertility soils in Central Amazonia","type":"article-journal","volume":"450"},"uris":["http://www.mendeley.com/documents/?uuid=24f71e62-5efe-40f8-9fce-b1db36822b98"]},{"id":"ITEM-2","itemData":{"DOI":"10.1111/nph.12842","ISBN":"1469-8137","ISSN":"14698137","PMID":"24824672","abstract":"Absorptive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Phytologist","id":"ITEM-2","issue":"3","issued":{"date-parts":[["2014"]]},"page":"863-872","title":"Leading dimensions in absorptive root trait variation across 96 subtropical forest species","type":"article-journal","volume":"203"},"uris":["http://www.mendeley.com/documents/?uuid=a7e2c871-4bd8-41c2-9249-3fc27422af67"]}],"mendeley":{"formattedCitation":"(Kong &lt;i&gt;et al.&lt;/i&gt;, 2014; Lugli &lt;i&gt;et al.&lt;/i&gt;, 2019)","plainTextFormattedCitation":"(Kong et al., 2014; Lugli et al., 2019)","previouslyFormattedCitation":"(Kong &lt;i&gt;et al.&lt;/i&gt;, 2014; Lugli &lt;i&gt;et al.&lt;/i&gt;, 2019)"},"properties":{"noteIndex":0},"schema":"https://github.com/citation-style-language/schema/raw/master/csl-citation.json"}</w:instrText>
      </w:r>
      <w:r w:rsidRPr="00872293">
        <w:rPr>
          <w:rFonts w:ascii="Times New Roman" w:hAnsi="Times New Roman" w:cs="Times New Roman"/>
          <w:iCs/>
        </w:rPr>
        <w:fldChar w:fldCharType="separate"/>
      </w:r>
      <w:r w:rsidRPr="00872293">
        <w:rPr>
          <w:rFonts w:ascii="Times New Roman" w:hAnsi="Times New Roman" w:cs="Times New Roman"/>
          <w:iCs/>
          <w:noProof/>
        </w:rPr>
        <w:t xml:space="preserve">(Kong </w:t>
      </w:r>
      <w:r w:rsidRPr="00872293">
        <w:rPr>
          <w:rFonts w:ascii="Times New Roman" w:hAnsi="Times New Roman" w:cs="Times New Roman"/>
          <w:i/>
          <w:iCs/>
          <w:noProof/>
        </w:rPr>
        <w:t>et al.</w:t>
      </w:r>
      <w:r w:rsidRPr="00872293">
        <w:rPr>
          <w:rFonts w:ascii="Times New Roman" w:hAnsi="Times New Roman" w:cs="Times New Roman"/>
          <w:iCs/>
          <w:noProof/>
        </w:rPr>
        <w:t xml:space="preserve">, 2014; Lugli </w:t>
      </w:r>
      <w:r w:rsidRPr="00872293">
        <w:rPr>
          <w:rFonts w:ascii="Times New Roman" w:hAnsi="Times New Roman" w:cs="Times New Roman"/>
          <w:i/>
          <w:iCs/>
          <w:noProof/>
        </w:rPr>
        <w:t>et al.</w:t>
      </w:r>
      <w:r w:rsidRPr="00872293">
        <w:rPr>
          <w:rFonts w:ascii="Times New Roman" w:hAnsi="Times New Roman" w:cs="Times New Roman"/>
          <w:iCs/>
          <w:noProof/>
        </w:rPr>
        <w:t>, 2019)</w:t>
      </w:r>
      <w:r w:rsidRPr="00872293">
        <w:rPr>
          <w:rFonts w:ascii="Times New Roman" w:hAnsi="Times New Roman" w:cs="Times New Roman"/>
          <w:iCs/>
        </w:rPr>
        <w:fldChar w:fldCharType="end"/>
      </w:r>
      <w:r w:rsidRPr="00872293">
        <w:rPr>
          <w:rFonts w:ascii="Times New Roman" w:hAnsi="Times New Roman" w:cs="Times New Roman"/>
          <w:iCs/>
        </w:rPr>
        <w:t xml:space="preserve">. For example, </w:t>
      </w:r>
      <w:r w:rsidRPr="00872293">
        <w:rPr>
          <w:rFonts w:ascii="Times New Roman" w:hAnsi="Times New Roman" w:cs="Times New Roman"/>
        </w:rPr>
        <w:t xml:space="preserve">it has been shown that there is a trade-off between root morphology (e.g. specific root length, root diameter), and some root traits related to nutrient acquisition (e.g. </w:t>
      </w:r>
      <w:r w:rsidR="00AC55FE">
        <w:rPr>
          <w:rFonts w:ascii="Times New Roman" w:hAnsi="Times New Roman" w:cs="Times New Roman"/>
        </w:rPr>
        <w:t xml:space="preserve">root </w:t>
      </w:r>
      <w:r w:rsidRPr="00872293">
        <w:rPr>
          <w:rFonts w:ascii="Times New Roman" w:hAnsi="Times New Roman" w:cs="Times New Roman"/>
        </w:rPr>
        <w:t xml:space="preserve">phosphatase activity, mycorrhizal colonization, and root branching ratio); yet the direction of these trade-offs </w:t>
      </w:r>
      <w:r w:rsidR="00AC55FE">
        <w:rPr>
          <w:rFonts w:ascii="Times New Roman" w:hAnsi="Times New Roman" w:cs="Times New Roman"/>
        </w:rPr>
        <w:t>is</w:t>
      </w:r>
      <w:r w:rsidRPr="00872293">
        <w:rPr>
          <w:rFonts w:ascii="Times New Roman" w:hAnsi="Times New Roman" w:cs="Times New Roman"/>
        </w:rPr>
        <w:t xml:space="preserve"> still debated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{"citationItems":[{"id":"ITEM-1","itemData":{"DOI":"10.1007/s11104-019-03963-9","ISSN":"15735036","abstract":"Background and aims: Ancient Amazon soils are characterised by low concentrations of soil phosphorus (P). Therefore, it is hypothesised that plants may invest a substantial proportion of their resources belowground to adjust their P-uptake strategies, including root morphological, physiological (phosphatase enzyme activities) and biotic (arbuscular mycorrhizal (AM) associations) adaptations. Since these strategies are energy demanding, we hypothesise that trade-offs between morphological traits and root phosphatase exudation and symbiotic associations would occur. Specifically, we expected that plants which invest in finer roots, and therefore have greater ability to explore large soil volumes, would have a high investment in physiological adaptations such as enhanced phosphatase production. In contrast, we expected that plants with predominantly thicker roots would invest more in symbiotic associations, in which carbon is traded for P acquired from AM fungal communities. Methods: We collected absorptive roots (&lt;2 mm diameter) from a lowland Central Amazon forest near Manaus, Brazil. We measured fine root diameter, specific root length (SRL), specific root area (SRA), root tissue density (RTD), root phosphatase activity (APase) and arbuscular mycorrhizal (AM) fungi colonisation. Results: Root morphological traits were related to APase activity, with higher APase activity in roots with higher SRL and SRA but lower RTD. However, the degree of AM colonisation was not related to any measured root morphological trait. Conclusions: Fine absorptive roots likely benefit from having low RTD, high SRL, SRA and APase exudation to acquire P efficiently. However, because AM colonisation was not related to root morphology, we suggest that investment in multiple P-uptake strategies is required for maintaining productivity in Central Amazon forests.","author":[{"dropping-particle":"","family":"Lugli","given":"Laynara F.","non-dropping-particle":"","parse-names":false,"suffix":""},{"dropping-particle":"","family":"Andersen","given":"Kelly M.","non-dropping-particle":"","parse-names":false,"suffix":""},{"dropping-particle":"","family":"Aragão","given":"Luiz E.O.C.","non-dropping-particle":"","parse-names":false,"suffix":""},{"dropping-particle":"","family":"Cordeiro","given":"Amanda L.","non-dropping-particle":"","parse-names":false,"suffix":""},{"dropping-particle":"","family":"Cunha","given":"Hellen F.V.","non-dropping-particle":"","parse-names":false,"suffix":""},{"dropping-particle":"","family":"Fuchslueger","given":"Lucia","non-dropping-particle":"","parse-names":false,"suffix":""},{"dropping-particle":"","family":"Meir","given":"Patrick","non-dropping-particle":"","parse-names":false,"suffix":""},{"dropping-particle":"","family":"Mercado","given":"Lina M.","non-dropping-particle":"","parse-names":false,"suffix":""},{"dropping-particle":"","family":"Oblitas","given":"Erick","non-dropping-particle":"","parse-names":false,"suffix":""},{"dropping-particle":"","family":"Quesada","given":"Carlos A.","non-dropping-particle":"","parse-names":false,"suffix":""},{"dropping-particle":"","family":"Rosa","given":"Jessica S.","non-dropping-particle":"","parse-names":false,"suffix":""},{"dropping-particle":"","family":"Schaap","given":"Karst J.","non-dropping-particle":"","parse-names":false,"suffix":""},{"dropping-particle":"","family":"Valverde-Barrantes","given":"Oscar","non-dropping-particle":"","parse-names":false,"suffix":""},{"dropping-particle":"","family":"Hartley","given":"Iain P.","non-dropping-particle":"","parse-names":false,"suffix":""}],"container-title":"Plant and Soil","id":"ITEM-1","issued":{"date-parts":[["2019"]]},"page":"49-63","title":"Multiple phosphorus acquisition strategies adopted by fine roots in low-fertility soils in Central Amazonia","type":"article-journal","volume":"450"},"uris":["http://www.mendeley.com/documents/?uuid=24f71e62-5efe-40f8-9fce-b1db36822b98"]},{"id":"ITEM-2","itemData":{"DOI":"10.1111/nph.14003","ISSN":"14698137","abstract":"Contents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phytologist","id":"ITEM-2","issue":"4","issued":{"date-parts":[["2016"]]},"page":"1159-1169","title":"Towards a multidimensional root trait framework: a tree root review","type":"article-journal","volume":"211"},"uris":["http://www.mendeley.com/documents/?uuid=d741bfb7-9707-4b75-9f0b-92e93dafa19e"]},{"id":"ITEM-3","itemData":{"DOI":"10.1111/nph.12842","ISBN":"1469-8137","ISSN":"14698137","PMID":"24824672","abstract":"Absorptive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Phytologist","id":"ITEM-3","issue":"3","issued":{"date-parts":[["2014"]]},"page":"863-872","title":"Leading dimensions in absorptive root trait variation across 96 subtropical forest species","type":"article-journal","volume":"203"},"uris":["http://www.mendeley.com/documents/?uuid=a7e2c871-4bd8-41c2-9249-3fc27422af67"]},{"id":"ITEM-4","itemData":{"DOI":"10.1111/nph.13451","author":[{"dropping-particle":"","family":"Eissenstat","given":"David M.","non-dropping-particle":"","parse-names":false,"suffix":""},{"dropping-particle":"","family":"Kucharski","given":"J. M.","non-dropping-particle":"","parse-names":false,"suffix":""},{"dropping-particle":"","family":"Zadworny","given":"M.","non-dropping-particle":"","parse-names":false,"suffix":""},{"dropping-particle":"","family":"Adams","given":"T. S","non-dropping-particle":"","parse-names":false,"suffix":""},{"dropping-particle":"","family":"Koide","given":"R. T.","non-dropping-particle":"","parse-names":false,"suffix":""}],"container-title":"New Phytologist","id":"ITEM-4","issued":{"date-parts":[["2015"]]},"page":"114-124","title":"Linking root traits to nutrient foraging in arbuscular mycorrhizal trees in a temperate forest","type":"article-journal","volume":"208"},"uris":["http://www.mendeley.com/documents/?uuid=d7ca40cc-7f28-4a97-a5c8-8b30a5ffc126"]}],"mendeley":{"formattedCitation":"(Kong &lt;i&gt;et al.&lt;/i&gt;, 2014; Eissenstat &lt;i&gt;et al.&lt;/i&gt;, 2015; Weemstra &lt;i&gt;et al.&lt;/i&gt;, 2016; Lugli &lt;i&gt;et al.&lt;/i&gt;, 2019)","manualFormatting":"(Kong et al. 2014, Eissenstat et al. 2015, Weemstra et al., 2016, Lugli et al., 2019)","plainTextFormattedCitation":"(Kong et al., 2014; Eissenstat et al., 2015; Weemstra et al., 2016; Lugli et al., 2019)","previouslyFormattedCitation":"(Kong &lt;i&gt;et al.&lt;/i&gt;, 2014; Eissenstat &lt;i&gt;et al.&lt;/i&gt;, 2015; Weemstra &lt;i&gt;et al.&lt;/i&gt;, 2016; Lugli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(Kong </w:t>
      </w:r>
      <w:r w:rsidRPr="00872293">
        <w:rPr>
          <w:rFonts w:ascii="Times New Roman" w:hAnsi="Times New Roman" w:cs="Times New Roman"/>
          <w:i/>
          <w:noProof/>
        </w:rPr>
        <w:t>et al.</w:t>
      </w:r>
      <w:r w:rsidR="007E2C06" w:rsidRPr="00872293">
        <w:rPr>
          <w:rFonts w:ascii="Times New Roman" w:hAnsi="Times New Roman" w:cs="Times New Roman"/>
          <w:i/>
          <w:noProof/>
        </w:rPr>
        <w:t>,</w:t>
      </w:r>
      <w:r w:rsidRPr="00872293">
        <w:rPr>
          <w:rFonts w:ascii="Times New Roman" w:hAnsi="Times New Roman" w:cs="Times New Roman"/>
          <w:noProof/>
        </w:rPr>
        <w:t xml:space="preserve"> 2014, Eissenstat </w:t>
      </w:r>
      <w:r w:rsidRPr="00872293">
        <w:rPr>
          <w:rFonts w:ascii="Times New Roman" w:hAnsi="Times New Roman" w:cs="Times New Roman"/>
          <w:i/>
          <w:noProof/>
        </w:rPr>
        <w:t>et al.</w:t>
      </w:r>
      <w:r w:rsidR="007E2C06" w:rsidRPr="00872293">
        <w:rPr>
          <w:rFonts w:ascii="Times New Roman" w:hAnsi="Times New Roman" w:cs="Times New Roman"/>
          <w:i/>
          <w:noProof/>
        </w:rPr>
        <w:t>,</w:t>
      </w:r>
      <w:r w:rsidRPr="00872293">
        <w:rPr>
          <w:rFonts w:ascii="Times New Roman" w:hAnsi="Times New Roman" w:cs="Times New Roman"/>
          <w:noProof/>
        </w:rPr>
        <w:t xml:space="preserve"> 2015, Weemstra </w:t>
      </w:r>
      <w:r w:rsidRPr="00872293">
        <w:rPr>
          <w:rFonts w:ascii="Times New Roman" w:hAnsi="Times New Roman" w:cs="Times New Roman"/>
          <w:i/>
          <w:noProof/>
        </w:rPr>
        <w:t>et al.,</w:t>
      </w:r>
      <w:r w:rsidRPr="00872293">
        <w:rPr>
          <w:rFonts w:ascii="Times New Roman" w:hAnsi="Times New Roman" w:cs="Times New Roman"/>
          <w:noProof/>
        </w:rPr>
        <w:t xml:space="preserve"> 2016, Lugli </w:t>
      </w:r>
      <w:r w:rsidRPr="00872293">
        <w:rPr>
          <w:rFonts w:ascii="Times New Roman" w:hAnsi="Times New Roman" w:cs="Times New Roman"/>
          <w:i/>
          <w:noProof/>
        </w:rPr>
        <w:t>et al.,</w:t>
      </w:r>
      <w:r w:rsidRPr="00872293">
        <w:rPr>
          <w:rFonts w:ascii="Times New Roman" w:hAnsi="Times New Roman" w:cs="Times New Roman"/>
          <w:noProof/>
        </w:rPr>
        <w:t xml:space="preserve"> 2019)</w:t>
      </w:r>
      <w:r w:rsidRPr="00872293">
        <w:rPr>
          <w:rFonts w:ascii="Times New Roman" w:hAnsi="Times New Roman" w:cs="Times New Roman"/>
        </w:rPr>
        <w:fldChar w:fldCharType="end"/>
      </w:r>
      <w:r w:rsidRPr="00872293">
        <w:rPr>
          <w:rFonts w:ascii="Times New Roman" w:hAnsi="Times New Roman" w:cs="Times New Roman"/>
        </w:rPr>
        <w:t>.</w:t>
      </w:r>
      <w:r w:rsidRPr="00872293">
        <w:rPr>
          <w:rFonts w:ascii="Times New Roman" w:hAnsi="Times New Roman" w:cs="Times New Roman"/>
          <w:iCs/>
        </w:rPr>
        <w:t xml:space="preserve"> </w:t>
      </w:r>
      <w:r w:rsidRPr="00872293">
        <w:rPr>
          <w:rFonts w:ascii="Times New Roman" w:hAnsi="Times New Roman" w:cs="Times New Roman"/>
        </w:rPr>
        <w:t>Therefore, the Root Economics Spectrum (RES) might require more data</w:t>
      </w:r>
      <w:r w:rsidR="00CF102C" w:rsidRPr="00872293">
        <w:rPr>
          <w:rFonts w:ascii="Times New Roman" w:hAnsi="Times New Roman" w:cs="Times New Roman"/>
        </w:rPr>
        <w:t xml:space="preserve"> to better understand the different spatial location of root traits in the current resource gradients</w:t>
      </w:r>
      <w:r w:rsidRPr="00872293">
        <w:rPr>
          <w:rFonts w:ascii="Times New Roman" w:hAnsi="Times New Roman" w:cs="Times New Roman"/>
        </w:rPr>
        <w:t xml:space="preserve">, especially </w:t>
      </w:r>
      <w:r w:rsidR="00CF102C" w:rsidRPr="00872293">
        <w:rPr>
          <w:rFonts w:ascii="Times New Roman" w:hAnsi="Times New Roman" w:cs="Times New Roman"/>
        </w:rPr>
        <w:t>those related to P uptake,</w:t>
      </w:r>
      <w:r w:rsidRPr="00872293">
        <w:rPr>
          <w:rFonts w:ascii="Times New Roman" w:hAnsi="Times New Roman" w:cs="Times New Roman"/>
        </w:rPr>
        <w:t xml:space="preserve"> and </w:t>
      </w:r>
      <w:r w:rsidR="00CF102C" w:rsidRPr="00872293">
        <w:rPr>
          <w:rFonts w:ascii="Times New Roman" w:hAnsi="Times New Roman" w:cs="Times New Roman"/>
        </w:rPr>
        <w:t xml:space="preserve">to identify traits </w:t>
      </w:r>
      <w:r w:rsidR="008904C3" w:rsidRPr="00872293">
        <w:rPr>
          <w:rFonts w:ascii="Times New Roman" w:hAnsi="Times New Roman" w:cs="Times New Roman"/>
        </w:rPr>
        <w:t xml:space="preserve">that </w:t>
      </w:r>
      <w:r w:rsidR="00CF102C" w:rsidRPr="00872293">
        <w:rPr>
          <w:rFonts w:ascii="Times New Roman" w:hAnsi="Times New Roman" w:cs="Times New Roman"/>
        </w:rPr>
        <w:t xml:space="preserve">are more </w:t>
      </w:r>
      <w:r w:rsidRPr="00872293">
        <w:rPr>
          <w:rFonts w:ascii="Times New Roman" w:hAnsi="Times New Roman" w:cs="Times New Roman"/>
        </w:rPr>
        <w:t>responsive</w:t>
      </w:r>
      <w:r w:rsidR="00CF102C" w:rsidRPr="00872293">
        <w:rPr>
          <w:rFonts w:ascii="Times New Roman" w:hAnsi="Times New Roman" w:cs="Times New Roman"/>
        </w:rPr>
        <w:t xml:space="preserve"> </w:t>
      </w:r>
      <w:r w:rsidRPr="00872293">
        <w:rPr>
          <w:rFonts w:ascii="Times New Roman" w:hAnsi="Times New Roman" w:cs="Times New Roman"/>
        </w:rPr>
        <w:t>to environmental changes.</w:t>
      </w:r>
    </w:p>
    <w:p w14:paraId="4C733455" w14:textId="77777777" w:rsidR="00680C52" w:rsidRPr="00872293" w:rsidRDefault="00680C52" w:rsidP="00680C52">
      <w:pPr>
        <w:widowControl w:val="0"/>
        <w:autoSpaceDE w:val="0"/>
        <w:autoSpaceDN w:val="0"/>
        <w:adjustRightInd w:val="0"/>
        <w:spacing w:line="360" w:lineRule="auto"/>
        <w:rPr>
          <w:rFonts w:ascii="Times New Roman" w:hAnsi="Times New Roman" w:cs="Times New Roman"/>
        </w:rPr>
      </w:pPr>
    </w:p>
    <w:p w14:paraId="7AAB7672" w14:textId="41076298" w:rsidR="00680C52" w:rsidRPr="00872293" w:rsidRDefault="00680C52" w:rsidP="00680C52">
      <w:pPr>
        <w:widowControl w:val="0"/>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Some root traits are more responsive to environmental </w:t>
      </w:r>
      <w:r w:rsidR="008904C3" w:rsidRPr="00872293">
        <w:rPr>
          <w:rFonts w:ascii="Times New Roman" w:hAnsi="Times New Roman" w:cs="Times New Roman"/>
        </w:rPr>
        <w:t>disturbances</w:t>
      </w:r>
      <w:r w:rsidRPr="00872293">
        <w:rPr>
          <w:rFonts w:ascii="Times New Roman" w:hAnsi="Times New Roman" w:cs="Times New Roman"/>
        </w:rPr>
        <w:t xml:space="preserve"> than others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species","type":"article-journal","volume":"203"},"uris":["http://www.mendeley.com/documents/?uuid=a7e2c871-4bd8-41c2-9249-3fc27422af67"]},{"id":"ITEM-2","itemData":{"author":[{"dropping-particle":"","family":"Valverde-Barrantes","given":"Oscar J.","non-dropping-particle":"","parse-names":false,"suffix":""},{"dropping-particle":"","family":"Maherali","given":"Hafiz","non-dropping-particle":"","parse-names":false,"suffix":""},{"dropping-particle":"","family":"Baraloto","given":"Christopher","non-dropping-particle":"","parse-names":false,"suffix":""},{"dropping-particle":"","family":"Blackwood","given":"Christopher B.","non-dropping-particle":"","parse-names":false,"suffix":""}],"container-title":"New Phytologist","id":"ITEM-2","issued":{"date-parts":[["2020"]]},"title":"Independent evolutionary changes in fine-root traits among main clades during the diversification of seed plants.","type":"article-journal"},"uris":["http://www.mendeley.com/documents/?uuid=6ce88a7a-beb1-4a5a-be8c-c4ca019be25e"]},{"id":"ITEM-3","itemData":{"DOI":"10.1017/s002185960008566x","ISSN":"0021-8596","author":[{"dropping-particle":"","family":"Waisel","given":"Y.","non-dropping-particle":"","parse-names":false,"suffix":""},{"dropping-particle":"","family":"Eshel","given":"A.","non-dropping-particle":"","parse-names":false,"suffix":""},{"dropping-particle":"","family":"Kafkafi","given":"U.","non-dropping-particle":"","parse-names":false,"suffix":""}],"container-title":"The Journal of Agricultural Science","id":"ITEM-3","issued":{"date-parts":[["1991"]]},"publisher":"Marcel Dekker","publisher-place":"New York","title":"Plant Roots: The Hidden Half","type":"book"},"uris":["http://www.mendeley.com/documents/?uuid=f099f7cf-a3bc-4e04-abad-403bdf9c9b14"]},{"id":"ITEM-4","itemData":{"DOI":"10.1038/nature25783","ISSN":"14764687","abstract":"Plant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family":"Lu","given":"Mingzhen","non-dropping-partic</w:instrText>
      </w:r>
      <w:r w:rsidRPr="00872293">
        <w:rPr>
          <w:rFonts w:ascii="Times New Roman" w:hAnsi="Times New Roman" w:cs="Times New Roman"/>
          <w:lang w:val="es-BO"/>
        </w:rPr>
        <w:instrText>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O.","non-dropping-particle":"","parse-names":false,"suffix":""}],"container-title":"Nature","id":"ITEM-4","issued":{"date-parts":[["2018"]]},"page":"94-97","title":"Evolutionary history resolves global organization of root functional traits","type":"article-journal","volume":"555"},"uris":["http://www.mendeley.com/documents/?uuid=47014ff8-a2a4-401f-901a-0c70bd61b8ba"]}],"mendeley":{"formattedCitation":"(Waisel &lt;i&gt;et al.&lt;/i&gt;, 1991; Kong &lt;i&gt;et al.&lt;/i&gt;, 2014; Ma &lt;i&gt;et al.&lt;/i&gt;, 2018; Valverde-Barrantes &lt;i&gt;et al.&lt;/i&gt;, 2020)","manualFormatting":"(Waisel et al., 1991, Kong et al., 2014, Ma et al., 2018, Valverde-Barrantes et al., 2020)","plainTextFormattedCitation":"(Waisel et al., 1991; Kong et al., 2014; Ma et al., 2018; Valverde-Barrantes et al., 2020)","previouslyFormattedCitation":"(Waisel &lt;i&gt;et al.&lt;/i&gt;, 1991; Kong &lt;i&gt;et al.&lt;/i&gt;, 2014; Ma &lt;i&gt;et al.&lt;/i&gt;, 2018; Valverde-Barrantes &lt;i&gt;et al.&lt;/i&gt;, 2020)"},"properties":{"noteIndex":0},"schema":"https://github.com/citation-style-language/schema/raw/master/csl-citation.json"}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lang w:val="es-BO"/>
        </w:rPr>
        <w:t xml:space="preserve">(Waisel </w:t>
      </w:r>
      <w:r w:rsidRPr="00872293">
        <w:rPr>
          <w:rFonts w:ascii="Times New Roman" w:hAnsi="Times New Roman" w:cs="Times New Roman"/>
          <w:i/>
          <w:noProof/>
          <w:lang w:val="es-BO"/>
        </w:rPr>
        <w:t>et al.,</w:t>
      </w:r>
      <w:r w:rsidRPr="00872293">
        <w:rPr>
          <w:rFonts w:ascii="Times New Roman" w:hAnsi="Times New Roman" w:cs="Times New Roman"/>
          <w:noProof/>
          <w:lang w:val="es-BO"/>
        </w:rPr>
        <w:t xml:space="preserve"> 1991, Kong </w:t>
      </w:r>
      <w:r w:rsidRPr="00872293">
        <w:rPr>
          <w:rFonts w:ascii="Times New Roman" w:hAnsi="Times New Roman" w:cs="Times New Roman"/>
          <w:i/>
          <w:noProof/>
          <w:lang w:val="es-BO"/>
        </w:rPr>
        <w:t>et al.,</w:t>
      </w:r>
      <w:r w:rsidRPr="00872293">
        <w:rPr>
          <w:rFonts w:ascii="Times New Roman" w:hAnsi="Times New Roman" w:cs="Times New Roman"/>
          <w:noProof/>
          <w:lang w:val="es-BO"/>
        </w:rPr>
        <w:t xml:space="preserve"> 2014, Ma </w:t>
      </w:r>
      <w:r w:rsidRPr="00872293">
        <w:rPr>
          <w:rFonts w:ascii="Times New Roman" w:hAnsi="Times New Roman" w:cs="Times New Roman"/>
          <w:i/>
          <w:noProof/>
          <w:lang w:val="es-BO"/>
        </w:rPr>
        <w:t xml:space="preserve">et al., </w:t>
      </w:r>
      <w:r w:rsidRPr="00872293">
        <w:rPr>
          <w:rFonts w:ascii="Times New Roman" w:hAnsi="Times New Roman" w:cs="Times New Roman"/>
          <w:noProof/>
          <w:lang w:val="es-BO"/>
        </w:rPr>
        <w:t xml:space="preserve">2018, Valverde-Barrantes </w:t>
      </w:r>
      <w:r w:rsidRPr="00872293">
        <w:rPr>
          <w:rFonts w:ascii="Times New Roman" w:hAnsi="Times New Roman" w:cs="Times New Roman"/>
          <w:i/>
          <w:noProof/>
          <w:lang w:val="es-BO"/>
        </w:rPr>
        <w:t>et al.,</w:t>
      </w:r>
      <w:r w:rsidRPr="00872293">
        <w:rPr>
          <w:rFonts w:ascii="Times New Roman" w:hAnsi="Times New Roman" w:cs="Times New Roman"/>
          <w:noProof/>
          <w:lang w:val="es-BO"/>
        </w:rPr>
        <w:t xml:space="preserve"> 2020)</w:t>
      </w:r>
      <w:r w:rsidRPr="00872293">
        <w:rPr>
          <w:rFonts w:ascii="Times New Roman" w:hAnsi="Times New Roman" w:cs="Times New Roman"/>
        </w:rPr>
        <w:fldChar w:fldCharType="end"/>
      </w:r>
      <w:r w:rsidRPr="00872293">
        <w:rPr>
          <w:rFonts w:ascii="Times New Roman" w:hAnsi="Times New Roman" w:cs="Times New Roman"/>
          <w:lang w:val="es-BO"/>
        </w:rPr>
        <w:t xml:space="preserve">. </w:t>
      </w:r>
      <w:r w:rsidRPr="00872293">
        <w:rPr>
          <w:rFonts w:ascii="Times New Roman" w:hAnsi="Times New Roman" w:cs="Times New Roman"/>
          <w:bCs/>
        </w:rPr>
        <w:t>For example, Kong</w:t>
      </w:r>
      <w:r w:rsidRPr="00872293">
        <w:rPr>
          <w:rFonts w:ascii="Times New Roman" w:hAnsi="Times New Roman" w:cs="Times New Roman"/>
          <w:bCs/>
          <w:i/>
        </w:rPr>
        <w:t xml:space="preserve"> et al., </w:t>
      </w:r>
      <w:r w:rsidRPr="00872293">
        <w:rPr>
          <w:rFonts w:ascii="Times New Roman" w:hAnsi="Times New Roman" w:cs="Times New Roman"/>
          <w:bCs/>
          <w:iCs/>
        </w:rPr>
        <w:t>(</w:t>
      </w:r>
      <w:r w:rsidRPr="00872293">
        <w:rPr>
          <w:rFonts w:ascii="Times New Roman" w:hAnsi="Times New Roman" w:cs="Times New Roman"/>
          <w:bCs/>
        </w:rPr>
        <w:t>2014) found</w:t>
      </w:r>
      <w:r w:rsidRPr="00872293">
        <w:rPr>
          <w:rFonts w:ascii="Times New Roman" w:hAnsi="Times New Roman" w:cs="Times New Roman"/>
        </w:rPr>
        <w:t xml:space="preserve"> that root diameter, cortex thickness, stele diameter, and vessel diameter are less likely to change with environmental changes. However, traits like branching ratio, vessel density, and branch intensity are more responsive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species","type":"article-journal","volume":"203"},"uris":["http://www.mendeley.com/documents/?uuid=a7e2c871-4bd8-41c2-9249-3fc27422af67"]},{"id":"ITEM-2","itemData":{"DOI":"10.1111/j.1365-2745.2011.01821.x","ISBN":"1365-2745","ISSN":"00220477","abstract":"Summary 1. Below-ground plant functional traits regulate plant–soil interactions and may therefore strongly influence ecosystem responses to global change. Despite this, knowledge of how fine-root functional traits vary among plant species and along environmental gradients has lagged far behind our understanding of above-ground traits. 2. We measured species- and community-level root and leaf trait responses for 50 temperate rain forest species from 28 families of ferns, woody and herbaceous angiosperms and conifers, along a soil chronosequence in New Zealand that exhibits a strong gradient in soil nutrient availability. Relationships among species traits (both above- and below-ground) and their distribution along the chronosequence were tested using phylogenetic generalized least-squares regression to account for plant relatedness. 3. Distinctive root trait syndromes were observed; they were closely linked to species’ distribution along the chronosequence. Species growing in the strongly P-limited late stages of the chronosequence had relatively high specific root length (SRL), thin root diameter, high root tissue density, high levels of root branching and low root nutrient concentrations compared to intermediate stages. Species on the youngest site also had high SRL, but had low root tissue density, thick root diameter and high root nutrient concentrations. 4. Species root and leaf nutrient concentrations were positively correlated, reflecting the strong underlying gradient in soil fertility. In contrast, the relationship between SRL and SLA was more complex; there was a weak positive correlation between SRL and SLA, but this conflicted with stronger patterns of increasing SRL and declining SLA with increasing site age. 5. Community-averaged trait values calculated using presence/absence data showed similar trends to the species-level patterns. In contrast, community averages calculated using species abundance-weighted data showed weaker relationships with site age, particularly for morphological traits. This suggests that much of the variation in morphological traits between sites was driven by shifts in the presence of subordinate or ‘rare’ species rather than by changes in the dominant species. 6. Synthesis. Our study demonstrates co-ordinated species- and community-level changes in root traits along a soil chronosequence. These results highlight the influence of soil nutrition on plant functional traits and contribute to our understanding of the d…","author":[{"dropping-particle":"","family":"Holdaway","given":"Robert J.","non-dropping-particle":"","parse-names":false,"suffix":""},{"dropping-particle":"","family":"Richardson","given":"Sarah J.","non-dropping-particle":"","parse-names":false,"suffix":""},{"dropping-particle":"","family":"Dickie","given":"Ian A.","non-dropping-particle":"","parse-names":false,"suffix":""},{"dropping-particle":"","family":"Peltzer","given":"Duane A.","non-dropping-particle":"","parse-names":false,"suffix":""},{"dropping-particle":"","family":"Coomes","given":"David A.","non-dropping-particle":"","parse-names":false,"suffix":""}],"container-title":"Journal of Ecology","id":"ITEM-2","issue":"4","issued":{"date-parts":[["2011"]]},"page":"954-963","title":"Species- and community-level patterns in fine root traits along a 120000-year soil chronosequence in temperate rain forest","type":"article-journal","volume":"99"},"uris":["http://www.mendeley.com/documents/?uuid=3083fcbc-c314-491e-96a0-f920152377e1"]}],"mendeley":{"formattedCitation":"(Holdaway &lt;i&gt;et al.&lt;/i&gt;, 2011; Kong &lt;i&gt;et al.&lt;/i&gt;, 2014)","manualFormatting":"(Holdaway et al. 2011, Kong et al., 2014)","plainTextFormattedCitation":"(Holdaway et al., 2011; Kong et al., 2014)","previouslyFormattedCitation":"(Holdaway &lt;i&gt;et al.&lt;/i&gt;, 2011; Kong &lt;i&gt;et al.&lt;/i&gt;, 2014)"},"properties":{"noteIndex":0},"schema":"https://github.com/citation-style-language/schema/raw/master/csl-citation.json"}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(Holdaway </w:t>
      </w:r>
      <w:r w:rsidRPr="00872293">
        <w:rPr>
          <w:rFonts w:ascii="Times New Roman" w:hAnsi="Times New Roman" w:cs="Times New Roman"/>
          <w:i/>
          <w:noProof/>
        </w:rPr>
        <w:t>et al.</w:t>
      </w:r>
      <w:r w:rsidR="007E2C06" w:rsidRPr="00872293">
        <w:rPr>
          <w:rFonts w:ascii="Times New Roman" w:hAnsi="Times New Roman" w:cs="Times New Roman"/>
          <w:i/>
          <w:noProof/>
        </w:rPr>
        <w:t>,</w:t>
      </w:r>
      <w:r w:rsidRPr="00872293">
        <w:rPr>
          <w:rFonts w:ascii="Times New Roman" w:hAnsi="Times New Roman" w:cs="Times New Roman"/>
          <w:noProof/>
        </w:rPr>
        <w:t xml:space="preserve"> 2011, Kong </w:t>
      </w:r>
      <w:r w:rsidRPr="00872293">
        <w:rPr>
          <w:rFonts w:ascii="Times New Roman" w:hAnsi="Times New Roman" w:cs="Times New Roman"/>
          <w:i/>
          <w:noProof/>
        </w:rPr>
        <w:t>et al.,</w:t>
      </w:r>
      <w:r w:rsidRPr="00872293">
        <w:rPr>
          <w:rFonts w:ascii="Times New Roman" w:hAnsi="Times New Roman" w:cs="Times New Roman"/>
          <w:noProof/>
        </w:rPr>
        <w:t xml:space="preserve"> 2014)</w:t>
      </w:r>
      <w:r w:rsidRPr="00872293">
        <w:rPr>
          <w:rFonts w:ascii="Times New Roman" w:hAnsi="Times New Roman" w:cs="Times New Roman"/>
        </w:rPr>
        <w:fldChar w:fldCharType="end"/>
      </w:r>
      <w:r w:rsidRPr="00872293">
        <w:rPr>
          <w:rFonts w:ascii="Times New Roman" w:hAnsi="Times New Roman" w:cs="Times New Roman"/>
        </w:rPr>
        <w:t xml:space="preserve">. These studies suggest that some traits are more sensitive to nutrient supply and competitive capacity. Yet, our knowledge of inter-specific, intra-specific, and inter-site root trait variation, and its influence on ecological processes is still scarce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{"citationItems":[{"id":"ITEM-1","itemData":{"DOI":"10.1016/j.tree.2006.02.004","ISSN":"01695347","abstract":"The tissue traits and architectures of plant species are important for land-plant ecology in two ways. First, they control ecosystem processes and define habitat and resources for other taxa; thus, they are a high priority for understanding the ecosystem at a site. Second, knowledge of trait costs and benefits offers the most promising path to understanding how vegetation properties change along physical geography gradients. There exists an informal shortlist of plant traits that are thought to be most informative. Here, we summarize recent research on correlations and tradeoffs surrounding some traits that are prospects for the shortlist. By extending the list and by developing better models for how traits influence species distributions and interactions, a strong foundation of basic ecology can be established, with many practical applications. © 2006 Elsevier Ltd. All rights reserved.","author":[{"dropping-particle":"","family":"Westoby","given":"Mark","non-dropping-particle":"","parse-names":false,"suffix":""},{"dropping-particle":"","family":"Wright","given":"Ian J.","non-dropping-particle":"","parse-names":false,"suffix":""}],"container-title":"Trends in Ecology and Evolution","id":"ITEM-1","issue":"5","issued":{"date-parts":[["2006"]]},"page":"261-268","title":"Land-plant ecology on the basis of functional traits","type":"article-journal","volume":"21"},"uris":["http://www.mendeley.com/documents/?uuid=f8f9e774-36ba-4b28-a51f-12c516e68ea0"]},{"id":"ITEM-2","itemData":{"DOI":"10.3390/plants8070199","ISSN":"22237747","abstract":"Variation in resource acquisition strategies enables plants to adapt to different environments and may partly determine their responses to climate change. However, little is known about how belowground plant traits vary across climate and soil gradients. Focusing on interior Douglas-fir (Pseudotsuga menziesii var. glauca) in western Canada, we tested whether fine-root traits relate to the environment at the intraspecific level. We quantified the variation in commonly measured functional root traits (morphological, chemical, and architectural traits) among the first three fine-root orders (i.e., absorptive fine roots) and across biogeographic gradients in climate and soil factors. Moderate but consistent trait-environment linkages occurred across populations of Douglas-fir, despite high levels of within-site variation. Shifts in morphological traits across regions were decoupled from those in chemical traits. Fine roots in colder/drier climates were characterized by a lower tissue density, higher specific area, larger diameter, and lower carbon-to-nitrogen ratio than those in warmer/wetter climates. Our results showed that Douglas-fir fine roots do not rely on adjustments in architectural traits to adapt rooting strategies in different environments. Intraspecific fine-root adjustments at the regional scale do not fit along a single axis of root economic strategy and are concordant with an increase in root acquisitive potential in colder/drier environments.","author":[{"dropping-particle":"","family":"Defrenne","given":"Camille E.","non-dropping-particle":"","parse-names":false,"suffix":""},{"dropping-particle":"","family":"McCormack","given":"M. Luke","non-dropping-particle":"","parse-names":false,"suffix":""},{"dropping-particle":"","family":"Roach","given":"W. Jean","non-dropping-particle":"","parse-names":false,"suffix":""},{"dropping-particle":"","family":"Addo-Danso","given":"Shalom D.","non-dropping-particle":"","parse-names":false,"suffix":""},{"dropping-particle":"","family":"Simard","given":"Suzanne W.","non-dropping-particle":"","parse-names":false,"suffix":""}],"container-title":"Plants","id":"ITEM-2","issue":"7","issued":{"date-parts":[["2019"]]},"page":"199","title":"Intraspecific fine-root trait-environment relationships across interior douglas-fir forests of western Canada","type":"article-journal","volume":"8"},"uris":["http://www.mendeley.com/documents/?uuid=039dc5e8-b5d2-43f3-bf6f-c90811432286"]}],"mendeley":{"formattedCitation":"(Westoby &amp; Wright, 2006; Defrenne &lt;i&gt;et al.&lt;/i&gt;, 2019)","plainTextFormattedCitation":"(Westoby &amp; Wright, 2006; Defrenne et al., 2019)","previouslyFormattedCitation":"(Westoby &amp; Wright, 2006; Defrenne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(Westoby &amp; Wright, 2006; Defrenne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Pr="00872293">
        <w:rPr>
          <w:rFonts w:ascii="Times New Roman" w:hAnsi="Times New Roman" w:cs="Times New Roman"/>
        </w:rPr>
        <w:t>.</w:t>
      </w:r>
    </w:p>
    <w:p w14:paraId="535E2554" w14:textId="77777777" w:rsidR="00891159" w:rsidRPr="00872293" w:rsidRDefault="00891159" w:rsidP="00680C52">
      <w:pPr>
        <w:widowControl w:val="0"/>
        <w:autoSpaceDE w:val="0"/>
        <w:autoSpaceDN w:val="0"/>
        <w:adjustRightInd w:val="0"/>
        <w:spacing w:line="360" w:lineRule="auto"/>
        <w:rPr>
          <w:rFonts w:ascii="Times New Roman" w:hAnsi="Times New Roman" w:cs="Times New Roman"/>
        </w:rPr>
      </w:pPr>
    </w:p>
    <w:p w14:paraId="59AC2BA6" w14:textId="5B11245D" w:rsidR="00680C52" w:rsidRPr="00872293" w:rsidRDefault="00680C52" w:rsidP="00891159">
      <w:pPr>
        <w:pStyle w:val="Heading2"/>
        <w:spacing w:before="0" w:after="0"/>
      </w:pPr>
      <w:bookmarkStart w:id="4" w:name="_Toc53689048"/>
      <w:r w:rsidRPr="00872293">
        <w:t>Root response to disturbances</w:t>
      </w:r>
      <w:bookmarkEnd w:id="4"/>
    </w:p>
    <w:p w14:paraId="3D136582" w14:textId="478C6181" w:rsidR="00680C52" w:rsidRPr="00872293" w:rsidRDefault="00680C52" w:rsidP="007E18C8">
      <w:pPr>
        <w:widowControl w:val="0"/>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 xml:space="preserve">Studies investigating the complexity of ecosystem responses to global change has greatly increased in the past few decades, and this has included, although in less proportion, the belowground component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{"citationItems":[{"id":"ITEM-1","itemData":{"DOI":"10.1046/j.1469-8137.2000.00676.x","ISSN":"0028646X","abstract":"Changes in the production and turnover of roots in forests and grasslands in response to rising atmospheric CO2 concentrations, elevated temperatures, altered precipitation, or nitrogen deposition could be a key link between plant responses and longer-term changes in soil organic matter and ecosystem carbon balance. Here we summarize the experimental observations, ideas, and new hypotheses developed in this area in the rest of this volume. Three central questions are posed. Do elevated atmospheric CO2, nitrogen deposition, and climatic change alter the dynamics of root production and mortality? What are the consequences of root responses to plant physiological processes? What are the implications of root dynamics to soil microbial communities and the fate of carbon in soil? Ecosystem-level observations of root production and mortality in response to global change parameters are just starting to emerge. The challenge to root biologists is to overcome the profound methodological and analytical problems and assemble a more comprehensive data set with sufficient ancillary data that differences between ecosystems can be explained. The assemblage of information reported herein on global patterns of root turnover, basic root biology that controls responses to environmental variables, and new observations of root and associated microbial responses to atmospheric and climatic change helps to sharpen our questions and stimulate new research approaches. New hypotheses have been developed to explain why responses of root turnover might differ in contrasting systems, how carbon allocation to roots is controlled, and how species differences in root chemistry might explain the ultimate fate of carbon in soil. These hypotheses and the enthusiasm for pursuing them are based on the firm belief that a deeper understanding of root dynamics is critical to describing the integrated response of ecosystems to global change.","author":[{"dropping-particle":"","family":"Norby","given":"Richard J.","non-dropping-particle":"","parse-names":false,"suffix":""},{"dropping-particle":"","family":"Jackson","given":"Robert B.","non-dropping-particle":"","parse-names":false,"suffix":""}],"container-title":"New Phytologist","id":"ITEM-1","issue":"1","issued":{"date-parts":[["2000"]]},"page":"3-12","title":"Root dynamics and global change: Seeking an ecosystem perspective","type":"article-journal","volume":"147"},"uris":["http://www.mendeley.com/documents/?uuid=fe770b60-db98-47bf-ad53-3bc62ee32523"]},{"id":"ITEM-2","itemData":{"DOI":"10.1111/gcb.12860","ISSN":"13652486","abstract":"©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Biology","id":"ITEM-2","issue":"6","issued":{"date-parts":[["2015"]]},"page":"2111-2121","title":"Urgent need for warming experiments in tropical forests","type":"article-journal","volume":"21"},"uris":["http://www.mendeley.com/documents/?uuid=1849b672-6e54-4799-a060-836ad328c75f"]},{"id":"ITEM-3","itemData":{"DOI":"10.1111/j.1469-185X.2012.00232.x","ISSN":"14647931","abstract":"Tropical forests play a major role in regulating global carbon (C) fluxes and stocks, and even small changes to C cycling in this productive biome could dramatically affect atmospheric carbon dioxide (CO(2) ) concentrations. Temperature is expected to increase over all land surfaces in the future, yet we have a surprisingly poor understanding of how tropical forests will respond to this significant climatic change. Here we present a contemporary synthesis of the existing data and what they suggest about how tropical forests will respond to increasing temperatures. Our goals were to: (i) determine whether there is enough evidence to support the conclusion that increased temperature will affect tropical forest C balance; (ii) if there is sufficient evidence, determine what direction this effect will take; and, (iii) establish what steps should to be taken to resolve the uncertainties surrounding tropical forest responses to increasing temperatures. We approach these questions from a mass-balance perspective and therefore focus primarily on the effects of temperature on inputs and outputs of C, spanning microbial- to ecosystem-scale responses. We found that, while there is the strong potential for temperature to affect processes related to C cycling and storage in tropical forests, a notable lack of data combined with the physical, biological and chemical diversity of the forests themselves make it difficult to resolve this issue with certainty. We suggest a variety of experimental approaches that could help elucidate how tropical forests will respond to warming, including large-scale in situ manipulation experiments, longer term field experiments, the incorporation of a range of scales in the investigation of warming effects (both spatial and temporal), as well as the inclusion of a diversity of tropical forest sites. Finally, we highlight areas of tropical forest research where notably few data are available, including temperature effects on: nutrient cycling, heterotrophic versus autotrophic respiration, thermal acclimation versus substrate limitation of plant and microbial communities, below-ground C allocation, species composition (plant and microbial), and the hydraulic architecture of roots. Whether or not tropical forests will become a source or a sink of C in a warmer world remains highly uncertain. Given the importance of these ecosystems to the global C budget, resolving this uncertainty is a primary research priority.","author":[{"dropping-particle":"","family":"Wood","given":"Tana E.","non-dropping-particle":"","parse-names":false,"suffix":""},{"dropping-particle":"","family":"Cavaleri","given":"Molly A.","non-dropping-particle":"","parse-names":false,"suffix":""},{"dropping-particle":"","family":"Reed","given":"Sasha C.","non-dropping-particle":"","parse-names":false,"suffix":""}],"container-title":"Biological Reviews","id":"ITEM-3","issue":"4","issued":{"date-parts":[["2012"]]},"page":"912-927","title":"Tropical forest carbon balance in a warmer world: A critical review spanning microbial- to ecosystem-scale processes","type":"article-journal","volume":"87"},"uris":["http://www.mendeley.com/documents/?uuid=12d7c72e-5f86-4766-b373-8b2f75f91961"]},{"id":"ITEM-4","itemData":{"DOI":"10.1007/s10265-013-0565-3","ISSN":"09189440","abstract":"Temperature affects a cascade of ecological processes and functions of forests. With future higher global temperatures being inevitable it is critical to understand and predict how forest ecosystems and tree species will respond. This paper reviews experimental warming studies in boreal and temperate forests or tree species beyond the direct effects of higher temperature on plant ecophysiology by scaling up to forest level responses and considering the indirect effects of higher temperature. In direct response to higher temperature (1) leaves emerged earlier and senesced later, resulting in a longer growing season (2) the abundance of herbivorous insects increased and their performance was enhanced and (3) soil nitrogen mineralization and leaf litter decomposition were accelerated. Besides these generalizations across species, plant ecophysiological traits were highly species-specific. Moreover, we showed that the effect of temperature on photosynthesis is strongly dependent on the position of the leaf or plant within the forest (canopy or understory) and the time of the year. Indirect effects of higher temperature included among others higher carbon storage in trees due to increased soil nitrogen availability and changes in insect performance due to alterations in plant ecophysiological traits. Unfortunately only a few studies extrapolated results to forest ecosystem level and considered the indirect effects of higher temperature. Thus more intensive, long-term studies are needed to further confirm the emerging trends shown in this review. Experimental warming studies provide us with a useful tool to examine the cascade of ecological processes in forest ecosystems that will change with future higher temperature. © 2013 The Botanical Society of Japan and Springer Japan.","author":[{"dropping-particle":"","family":"Chung","given":"Haegeun","non-dropping-particle":"","parse-names":false,"suffix":""},{"dropping-particle":"","family":"Muraoka","given":"Hiroyuki","non-dropping-particle":"","parse-names":false,"suffix":""},{"dropping-particle":"","family":"Nakamura","given":"Masahiro","non-dropping-particle":"","parse-names":false,"suffix":""},{"dropping-particle":"","family":"Han","given":"Saerom","non-dropping-particle":"","parse-names":false,"suffix":""},{"dropping-particle":"","family":"Muller","given":"Onno","non-dropping-particle":"","parse-names":false,"suffix":""},{"dropping-particle":"","family":"Son","given":"Yowhan","non-dropping-particle":"","parse-names":false,"suffix":""}],"container-title":"Journal of Plant Research","id":"ITEM-4","issue":"4","issued":{"date-parts":[["2013"]]},"page":"447-460","title":"Experimental warming studies on tree species and forest ecosystems: A literature review","type":"article-journal","volume":"126"},"uris":["http://www.mendeley.com/documents/?uuid=224273fe-d952-4fd2-b0bf-465b1d09544e"]}],"mendeley":{"formattedCitation":"(Norby &amp; Jackson, 2000; Wood &lt;i&gt;et al.&lt;/i&gt;, 2012; Chung &lt;i&gt;et al.&lt;/i&gt;, 2013; Cavaleri &lt;i&gt;et al.&lt;/i&gt;, 2015)","plainTextFormattedCitation":"(Norby &amp; Jackson, 2000; Wood et al., 2012; Chung et al., 2013; Cavaleri et al., 2015)","previouslyFormattedCitation":"(Norby &amp; Jackson, 2000; Wood &lt;i&gt;et al.&lt;/i&gt;, 2012a; Chung &lt;i&gt;et al.&lt;/i&gt;, 2013; Cavaleri &lt;i&gt;et al.&lt;/i&gt;, 2015)"},"properties":{"noteIndex":0},"schema":"https://github.com/citation-style-language/schema/raw/master/csl-citation.json"}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(Norby &amp; Jackson, 2000; Wood </w:t>
      </w:r>
      <w:r w:rsidRPr="00872293">
        <w:rPr>
          <w:rFonts w:ascii="Times New Roman" w:hAnsi="Times New Roman" w:cs="Times New Roman"/>
          <w:i/>
          <w:noProof/>
        </w:rPr>
        <w:t>et al.</w:t>
      </w:r>
      <w:r w:rsidRPr="00872293">
        <w:rPr>
          <w:rFonts w:ascii="Times New Roman" w:hAnsi="Times New Roman" w:cs="Times New Roman"/>
          <w:noProof/>
        </w:rPr>
        <w:t xml:space="preserve">, 2012; Chung </w:t>
      </w:r>
      <w:r w:rsidRPr="00872293">
        <w:rPr>
          <w:rFonts w:ascii="Times New Roman" w:hAnsi="Times New Roman" w:cs="Times New Roman"/>
          <w:i/>
          <w:noProof/>
        </w:rPr>
        <w:t>et al.</w:t>
      </w:r>
      <w:r w:rsidRPr="00872293">
        <w:rPr>
          <w:rFonts w:ascii="Times New Roman" w:hAnsi="Times New Roman" w:cs="Times New Roman"/>
          <w:noProof/>
        </w:rPr>
        <w:t xml:space="preserve">, 2013; Cavaleri </w:t>
      </w:r>
      <w:r w:rsidRPr="00872293">
        <w:rPr>
          <w:rFonts w:ascii="Times New Roman" w:hAnsi="Times New Roman" w:cs="Times New Roman"/>
          <w:i/>
          <w:noProof/>
        </w:rPr>
        <w:t>et al.</w:t>
      </w:r>
      <w:r w:rsidRPr="00872293">
        <w:rPr>
          <w:rFonts w:ascii="Times New Roman" w:hAnsi="Times New Roman" w:cs="Times New Roman"/>
          <w:noProof/>
        </w:rPr>
        <w:t>, 2015)</w:t>
      </w:r>
      <w:r w:rsidRPr="00872293">
        <w:rPr>
          <w:rFonts w:ascii="Times New Roman" w:hAnsi="Times New Roman" w:cs="Times New Roman"/>
        </w:rPr>
        <w:fldChar w:fldCharType="end"/>
      </w:r>
      <w:r w:rsidRPr="00872293">
        <w:rPr>
          <w:rFonts w:ascii="Times New Roman" w:hAnsi="Times New Roman" w:cs="Times New Roman"/>
        </w:rPr>
        <w:t xml:space="preserve">. However, plant root responses to any environmental disturbance are tightly related to the type of disturbance, the magnitude, the plant community composition, and current environmental conditions; thus results are highly diverse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{"citationItems":[{"id":"ITEM-1","itemData":{"DOI":"10.1073/pnas.0403491101","ISSN":"00278424","abstract":"Fine-root production and turnover are important regulators of the biogeochemical cycles of ecosystems and key components of their response to global change. We present a nearly continuous 6-year record of fine-root production and mortality from minirhizotron analysis of a closed-canopy, deciduous sweetgum forest in a free-air CO2 enrichment experiment. Annual production of fine roots was more than doubled in plots with 550 ppm CO2 compared with plots in ambient air. This response was the primary component of the sustained 22% increase in net primary productivity. Annual fine-root mortality matched annual production, and the mean residence time of roots was not altered by elevated CO2, but peak fine-root standing crop in midsummer was significantly higher in CO2-enriched plots, especially deeper in the soil profile. The preferential allocation of additional carbon to fine roots, which have a fast turnover rate in this species, rather than to stemwood reduces the possibility of long-term enhancement by elevated CO2 of carbon sequestration in biomass. However, sequestration of some of the fine-root carbon in soil pools is not precluded, and there may be other benefits to the tree from a seasonally larger and deeper fine-root system. Root-system dynamics can explain differences among ecosystems in their response to elevated atmospheric CO2; hence, accurate assessments of carbon flux and storage in forests in a globally changing atmosphere must account for this unseen and difficult-to-measure component.","author":[{"dropping-particle":"","family":"Norby","given":"Richard J.","non-dropping-particle":"","parse-names":false,"suffix":""},{"dropping-particle":"","family":"Ledford","given":"Joanne","non-dropping-particle":"","parse-names":false,"suffix":""},{"dropping-particle":"","family":"Reilly","given":"Carolyn D.","non-dropping-particle":"","parse-names":false,"suffix":""},{"dropping-particle":"","family":"Miller","given":"Nicole E.","non-dropping-particle":"","parse-names":false,"suffix":""},{"dropping-particle":"","family":"O'Neill","given":"Elizabeth G.","non-dropping-particle":"","parse-names":false,"suffix":""}],"container-title":"Proceedings of the National Academy of Sciences of the United States of America","id":"ITEM-1","issue":"26","issued":{"date-parts":[["2004"]]},"page":"9689-9693","title":"Fine-root production dominates response of a deciduous forest to atmospheric CO2 enrichment","type":"article-journal","volume":"101"},"uris":["http://www.mendeley.com/documents/?uuid=0523c892-10c1-4a41-b56d-d1c78246eb9c"]},{"id":"ITEM-2","itemData":{"DOI":"10.1007/s10021-012-9525-3","ISSN":"14329840","abstract":"Human-induced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-2","issue":"4","issued":{"date-parts":[["2012"]]},"page":"542-554","title":"Root Biomass Dynamics Under Experimental Warming and Doubled Precipitation in a Tallgrass Prairie","type":"article-journal","volume":"15"},"uris":["http://www.mendeley.com/documents/?uuid=1f682530-69b0-4b9f-8410-2a104ef6031f"]}],"mendeley":{"formattedCitation":"(Norby &lt;i&gt;et al.&lt;/i&gt;, 2004; Zhou &lt;i&gt;et al.&lt;/i&gt;, 2012)","plainTextFormattedCitation":"(Norby et al., 2004; Zhou et al., 2012)","previouslyFormattedCitation":"(Norby &lt;i&gt;et al.&lt;/i&gt;, 2004; Zhou &lt;i&gt;et al.&lt;/i&gt;, 2012)"},"properties":{"noteIndex":0},"schema":"https://github.com/citation-style-language/schema/raw/master/csl-citation.json"}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(Norby </w:t>
      </w:r>
      <w:r w:rsidRPr="00872293">
        <w:rPr>
          <w:rFonts w:ascii="Times New Roman" w:hAnsi="Times New Roman" w:cs="Times New Roman"/>
          <w:i/>
          <w:noProof/>
        </w:rPr>
        <w:t>et al.</w:t>
      </w:r>
      <w:r w:rsidRPr="00872293">
        <w:rPr>
          <w:rFonts w:ascii="Times New Roman" w:hAnsi="Times New Roman" w:cs="Times New Roman"/>
          <w:noProof/>
        </w:rPr>
        <w:t xml:space="preserve">, 2004; Zhou </w:t>
      </w:r>
      <w:r w:rsidRPr="00872293">
        <w:rPr>
          <w:rFonts w:ascii="Times New Roman" w:hAnsi="Times New Roman" w:cs="Times New Roman"/>
          <w:i/>
          <w:noProof/>
        </w:rPr>
        <w:t>et al.</w:t>
      </w:r>
      <w:r w:rsidRPr="00872293">
        <w:rPr>
          <w:rFonts w:ascii="Times New Roman" w:hAnsi="Times New Roman" w:cs="Times New Roman"/>
          <w:noProof/>
        </w:rPr>
        <w:t>, 2012)</w:t>
      </w:r>
      <w:r w:rsidRPr="00872293">
        <w:rPr>
          <w:rFonts w:ascii="Times New Roman" w:hAnsi="Times New Roman" w:cs="Times New Roman"/>
        </w:rPr>
        <w:fldChar w:fldCharType="end"/>
      </w:r>
      <w:r w:rsidRPr="00872293">
        <w:rPr>
          <w:rFonts w:ascii="Times New Roman" w:hAnsi="Times New Roman" w:cs="Times New Roman"/>
        </w:rPr>
        <w:t xml:space="preserve">. This variability in results are also shown within warming experiments. For example, some experimental warming studies have shown that high temperature can increase root mortality </w:t>
      </w:r>
      <w:r w:rsidRPr="00872293">
        <w:rPr>
          <w:rFonts w:ascii="Times New Roman" w:hAnsi="Times New Roman" w:cs="Times New Roman"/>
        </w:rPr>
        <w:lastRenderedPageBreak/>
        <w:fldChar w:fldCharType="begin" w:fldLock="1"/>
      </w:r>
      <w:r w:rsidRPr="00872293">
        <w:rPr>
          <w:rFonts w:ascii="Times New Roman" w:hAnsi="Times New Roman" w:cs="Times New Roman"/>
        </w:rPr>
        <w:instrText xml:space="preserve">ADDIN CSL_CITATION {"citationItems":[{"id":"ITEM-1","itemData":{"DOI":"10.1023/A:1004298804353","ISSN":"0032079X","abstract":"The production and mortality of roots is an important factor determining nutrient and carbon fluxes in terrestrial ecosystems. However, the effect of temperature on the longevity of roots is not understood. In this study the impact of changes in temperature on the longevity of Lolium perenne roots was determined. Plants were grown at 15 </w:instrText>
      </w:r>
      <w:r w:rsidRPr="00872293">
        <w:rPr>
          <w:rFonts w:ascii="Tahoma" w:hAnsi="Tahoma" w:cs="Tahoma"/>
        </w:rPr>
        <w:instrText>�</w:instrText>
      </w:r>
      <w:r w:rsidRPr="00872293">
        <w:rPr>
          <w:rFonts w:ascii="Times New Roman" w:hAnsi="Times New Roman" w:cs="Times New Roman"/>
        </w:rPr>
        <w:instrText xml:space="preserve">C, 21 </w:instrText>
      </w:r>
      <w:r w:rsidRPr="00872293">
        <w:rPr>
          <w:rFonts w:ascii="Tahoma" w:hAnsi="Tahoma" w:cs="Tahoma"/>
        </w:rPr>
        <w:instrText>�</w:instrText>
      </w:r>
      <w:r w:rsidRPr="00872293">
        <w:rPr>
          <w:rFonts w:ascii="Times New Roman" w:hAnsi="Times New Roman" w:cs="Times New Roman"/>
        </w:rPr>
        <w:instrText xml:space="preserve">C and 27 </w:instrText>
      </w:r>
      <w:r w:rsidRPr="00872293">
        <w:rPr>
          <w:rFonts w:ascii="Tahoma" w:hAnsi="Tahoma" w:cs="Tahoma"/>
        </w:rPr>
        <w:instrText>�</w:instrText>
      </w:r>
      <w:r w:rsidRPr="00872293">
        <w:rPr>
          <w:rFonts w:ascii="Times New Roman" w:hAnsi="Times New Roman" w:cs="Times New Roman"/>
        </w:rPr>
        <w:instrText>C and their roots observed using a minirhizotron system. Major effects of temperature were measured with large reductions in root longevity occurring at higher temperatures. The implications of these data are discussed.","author":[{"dropping-particle":"","family":"Forbes","given":"P. J.","non-dropping-particle":"","parse-names":false,"suffix":""},{"dropping-particle":"","family":"Black","given":"K. E.","non-dropping-particle":"","parse-names":false,"suffix":""},{"dropping-particle":"","family":"Hooker","given":"J. E.","non-dropping-particle":"","parse-names":false,"suffix":""}],"container-title":"Plant and Soil","id":"ITEM-1","issue":"1","issued":{"date-parts":[["1997"]]},"page":"87-90","title":"Temperature-induced alteration to root longevity in Lolium perenne","type":"article-journal","volume":"190"},"uris":["http://www.mendeley.com/documents/?uuid=c959a7ca-f975-4490-9691-a7ff0810836d"]},{"id":"ITEM-2","itemData":{"DOI":"10.1007/s004420050892","ISSN":"00298549","abstract":"Root demographic processes (birth and death) were measured using minirhizotrons in the soil warming experiments at the summit of Great Dun Fell, United Kingdom (845 m). The soil warming treatment raised soil temperature at 2 cm depth by nearly 3 degrees C. The first experiment ran for 6 months (1994), the second for 18 (1995-1996). In both experiments, heating increased death rates for roots, but birth rates were not significantly increased in the first experiment. The lack of stimulation of death rate in 1996 is probably an artefact, caused by completion of measurements in late summer of 1996, before the seasonal demography was concluded: root death continued over the winter of 1995-1996. Measurements of instantaneous death rates confirmed this: they were accelerated by warming in the second experiment. In the one complete year (1995-1996) in which measurements were taken, net root numbers by the end of the year were not affected by soil warming. The best explanatory environmental variable for root birth rate in both experiments was photosynthetically active radiation (PAR) flux, averaged over the previous 5 (first experiment) or 10 days (second experiment). In the second experiment, the relationship between birth rate and PAR flux was steeper and stronger in heated than in unheated plots. Death rate was best explained by vegetation temperature. These results provide further evidence that root production acclimates to temperature and is driven by the availability of photosynthate. The stimulation of root growth due to soil warming was almost certainly the result of changes in nutrient availability following enhanced decomposition.","author":[{"dropping-particle":"","family":"Fitter","given":"A. H.","non-dropping-particle":"","parse-names":false,"suffix":""},{"dropping-particle":"","family":"Self","given":"G. K.","non-dropping-particle":"","parse-names":false,"suffix":""},{"dropping-particle":"","family":"Brown","given":"T. K.","non-dropping-particle":"","parse-names":false,"suffix":""},{"dropping-particle":"","family":"Bogie","given":"D. S.","non-dropping-particle":"","parse-names":false,"suffix":""},{"dropping-particle":"","family":"Graves","given":"J. D.","non-dropping-particle":"","parse-names":false,"suffix":""},{"dropping-particle":"","family":"Benham","given":"D.","non-dropping-particle":"","parse-names":false,"suffix":""},{"dropping-particle":"","family":"Ineson","given":"P.","non-dropping-particle":"","parse-names":false,"suffix":""}],"container-title":"Oecologia","id":"ITEM-2","issue":"4","issued":{"date-parts":[["1999"]]},"page":"575-581","title":"Root production and turnover in an upland grassland subjected to artificial soil warming respond to radiation flux and nutrients, not temperature","type":"article-journal","volume":"120"},"uris":["http://www.mendeley.com/documents/?uuid=d94aa61c-7796-42bd-bff8-f65cc2792f4a"]},{"id":"ITEM-3","itemData":{"abstract":"We describe a model-based clustering method for using multilocus genotype data to infer population structure and assign individuals to populations. We assume a model in which there are K populations (where K may be unknown), each of which is characterized by a set of allele frequencies at each locus. Individuals in the sample are assigned (probabilistically) to populations, or jointly to two or more populations if their genotypes indicate that they are admixed. Our model does not assume a particular mutation process, and it can be applied to most of the commonly used genetic markers, provided that they are not closely linked. Applications of our method include demonstrating the presence of population structure, assigning individuals to populations, studying hybrid zones, and identifying migrants and admixed individuals. We show that the method can produce highly accurate assignments using modest numbers of loci-e.g. , seven microsatellite loci in an example using genotype data from an endangered bird species. The software used for this article is available from http://www.stats.ox.ac.uk/ approximately pritch/home. html.","author":[{"dropping-particle":"","family":"Pritchard","given":"J K","non-dropping-particle":"","parse-names":false,"suffix":""},{"dropping-particle":"","family":"Stephens","given":"M","non-dropping-particle":"","parse-names":false,"suffix":""},{"dropping-particle":"","family":"Donnelly","given":"P","non-dropping-particle":"","parse-names":false,"suffix":""}],"chapter-number":"945","container-title":"Genetics","id":"ITEM-3","issue":"2","issued":{"date-parts":[["2000"]]},"page":"945-959","publisher":"Genetics Soc America","title":"Inference of population structure using multilocus genotype data.","type":"article-journal","volume":"155"},"uris":["http://www.mendeley.com/documents/?uuid=f6024f15-9c7d-45d6-a277-30582c5ad039"]},{"id":"ITEM-4","itemData":{"DOI":"10.1111/j.1469-8137.2004.01034.x","ISSN":"0028646X","abstract":"•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Phytologist","id":"ITEM-4","issue":"2","issued":{"date-parts":[["2004"]]},"page":"436-446","title":"CO2 enrichment and warming of the atmosphere enhance both productivity and mortality of maple tree fine roots","type":"article-journal","volume":"162"},"uris":["http://www.mendeley.com/documents/?uuid=ea8eb449-938d-4d49-a3de-29025185b266"]},{"id":"ITEM-5","itemData":{"DOI":"10.1111/j.1365-2486.2004.00733.x","ISSN":"13541013","abstract":"The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Biology","id":"ITEM-5","issue":"2","issued":{"date-parts":[["2004"]]},"page":"182-188","title":"Interactive effects of soil warming and fertilization root production, mortality, and longevity in a Norway spruce stand in Northern Sweden","type":"article-journal","volume":"10"},"uris":["http://www.mendeley.com/documents/?uuid=13abc1f4-c945-4204-a671-53a35f6c1b66"]},{"id":"ITEM-6","itemData":{"DOI":"10.1126/sciadv.aaz1834","abstract":"Plant-soil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Advances","id":"ITEM-6","issue":"11","issued":{"date-parts":[["2019","11","1"]]},"page":"eaaz1834","title":"Climate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ecosystems","type":"article-journal","volume":"5"},"uris":["http://www.mendeley.com/documents/?uuid=f33656d6-3f72-4af2-aefc-f4b86350a8e6"]}],"mendeley":{"formattedCitation":"(Forbes &lt;i&gt;et al.&lt;/i&gt;, 1997; Fitter &lt;i&gt;et al.&lt;/i&gt;, 1999; Pritchard &lt;i&gt;et al.&lt;/i&gt;, 2000; Majdi &amp; Öhrvik, 2004; Wan &lt;i&gt;et al.&lt;/i&gt;, 2004; Pugnaire &lt;i&gt;et al.&lt;/i&gt;, 2019)","manualFormatting":"(Forbes et al., 1997; Fitter et al., 1999; Pritchard et al., 2000; Majdi &amp; Öhrvik, 2004; Wan et al., 2004)","plainTextFormattedCitation":"(Forbes et al., 1997; Fitter et al., 1999; Pritchard et al., 2000; Majdi &amp; Öhrvik, 2004; Wan et al., 2004; Pugnaire et al., 2019)","previouslyFormattedCitation":"(Forbes &lt;i&gt;et al.&lt;/i&gt;, 1997; Fitter &lt;i&gt;et al.&lt;/i&gt;, 1999; Pritchard &lt;i&gt;et al.&lt;/i&gt;, 2000; Majdi &amp; Öhrvik, 2004; Wan &lt;i&gt;et al.&lt;/i&gt;, 2004; Pugnaire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(Forbes </w:t>
      </w:r>
      <w:r w:rsidRPr="00872293">
        <w:rPr>
          <w:rFonts w:ascii="Times New Roman" w:hAnsi="Times New Roman" w:cs="Times New Roman"/>
          <w:i/>
          <w:noProof/>
        </w:rPr>
        <w:t>et al.</w:t>
      </w:r>
      <w:r w:rsidRPr="00872293">
        <w:rPr>
          <w:rFonts w:ascii="Times New Roman" w:hAnsi="Times New Roman" w:cs="Times New Roman"/>
          <w:noProof/>
        </w:rPr>
        <w:t xml:space="preserve">, 1997; Fitter </w:t>
      </w:r>
      <w:r w:rsidRPr="00872293">
        <w:rPr>
          <w:rFonts w:ascii="Times New Roman" w:hAnsi="Times New Roman" w:cs="Times New Roman"/>
          <w:i/>
          <w:noProof/>
        </w:rPr>
        <w:t>et al.</w:t>
      </w:r>
      <w:r w:rsidRPr="00872293">
        <w:rPr>
          <w:rFonts w:ascii="Times New Roman" w:hAnsi="Times New Roman" w:cs="Times New Roman"/>
          <w:noProof/>
        </w:rPr>
        <w:t xml:space="preserve">, 1999; Pritchard </w:t>
      </w:r>
      <w:r w:rsidRPr="00872293">
        <w:rPr>
          <w:rFonts w:ascii="Times New Roman" w:hAnsi="Times New Roman" w:cs="Times New Roman"/>
          <w:i/>
          <w:noProof/>
        </w:rPr>
        <w:t>et al.</w:t>
      </w:r>
      <w:r w:rsidRPr="00872293">
        <w:rPr>
          <w:rFonts w:ascii="Times New Roman" w:hAnsi="Times New Roman" w:cs="Times New Roman"/>
          <w:noProof/>
        </w:rPr>
        <w:t xml:space="preserve">, 2000; Majdi &amp; Öhrvik, 2004; Wan </w:t>
      </w:r>
      <w:r w:rsidRPr="00872293">
        <w:rPr>
          <w:rFonts w:ascii="Times New Roman" w:hAnsi="Times New Roman" w:cs="Times New Roman"/>
          <w:i/>
          <w:noProof/>
        </w:rPr>
        <w:t>et al.</w:t>
      </w:r>
      <w:r w:rsidRPr="00872293">
        <w:rPr>
          <w:rFonts w:ascii="Times New Roman" w:hAnsi="Times New Roman" w:cs="Times New Roman"/>
          <w:noProof/>
        </w:rPr>
        <w:t>, 2004)</w:t>
      </w:r>
      <w:r w:rsidRPr="00872293">
        <w:rPr>
          <w:rFonts w:ascii="Times New Roman" w:hAnsi="Times New Roman" w:cs="Times New Roman"/>
        </w:rPr>
        <w:fldChar w:fldCharType="end"/>
      </w:r>
      <w:r w:rsidRPr="00872293">
        <w:rPr>
          <w:rFonts w:ascii="Times New Roman" w:hAnsi="Times New Roman" w:cs="Times New Roman"/>
        </w:rPr>
        <w:t xml:space="preserve">, increase root </w:t>
      </w:r>
      <w:r w:rsidR="00CB0597" w:rsidRPr="00872293">
        <w:rPr>
          <w:rFonts w:ascii="Times New Roman" w:hAnsi="Times New Roman" w:cs="Times New Roman"/>
        </w:rPr>
        <w:t xml:space="preserve">production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Advances","id":"ITEM-1","issue":"11","issued":{"date-parts":[["2019","11","1"]]},"page":"eaaz1834","title":"Climate change effects on plant-soil feedbacks and consequences for biodiversity and functioning of terrestrial ecosystems","type":"article-journal","volume":"5"},"uris":["http://www.mendeley.com/documents/?uuid=f33656d6-3f72-4af2-aefc-f4b86350a8e6"]},{"id":"ITEM-2","itemData":{"DOI":"10.1111/j.1469-8137.2004.01034.x","ISSN":"0028646X","abstract":"•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Phytologist","id":"ITEM-2","issue":"2","issued":{"date-parts":[["2004"]]},"page":"436-446","title":"CO2 enrichment and warming of the atmosphere enhance both productivity and mortality of maple tree fine roots","type":"article-journal","volume":"162"},"uris":["http://www.mendeley.com/documents/?uuid=ea8eb449-938d-4d49-a3de-29025185b266"]},{"id":"ITEM-3","itemData":{"DOI":"10.1007/s10021-012-9525-3","ISSN":"14329840","abstract":"Human-induced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-3","issue":"4","issued":{"date-parts":[["2012"]]},"page":"542-554","title":"Root Biomass Dynamics Under Experimental Warming and Doubled Precipitation in a Tallgrass Prairie","type":"article-journal","volume":"15"},"uris":["http://www.mendeley.com/documents/?uuid=1f682530-69b0-4b9f-8410-2a104ef6031f"]},{"id":"ITEM-4","itemData":{"DOI":"10.1111/j.1365-2486.2004.00733.x","ISSN":"13541013","abstract":"The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Biology","id":"ITEM-4","issue":"2","issued":{"date-parts":[["2004"]]},"page":"182-188","title":"Interactive effects of soil warming and fertilization root production, mortality, and longevity in a Norway spruce stand in Northern Sweden","type":"article-journal","volume":"10"},"uris":["http://www.mendeley.com/documents/?uuid=13abc1f4-c945-4204-a671-53a35f6c1b66"]}],"mendeley":{"formattedCitation":"(Majdi &amp; Öhrvik, 2004; Wan &lt;i&gt;et al.&lt;/i&gt;, 2004; Zhou &lt;i&gt;et al.&lt;/i&gt;, 2012; Pugnaire &lt;i&gt;et al.&lt;/i&gt;, 2019)","plainTextFormattedCitation":"(Majdi &amp; Öhrvik, 2004; Wan et al., 2004; Zhou et al., 2012; Pugnaire et al., 2019)","previouslyFormattedCitation":"(Majdi &amp; Öhrvik, 2004; Wan &lt;i&gt;et al.&lt;/i&gt;, 2004; Zhou &lt;i&gt;et al.&lt;/i&gt;, 2012; Pugnaire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(Majdi &amp; Öhrvik, 2004; Wan </w:t>
      </w:r>
      <w:r w:rsidRPr="00872293">
        <w:rPr>
          <w:rFonts w:ascii="Times New Roman" w:hAnsi="Times New Roman" w:cs="Times New Roman"/>
          <w:i/>
          <w:noProof/>
        </w:rPr>
        <w:t>et al.</w:t>
      </w:r>
      <w:r w:rsidRPr="00872293">
        <w:rPr>
          <w:rFonts w:ascii="Times New Roman" w:hAnsi="Times New Roman" w:cs="Times New Roman"/>
          <w:noProof/>
        </w:rPr>
        <w:t xml:space="preserve">, 2004; Zhou </w:t>
      </w:r>
      <w:r w:rsidRPr="00872293">
        <w:rPr>
          <w:rFonts w:ascii="Times New Roman" w:hAnsi="Times New Roman" w:cs="Times New Roman"/>
          <w:i/>
          <w:noProof/>
        </w:rPr>
        <w:t>et al.</w:t>
      </w:r>
      <w:r w:rsidRPr="00872293">
        <w:rPr>
          <w:rFonts w:ascii="Times New Roman" w:hAnsi="Times New Roman" w:cs="Times New Roman"/>
          <w:noProof/>
        </w:rPr>
        <w:t xml:space="preserve">, 2012; Pugnaire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Pr="00872293">
        <w:rPr>
          <w:rFonts w:ascii="Times New Roman" w:hAnsi="Times New Roman" w:cs="Times New Roman"/>
        </w:rPr>
        <w:t xml:space="preserve">, or there could be no response </w:t>
      </w:r>
      <w:r w:rsidR="00CB0597" w:rsidRPr="00872293">
        <w:rPr>
          <w:rFonts w:ascii="Times New Roman" w:hAnsi="Times New Roman" w:cs="Times New Roman"/>
        </w:rPr>
        <w:t xml:space="preserve">of </w:t>
      </w:r>
      <w:r w:rsidRPr="00872293">
        <w:rPr>
          <w:rFonts w:ascii="Times New Roman" w:hAnsi="Times New Roman" w:cs="Times New Roman"/>
        </w:rPr>
        <w:t xml:space="preserve">root dynamics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{"citationItems":[{"id":"ITEM-1","itemData":{"DOI":"10.1371/journal.pbio.0030319","ISSN":"15449173","PMID":"16076244","abstract":"In this century, increasing concentrations of carbon dioxide (CO 2) and other greenhouse gases in the Earth's atmosphere are expected to cause warmer surface temperatures and changes in precipitation patterns. At the same time, reactive nitrogen is entering natural systems at unprecedented rates. These global environmental changes have consequences for the functioning of natural ecosystems, and responses of these systems may feed back to affect climate and atmospheric composition. Here, we report plant growth responses of an ecosystem exposed to factorial combinations of four expected global environmental changes. We exposed California grassland to elevated CO 2, temperature, precipitation, and nitrogen deposition for five years. Root and shoot production did not respond to elevated CO2 or modest warming. Supplemental precipitation led to increases in shoot production and offsetting decreases in root production. Supplemental nitrate deposition increased total production by an average of 26%, primarily by stimulating shoot growth. Interactions among the main treatments were rare. Together, these results suggest that production in this grassland will respond minimally to changes in CO2 and winter precipitation, and to small amounts of warming. Increased nitrate deposition would have stronger effects on the grassland. Aside from this nitrate response, expectations that a changing atmosphere and climate would promote carbon storage by increasing plant growth appear unlikely to be realized in this system. © 2005 Dukes et al.","author":[{"dropping-particle":"","family":"Dukes","given":"Jeffrey S.","non-dropping-particle":"","parse-names":false,"suffix":""},{"dropping-particle":"","family":"Chiariello","given":"Nona R.","non-dropping-particle":"","parse-names":false,"suffix":""},{"dropping-particle":"","family":"Cleland","given":"Elsa E.","non-dropping-particle":"","parse-names":false,"suffix":""},{"dropping-particle":"","family":"Moore","given":"Lisa A.","non-dropping-particle":"","parse-names":false,"suffix":""},{"dropping-particle":"","family":"Rebecca Shaw","given":"M.","non-dropping-particle":"","parse-names":false,"suffix":""},{"dropping-particle":"","family":"Thayer","given":"Susan","non-dropping-particle":"","parse-names":false,"suffix":""},{"dropping-particle":"","family":"Tobeck","given":"Todd","non-dropping-particle":"","parse-names":false,"suffix":""},{"dropping-particle":"","family":"Mooney","given":"Harold A.","non-dropping-particle":"","parse-names":false,"suffix":""},{"dropping-particle":"","family":"Field","given":"Christopher B.","non-dropping-particle":"","parse-names":false,"suffix":""}],"container-title":"PLoS Biology","id":"ITEM-1","issue":"10","issued":{"date-parts":[["2005"]]},"page":"319","title":"Responses of grassland production to single and multiple global environmental changes","type":"article-journal","volume":"3"},"uris":["http://www.mendeley.com/documents/?uuid=b06ea0fc-5f7d-4dbf-9b0c-e0e39e6cfd2c"]}],"mendeley":{"formattedCitation":"(Dukes &lt;i&gt;et al.&lt;/i&gt;, 2005)","plainTextFormattedCitation":"(Dukes et al., 2005)","previouslyFormattedCitation":"(Dukes &lt;i&gt;et al.&lt;/i&gt;, 2005)"},"properties":{"noteIndex":0},"schema":"https://github.com/citation-style-language/schema/raw/master/csl-citation.json"}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(Dukes </w:t>
      </w:r>
      <w:r w:rsidRPr="00872293">
        <w:rPr>
          <w:rFonts w:ascii="Times New Roman" w:hAnsi="Times New Roman" w:cs="Times New Roman"/>
          <w:i/>
          <w:noProof/>
        </w:rPr>
        <w:t>et al.</w:t>
      </w:r>
      <w:r w:rsidRPr="00872293">
        <w:rPr>
          <w:rFonts w:ascii="Times New Roman" w:hAnsi="Times New Roman" w:cs="Times New Roman"/>
          <w:noProof/>
        </w:rPr>
        <w:t>, 2005)</w:t>
      </w:r>
      <w:r w:rsidRPr="00872293">
        <w:rPr>
          <w:rFonts w:ascii="Times New Roman" w:hAnsi="Times New Roman" w:cs="Times New Roman"/>
        </w:rPr>
        <w:fldChar w:fldCharType="end"/>
      </w:r>
      <w:r w:rsidRPr="00872293">
        <w:rPr>
          <w:rFonts w:ascii="Times New Roman" w:hAnsi="Times New Roman" w:cs="Times New Roman"/>
        </w:rPr>
        <w:t>. Further, most of warming studies have taken place in higher latitudes (temperate and boreal ecosystems).</w:t>
      </w:r>
    </w:p>
    <w:p w14:paraId="2C29FCC7" w14:textId="77777777" w:rsidR="00680C52" w:rsidRPr="00872293" w:rsidRDefault="00680C52" w:rsidP="00680C52">
      <w:pPr>
        <w:widowControl w:val="0"/>
        <w:autoSpaceDE w:val="0"/>
        <w:autoSpaceDN w:val="0"/>
        <w:adjustRightInd w:val="0"/>
        <w:spacing w:line="360" w:lineRule="auto"/>
        <w:rPr>
          <w:rFonts w:ascii="Times New Roman" w:hAnsi="Times New Roman" w:cs="Times New Roman"/>
        </w:rPr>
      </w:pPr>
    </w:p>
    <w:p w14:paraId="61D31BE2" w14:textId="6B8722A3" w:rsidR="00680C52" w:rsidRPr="00872293" w:rsidRDefault="00680C52"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r w:rsidRPr="00872293">
        <w:rPr>
          <w:rFonts w:ascii="Times New Roman" w:eastAsia="Times New Roman" w:hAnsi="Times New Roman" w:cs="Times New Roman"/>
          <w:shd w:val="clear" w:color="auto" w:fill="FFFFFF"/>
        </w:rPr>
        <w:t>Tropical ecosystems have little representation in root studies, and predictions o</w:t>
      </w:r>
      <w:r w:rsidR="00DE31F2" w:rsidRPr="00872293">
        <w:rPr>
          <w:rFonts w:ascii="Times New Roman" w:eastAsia="Times New Roman" w:hAnsi="Times New Roman" w:cs="Times New Roman"/>
          <w:shd w:val="clear" w:color="auto" w:fill="FFFFFF"/>
        </w:rPr>
        <w:t>f</w:t>
      </w:r>
      <w:r w:rsidRPr="00872293">
        <w:rPr>
          <w:rFonts w:ascii="Times New Roman" w:eastAsia="Times New Roman" w:hAnsi="Times New Roman" w:cs="Times New Roman"/>
          <w:shd w:val="clear" w:color="auto" w:fill="FFFFFF"/>
        </w:rPr>
        <w:t xml:space="preserve"> how tropical roots will respond to environmental disturbances are mostly empirical </w:t>
      </w:r>
      <w:r w:rsidRPr="00872293">
        <w:rPr>
          <w:rFonts w:ascii="Times New Roman" w:eastAsia="Times New Roman" w:hAnsi="Times New Roman" w:cs="Times New Roman"/>
          <w:shd w:val="clear" w:color="auto" w:fill="FFFFFF"/>
        </w:rPr>
        <w:fldChar w:fldCharType="begin" w:fldLock="1"/>
      </w:r>
      <w:r w:rsidRPr="00872293">
        <w:rPr>
          <w:rFonts w:ascii="Times New Roman" w:eastAsia="Times New Roman" w:hAnsi="Times New Roman" w:cs="Times New Roman"/>
          <w:shd w:val="clear" w:color="auto" w:fill="FFFFFF"/>
        </w:rPr>
        <w:instrText>ADDIN CSL_CITATION {"citationItems":[{"id":"ITEM-1","itemData":{"DOI":"10.1111/gcb.12860","ISSN":"13652486","abstract":"©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Biology","id":"ITEM-1","issue":"6","issued":{"date-parts":[["2015"]]},"page":"2111-2121","title":"Urgent need for warming experiments in tropical forests","type":"article-journal","volume":"21"},"uris":["http://www.mendeley.com/documents/?uuid=1849b672-6e54-4799-a060-836ad328c75f"]}],"mendeley":{"formattedCitation":"(Cavaleri &lt;i&gt;et al.&lt;/i&gt;, 2015)","plainTextFormattedCitation":"(Cavaleri et al., 2015)","previouslyFormattedCitation":"(Cavaleri &lt;i&gt;et al.&lt;/i&gt;, 2015)"},"properties":{"noteIndex":0},"schema":"https://github.com/citation-style-language/schema/raw/master/csl-citation.json"}</w:instrText>
      </w:r>
      <w:r w:rsidRPr="00872293">
        <w:rPr>
          <w:rFonts w:ascii="Times New Roman" w:eastAsia="Times New Roman" w:hAnsi="Times New Roman" w:cs="Times New Roman"/>
          <w:shd w:val="clear" w:color="auto" w:fill="FFFFFF"/>
        </w:rPr>
        <w:fldChar w:fldCharType="separate"/>
      </w:r>
      <w:r w:rsidRPr="00872293">
        <w:rPr>
          <w:rFonts w:ascii="Times New Roman" w:eastAsia="Times New Roman" w:hAnsi="Times New Roman" w:cs="Times New Roman"/>
          <w:noProof/>
          <w:shd w:val="clear" w:color="auto" w:fill="FFFFFF"/>
        </w:rPr>
        <w:t xml:space="preserve">(Cavaleri </w:t>
      </w:r>
      <w:r w:rsidRPr="00872293">
        <w:rPr>
          <w:rFonts w:ascii="Times New Roman" w:eastAsia="Times New Roman" w:hAnsi="Times New Roman" w:cs="Times New Roman"/>
          <w:i/>
          <w:noProof/>
          <w:shd w:val="clear" w:color="auto" w:fill="FFFFFF"/>
        </w:rPr>
        <w:t>et al.</w:t>
      </w:r>
      <w:r w:rsidRPr="00872293">
        <w:rPr>
          <w:rFonts w:ascii="Times New Roman" w:eastAsia="Times New Roman" w:hAnsi="Times New Roman" w:cs="Times New Roman"/>
          <w:noProof/>
          <w:shd w:val="clear" w:color="auto" w:fill="FFFFFF"/>
        </w:rPr>
        <w:t>, 2015)</w:t>
      </w:r>
      <w:r w:rsidRPr="00872293">
        <w:rPr>
          <w:rFonts w:ascii="Times New Roman" w:eastAsia="Times New Roman" w:hAnsi="Times New Roman" w:cs="Times New Roman"/>
          <w:shd w:val="clear" w:color="auto" w:fill="FFFFFF"/>
        </w:rPr>
        <w:fldChar w:fldCharType="end"/>
      </w:r>
      <w:r w:rsidRPr="00872293">
        <w:rPr>
          <w:rFonts w:ascii="Times New Roman" w:eastAsia="Times New Roman" w:hAnsi="Times New Roman" w:cs="Times New Roman"/>
          <w:shd w:val="clear" w:color="auto" w:fill="FFFFFF"/>
        </w:rPr>
        <w:t xml:space="preserve">. Some of the environmental disturbances that tropical forests face are warming, droughts, hurricanes, </w:t>
      </w:r>
      <w:r w:rsidR="00385A4C" w:rsidRPr="00872293">
        <w:rPr>
          <w:rFonts w:ascii="Times New Roman" w:eastAsia="Times New Roman" w:hAnsi="Times New Roman" w:cs="Times New Roman"/>
          <w:shd w:val="clear" w:color="auto" w:fill="FFFFFF"/>
        </w:rPr>
        <w:t>flooding</w:t>
      </w:r>
      <w:r w:rsidRPr="00872293">
        <w:rPr>
          <w:rFonts w:ascii="Times New Roman" w:eastAsia="Times New Roman" w:hAnsi="Times New Roman" w:cs="Times New Roman"/>
          <w:shd w:val="clear" w:color="auto" w:fill="FFFFFF"/>
        </w:rPr>
        <w:t xml:space="preserve">, and fires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{"citationItems":[{"id":"ITEM-1","itemData":{"DOI":"10.1146/annurev-environ-030713-155141","ISSN":"1543-5938","abstract":"The Anthropocene is characterized as an epoch when human influence has begun to fundamentally alter many aspects of the Earth system and many of the planet's biomes. Here, we review and synthesize our understanding of Anthropocene changes in tropical forests. Key facets include deforestation driven by agricultural expansion, timber and wood extraction, the loss of fauna that maintain critical ecological connections, the spread of fire, landscape fragmentation, the spread of second-growth forests, new species invasion and pathogen spread, increasing CO, and climate change. The patterns of change are spatially heterogeneous, are often characterized by strong interactions among different drivers, can have both large-scale and remote effects, and can play out through ecological cascades over long timescales. As a consequence, most tropical forests are on a trajectory to becoming altered ecosystems, with the degree of alteration dependent on the intensity and duration of the current bottleneck of human-induced pressures. We highlight the importance of this understanding to develop the strategies necessary for shaping the transition of tropical forests through the early Anthropocene, as well as highlight the opportunities and challenges for the tropical forest science community in the coming decades.","author":[{"dropping-particle":"","family":"Malhi","given":"Yadvinder","non-dropping-particle":"","parse-names":false,"suffix":""},{"dropping-particle":"","family":"Gardner","given":"Toby A.","non-dropping-particle":"","parse-names":false,"suffix":""},{"dropping-particle":"","family":"Goldsmith","given":"Gregory R.","non-dropping-particle":"","parse-names":false,"suffix":""},{"dropping-particle":"","family":"Silman","given":"Miles R.","non-dropping-particle":"","parse-names":false,"suffix":""},{"dropping-particle":"","family":"Zelazowski","given":"Przemyslaw","non-dropping-particle":"","parse-names":false,"suffix":""}],"container-title":"Annual Review of Environment and Resources","id":"ITEM-1","issued":{"date-parts":[["2014"]]},"page":"125-159","title":"Tropical Forests in the Anthropocene","type":"article-journal","volume":"39"},"uris":["http://www.mendeley.com/documents/?uuid=56c6593f-b767-4698-8932-c9ac50c58c04"]},{"id":"ITEM-2","itemData":{"author":[{"dropping-particle":"","family":"Harris","given":"N. L.","non-dropping-particle":"","parse-names":false,"suffix":""},{"dropping-particle":"","family":"Lugo","given":"A. E.","non-dropping-particle":"","parse-names":false,"suffix":""}],"container-title":"Luquillo Experimental Forest: Research History and Opportunities","editor":[{"dropping-particle":"","family":"Harris","given":"Nancy L.","non-dropping-particle":"","parse-names":false,"suffix":""},{"dropping-particle":"","family":"Lugo","given":"Ariel E.","non-dropping-particle":"","parse-names":false,"suffix":""},{"dropping-particle":"","family":"Brown","given":"Sandra","non-dropping-particle":"","parse-names":false,"suffix":""},{"dropping-particle":"","family":"Heartsill Scalley","given":"Tamara","non-dropping-particle":"","parse-names":false,"suffix":""}],"id":"ITEM-2","issued":{"date-parts":[["2012"]]},"page":"21-49","publisher":"U.S. Department of Agriculture","title":"Disturbances","type":"chapter"},"uris":["http://www.mendeley.com/documents/?uuid=5527b864-1e0a-4e5d-b99d-7b8985f0fb92"]}],"mendeley":{"formattedCitation":"(Harris &amp; Lugo, 2012; Malhi &lt;i&gt;et al.&lt;/i&gt;, 2014)","plainTextFormattedCitation":"(Harris &amp; Lugo, 2012; Malhi et al., 2014)","previouslyFormattedCitation":"(Harris &amp; Lugo, 2012; Malhi &lt;i&gt;et al.&lt;/i&gt;, 2014)"},"properties":{"noteIndex":0},"schema":"https://github.com/citation-style-language/schema/raw/master/csl-citation.json"}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(Harris &amp; Lugo, 2012; Malhi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2014)</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shd w:val="clear" w:color="auto" w:fill="FFFFFF"/>
        </w:rPr>
        <w:t>. Studies on hurricane disturbances have shown that roots take up to 10 years to re</w:t>
      </w:r>
      <w:r w:rsidR="00DE31F2" w:rsidRPr="00872293">
        <w:rPr>
          <w:rFonts w:ascii="Times New Roman" w:eastAsia="Times New Roman" w:hAnsi="Times New Roman" w:cs="Times New Roman"/>
          <w:shd w:val="clear" w:color="auto" w:fill="FFFFFF"/>
        </w:rPr>
        <w:t>turn</w:t>
      </w:r>
      <w:r w:rsidRPr="00872293">
        <w:rPr>
          <w:rFonts w:ascii="Times New Roman" w:eastAsia="Times New Roman" w:hAnsi="Times New Roman" w:cs="Times New Roman"/>
          <w:shd w:val="clear" w:color="auto" w:fill="FFFFFF"/>
        </w:rPr>
        <w:t xml:space="preserve"> to pre-hurricane conditions </w:t>
      </w:r>
      <w:r w:rsidRPr="00872293">
        <w:rPr>
          <w:rFonts w:ascii="Times New Roman" w:eastAsia="Times New Roman" w:hAnsi="Times New Roman" w:cs="Times New Roman"/>
          <w:shd w:val="clear" w:color="auto" w:fill="FFFFFF"/>
        </w:rPr>
        <w:fldChar w:fldCharType="begin" w:fldLock="1"/>
      </w:r>
      <w:r w:rsidRPr="00872293">
        <w:rPr>
          <w:rFonts w:ascii="Times New Roman" w:eastAsia="Times New Roman" w:hAnsi="Times New Roman" w:cs="Times New Roman"/>
          <w:shd w:val="clear" w:color="auto" w:fill="FFFFFF"/>
        </w:rPr>
        <w:instrText>ADDIN CSL_CITATION {"citationItems":[{"id":"ITEM-1","itemData":{"DOI":"10.2307/2261670","ISSN":"00220477","abstract":"1 Live and dead","author":[{"dropping-particle":"","family":"Silver","given":"Whendee L.","non-dropping-particle":"","parse-names":false,"suffix":""},{"dropping-particle":"","family":"Vogt","given":"Kristiina A.","non-dropping-particle":"","parse-names":false,"suffix":""}],"container-title":"The Journal of Ecology","id":"ITEM-1","issued":{"date-parts":[["1993"]]},"title":"Fine Root Dynamics Following Single and Multiple Disturbances in a Subtropical Wet Forest Ecosystem","type":"article-journal"},"uris":["http://www.mendeley.com/documents/?uuid=f353087a-6c9a-4227-a909-6458a12b3319"]}],"mendeley":{"formattedCitation":"(Silver &amp; Vogt, 1993)","plainTextFormattedCitation":"(Silver &amp; Vogt, 1993)","previouslyFormattedCitation":"(Silver &amp; Vogt, 1993)"},"properties":{"noteIndex":0},"schema":"https://github.com/citation-style-language/schema/raw/master/csl-citation.json"}</w:instrText>
      </w:r>
      <w:r w:rsidRPr="00872293">
        <w:rPr>
          <w:rFonts w:ascii="Times New Roman" w:eastAsia="Times New Roman" w:hAnsi="Times New Roman" w:cs="Times New Roman"/>
          <w:shd w:val="clear" w:color="auto" w:fill="FFFFFF"/>
        </w:rPr>
        <w:fldChar w:fldCharType="separate"/>
      </w:r>
      <w:r w:rsidRPr="00872293">
        <w:rPr>
          <w:rFonts w:ascii="Times New Roman" w:eastAsia="Times New Roman" w:hAnsi="Times New Roman" w:cs="Times New Roman"/>
          <w:noProof/>
          <w:shd w:val="clear" w:color="auto" w:fill="FFFFFF"/>
        </w:rPr>
        <w:t>(Silver &amp; Vogt, 1993)</w:t>
      </w:r>
      <w:r w:rsidRPr="00872293">
        <w:rPr>
          <w:rFonts w:ascii="Times New Roman" w:eastAsia="Times New Roman" w:hAnsi="Times New Roman" w:cs="Times New Roman"/>
          <w:shd w:val="clear" w:color="auto" w:fill="FFFFFF"/>
        </w:rPr>
        <w:fldChar w:fldCharType="end"/>
      </w:r>
      <w:r w:rsidRPr="00872293">
        <w:rPr>
          <w:rFonts w:ascii="Times New Roman" w:eastAsia="Times New Roman" w:hAnsi="Times New Roman" w:cs="Times New Roman"/>
          <w:shd w:val="clear" w:color="auto" w:fill="FFFFFF"/>
        </w:rPr>
        <w:t>, and that some trees can allocate old carbon to generate new roots when hurricane</w:t>
      </w:r>
      <w:r w:rsidR="00DE31F2" w:rsidRPr="00872293">
        <w:rPr>
          <w:rFonts w:ascii="Times New Roman" w:eastAsia="Times New Roman" w:hAnsi="Times New Roman" w:cs="Times New Roman"/>
          <w:shd w:val="clear" w:color="auto" w:fill="FFFFFF"/>
        </w:rPr>
        <w:t>s</w:t>
      </w:r>
      <w:r w:rsidRPr="00872293">
        <w:rPr>
          <w:rFonts w:ascii="Times New Roman" w:eastAsia="Times New Roman" w:hAnsi="Times New Roman" w:cs="Times New Roman"/>
          <w:shd w:val="clear" w:color="auto" w:fill="FFFFFF"/>
        </w:rPr>
        <w:t xml:space="preserve"> </w:t>
      </w:r>
      <w:r w:rsidR="00DE31F2" w:rsidRPr="00872293">
        <w:rPr>
          <w:rFonts w:ascii="Times New Roman" w:eastAsia="Times New Roman" w:hAnsi="Times New Roman" w:cs="Times New Roman"/>
          <w:shd w:val="clear" w:color="auto" w:fill="FFFFFF"/>
        </w:rPr>
        <w:t xml:space="preserve">result in widespread </w:t>
      </w:r>
      <w:r w:rsidRPr="00872293">
        <w:rPr>
          <w:rFonts w:ascii="Times New Roman" w:eastAsia="Times New Roman" w:hAnsi="Times New Roman" w:cs="Times New Roman"/>
          <w:shd w:val="clear" w:color="auto" w:fill="FFFFFF"/>
        </w:rPr>
        <w:t xml:space="preserve">defoliation </w:t>
      </w:r>
      <w:r w:rsidR="00DE31F2" w:rsidRPr="00872293">
        <w:rPr>
          <w:rFonts w:ascii="Times New Roman" w:eastAsia="Times New Roman" w:hAnsi="Times New Roman" w:cs="Times New Roman"/>
          <w:shd w:val="clear" w:color="auto" w:fill="FFFFFF"/>
        </w:rPr>
        <w:t xml:space="preserve">of the forest canopy </w:t>
      </w:r>
      <w:r w:rsidRPr="00872293">
        <w:rPr>
          <w:rFonts w:ascii="Times New Roman" w:eastAsia="Times New Roman" w:hAnsi="Times New Roman" w:cs="Times New Roman"/>
          <w:shd w:val="clear" w:color="auto" w:fill="FFFFFF"/>
        </w:rPr>
        <w:fldChar w:fldCharType="begin" w:fldLock="1"/>
      </w:r>
      <w:r w:rsidRPr="00872293">
        <w:rPr>
          <w:rFonts w:ascii="Times New Roman" w:eastAsia="Times New Roman" w:hAnsi="Times New Roman" w:cs="Times New Roman"/>
          <w:shd w:val="clear" w:color="auto" w:fill="FFFFFF"/>
        </w:rPr>
        <w:instrText>ADDIN CSL_CITATION {"citationItems":[{"id":"ITEM-1","itemData":{"DOI":"10.1111/j.1469-8137.2009.02789.x","ISSN":"0028646X","abstract":"In this study, we explore how a hurricane disturbance influenced carbon allocation for the production of new fine roots. • Before and after a hurricane, we measured the age of carbon (time since fixation from the atmosphere) in fine root structural tissues using natural abundance radiocarbon (14C) measured by accelerator mass spectrometry. Roots were sampled from five seasonally dry tropical forests ranging in age from 6 yr to a mature forest. • Structural carbon in combined live + dead roots picked from soil cores sampled 1 month before the hurricane had mean ages ranging from 4 to 11 yr, whereas live roots alone had ages of 1-2 yr. Structural carbon in new live fine roots produced over a period lasting from 3 wk before the hurricane to 2 months after the event had mean ages of between 2 and 10 yr. • Contrary to expectations, our results showed that plants allocate long-lived storage carbon pools to the production of new fine roots after canopy defoliation and root mortality. The age of the carbon allocated for new roots increased with forest age and forest above-ground biomass, suggesting an adaptation of plants to survive and recover from severe disturbances. © 2009 New Phytologist.","author":[{"dropping-particle":"","family":"Vargas","given":"Rodrigo","non-dropping-particle":"","parse-names":false,"suffix":""},{"dropping-particle":"","family":"Trumbore","given":"Susan E.","non-dropping-particle":"","parse-names":false,"suffix":""},{"dropping-particle":"","family":"Allen","given":"Michael F.","non-dropping-particle":"","parse-names":false,"suffix":""}],"container-title":"New Phytologist","id":"ITEM-1","issue":"3","issued":{"date-parts":[["2009"]]},"page":"710-718","title":"Evidence of old carbon used to grow new fine roots in a tropical forest","type":"article-journal","volume":"182"},"uris":["http://www.mendeley.com/documents/?uuid=255a39f1-d650-4335-9635-0ddc3e70fc3e"]}],"mendeley":{"formattedCitation":"(Vargas &lt;i&gt;et al.&lt;/i&gt;, 2009)","plainTextFormattedCitation":"(Vargas et al., 2009)","previouslyFormattedCitation":"(Vargas &lt;i&gt;et al.&lt;/i&gt;, 2009)"},"properties":{"noteIndex":0},"schema":"https://github.com/citation-style-language/schema/raw/master/csl-citation.json"}</w:instrText>
      </w:r>
      <w:r w:rsidRPr="00872293">
        <w:rPr>
          <w:rFonts w:ascii="Times New Roman" w:eastAsia="Times New Roman" w:hAnsi="Times New Roman" w:cs="Times New Roman"/>
          <w:shd w:val="clear" w:color="auto" w:fill="FFFFFF"/>
        </w:rPr>
        <w:fldChar w:fldCharType="separate"/>
      </w:r>
      <w:r w:rsidRPr="00872293">
        <w:rPr>
          <w:rFonts w:ascii="Times New Roman" w:eastAsia="Times New Roman" w:hAnsi="Times New Roman" w:cs="Times New Roman"/>
          <w:noProof/>
          <w:shd w:val="clear" w:color="auto" w:fill="FFFFFF"/>
        </w:rPr>
        <w:t xml:space="preserve">(Vargas </w:t>
      </w:r>
      <w:r w:rsidRPr="00872293">
        <w:rPr>
          <w:rFonts w:ascii="Times New Roman" w:eastAsia="Times New Roman" w:hAnsi="Times New Roman" w:cs="Times New Roman"/>
          <w:i/>
          <w:noProof/>
          <w:shd w:val="clear" w:color="auto" w:fill="FFFFFF"/>
        </w:rPr>
        <w:t>et al.</w:t>
      </w:r>
      <w:r w:rsidRPr="00872293">
        <w:rPr>
          <w:rFonts w:ascii="Times New Roman" w:eastAsia="Times New Roman" w:hAnsi="Times New Roman" w:cs="Times New Roman"/>
          <w:noProof/>
          <w:shd w:val="clear" w:color="auto" w:fill="FFFFFF"/>
        </w:rPr>
        <w:t>, 2009)</w:t>
      </w:r>
      <w:r w:rsidRPr="00872293">
        <w:rPr>
          <w:rFonts w:ascii="Times New Roman" w:eastAsia="Times New Roman" w:hAnsi="Times New Roman" w:cs="Times New Roman"/>
          <w:shd w:val="clear" w:color="auto" w:fill="FFFFFF"/>
        </w:rPr>
        <w:fldChar w:fldCharType="end"/>
      </w:r>
      <w:r w:rsidRPr="00872293">
        <w:rPr>
          <w:rFonts w:ascii="Times New Roman" w:eastAsia="Times New Roman" w:hAnsi="Times New Roman" w:cs="Times New Roman"/>
          <w:shd w:val="clear" w:color="auto" w:fill="FFFFFF"/>
        </w:rPr>
        <w:t>. However, our understanding of the interactive effect of multiple disturbances on tropical roots is very limited.</w:t>
      </w:r>
    </w:p>
    <w:p w14:paraId="3A48CA91" w14:textId="77777777" w:rsidR="001A2B4E" w:rsidRPr="00872293" w:rsidRDefault="001A2B4E"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p>
    <w:p w14:paraId="3AC8C8CA" w14:textId="3E3F391B" w:rsidR="00680C52" w:rsidRPr="00872293" w:rsidRDefault="00680C52" w:rsidP="001A2B4E">
      <w:pPr>
        <w:pStyle w:val="Heading2"/>
        <w:spacing w:before="0" w:after="0"/>
        <w:rPr>
          <w:shd w:val="clear" w:color="auto" w:fill="FFFFFF"/>
        </w:rPr>
      </w:pPr>
      <w:bookmarkStart w:id="5" w:name="_Toc53689049"/>
      <w:r w:rsidRPr="00872293">
        <w:rPr>
          <w:shd w:val="clear" w:color="auto" w:fill="FFFFFF"/>
        </w:rPr>
        <w:t>Tropical forests and Puerto Rico</w:t>
      </w:r>
      <w:bookmarkEnd w:id="5"/>
      <w:r w:rsidRPr="00872293">
        <w:rPr>
          <w:shd w:val="clear" w:color="auto" w:fill="FFFFFF"/>
        </w:rPr>
        <w:t xml:space="preserve"> </w:t>
      </w:r>
    </w:p>
    <w:p w14:paraId="43CBC7D2" w14:textId="46028931" w:rsidR="00680C52" w:rsidRPr="00872293" w:rsidRDefault="00680C52" w:rsidP="007E18C8">
      <w:pPr>
        <w:widowControl w:val="0"/>
        <w:autoSpaceDE w:val="0"/>
        <w:autoSpaceDN w:val="0"/>
        <w:adjustRightInd w:val="0"/>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Tropical forests account for one third of global terrestrial primary production and stores half of terrestrial </w:t>
      </w:r>
      <w:r w:rsidRPr="00872293">
        <w:rPr>
          <w:rFonts w:ascii="Times New Roman" w:hAnsi="Times New Roman" w:cs="Times New Roman"/>
        </w:rPr>
        <w:t>carbon in plant biomass</w:t>
      </w:r>
      <w:r w:rsidRPr="00872293">
        <w:rPr>
          <w:rFonts w:ascii="Times New Roman" w:eastAsia="Times New Roman" w:hAnsi="Times New Roman" w:cs="Times New Roman"/>
        </w:rPr>
        <w:t xml:space="preserv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{"citationItems":[{"id":"ITEM-1","itemData":{"DOI":"10.1146/annurev-environ-030713-155141","ISSN":"1543-5938","abstract":"The Anthropocene is characterized as an epoch when human influence has begun to fundamentally alter many aspects of the Earth system and many of the planet's biomes. Here, we review and synthesize our understanding of Anthropocene changes in tropical forests. Key facets include deforestation driven by agricultural expansion, timber and wood extraction, the loss of fauna that maintain critical ecological connections, the spread of fire, landscape fragmentation, the spread of second-growth forests, new species invasion and pathogen spread, increasing CO, and climate change. The patterns of change are spatially heterogeneous, are often characterized by strong interactions among different drivers, can have both large-scale and remote effects, and can play out through ecological cascades over long timescales. As a consequence, most tropical forests are on a trajectory to becoming altered ecosystems, with the degree of alteration dependent on the intensity and duration of the current bottleneck of human-induced pressures. We highlight the importance of this understanding to develop the strategies necessary for shaping the transition of tropical forests through the early Anthropocene, as well as highlight the opportunities and challenges for the tropical forest science community in the coming decades.","author":[{"dropping-particle":"","family":"Malhi","given":"Yadvinder","non-dropping-particle":"","parse-names":false,"suffix":""},{"dropping-particle":"","family":"Gardner","given":"Toby A.","non-dropping-particle":"","parse-names":false,"suffix":""},{"dropping-particle":"","family":"Goldsmith","given":"Gregory R.","non-dropping-particle":"","parse-names":false,"suffix":""},{"dropping-particle":"","family":"Silman","given":"Miles R.","non-dropping-particle":"","parse-names":false,"suffix":""},{"dropping-particle":"","family":"Zelazowski","given":"Przemyslaw","non-dropping-particle":"","parse-names":false,"suffix":""}],"container-title":"Annual Review of Environment and Resources","id":"ITEM-1","issued":{"date-parts":[["2014"]]},"page":"125-159","title":"Tropical Forests in the Anthropocene","type":"article-journal","volume":"39"},"uris":["http://www.mendeley.com/documents/?uuid=56c6593f-b767-4698-8932-c9ac50c58c04"]},{"id":"ITEM-2","itemData":{"DOI":"10.1126/science.1184984","ISSN":"00368075","PMID":"20603496","abstract":"Terrestrial gross primary production (GPP) is the largest global CO 2 flux driving several ecosystem functions. We provide an observation-based estimate of this flux at 123 ± 8 petagrams of carbon per year (Pg C year-1) using eddy covariance flux data and various diagnostic models. Tropical forests and savannahs account for 60%. GPP over 40% of the vegetated land is associated with precipitation. State-of-the-art process-oriented biosphere models used for climate predictions exhibit a large between-model variation of GPP's latitudinal patterns and show higher spatial correlations between GPP and precipitation, suggesting the existence of missing processes or feedback mechanisms which attenuate the vegetation response to climate. Our estimates of spatially distributed GPP and its covariation with climate can help improve coupled climate-carbon cycle process models.","author":[{"dropping-particle":"","family":"Beer","given":"Christian","non-dropping-particle":"","parse-names":false,"suffix":""},{"dropping-particle":"","family":"Reichstein","given":"Markus","non-dropping-particle":"","parse-names":false,"suffix":""},{"dropping-particle":"","family":"Tomelleri","given":"Enrico","non-dropping-particle":"","parse-names":false,"suffix":""},{"dropping-particle":"","family":"Ciais","given":"Philippe","non-dropping-particle":"","parse-names":false,"suffix":""},{"dropping-particle":"","family":"Jung","given":"Martin","non-dropping-particle":"","parse-names":false,"suffix":""},{"dropping-particle":"","family":"Carvalhais","given":"Nuno","non-dropping-particle":"","parse-names":false,"suffix":""},{"dropping-particle":"","family":"Rödenbeck","given":"Christian","non-dropping-particle":"","parse-names":false,"suffix":""},{"dropping-particle":"","family":"Arain","given":"M. Altaf","non-dropping-particle":"","parse-names":false,"suffix":""},{"dropping-particle":"","family":"Baldocchi","given":"Dennis","non-dropping-particle":"","parse-names":false,"suffix":""},{"dropping-particle":"","family":"Bonan","given":"Gordon B.","non-dropping-particle":"","parse-names":false,"suffix":""},{"dropping-particle":"","family":"Bondeau","given":"Alberte","non-dropping-particle":"","parse-names":false,"suffix":""},{"dropping-particle":"","family":"Cescatti","given":"Alessandro","non-dropping-particle":"","parse-names":false,"suffix":""},{"dropping-particle":"","family":"Lasslop","given":"Gitta","non-dropping-particle":"","parse-names":false,"suffix":""},{"dropping-particle":"","family":"Lindroth","given":"Anders","non-dropping-particle":"","parse-names":false,"suffix":""},{"dropping-particle":"","family":"Lomas","given":"Mark","non-dropping-particle":"","parse-names":false,"suffix":""},{"dropping-particle":"","family":"Luyssaert","given":"Sebastiaan","non-dropping-particle":"","parse-names":false,"suffix":""},{"dropping-particle":"","family":"Margolis","given":"Hank","non-dropping-particle":"","parse-names":false,"suffix":""},{"dropping-particle":"","family":"Oleson","given":"Keith W.","non-dropping-particle":"","parse-names":false,"suffix":""},{"dropping-particle":"","family":"Roupsard","given":"Olivier","non-dropping-particle":"","parse-names":false,"suffix":""},{"dropping-particle":"","family":"Veenendaal","given":"Elmar","non-dropping-particle":"","parse-names":false,"suffix":""},{"dropping-particle":"","family":"Viovy","given":"Nicolas","non-dropping-particle":"","parse-names":false,"suffix":""},{"dropping-particle":"","family":"Williams","given":"Christopher","non-dropping-particle":"","parse-names":false,"suffix":""},{"dropping-particle":"","family":"Woodward","given":"F. Ian","non-dropping-particle":"","parse-names":false,"suffix":""},{"dropping-particle":"","family":"Papale","given":"Dario","non-dropping-particle":"","parse-names":false,"suffix":""}],"container-title":"Science","id":"ITEM-2","issued":{"date-parts":[["2010"]]},"page":"834-838","title":"Terrestrial gross carbon dioxide uptake: Global distribution and covariation with climate","type":"article-journal","volume":"329"},"uris":["http://www.mendeley.com/documents/?uuid=b8700b71-0b1c-46e2-b499-2760f10c5753"]},{"id":"ITEM-3","itemData":{"DOI":"10.1126/science.281.5374.237","ISSN":"00368075","PMID":"9657713","abstract":"Integrating conceptually similar models of the growth of marine and terrestrial primary producers yielded an estimated global net primary production (NPP) of 104.9 petagrams of carbon per year, with roughly equal contributions from land and oceans. Approaches based on satellite indices of absorbed solar radiation indicate marked heterogeneity in NPP for both land and oceans, reflecting the influence of physical and ecological processes. The spatial and temporal distributions of ocean NPP are consistent with primary limitation by light, nutrients, and temperature. On land, water limitation imposes additional constraints. On land and ocean, progressive changes in NPP can result in altered carbon storage, although contrasts in mechanisms of carbon storage and rates of organic matter turnover result in a range of relations between carbon storage and changes in NPP.","author":[{"dropping-particle":"","family":"Field","given":"Christopher B.","non-dropping-particle":"","parse-names":false,"suffix":""},{"dropping-particle":"","family":"Behrenfeld","given":"Michael J.","non-dropping-particle":"","parse-names":false,"suffix":""},{"dropping-particle":"","family":"Randerson","given":"James T.","non-dropping-particle":"","parse-names":false,"suffix":""},{"dropping-particle":"","family":"Falkowski","given":"Paul","non-dropping-particle":"","parse-names":false,"suffix":""}],"container-title":"Science","id":"ITEM-3","issued":{"date-parts":[["1998"]]},"page":"237-240","title":"Primary production of the biosphere: Integrating terrestrial and oceanic components","type":"article-journal","volume":"281"},"uris":["http://www.mendeley.com/documents/?uuid=1bb1d23b-5a1e-4c27-b973-04f11eab6b34"]}],"mendeley":{"formattedCitation":"(Field &lt;i&gt;et al.&lt;/i&gt;, 1998; Beer &lt;i&gt;et al.&lt;/i&gt;, 2010; Malhi &lt;i&gt;et al.&lt;/i&gt;, 2014)","plainTextFormattedCitation":"(Field et al., 1998; Beer et al., 2010; Malhi et al., 2014)","previouslyFormattedCitation":"(Field &lt;i&gt;et al.&lt;/i&gt;, 1998; Beer &lt;i&gt;et al.&lt;/i&gt;, 2010; Malhi &lt;i&gt;et al.&lt;/i&gt;, 2014)"},"properties":{"noteIndex":0},"schema":"https://github.com/citation-style-language/schema/raw/master/csl-citation.json"}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(Field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1998; Beer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2010; Malhi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2014)</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Thus, small changes in carbon fluxes from these forests can have a considerable influence on the atmospheric CO</w:t>
      </w:r>
      <w:r w:rsidRPr="00872293">
        <w:rPr>
          <w:rFonts w:ascii="Times New Roman" w:eastAsia="Times New Roman" w:hAnsi="Times New Roman" w:cs="Times New Roman"/>
          <w:vertAlign w:val="subscript"/>
        </w:rPr>
        <w:t>2</w:t>
      </w:r>
      <w:r w:rsidRPr="00872293">
        <w:rPr>
          <w:rFonts w:ascii="Times New Roman" w:eastAsia="Times New Roman" w:hAnsi="Times New Roman" w:cs="Times New Roman"/>
        </w:rPr>
        <w:t xml:space="preserve"> concentration </w:t>
      </w:r>
      <w:r w:rsidRPr="00872293">
        <w:rPr>
          <w:rFonts w:ascii="Times New Roman" w:eastAsia="Times New Roman" w:hAnsi="Times New Roman" w:cs="Times New Roman"/>
        </w:rPr>
        <w:fldChar w:fldCharType="begin" w:fldLock="1"/>
      </w:r>
      <w:r w:rsidR="007E2C06" w:rsidRPr="00872293">
        <w:rPr>
          <w:rFonts w:ascii="Times New Roman" w:eastAsia="Times New Roman" w:hAnsi="Times New Roman" w:cs="Times New Roman"/>
        </w:rPr>
        <w:instrText>ADDIN CSL_CITATION {"citationItems":[{"id":"ITEM-1","itemData":{"DOI":"10.2307/1940664","author":[{"dropping-particle":"","family":"Nadelhoffer","given":"Knute J.","non-dropping-particle":"","parse-names":false,"suffix":""},{"dropping-particle":"","family":"Raich","given":"James W","non-dropping-particle":"","parse-names":false,"suffix":""}],"container-title":"Ecology","id":"ITEM-1","issue":"4","issued":{"date-parts":[["1992"]]},"page":"1139-1147","title":"Fine Root Production Estimates and Belowground Carbon Allocation in Forest Ecosystems","type":"article-journal","volume":"73"},"uris":["http://www.mendeley.com/documents/?uuid=9e4b28e6-d1f2-4540-ab06-530655120597"]},{"id":"ITEM-2","itemData":{"DOI":"10.1111/j.1469-185X.2012.00232.x","ISSN":"14647931","abstract":"Tropical forests play a major role in regulating global carbon (C) fluxes and stocks, and even small changes to C cycling in this productive biome could dramatically affect atmospheric carbon dioxide (CO(2) ) concentrations. Temperature is expected to increase over all land surfaces in the future, yet we have a surprisingly poor understanding of how tropical forests will respond to this significant climatic change. Here we present a contemporary synthesis of the existing data and what they suggest about how tropical forests will respond to increasing temperatures. Our goals were to: (i) determine whether there is enough evidence to support the conclusion that increased temperature will affect tropical forest C balance; (ii) if there is sufficient evidence, determine what direction this effect will take; and, (iii) establish what steps should to be taken to resolve the uncertainties surrounding tropical forest responses to increasing temperatures. We approach these questions from a mass-balance perspective and therefore focus primarily on the effects of temperature on inputs and outputs of C, spanning microbial- to ecosystem-scale responses. We found that, while there is the strong potential for temperature to affect processes related to C cycling and storage in tropical forests, a notable lack of data combined with the physical, biological and chemical diversity of the forests themselves make it difficult to resolve this issue with certainty. We suggest a variety of experimental approaches that could help elucidate how tropical forests will respond to warming, including large-scale in situ manipulation experiments, longer term field experiments, the incorporation of a range of scales in the investigation of warming effects (both spatial and temporal), as well as the inclusion of a diversity of tropical forest sites. Finally, we highlight areas of tropical forest research where notably few data are available, including temperature effects on: nutrient cycling, heterotrophic versus autotrophic respiration, thermal acclimation versus substrate limitation of plant and microbial communities, below-ground C allocation, species composition (plant and microbial), and the hydraulic architecture of roots. Whether or not tropical forests will become a source or a sink of C in a warmer world remains highly uncertain. Given the importance of these ecosystems to the global C budget, resolving this uncertainty is a primary research priority.","author":[{"dropping-particle":"","family":"Wood","given":"Tana E.","non-dropping-particle":"","parse-names":false,"suffix":""},{"dropping-particle":"","family":"Cavaleri","given":"Molly A.","non-dropping-particle":"","parse-names":false,"suffix":""},{"dropping-particle":"","family":"Reed","given":"Sasha C.","non-dropping-particle":"","parse-names":false,"suffix":""}],"container-title":"Biological Reviews","id":"ITEM-2","issue":"4","issued":{"date-parts":[["2012"]]},"page":"912-927","title":"Tropical forest carbon balance in a warmer world: A critical review spanning microbial- to ecosystem-scale processes","type":"article-journal","volume":"87"},"uris":["http://www.mendeley.com/documents/?uuid=22db4be2-c2b6-4b3f-82b7-8e05ce74f9fc"]},{"id":"ITEM-3","itemData":{"DOI":"10.1111/gcb.12860","ISSN":"13652486","abstract":"©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Biology","id":"ITEM-3","issue":"6","issued":{"date-parts":[["2015"]]},"page":"2111-2121","title":"Urgent need for warming experiments in tropical forests","type":"article-journal","volume":"21"},"uris":["http://www.mendeley.com/documents/?uuid=1849b672-6e54-4799-a060-836ad328c75f"]}],"mendeley":{"formattedCitation":"(Nadelhoffer &amp; Raich, 1992; Wood &lt;i&gt;et al.&lt;/i&gt;, 2012; Cavaleri &lt;i&gt;et al.&lt;/i&gt;, 2015)","manualFormatting":"(Nadelhoffer &amp; Raich 1992, Wood et al., 2012, Cavaleri et al., 2015)","plainTextFormattedCitation":"(Nadelhoffer &amp; Raich, 1992; Wood et al., 2012; Cavaleri et al., 2015)","previouslyFormattedCitation":"(Nadelhoffer &amp; Raich, 1992; Wood &lt;i&gt;et al.&lt;/i&gt;, 2012b; Cavaleri &lt;i&gt;et al.&lt;/i&gt;, 2015)"},"properties":{"noteIndex":0},"schema":"https://github.com/citation-style-language/schema/raw/master/csl-citation.json"}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(Nadelhoffer &amp; Raich 1992, Wood </w:t>
      </w:r>
      <w:r w:rsidRPr="00872293">
        <w:rPr>
          <w:rFonts w:ascii="Times New Roman" w:eastAsia="Times New Roman" w:hAnsi="Times New Roman" w:cs="Times New Roman"/>
          <w:i/>
          <w:noProof/>
        </w:rPr>
        <w:t>et al.</w:t>
      </w:r>
      <w:r w:rsidR="007E2C06" w:rsidRPr="00872293">
        <w:rPr>
          <w:rFonts w:ascii="Times New Roman" w:eastAsia="Times New Roman" w:hAnsi="Times New Roman" w:cs="Times New Roman"/>
          <w:i/>
          <w:noProof/>
        </w:rPr>
        <w:t>,</w:t>
      </w:r>
      <w:r w:rsidRPr="00872293">
        <w:rPr>
          <w:rFonts w:ascii="Times New Roman" w:eastAsia="Times New Roman" w:hAnsi="Times New Roman" w:cs="Times New Roman"/>
          <w:noProof/>
        </w:rPr>
        <w:t xml:space="preserve"> 2012, Cavaleri </w:t>
      </w:r>
      <w:r w:rsidRPr="00872293">
        <w:rPr>
          <w:rFonts w:ascii="Times New Roman" w:eastAsia="Times New Roman" w:hAnsi="Times New Roman" w:cs="Times New Roman"/>
          <w:i/>
          <w:noProof/>
        </w:rPr>
        <w:t>et al.</w:t>
      </w:r>
      <w:r w:rsidR="007E2C06" w:rsidRPr="00872293">
        <w:rPr>
          <w:rFonts w:ascii="Times New Roman" w:eastAsia="Times New Roman" w:hAnsi="Times New Roman" w:cs="Times New Roman"/>
          <w:i/>
          <w:noProof/>
        </w:rPr>
        <w:t>,</w:t>
      </w:r>
      <w:r w:rsidRPr="00872293">
        <w:rPr>
          <w:rFonts w:ascii="Times New Roman" w:eastAsia="Times New Roman" w:hAnsi="Times New Roman" w:cs="Times New Roman"/>
          <w:noProof/>
        </w:rPr>
        <w:t xml:space="preserve"> 2015)</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Despite their importance in the C cycle and thus climate change, there </w:t>
      </w:r>
      <w:r w:rsidR="002B0C9A" w:rsidRPr="00872293">
        <w:rPr>
          <w:rFonts w:ascii="Times New Roman" w:eastAsia="Times New Roman" w:hAnsi="Times New Roman" w:cs="Times New Roman"/>
        </w:rPr>
        <w:t>are</w:t>
      </w:r>
      <w:r w:rsidRPr="00872293">
        <w:rPr>
          <w:rFonts w:ascii="Times New Roman" w:eastAsia="Times New Roman" w:hAnsi="Times New Roman" w:cs="Times New Roman"/>
        </w:rPr>
        <w:t xml:space="preserve"> </w:t>
      </w:r>
      <w:r w:rsidR="00F06758" w:rsidRPr="00872293">
        <w:rPr>
          <w:rFonts w:ascii="Times New Roman" w:eastAsia="Times New Roman" w:hAnsi="Times New Roman" w:cs="Times New Roman"/>
        </w:rPr>
        <w:t xml:space="preserve">few </w:t>
      </w:r>
      <w:r w:rsidRPr="00872293">
        <w:rPr>
          <w:rFonts w:ascii="Times New Roman" w:eastAsia="Times New Roman" w:hAnsi="Times New Roman" w:cs="Times New Roman"/>
        </w:rPr>
        <w:t xml:space="preserve">available data of tropical forests compared to other biomes, </w:t>
      </w:r>
      <w:r w:rsidR="002B0C9A" w:rsidRPr="00872293">
        <w:rPr>
          <w:rFonts w:ascii="Times New Roman" w:eastAsia="Times New Roman" w:hAnsi="Times New Roman" w:cs="Times New Roman"/>
        </w:rPr>
        <w:t xml:space="preserve">and </w:t>
      </w:r>
      <w:r w:rsidRPr="00872293">
        <w:rPr>
          <w:rFonts w:ascii="Times New Roman" w:eastAsia="Times New Roman" w:hAnsi="Times New Roman" w:cs="Times New Roman"/>
        </w:rPr>
        <w:t xml:space="preserve">this is especially true for the belowground component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Biology","id":"ITEM-1","issue":"6","issued":{"date-parts":[["2015"]]},"page":"2111-2121","title":"Urgent need for warming experiments in tropical forests","type":"article-journal","volume":"21"},"uris":["http://www.mendeley.com/documents/?uuid=1849b672-6e54-4799-a060-836ad328c75f"]},{"id":"ITEM-2","itemData":{"DOI":"10.1111/nph.14486","ISSN":"14698137","abstract":"Variation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Phytologist","id":"ITEM-2","issued":{"date-parts":[["2017"]]},"page":"15-26","title":"A global Fine-Root Ecology Database to address below-ground challenges in plant ecology","type":"article-journal","volume":"215"},"uris":["http://www.mendeley.com/documents/?uuid=62937dca-e72a-453c-9b0f-d0150091b641"]}],"mendeley":{"formattedCitation":"(Cavaleri &lt;i&gt;et al.&lt;/i&gt;, 2015; Iversen &lt;i&gt;et al.&lt;/i&gt;, 2017)","plainTextFormattedCitation":"(Cavaleri et al., 2015; Iversen et al., 2017)","previouslyFormattedCitation":"(Cavaleri &lt;i&gt;et al.&lt;/i&gt;, 2015; Iversen &lt;i&gt;et al.&lt;/i&gt;, 2017)"},"properties":{"noteIndex":0},"schema":"https://github.com/citation-style-language/schema/raw/master/csl-citation.json"}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(Cavaleri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2015; Iversen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2017)</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p>
    <w:p w14:paraId="7BBDA657" w14:textId="77777777" w:rsidR="00680C52" w:rsidRPr="00872293" w:rsidRDefault="00680C52"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p>
    <w:p w14:paraId="35A35CC1" w14:textId="68309E48" w:rsidR="00680C52" w:rsidRPr="00872293" w:rsidRDefault="00680C52" w:rsidP="00680C52">
      <w:pPr>
        <w:autoSpaceDE w:val="0"/>
        <w:autoSpaceDN w:val="0"/>
        <w:adjustRightInd w:val="0"/>
        <w:spacing w:line="360" w:lineRule="auto"/>
        <w:rPr>
          <w:rFonts w:ascii="Times New Roman" w:eastAsia="Lato-Regular" w:hAnsi="Times New Roman" w:cs="Times New Roman"/>
        </w:rPr>
      </w:pPr>
      <w:r w:rsidRPr="00872293">
        <w:rPr>
          <w:rFonts w:ascii="Times New Roman" w:eastAsia="Times New Roman" w:hAnsi="Times New Roman" w:cs="Times New Roman"/>
          <w:shd w:val="clear" w:color="auto" w:fill="FFFFFF"/>
        </w:rPr>
        <w:t xml:space="preserve">There are some tropical sites that have been more represented than others, and this is the case of Puerto Rico. </w:t>
      </w:r>
      <w:r w:rsidRPr="00872293">
        <w:rPr>
          <w:rFonts w:ascii="Times New Roman" w:eastAsia="Lato-Regular" w:hAnsi="Times New Roman" w:cs="Times New Roman"/>
        </w:rPr>
        <w:t xml:space="preserve">In the Fine-Root Ecology Database (FRED) </w:t>
      </w:r>
      <w:r w:rsidRPr="00872293">
        <w:rPr>
          <w:rFonts w:ascii="Times New Roman" w:eastAsia="Lato-Regular" w:hAnsi="Times New Roman" w:cs="Times New Roman"/>
        </w:rPr>
        <w:fldChar w:fldCharType="begin" w:fldLock="1"/>
      </w:r>
      <w:r w:rsidRPr="00872293">
        <w:rPr>
          <w:rFonts w:ascii="Times New Roman" w:eastAsia="Lato-Regular" w:hAnsi="Times New Roman" w:cs="Times New Roman"/>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ecology","type":"article-journal","volume":"215"},"uris":["http://www.mendeley.com/documents/?uuid=62937dca-e72a-453c-9b0f-d0150091b641"]}],"mendeley":{"formattedCitation":"(Iversen &lt;i&gt;et al.&lt;/i&gt;, 2017)","plainTextFormattedCitation":"(Iversen et al., 2017)","previouslyFormattedCitation":"(Iversen &lt;i&gt;et al.&lt;/i&gt;, 2017)"},"properties":{"noteIndex":0},"schema":"https://github.com/citation-style-language/schema/raw/master/csl-citation.json"}</w:instrText>
      </w:r>
      <w:r w:rsidRPr="00872293">
        <w:rPr>
          <w:rFonts w:ascii="Times New Roman" w:eastAsia="Lato-Regular" w:hAnsi="Times New Roman" w:cs="Times New Roman"/>
        </w:rPr>
        <w:fldChar w:fldCharType="separate"/>
      </w:r>
      <w:r w:rsidRPr="00872293">
        <w:rPr>
          <w:rFonts w:ascii="Times New Roman" w:eastAsia="Lato-Regular" w:hAnsi="Times New Roman" w:cs="Times New Roman"/>
          <w:noProof/>
        </w:rPr>
        <w:t xml:space="preserve">(Iversen </w:t>
      </w:r>
      <w:r w:rsidRPr="00872293">
        <w:rPr>
          <w:rFonts w:ascii="Times New Roman" w:eastAsia="Lato-Regular" w:hAnsi="Times New Roman" w:cs="Times New Roman"/>
          <w:i/>
          <w:noProof/>
        </w:rPr>
        <w:t>et al.</w:t>
      </w:r>
      <w:r w:rsidRPr="00872293">
        <w:rPr>
          <w:rFonts w:ascii="Times New Roman" w:eastAsia="Lato-Regular" w:hAnsi="Times New Roman" w:cs="Times New Roman"/>
          <w:noProof/>
        </w:rPr>
        <w:t>, 2017)</w:t>
      </w:r>
      <w:r w:rsidRPr="00872293">
        <w:rPr>
          <w:rFonts w:ascii="Times New Roman" w:eastAsia="Lato-Regular" w:hAnsi="Times New Roman" w:cs="Times New Roman"/>
        </w:rPr>
        <w:fldChar w:fldCharType="end"/>
      </w:r>
      <w:r w:rsidRPr="00872293">
        <w:rPr>
          <w:rFonts w:ascii="Times New Roman" w:eastAsia="Lato-Regular" w:hAnsi="Times New Roman" w:cs="Times New Roman"/>
        </w:rPr>
        <w:t xml:space="preserve">, which holds around 315 root traits from more than 1213 species around the world, tropical data </w:t>
      </w:r>
      <w:r w:rsidR="00566282" w:rsidRPr="00872293">
        <w:rPr>
          <w:rFonts w:ascii="Times New Roman" w:eastAsia="Lato-Regular" w:hAnsi="Times New Roman" w:cs="Times New Roman"/>
        </w:rPr>
        <w:t xml:space="preserve">comprise </w:t>
      </w:r>
      <w:r w:rsidRPr="00872293">
        <w:rPr>
          <w:rFonts w:ascii="Times New Roman" w:eastAsia="Lato-Regular" w:hAnsi="Times New Roman" w:cs="Times New Roman"/>
        </w:rPr>
        <w:t xml:space="preserve">20%, </w:t>
      </w:r>
      <w:r w:rsidR="00566282" w:rsidRPr="00872293">
        <w:rPr>
          <w:rFonts w:ascii="Times New Roman" w:eastAsia="Lato-Regular" w:hAnsi="Times New Roman" w:cs="Times New Roman"/>
        </w:rPr>
        <w:t>of</w:t>
      </w:r>
      <w:r w:rsidRPr="00872293">
        <w:rPr>
          <w:rFonts w:ascii="Times New Roman" w:eastAsia="Lato-Regular" w:hAnsi="Times New Roman" w:cs="Times New Roman"/>
        </w:rPr>
        <w:t xml:space="preserve"> which 4% is from Puerto Rico </w:t>
      </w:r>
      <w:r w:rsidRPr="00872293">
        <w:rPr>
          <w:rFonts w:ascii="Times New Roman" w:eastAsia="Lato-Regular" w:hAnsi="Times New Roman" w:cs="Times New Roman"/>
        </w:rPr>
        <w:fldChar w:fldCharType="begin" w:fldLock="1"/>
      </w:r>
      <w:r w:rsidRPr="00872293">
        <w:rPr>
          <w:rFonts w:ascii="Times New Roman" w:eastAsia="Lato-Regular" w:hAnsi="Times New Roman" w:cs="Times New Roman"/>
        </w:rPr>
        <w:instrText>ADDIN CSL_CITATION {"citationItems":[{"id":"ITEM-1","itemData":{"DOI":"10.1111/nph.14459","ISSN":"14698137","PMID":"28295373","abstract":"Trait-based approaches provide a useful framework to investigate plant strategies for resource acquisition, growth, and competition, as well as plant impacts on ecosystem processes. Despite significant progress capturing trait variation within and among stems and leaves, identification of trait syndromes within fine-root systems and between fine roots and other plant organs is limited. Here we discuss three underappreciated areas where focused measurements of fine-root traits can make significant contributions to ecosystem science. These include assessment of spatiotemporal variation in fine-root traits, integration of mycorrhizal fungi into fine-root-trait frameworks, and the need for improved scaling of traits measured on individual roots to ecosystem-level processes. Progress in each of these areas is providing opportunities to revisit how below-ground processes are represented in terrestrial biosphere models. Targeted measurements of fine-root traits with clear linkages to ecosystem processes and plant responses to environmental change are strongly needed to reduce empirical and model uncertainties. Further identifying how and when suites of root and whole-plant traits are coordinated or decoupled will ultimately provide a powerful tool for modeling plant form and function at local and global scales.","author":[{"dropping-particle":"","family":"McCormack","given":"M. Luke","non-dropping-particle":"","parse-names":false,"suffix":""},{"dropping-particle":"","family":"Guo","given":"Dali","non-dropping-particle":"","parse-names":false,"suffix":""},{"dropping-particle":"","family":"Iversen","given":"Colleen M.","non-dropping-particle":"","parse-names":false,"suffix":""},{"dropping-particle":"","family":"Chen","given":"Weile","non-dropping-particle":"","parse-names":false,"suffix":""},{"dropping-particle":"","family":"Eissenstat","given":"David M.","non-dropping-particle":"","parse-names":false,"suffix":""},{"dropping-particle":"","family":"Fernandez","given":"Christopher W.","non-dropping-particle":"","parse-names":false,"suffix":""},{"dropping-particle":"","family":"Li","given":"Le","non-dropping-particle":"","parse-names":false,"suffix":""},{"dropping-particle":"","family":"Ma","given":"Chengen","non-dropping-particle":"","parse-names":false,"suffix":""},{"dropping-particle":"","family":"Ma","given":"Zeqing","non-dropping-particle":"","parse-names":false,"suffix":""},{"dropping-particle":"","family":"Poorter","given":"Hendrik","non-dropping-particle":"","parse-names":false,"suffix":""},{"dropping-particle":"","family":"Reich","given":"Peter B.","non-dropping-particle":"","parse-names":false,"suffix":""},{"dropping-particle":"","family":"Zadworny","given":"Marcin","non-dropping-particle":"","parse-names":false,"suffix":""},{"dropping-particle":"","family":"Zanne","given":"Amy","non-dropping-particle":"","parse-names":false,"suffix":""}],"container-title":"New Phytologist","id":"ITEM-1","issue":"1","issued":{"date-parts":[["2017"]]},"page":"27-37","title":"Building a better foundation: improving root-trait measurements to understand and model plant and ecosystem processes","type":"article-journal","volume":"215"},"uris":["http://www.mendeley.com/documents/?uuid=91a783a9-c229-48c8-912d-23ec0496bb34"]}],"mendeley":{"formattedCitation":"(McCormack &lt;i&gt;et al.&lt;/i&gt;, 2017)","plainTextFormattedCitation":"(McCormack et al., 2017)","previouslyFormattedCitation":"(McCormack &lt;i&gt;et al.&lt;/i&gt;, 2017)"},"properties":{"noteIndex":0},"schema":"https://github.com/citation-style-language/schema/raw/master/csl-citation.json"}</w:instrText>
      </w:r>
      <w:r w:rsidRPr="00872293">
        <w:rPr>
          <w:rFonts w:ascii="Times New Roman" w:eastAsia="Lato-Regular" w:hAnsi="Times New Roman" w:cs="Times New Roman"/>
        </w:rPr>
        <w:fldChar w:fldCharType="separate"/>
      </w:r>
      <w:r w:rsidRPr="00872293">
        <w:rPr>
          <w:rFonts w:ascii="Times New Roman" w:eastAsia="Lato-Regular" w:hAnsi="Times New Roman" w:cs="Times New Roman"/>
          <w:noProof/>
        </w:rPr>
        <w:t xml:space="preserve">(McCormack </w:t>
      </w:r>
      <w:r w:rsidRPr="00872293">
        <w:rPr>
          <w:rFonts w:ascii="Times New Roman" w:eastAsia="Lato-Regular" w:hAnsi="Times New Roman" w:cs="Times New Roman"/>
          <w:i/>
          <w:noProof/>
        </w:rPr>
        <w:t>et al.</w:t>
      </w:r>
      <w:r w:rsidRPr="00872293">
        <w:rPr>
          <w:rFonts w:ascii="Times New Roman" w:eastAsia="Lato-Regular" w:hAnsi="Times New Roman" w:cs="Times New Roman"/>
          <w:noProof/>
        </w:rPr>
        <w:t>, 2017)</w:t>
      </w:r>
      <w:r w:rsidRPr="00872293">
        <w:rPr>
          <w:rFonts w:ascii="Times New Roman" w:eastAsia="Lato-Regular" w:hAnsi="Times New Roman" w:cs="Times New Roman"/>
        </w:rPr>
        <w:fldChar w:fldCharType="end"/>
      </w:r>
      <w:r w:rsidRPr="00872293">
        <w:rPr>
          <w:rFonts w:ascii="Times New Roman" w:eastAsia="Lato-Regular" w:hAnsi="Times New Roman" w:cs="Times New Roman"/>
        </w:rPr>
        <w:t xml:space="preserve">. </w:t>
      </w:r>
      <w:r w:rsidR="00566282" w:rsidRPr="00872293">
        <w:rPr>
          <w:rFonts w:ascii="Times New Roman" w:eastAsia="Lato-Regular" w:hAnsi="Times New Roman" w:cs="Times New Roman"/>
        </w:rPr>
        <w:t>Nevertheless</w:t>
      </w:r>
      <w:r w:rsidR="002B0C9A" w:rsidRPr="00872293">
        <w:rPr>
          <w:rFonts w:ascii="Times New Roman" w:eastAsia="Lato-Regular" w:hAnsi="Times New Roman" w:cs="Times New Roman"/>
        </w:rPr>
        <w:t xml:space="preserve">, </w:t>
      </w:r>
      <w:r w:rsidRPr="00872293">
        <w:rPr>
          <w:rFonts w:ascii="Times New Roman" w:eastAsia="Lato-Regular" w:hAnsi="Times New Roman" w:cs="Times New Roman"/>
        </w:rPr>
        <w:t xml:space="preserve">root </w:t>
      </w:r>
      <w:r w:rsidR="00566282" w:rsidRPr="00872293">
        <w:rPr>
          <w:rFonts w:ascii="Times New Roman" w:eastAsia="Lato-Regular" w:hAnsi="Times New Roman" w:cs="Times New Roman"/>
        </w:rPr>
        <w:t xml:space="preserve">trait </w:t>
      </w:r>
      <w:r w:rsidRPr="00872293">
        <w:rPr>
          <w:rFonts w:ascii="Times New Roman" w:eastAsia="Lato-Regular" w:hAnsi="Times New Roman" w:cs="Times New Roman"/>
        </w:rPr>
        <w:t xml:space="preserve">data </w:t>
      </w:r>
      <w:r w:rsidR="00566282" w:rsidRPr="00872293">
        <w:rPr>
          <w:rFonts w:ascii="Times New Roman" w:eastAsia="Lato-Regular" w:hAnsi="Times New Roman" w:cs="Times New Roman"/>
        </w:rPr>
        <w:t xml:space="preserve">from </w:t>
      </w:r>
      <w:r w:rsidRPr="00872293">
        <w:rPr>
          <w:rFonts w:ascii="Times New Roman" w:eastAsia="Lato-Regular" w:hAnsi="Times New Roman" w:cs="Times New Roman"/>
        </w:rPr>
        <w:t xml:space="preserve">Puerto Rico are very representative </w:t>
      </w:r>
      <w:r w:rsidR="00566282" w:rsidRPr="00872293">
        <w:rPr>
          <w:rFonts w:ascii="Times New Roman" w:eastAsia="Lato-Regular" w:hAnsi="Times New Roman" w:cs="Times New Roman"/>
        </w:rPr>
        <w:t>of</w:t>
      </w:r>
      <w:r w:rsidRPr="00872293">
        <w:rPr>
          <w:rFonts w:ascii="Times New Roman" w:eastAsia="Lato-Regular" w:hAnsi="Times New Roman" w:cs="Times New Roman"/>
        </w:rPr>
        <w:t xml:space="preserve"> the tropics, considering its land </w:t>
      </w:r>
      <w:r w:rsidR="00566282" w:rsidRPr="00872293">
        <w:rPr>
          <w:rFonts w:ascii="Times New Roman" w:eastAsia="Lato-Regular" w:hAnsi="Times New Roman" w:cs="Times New Roman"/>
        </w:rPr>
        <w:t>surface area</w:t>
      </w:r>
      <w:r w:rsidR="00AE42CE" w:rsidRPr="00872293">
        <w:rPr>
          <w:rFonts w:ascii="Times New Roman" w:eastAsia="Lato-Regular" w:hAnsi="Times New Roman" w:cs="Times New Roman"/>
        </w:rPr>
        <w:t>. However,</w:t>
      </w:r>
      <w:r w:rsidRPr="00872293">
        <w:rPr>
          <w:rFonts w:ascii="Times New Roman" w:eastAsia="Lato-Regular" w:hAnsi="Times New Roman" w:cs="Times New Roman"/>
        </w:rPr>
        <w:t xml:space="preserve"> differences in collection methods and fine-root classification makes hard to find </w:t>
      </w:r>
      <w:r w:rsidRPr="00872293">
        <w:rPr>
          <w:rFonts w:ascii="Times New Roman" w:eastAsia="Lato-Regular" w:hAnsi="Times New Roman" w:cs="Times New Roman"/>
        </w:rPr>
        <w:lastRenderedPageBreak/>
        <w:t xml:space="preserve">patterns across species and sites </w:t>
      </w:r>
      <w:r w:rsidRPr="00872293">
        <w:rPr>
          <w:rFonts w:ascii="Times New Roman" w:eastAsia="Lato-Regular" w:hAnsi="Times New Roman" w:cs="Times New Roman"/>
        </w:rPr>
        <w:fldChar w:fldCharType="begin" w:fldLock="1"/>
      </w:r>
      <w:r w:rsidRPr="00872293">
        <w:rPr>
          <w:rFonts w:ascii="Times New Roman" w:eastAsia="Lato-Regular" w:hAnsi="Times New Roman" w:cs="Times New Roman"/>
        </w:rPr>
        <w:instrText>ADDIN CSL_CITATION {"citationItems":[{"id":"ITEM-1","itemData":{"DOI":"10.1111/btp.12771","ISSN":"17447429","abstract":"Fine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J.","non-dropping-particle":"","parse-names":false,"suffix":""}],"container-title":"Biotropica","id":"ITEM-1","issue":"3","issued":{"date-parts":[["2020"]]},"page":"563-576","title":"A historical and comparative review of 50 years of root data collection in Puerto Rico","type":"article-journal","volume":"52"},"uris":["http://www.mendeley.com/documents/?uuid=27bc4c68-821d-4b96-979d-b5709dfa9b6c"]}],"mendeley":{"formattedCitation":"(Yaffar &amp; Norby, 2020)","plainTextFormattedCitation":"(Yaffar &amp; Norby, 2020)","previouslyFormattedCitation":"(Yaffar &amp; Norby, 2020)"},"properties":{"noteIndex":0},"schema":"https://github.com/citation-style-language/schema/raw/master/csl-citation.json"}</w:instrText>
      </w:r>
      <w:r w:rsidRPr="00872293">
        <w:rPr>
          <w:rFonts w:ascii="Times New Roman" w:eastAsia="Lato-Regular" w:hAnsi="Times New Roman" w:cs="Times New Roman"/>
        </w:rPr>
        <w:fldChar w:fldCharType="separate"/>
      </w:r>
      <w:r w:rsidRPr="00872293">
        <w:rPr>
          <w:rFonts w:ascii="Times New Roman" w:eastAsia="Lato-Regular" w:hAnsi="Times New Roman" w:cs="Times New Roman"/>
          <w:noProof/>
        </w:rPr>
        <w:t>(Yaffar &amp; Norby, 2020)</w:t>
      </w:r>
      <w:r w:rsidRPr="00872293">
        <w:rPr>
          <w:rFonts w:ascii="Times New Roman" w:eastAsia="Lato-Regular" w:hAnsi="Times New Roman" w:cs="Times New Roman"/>
        </w:rPr>
        <w:fldChar w:fldCharType="end"/>
      </w:r>
      <w:r w:rsidRPr="00872293">
        <w:rPr>
          <w:rFonts w:ascii="Times New Roman" w:eastAsia="Lato-Regular" w:hAnsi="Times New Roman" w:cs="Times New Roman"/>
        </w:rPr>
        <w:t xml:space="preserve">. Further, root phenology studies have been </w:t>
      </w:r>
      <w:r w:rsidR="00810A76" w:rsidRPr="00872293">
        <w:rPr>
          <w:rFonts w:ascii="Times New Roman" w:eastAsia="Lato-Regular" w:hAnsi="Times New Roman" w:cs="Times New Roman"/>
        </w:rPr>
        <w:t>hardly</w:t>
      </w:r>
      <w:r w:rsidR="00AE42CE" w:rsidRPr="00872293">
        <w:rPr>
          <w:rFonts w:ascii="Times New Roman" w:eastAsia="Lato-Regular" w:hAnsi="Times New Roman" w:cs="Times New Roman"/>
        </w:rPr>
        <w:t xml:space="preserve"> studied in Puerto Rico.</w:t>
      </w:r>
    </w:p>
    <w:p w14:paraId="572A2969" w14:textId="77777777" w:rsidR="00680C52" w:rsidRPr="00872293" w:rsidRDefault="00680C52"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p>
    <w:p w14:paraId="07837E0F" w14:textId="6D70EFBB" w:rsidR="00680C52" w:rsidRPr="00872293" w:rsidRDefault="00680C52"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r w:rsidRPr="00872293">
        <w:rPr>
          <w:rFonts w:ascii="Times New Roman" w:eastAsia="Times New Roman" w:hAnsi="Times New Roman" w:cs="Times New Roman"/>
          <w:shd w:val="clear" w:color="auto" w:fill="FFFFFF"/>
        </w:rPr>
        <w:t>Recently, great effort has been directed to sampling root phenology, and the response to warming treatment in Puerto Rico. The Tropical Responses to Altered Climate Experiment (TRACE) ha</w:t>
      </w:r>
      <w:r w:rsidR="00E477FB" w:rsidRPr="00872293">
        <w:rPr>
          <w:rFonts w:ascii="Times New Roman" w:eastAsia="Times New Roman" w:hAnsi="Times New Roman" w:cs="Times New Roman"/>
          <w:shd w:val="clear" w:color="auto" w:fill="FFFFFF"/>
        </w:rPr>
        <w:t>s</w:t>
      </w:r>
      <w:r w:rsidRPr="00872293">
        <w:rPr>
          <w:rFonts w:ascii="Times New Roman" w:eastAsia="Times New Roman" w:hAnsi="Times New Roman" w:cs="Times New Roman"/>
          <w:shd w:val="clear" w:color="auto" w:fill="FFFFFF"/>
        </w:rPr>
        <w:t xml:space="preserve"> developed a warming experiment</w:t>
      </w:r>
      <w:r w:rsidR="00011F0F" w:rsidRPr="00872293">
        <w:rPr>
          <w:rFonts w:ascii="Times New Roman" w:eastAsia="Times New Roman" w:hAnsi="Times New Roman" w:cs="Times New Roman"/>
          <w:shd w:val="clear" w:color="auto" w:fill="FFFFFF"/>
        </w:rPr>
        <w:t xml:space="preserve"> </w:t>
      </w:r>
      <w:r w:rsidRPr="00872293">
        <w:rPr>
          <w:rFonts w:ascii="Times New Roman" w:eastAsia="Times New Roman" w:hAnsi="Times New Roman" w:cs="Times New Roman"/>
          <w:shd w:val="clear" w:color="auto" w:fill="FFFFFF"/>
        </w:rPr>
        <w:t xml:space="preserve">in </w:t>
      </w:r>
      <w:proofErr w:type="spellStart"/>
      <w:r w:rsidRPr="00872293">
        <w:rPr>
          <w:rFonts w:ascii="Times New Roman" w:eastAsia="Times New Roman" w:hAnsi="Times New Roman" w:cs="Times New Roman"/>
          <w:shd w:val="clear" w:color="auto" w:fill="FFFFFF"/>
        </w:rPr>
        <w:t>Sabana</w:t>
      </w:r>
      <w:proofErr w:type="spellEnd"/>
      <w:r w:rsidRPr="00872293">
        <w:rPr>
          <w:rFonts w:ascii="Times New Roman" w:eastAsia="Times New Roman" w:hAnsi="Times New Roman" w:cs="Times New Roman"/>
          <w:shd w:val="clear" w:color="auto" w:fill="FFFFFF"/>
        </w:rPr>
        <w:t xml:space="preserve">, Luquillo, where there are continuous measurements of aboveground and belowground components </w:t>
      </w:r>
      <w:r w:rsidRPr="00872293">
        <w:rPr>
          <w:rFonts w:ascii="Times New Roman" w:eastAsia="Times New Roman" w:hAnsi="Times New Roman" w:cs="Times New Roman"/>
          <w:shd w:val="clear" w:color="auto" w:fill="FFFFFF"/>
        </w:rPr>
        <w:fldChar w:fldCharType="begin" w:fldLock="1"/>
      </w:r>
      <w:r w:rsidRPr="00872293">
        <w:rPr>
          <w:rFonts w:ascii="Times New Roman" w:eastAsia="Times New Roman" w:hAnsi="Times New Roman" w:cs="Times New Roman"/>
          <w:shd w:val="clear" w:color="auto" w:fill="FFFFFF"/>
        </w:rPr>
        <w:instrText>ADDIN CSL_CITATION {"citationItems":[{"id":"ITEM-1","itemData":{"DOI":"10.1002/ece3.3780","ISSN":"20457758","abstract":"The response of tropical forests to global warming is one of the largest uncertainties in predicting the future carbon balance of Earth. To determine the likely effects of elevated temperatures on tropical forest understory plants and soils, as well as other ecosystems, an infrared (IR) heater system was developed to provide in situ warming for the Tropical Responses to Altered Climate Experiment (TRACE) in the Luquillo Experimental Forest in Puerto Rico. Three replicate heated 4-m-diameter plots were warmed to maintain a 4°C increase in understory vegetation compared to three unheated control plots, as sensed by IR thermometers. The equipment was larger than any used previously and was subjected to challenges different from those of many temperate ecosystem warming systems, including frequent power surges and outages, high humidity, heavy rains, hurricanes, saturated clayey soils, and steep slopes. The system was able to maintain the target 4.0°C increase in hourly average vegetation temperatures to within ± 0.1°C. The vegetation was heterogeneous and on a 21° slope, which decreased uniformity of the warming treatment on the plots; yet, the green leaves were fairly uniformly warmed, and there was little difference among 0–10 cm depth soil temperatures at the plot centers, edges, and midway between. Soil temperatures at the 40–50 cm depth increased about 3°C compared to the controls after a month of warming. As expected, the soil in the heated plots dried faster than that of the control plots, but the average soil moisture remained adequate for the plants. The TRACE heating system produced an adequately uniform warming precisely controlled down to at least 50-cm soil depth, thereby creating a treatment that allows for assessing mechanistic responses of tropical plants and soil to warming, with applicability to other ecosystems. No physical obstacles to scaling the approach to taller vegetation (i.e., trees) and larger plots were observed. ","author":[{"dropping-particle":"","family":"Kimball","given":"Bruce A.","non-dropping-particle":"","parse-names":false,"suffix":""},{"dropping-particle":"","family":"Alonso-Rodríguez","given":"Aura M.","non-dropping-particle":"","parse-names":false,"suffix":""},{"dropping-particle":"","family":"Cavaleri","given":"Molly A.","non-dropping-particle":"","parse-names":false,"suffix":""},{"dropping-particle":"","family":"Reed","given":"Sasha C.","non-dropping-particle":"","parse-names":false,"suffix":""},{"dropping-particle":"","family":"González","given":"Grizelle","non-dropping-particle":"","parse-names":false,"suffix":""},{"dropping-particle":"","family":"Wood","given":"Tana E.","non-dropping-particle":"","parse-names":false,"suffix":""}],"container-title":"Ecology and Evolution","id":"ITEM-1","issue":"4","issued":{"date-parts":[["2018"]]},"page":"1932-1944","title":"Infrared heater system for warming tropical forest understory plants and soils","type":"article-journal","volume":"8"},"uris":["http://www.mendeley.com/documents/?uuid=7d122267-6f71-4857-a51f-29fdba15caea"]}],"mendeley":{"formattedCitation":"(Kimball &lt;i&gt;et al.&lt;/i&gt;, 2018)","plainTextFormattedCitation":"(Kimball et al., 2018)","previouslyFormattedCitation":"(Kimball &lt;i&gt;et al.&lt;/i&gt;, 2018)"},"properties":{"noteIndex":0},"schema":"https://github.com/citation-style-language/schema/raw/master/csl-citation.json"}</w:instrText>
      </w:r>
      <w:r w:rsidRPr="00872293">
        <w:rPr>
          <w:rFonts w:ascii="Times New Roman" w:eastAsia="Times New Roman" w:hAnsi="Times New Roman" w:cs="Times New Roman"/>
          <w:shd w:val="clear" w:color="auto" w:fill="FFFFFF"/>
        </w:rPr>
        <w:fldChar w:fldCharType="separate"/>
      </w:r>
      <w:r w:rsidRPr="00872293">
        <w:rPr>
          <w:rFonts w:ascii="Times New Roman" w:eastAsia="Times New Roman" w:hAnsi="Times New Roman" w:cs="Times New Roman"/>
          <w:noProof/>
          <w:shd w:val="clear" w:color="auto" w:fill="FFFFFF"/>
        </w:rPr>
        <w:t xml:space="preserve">(Kimball </w:t>
      </w:r>
      <w:r w:rsidRPr="00872293">
        <w:rPr>
          <w:rFonts w:ascii="Times New Roman" w:eastAsia="Times New Roman" w:hAnsi="Times New Roman" w:cs="Times New Roman"/>
          <w:i/>
          <w:noProof/>
          <w:shd w:val="clear" w:color="auto" w:fill="FFFFFF"/>
        </w:rPr>
        <w:t>et al.</w:t>
      </w:r>
      <w:r w:rsidRPr="00872293">
        <w:rPr>
          <w:rFonts w:ascii="Times New Roman" w:eastAsia="Times New Roman" w:hAnsi="Times New Roman" w:cs="Times New Roman"/>
          <w:noProof/>
          <w:shd w:val="clear" w:color="auto" w:fill="FFFFFF"/>
        </w:rPr>
        <w:t>, 2018)</w:t>
      </w:r>
      <w:r w:rsidRPr="00872293">
        <w:rPr>
          <w:rFonts w:ascii="Times New Roman" w:eastAsia="Times New Roman" w:hAnsi="Times New Roman" w:cs="Times New Roman"/>
          <w:shd w:val="clear" w:color="auto" w:fill="FFFFFF"/>
        </w:rPr>
        <w:fldChar w:fldCharType="end"/>
      </w:r>
      <w:r w:rsidRPr="00872293">
        <w:rPr>
          <w:rFonts w:ascii="Times New Roman" w:eastAsia="Times New Roman" w:hAnsi="Times New Roman" w:cs="Times New Roman"/>
          <w:shd w:val="clear" w:color="auto" w:fill="FFFFFF"/>
        </w:rPr>
        <w:t>. Further, a multi-institutional project, Next Generation Ecosystem Experiment</w:t>
      </w:r>
      <w:r w:rsidR="00011F0F" w:rsidRPr="00872293">
        <w:rPr>
          <w:rFonts w:ascii="Times New Roman" w:eastAsia="Times New Roman" w:hAnsi="Times New Roman" w:cs="Times New Roman"/>
          <w:shd w:val="clear" w:color="auto" w:fill="FFFFFF"/>
        </w:rPr>
        <w:t xml:space="preserve"> (NGEE) Tropics</w:t>
      </w:r>
      <w:r w:rsidRPr="00872293">
        <w:rPr>
          <w:rFonts w:ascii="Times New Roman" w:eastAsia="Times New Roman" w:hAnsi="Times New Roman" w:cs="Times New Roman"/>
          <w:shd w:val="clear" w:color="auto" w:fill="FFFFFF"/>
        </w:rPr>
        <w:t>,</w:t>
      </w:r>
      <w:r w:rsidRPr="00872293">
        <w:rPr>
          <w:rFonts w:ascii="Times New Roman" w:eastAsia="Times New Roman" w:hAnsi="Times New Roman" w:cs="Times New Roman"/>
        </w:rPr>
        <w:t xml:space="preserve"> </w:t>
      </w:r>
      <w:r w:rsidRPr="00872293">
        <w:rPr>
          <w:rFonts w:ascii="Times New Roman" w:eastAsia="Times New Roman" w:hAnsi="Times New Roman" w:cs="Times New Roman"/>
          <w:shd w:val="clear" w:color="auto" w:fill="FFFFFF"/>
        </w:rPr>
        <w:t>started in 2015</w:t>
      </w:r>
      <w:r w:rsidR="00E477FB" w:rsidRPr="00872293">
        <w:rPr>
          <w:rFonts w:ascii="Times New Roman" w:eastAsia="Times New Roman" w:hAnsi="Times New Roman" w:cs="Times New Roman"/>
          <w:shd w:val="clear" w:color="auto" w:fill="FFFFFF"/>
        </w:rPr>
        <w:t xml:space="preserve"> and</w:t>
      </w:r>
      <w:r w:rsidRPr="00872293">
        <w:rPr>
          <w:rFonts w:ascii="Times New Roman" w:eastAsia="Times New Roman" w:hAnsi="Times New Roman" w:cs="Times New Roman"/>
          <w:shd w:val="clear" w:color="auto" w:fill="FFFFFF"/>
        </w:rPr>
        <w:t xml:space="preserve"> is dedicat</w:t>
      </w:r>
      <w:r w:rsidR="00E477FB" w:rsidRPr="00872293">
        <w:rPr>
          <w:rFonts w:ascii="Times New Roman" w:eastAsia="Times New Roman" w:hAnsi="Times New Roman" w:cs="Times New Roman"/>
          <w:shd w:val="clear" w:color="auto" w:fill="FFFFFF"/>
        </w:rPr>
        <w:t>ed</w:t>
      </w:r>
      <w:r w:rsidRPr="00872293">
        <w:rPr>
          <w:rFonts w:ascii="Times New Roman" w:eastAsia="Times New Roman" w:hAnsi="Times New Roman" w:cs="Times New Roman"/>
          <w:shd w:val="clear" w:color="auto" w:fill="FFFFFF"/>
        </w:rPr>
        <w:t xml:space="preserve"> to studying how tropical ecosystems will respond to climat</w:t>
      </w:r>
      <w:r w:rsidR="00E477FB" w:rsidRPr="00872293">
        <w:rPr>
          <w:rFonts w:ascii="Times New Roman" w:eastAsia="Times New Roman" w:hAnsi="Times New Roman" w:cs="Times New Roman"/>
          <w:shd w:val="clear" w:color="auto" w:fill="FFFFFF"/>
        </w:rPr>
        <w:t>ic</w:t>
      </w:r>
      <w:r w:rsidRPr="00872293">
        <w:rPr>
          <w:rFonts w:ascii="Times New Roman" w:eastAsia="Times New Roman" w:hAnsi="Times New Roman" w:cs="Times New Roman"/>
          <w:shd w:val="clear" w:color="auto" w:fill="FFFFFF"/>
        </w:rPr>
        <w:t xml:space="preserve"> and atmospheric change. NGEE studies include above and belowground nutrient cycling and plant </w:t>
      </w:r>
      <w:r w:rsidR="00E477FB" w:rsidRPr="00872293">
        <w:rPr>
          <w:rFonts w:ascii="Times New Roman" w:eastAsia="Times New Roman" w:hAnsi="Times New Roman" w:cs="Times New Roman"/>
          <w:shd w:val="clear" w:color="auto" w:fill="FFFFFF"/>
        </w:rPr>
        <w:t xml:space="preserve">measurements </w:t>
      </w:r>
      <w:r w:rsidRPr="00872293">
        <w:rPr>
          <w:rFonts w:ascii="Times New Roman" w:eastAsia="Times New Roman" w:hAnsi="Times New Roman" w:cs="Times New Roman"/>
          <w:shd w:val="clear" w:color="auto" w:fill="FFFFFF"/>
        </w:rPr>
        <w:t xml:space="preserve">emphasizing fine root traits and responses and the interaction between roots and soil. </w:t>
      </w:r>
    </w:p>
    <w:p w14:paraId="5A87C1EA" w14:textId="77777777" w:rsidR="00680C52" w:rsidRPr="00872293" w:rsidRDefault="00680C52" w:rsidP="00680C52">
      <w:pPr>
        <w:widowControl w:val="0"/>
        <w:autoSpaceDE w:val="0"/>
        <w:autoSpaceDN w:val="0"/>
        <w:adjustRightInd w:val="0"/>
        <w:spacing w:line="360" w:lineRule="auto"/>
        <w:rPr>
          <w:rFonts w:ascii="Times New Roman" w:eastAsia="Times New Roman" w:hAnsi="Times New Roman" w:cs="Times New Roman"/>
          <w:shd w:val="clear" w:color="auto" w:fill="FFFFFF"/>
        </w:rPr>
      </w:pPr>
    </w:p>
    <w:p w14:paraId="25271E41" w14:textId="2E64AE49" w:rsidR="00680C52" w:rsidRPr="00872293" w:rsidRDefault="00680C52" w:rsidP="00680C52">
      <w:pPr>
        <w:widowControl w:val="0"/>
        <w:autoSpaceDE w:val="0"/>
        <w:autoSpaceDN w:val="0"/>
        <w:adjustRightInd w:val="0"/>
        <w:spacing w:line="360" w:lineRule="auto"/>
        <w:rPr>
          <w:rFonts w:ascii="Times New Roman" w:hAnsi="Times New Roman" w:cs="Times New Roman"/>
          <w:bCs/>
        </w:rPr>
      </w:pPr>
      <w:r w:rsidRPr="00872293">
        <w:rPr>
          <w:rFonts w:ascii="Times New Roman" w:eastAsia="Times New Roman" w:hAnsi="Times New Roman" w:cs="Times New Roman"/>
          <w:shd w:val="clear" w:color="auto" w:fill="FFFFFF"/>
        </w:rPr>
        <w:t xml:space="preserve">As part of my doctoral dissertation, I worked with both, TRACE and NGEE Tropics, </w:t>
      </w:r>
      <w:r w:rsidR="00011F0F" w:rsidRPr="00872293">
        <w:rPr>
          <w:rFonts w:ascii="Times New Roman" w:eastAsia="Times New Roman" w:hAnsi="Times New Roman" w:cs="Times New Roman"/>
          <w:shd w:val="clear" w:color="auto" w:fill="FFFFFF"/>
        </w:rPr>
        <w:t xml:space="preserve">to understand </w:t>
      </w:r>
      <w:r w:rsidRPr="00872293">
        <w:rPr>
          <w:rFonts w:ascii="Times New Roman" w:eastAsia="Times New Roman" w:hAnsi="Times New Roman" w:cs="Times New Roman"/>
          <w:shd w:val="clear" w:color="auto" w:fill="FFFFFF"/>
        </w:rPr>
        <w:t xml:space="preserve">root traits and root responses to environmental change in Puerto Rico. My </w:t>
      </w:r>
      <w:r w:rsidR="00011F0F" w:rsidRPr="00872293">
        <w:rPr>
          <w:rFonts w:ascii="Times New Roman" w:eastAsia="Times New Roman" w:hAnsi="Times New Roman" w:cs="Times New Roman"/>
          <w:shd w:val="clear" w:color="auto" w:fill="FFFFFF"/>
        </w:rPr>
        <w:t xml:space="preserve">overarching goal </w:t>
      </w:r>
      <w:r w:rsidRPr="00872293">
        <w:rPr>
          <w:rFonts w:ascii="Times New Roman" w:eastAsia="Times New Roman" w:hAnsi="Times New Roman" w:cs="Times New Roman"/>
          <w:shd w:val="clear" w:color="auto" w:fill="FFFFFF"/>
        </w:rPr>
        <w:t xml:space="preserve">was to </w:t>
      </w:r>
      <w:r w:rsidRPr="00872293">
        <w:rPr>
          <w:rFonts w:ascii="Times New Roman" w:hAnsi="Times New Roman" w:cs="Times New Roman"/>
          <w:bCs/>
        </w:rPr>
        <w:t>identify root traits and strategies in different environmental conditions and in response to warming in a wet tropical forest. This data ultimately could help fill some of the key knowledge gaps in belowground models of tropical forests, leading to better predictions of ecosystem responses to climate change.</w:t>
      </w:r>
    </w:p>
    <w:p w14:paraId="68C05AD5" w14:textId="77777777" w:rsidR="00680C52" w:rsidRPr="00872293" w:rsidRDefault="00680C52" w:rsidP="00680C52">
      <w:pPr>
        <w:widowControl w:val="0"/>
        <w:autoSpaceDE w:val="0"/>
        <w:autoSpaceDN w:val="0"/>
        <w:adjustRightInd w:val="0"/>
        <w:spacing w:line="360" w:lineRule="auto"/>
        <w:rPr>
          <w:rFonts w:ascii="Times New Roman" w:hAnsi="Times New Roman" w:cs="Times New Roman"/>
          <w:bCs/>
        </w:rPr>
      </w:pPr>
    </w:p>
    <w:p w14:paraId="36699890" w14:textId="543C4D17" w:rsidR="00680C52" w:rsidRPr="00872293" w:rsidRDefault="00680C52" w:rsidP="00680C52">
      <w:pPr>
        <w:widowControl w:val="0"/>
        <w:autoSpaceDE w:val="0"/>
        <w:autoSpaceDN w:val="0"/>
        <w:adjustRightInd w:val="0"/>
        <w:spacing w:line="360" w:lineRule="auto"/>
        <w:rPr>
          <w:rFonts w:ascii="Times New Roman" w:hAnsi="Times New Roman" w:cs="Times New Roman"/>
        </w:rPr>
      </w:pPr>
      <w:r w:rsidRPr="00872293">
        <w:rPr>
          <w:rFonts w:ascii="Times New Roman" w:eastAsia="Times New Roman" w:hAnsi="Times New Roman" w:cs="Times New Roman"/>
          <w:shd w:val="clear" w:color="auto" w:fill="FFFFFF"/>
        </w:rPr>
        <w:t xml:space="preserve">The baseline of this dissertation is a review chapter (Chapter 2), where I made a compilation of all plant root studies that have taken place in Puerto Rico for the past 50 years. This chapter is organized by the root trait classification from FRED 2 </w:t>
      </w:r>
      <w:r w:rsidRPr="00872293">
        <w:rPr>
          <w:rFonts w:ascii="Times New Roman" w:eastAsia="Times New Roman" w:hAnsi="Times New Roman" w:cs="Times New Roman"/>
          <w:shd w:val="clear" w:color="auto" w:fill="FFFFFF"/>
        </w:rPr>
        <w:fldChar w:fldCharType="begin" w:fldLock="1"/>
      </w:r>
      <w:r w:rsidRPr="00872293">
        <w:rPr>
          <w:rFonts w:ascii="Times New Roman" w:eastAsia="Times New Roman" w:hAnsi="Times New Roman" w:cs="Times New Roman"/>
          <w:shd w:val="clear" w:color="auto" w:fill="FFFFFF"/>
        </w:rPr>
        <w:instrText>ADDIN CSL_CITATION {"citationItems":[{"id":"ITEM-1","itemData":{"DOI":"10.1111/nph.14486","ISSN":"14698137","abstract":"Variation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Phytologist","id":"ITEM-1","issued":{"date-parts":[["2017"]]},"page":"15-26","title":"A global Fine-Root Ecology Database to address below-ground challenges in plant ecology","type":"article-journal","volume":"215"},"uris":["http://www.mendeley.com/documents/?uuid=62937dca-e72a-453c-9b0f-d0150091b641"]},{"id":"ITEM-2","itemData":{"DOI":"10.1111/nph.14459","ISSN":"14698137","PMID":"28295373","abstract":"Trait-based approaches provide a useful framework to investigate plant strategies for resource acquisition, growth, and competition, as well as plant impacts on ecosystem processes. Despite significant progress capturing trait variation within and among stems and leaves, identification of trait syndromes within fine-root systems and between fine roots and other plant organs is limited. Here we discuss three underappreciated areas where focused measurements of fine-root traits can make significant contributions to ecosystem science. These include assessment of spatiotemporal variation in fine-root traits, integration of mycorrhizal fungi into fine-root-trait frameworks, and the need for improved scaling of traits measured on individual roots to ecosystem-level processes. Progress in each of these areas is providing opportunities to revisit how below-ground processes are represented in terrestrial biosphere models. Targeted measurements of fine-root traits with clear linkages to ecosystem processes and plant responses to environmental change are strongly needed to reduce empirical and model uncertainties. Further identifying how and when suites of root and whole-plant traits are coordinated or decoupled will ultimately provide a powerful tool for modeling plant form and function at local and global scales.","author":[{"dropping-particle":"","family":"McCormack","given":"M. Luke","non-dropping-particle":"","parse-names":false,"suffix":""},{"dropping-particle":"","family":"Guo","given":"Dali","non-dropping-particle":"","parse-names":false,"suffix":""},{"dropping-particle":"","family":"Iversen","given":"Colleen M.","non-dropping-particle":"","parse-names":false,"suffix":""},{"dropping-particle":"","family":"Chen","given":"Weile","non-dropping-particle":"","parse-names":false,"suffix":""},{"dropping-particle":"","family":"Eissenstat","given":"David M.","non-dropping-particle":"","parse-names":false,"suffix":""},{"dropping-particle":"","family":"Fernandez","given":"Christopher W.","non-dropping-particle":"","parse-names":false,"suffix":""},{"dropping-particle":"","family":"Li","given":"Le","non-dropping-particle":"","parse-names":false,"suffix":""},{"dropping-particle":"","family":"Ma","given":"Chengen","non-dropping-particle":"","parse-names":false,"suffix":""},{"dropping-particle":"","family":"Ma","given":"Zeqing","non-dropping-particle":"","parse-names":false,"suffix":""},{"dropping-particle":"","family":"Poorter","given":"Hendrik","non-dropping-particle":"","parse-names":false,"suffix":""},{"dropping-particle":"","family":"Reich","given":"Peter B.","non-dropping-particle":"","parse-names":false,"suffix":""},{"dropping-particle":"","family":"Zadworny","given":"Marcin","non-dropping-particle":"","parse-names":false,"suffix":""},{"dropping-particle":"","family":"Zanne","given":"Amy","non-dropping-particle":"","parse-names":false,"suffix":""}],"container-title":"New Phytologist","id":"ITEM-2","issue":"1","issued":{"date-parts":[["2017"]]},"page":"27-37","title":"Building a better foundation: improving root-trait measurements to understand and model plant and ecosystem processes","type":"article-journal","volume":"215"},"uris":["http://www.mendeley.com/documents/?uuid=91a783a9-c229-48c8-912d-23ec0496bb34"]}],"mendeley":{"formattedCitation":"(Iversen &lt;i&gt;et al.&lt;/i&gt;, 2017; McCormack &lt;i&gt;et al.&lt;/i&gt;, 2017)","plainTextFormattedCitation":"(Iversen et al., 2017; McCormack et al., 2017)","previouslyFormattedCitation":"(Iversen &lt;i&gt;et al.&lt;/i&gt;, 2017; McCormack &lt;i&gt;et al.&lt;/i&gt;, 2017)"},"properties":{"noteIndex":0},"schema":"https://github.com/citation-style-language/schema/raw/master/csl-citation.json"}</w:instrText>
      </w:r>
      <w:r w:rsidRPr="00872293">
        <w:rPr>
          <w:rFonts w:ascii="Times New Roman" w:eastAsia="Times New Roman" w:hAnsi="Times New Roman" w:cs="Times New Roman"/>
          <w:shd w:val="clear" w:color="auto" w:fill="FFFFFF"/>
        </w:rPr>
        <w:fldChar w:fldCharType="separate"/>
      </w:r>
      <w:r w:rsidRPr="00872293">
        <w:rPr>
          <w:rFonts w:ascii="Times New Roman" w:eastAsia="Times New Roman" w:hAnsi="Times New Roman" w:cs="Times New Roman"/>
          <w:noProof/>
          <w:shd w:val="clear" w:color="auto" w:fill="FFFFFF"/>
        </w:rPr>
        <w:t xml:space="preserve">(Iversen </w:t>
      </w:r>
      <w:r w:rsidRPr="00872293">
        <w:rPr>
          <w:rFonts w:ascii="Times New Roman" w:eastAsia="Times New Roman" w:hAnsi="Times New Roman" w:cs="Times New Roman"/>
          <w:i/>
          <w:noProof/>
          <w:shd w:val="clear" w:color="auto" w:fill="FFFFFF"/>
        </w:rPr>
        <w:t>et al.</w:t>
      </w:r>
      <w:r w:rsidRPr="00872293">
        <w:rPr>
          <w:rFonts w:ascii="Times New Roman" w:eastAsia="Times New Roman" w:hAnsi="Times New Roman" w:cs="Times New Roman"/>
          <w:noProof/>
          <w:shd w:val="clear" w:color="auto" w:fill="FFFFFF"/>
        </w:rPr>
        <w:t xml:space="preserve">, 2017; McCormack </w:t>
      </w:r>
      <w:r w:rsidRPr="00872293">
        <w:rPr>
          <w:rFonts w:ascii="Times New Roman" w:eastAsia="Times New Roman" w:hAnsi="Times New Roman" w:cs="Times New Roman"/>
          <w:i/>
          <w:noProof/>
          <w:shd w:val="clear" w:color="auto" w:fill="FFFFFF"/>
        </w:rPr>
        <w:t>et al.</w:t>
      </w:r>
      <w:r w:rsidRPr="00872293">
        <w:rPr>
          <w:rFonts w:ascii="Times New Roman" w:eastAsia="Times New Roman" w:hAnsi="Times New Roman" w:cs="Times New Roman"/>
          <w:noProof/>
          <w:shd w:val="clear" w:color="auto" w:fill="FFFFFF"/>
        </w:rPr>
        <w:t>, 2017)</w:t>
      </w:r>
      <w:r w:rsidRPr="00872293">
        <w:rPr>
          <w:rFonts w:ascii="Times New Roman" w:eastAsia="Times New Roman" w:hAnsi="Times New Roman" w:cs="Times New Roman"/>
          <w:shd w:val="clear" w:color="auto" w:fill="FFFFFF"/>
        </w:rPr>
        <w:fldChar w:fldCharType="end"/>
      </w:r>
      <w:r w:rsidRPr="00872293">
        <w:rPr>
          <w:rFonts w:ascii="Times New Roman" w:eastAsia="Times New Roman" w:hAnsi="Times New Roman" w:cs="Times New Roman"/>
          <w:shd w:val="clear" w:color="auto" w:fill="FFFFFF"/>
        </w:rPr>
        <w:t xml:space="preserve">, and provides over 1,000 data records from 46 published </w:t>
      </w:r>
      <w:r w:rsidR="00A26423" w:rsidRPr="00872293">
        <w:rPr>
          <w:rFonts w:ascii="Times New Roman" w:eastAsia="Times New Roman" w:hAnsi="Times New Roman" w:cs="Times New Roman"/>
          <w:shd w:val="clear" w:color="auto" w:fill="FFFFFF"/>
        </w:rPr>
        <w:t>articles</w:t>
      </w:r>
      <w:r w:rsidRPr="00872293">
        <w:rPr>
          <w:rFonts w:ascii="Times New Roman" w:eastAsia="Times New Roman" w:hAnsi="Times New Roman" w:cs="Times New Roman"/>
          <w:shd w:val="clear" w:color="auto" w:fill="FFFFFF"/>
        </w:rPr>
        <w:t xml:space="preserve"> in both English and Spanish, and</w:t>
      </w:r>
      <w:r w:rsidRPr="00872293">
        <w:rPr>
          <w:rFonts w:ascii="Times New Roman" w:hAnsi="Times New Roman" w:cs="Times New Roman"/>
        </w:rPr>
        <w:t xml:space="preserve"> raw data shared by some researches. My next chapter (Chapter 3) is about how root-dynamic traits respond</w:t>
      </w:r>
      <w:r w:rsidR="00CA47DF" w:rsidRPr="00872293">
        <w:rPr>
          <w:rFonts w:ascii="Times New Roman" w:hAnsi="Times New Roman" w:cs="Times New Roman"/>
        </w:rPr>
        <w:t>ed</w:t>
      </w:r>
      <w:r w:rsidRPr="00872293">
        <w:rPr>
          <w:rFonts w:ascii="Times New Roman" w:hAnsi="Times New Roman" w:cs="Times New Roman"/>
        </w:rPr>
        <w:t xml:space="preserve"> to two major disturbances: soil warming and hurricanes. In this study, I started measuring root response to experimental soil warming, but after </w:t>
      </w:r>
      <w:r w:rsidR="00CA47DF" w:rsidRPr="00872293">
        <w:rPr>
          <w:rFonts w:ascii="Times New Roman" w:hAnsi="Times New Roman" w:cs="Times New Roman"/>
        </w:rPr>
        <w:t>the</w:t>
      </w:r>
      <w:r w:rsidRPr="00872293">
        <w:rPr>
          <w:rFonts w:ascii="Times New Roman" w:hAnsi="Times New Roman" w:cs="Times New Roman"/>
        </w:rPr>
        <w:t xml:space="preserve"> experiment was interrupted by two hurricanes (</w:t>
      </w:r>
      <w:r w:rsidRPr="00872293">
        <w:rPr>
          <w:rFonts w:ascii="Times New Roman" w:hAnsi="Times New Roman" w:cs="Times New Roman"/>
          <w:u w:val="single"/>
        </w:rPr>
        <w:t>&gt;</w:t>
      </w:r>
      <w:r w:rsidRPr="00872293">
        <w:rPr>
          <w:rFonts w:ascii="Times New Roman" w:hAnsi="Times New Roman" w:cs="Times New Roman"/>
        </w:rPr>
        <w:t xml:space="preserve"> category 4), I had the opportunity to measure root response to the hurricane once the heaters were off, and the warming legacy interacting with the root recovery from the hurricanes. </w:t>
      </w:r>
      <w:r w:rsidR="00CA47DF" w:rsidRPr="00872293">
        <w:rPr>
          <w:rFonts w:ascii="Times New Roman" w:hAnsi="Times New Roman" w:cs="Times New Roman"/>
        </w:rPr>
        <w:t xml:space="preserve">My </w:t>
      </w:r>
      <w:r w:rsidRPr="00872293">
        <w:rPr>
          <w:rFonts w:ascii="Times New Roman" w:hAnsi="Times New Roman" w:cs="Times New Roman"/>
        </w:rPr>
        <w:t>next chapter (Chapter 4) brings a suit</w:t>
      </w:r>
      <w:r w:rsidR="00CA47DF" w:rsidRPr="00872293">
        <w:rPr>
          <w:rFonts w:ascii="Times New Roman" w:hAnsi="Times New Roman" w:cs="Times New Roman"/>
        </w:rPr>
        <w:t>e</w:t>
      </w:r>
      <w:r w:rsidRPr="00872293">
        <w:rPr>
          <w:rFonts w:ascii="Times New Roman" w:hAnsi="Times New Roman" w:cs="Times New Roman"/>
        </w:rPr>
        <w:t xml:space="preserve"> of root traits measurements (seven root</w:t>
      </w:r>
      <w:r w:rsidR="00363349" w:rsidRPr="00872293">
        <w:rPr>
          <w:rFonts w:ascii="Times New Roman" w:hAnsi="Times New Roman" w:cs="Times New Roman"/>
        </w:rPr>
        <w:t xml:space="preserve"> </w:t>
      </w:r>
      <w:r w:rsidRPr="00872293">
        <w:rPr>
          <w:rFonts w:ascii="Times New Roman" w:hAnsi="Times New Roman" w:cs="Times New Roman"/>
        </w:rPr>
        <w:t xml:space="preserve">traits) from some of the most common tree species in the Luquillo Experimental Forest (LEF), with the goal of expanding our knowledge of root traits from these </w:t>
      </w:r>
      <w:r w:rsidRPr="00872293">
        <w:rPr>
          <w:rFonts w:ascii="Times New Roman" w:hAnsi="Times New Roman" w:cs="Times New Roman"/>
        </w:rPr>
        <w:lastRenderedPageBreak/>
        <w:t xml:space="preserve">forests, and </w:t>
      </w:r>
      <w:r w:rsidR="00CA47DF" w:rsidRPr="00872293">
        <w:rPr>
          <w:rFonts w:ascii="Times New Roman" w:hAnsi="Times New Roman" w:cs="Times New Roman"/>
        </w:rPr>
        <w:t>describing</w:t>
      </w:r>
      <w:r w:rsidRPr="00872293">
        <w:rPr>
          <w:rFonts w:ascii="Times New Roman" w:hAnsi="Times New Roman" w:cs="Times New Roman"/>
        </w:rPr>
        <w:t xml:space="preserve"> relationships between root traits across species and sites that could be suggesting </w:t>
      </w:r>
      <w:r w:rsidR="00FE2FE7" w:rsidRPr="00872293">
        <w:rPr>
          <w:rFonts w:ascii="Times New Roman" w:hAnsi="Times New Roman" w:cs="Times New Roman"/>
        </w:rPr>
        <w:t xml:space="preserve">a </w:t>
      </w:r>
      <w:r w:rsidRPr="00872293">
        <w:rPr>
          <w:rFonts w:ascii="Times New Roman" w:hAnsi="Times New Roman" w:cs="Times New Roman"/>
        </w:rPr>
        <w:t>trade-off for phosphorus acquisition after the hurricanes. Further</w:t>
      </w:r>
      <w:r w:rsidR="00FE2FE7" w:rsidRPr="00872293">
        <w:rPr>
          <w:rFonts w:ascii="Times New Roman" w:hAnsi="Times New Roman" w:cs="Times New Roman"/>
        </w:rPr>
        <w:t>,</w:t>
      </w:r>
      <w:r w:rsidRPr="00872293">
        <w:rPr>
          <w:rFonts w:ascii="Times New Roman" w:hAnsi="Times New Roman" w:cs="Times New Roman"/>
        </w:rPr>
        <w:t xml:space="preserve"> </w:t>
      </w:r>
      <w:r w:rsidR="00C54A36">
        <w:rPr>
          <w:rFonts w:ascii="Times New Roman" w:hAnsi="Times New Roman" w:cs="Times New Roman"/>
        </w:rPr>
        <w:t>I</w:t>
      </w:r>
      <w:r w:rsidRPr="00872293">
        <w:rPr>
          <w:rFonts w:ascii="Times New Roman" w:hAnsi="Times New Roman" w:cs="Times New Roman"/>
        </w:rPr>
        <w:t xml:space="preserve"> compared root traits before and after the hurricane disturbance to test their responsiveness. Finally, my conclusions chapter (Chapter 5), </w:t>
      </w:r>
      <w:r w:rsidR="006C5A96" w:rsidRPr="00872293">
        <w:rPr>
          <w:rFonts w:ascii="Times New Roman" w:hAnsi="Times New Roman" w:cs="Times New Roman"/>
        </w:rPr>
        <w:t>synthesizes</w:t>
      </w:r>
      <w:r w:rsidRPr="00872293">
        <w:rPr>
          <w:rFonts w:ascii="Times New Roman" w:hAnsi="Times New Roman" w:cs="Times New Roman"/>
        </w:rPr>
        <w:t xml:space="preserve"> all the outstanding results and patterns I found throughout this dissertation and provides a schematic approach of the belowground system and all the drivers that interacted with it during this study using an </w:t>
      </w:r>
      <w:proofErr w:type="spellStart"/>
      <w:r w:rsidRPr="00872293">
        <w:rPr>
          <w:rFonts w:ascii="Times New Roman" w:hAnsi="Times New Roman" w:cs="Times New Roman"/>
        </w:rPr>
        <w:t>Odum</w:t>
      </w:r>
      <w:proofErr w:type="spellEnd"/>
      <w:r w:rsidRPr="00872293">
        <w:rPr>
          <w:rFonts w:ascii="Times New Roman" w:hAnsi="Times New Roman" w:cs="Times New Roman"/>
        </w:rPr>
        <w:t xml:space="preserve"> System Diagram.</w:t>
      </w:r>
    </w:p>
    <w:p w14:paraId="1A428438" w14:textId="06C52CA9" w:rsidR="001A2B4E" w:rsidRPr="00872293" w:rsidRDefault="006F380B" w:rsidP="006F380B">
      <w:pPr>
        <w:rPr>
          <w:rFonts w:ascii="Times New Roman" w:eastAsia="Times New Roman" w:hAnsi="Times New Roman" w:cs="Times New Roman"/>
          <w:shd w:val="clear" w:color="auto" w:fill="FFFFFF"/>
        </w:rPr>
      </w:pPr>
      <w:r w:rsidRPr="00872293">
        <w:rPr>
          <w:rFonts w:ascii="Times New Roman" w:eastAsia="Times New Roman" w:hAnsi="Times New Roman" w:cs="Times New Roman"/>
          <w:shd w:val="clear" w:color="auto" w:fill="FFFFFF"/>
        </w:rPr>
        <w:br w:type="page"/>
      </w:r>
    </w:p>
    <w:p w14:paraId="26D59131" w14:textId="43F621A8" w:rsidR="00680C52" w:rsidRPr="00872293" w:rsidRDefault="00680C52" w:rsidP="001A2B4E">
      <w:pPr>
        <w:pStyle w:val="Heading2"/>
        <w:spacing w:before="0" w:after="0"/>
      </w:pPr>
      <w:bookmarkStart w:id="6" w:name="_Toc53689050"/>
      <w:r w:rsidRPr="00872293">
        <w:lastRenderedPageBreak/>
        <w:t>References</w:t>
      </w:r>
      <w:bookmarkEnd w:id="6"/>
    </w:p>
    <w:p w14:paraId="6A2FB9EC"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rPr>
        <w:fldChar w:fldCharType="begin" w:fldLock="1"/>
      </w:r>
      <w:r w:rsidRPr="00872293">
        <w:rPr>
          <w:rFonts w:ascii="Times New Roman" w:hAnsi="Times New Roman" w:cs="Times New Roman"/>
          <w:b/>
          <w:bCs/>
        </w:rPr>
        <w:instrText xml:space="preserve">ADDIN Mendeley Bibliography CSL_BIBLIOGRAPHY </w:instrText>
      </w:r>
      <w:r w:rsidRPr="00872293">
        <w:rPr>
          <w:rFonts w:ascii="Times New Roman" w:hAnsi="Times New Roman" w:cs="Times New Roman"/>
          <w:b/>
          <w:bCs/>
        </w:rPr>
        <w:fldChar w:fldCharType="separate"/>
      </w:r>
      <w:r w:rsidRPr="00872293">
        <w:rPr>
          <w:rFonts w:ascii="Times New Roman" w:hAnsi="Times New Roman" w:cs="Times New Roman"/>
          <w:b/>
          <w:bCs/>
          <w:noProof/>
        </w:rPr>
        <w:t xml:space="preserve">Beals KK, Moore JAM, Kivlin SN, Bayliss SLJ, Lumibao CY, Moorhead LC, Patel M, Summers JL, Ware IM, Bailey JK,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Predicting plant-soil feedback in the field: Meta-analysis reveals that competition and environmental stress differentially influence psf. </w:t>
      </w:r>
      <w:r w:rsidRPr="00872293">
        <w:rPr>
          <w:rFonts w:ascii="Times New Roman" w:hAnsi="Times New Roman" w:cs="Times New Roman"/>
          <w:i/>
          <w:iCs/>
          <w:noProof/>
        </w:rPr>
        <w:t>Frontiers in Ecology and Evolution</w:t>
      </w:r>
      <w:r w:rsidRPr="00872293">
        <w:rPr>
          <w:rFonts w:ascii="Times New Roman" w:hAnsi="Times New Roman" w:cs="Times New Roman"/>
          <w:noProof/>
        </w:rPr>
        <w:t>.</w:t>
      </w:r>
    </w:p>
    <w:p w14:paraId="43FC8A9F"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Beer C, Reichstein M, Tomelleri E, Ciais P, Jung M, Carvalhais N, Rödenbeck C, Arain MA, Baldocchi D, Bonan GB,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Terrestrial gross carbon dioxide uptake: Global distribution and covariation with climate.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329</w:t>
      </w:r>
      <w:r w:rsidRPr="00872293">
        <w:rPr>
          <w:rFonts w:ascii="Times New Roman" w:hAnsi="Times New Roman" w:cs="Times New Roman"/>
          <w:noProof/>
        </w:rPr>
        <w:t>: 834–838.</w:t>
      </w:r>
    </w:p>
    <w:p w14:paraId="4A5EC137"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Bergmann J, Weigelt A, Van Der Plas F, Laughli DC, Kuype TW, Guerrero-Ramirez N, Valverde-Barrantes OJ, Bruelheide H, Fresche GT, Iverse CM,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The fungal collaboration gradient dominates the root economics space in plants.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6</w:t>
      </w:r>
      <w:r w:rsidRPr="00872293">
        <w:rPr>
          <w:rFonts w:ascii="Times New Roman" w:hAnsi="Times New Roman" w:cs="Times New Roman"/>
          <w:noProof/>
        </w:rPr>
        <w:t>: 27.</w:t>
      </w:r>
    </w:p>
    <w:p w14:paraId="3027317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Cabugao KG, Timm CM, Carrell AA, Childs J, Lu TYS, Pelletier DA, Weston DJ, Norby RJ</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Root and rhizosphere bacterial phosphatase activity varies with tree species and soil phosphorus availability in puerto rico tropical forest. </w:t>
      </w:r>
      <w:r w:rsidRPr="00872293">
        <w:rPr>
          <w:rFonts w:ascii="Times New Roman" w:hAnsi="Times New Roman" w:cs="Times New Roman"/>
          <w:i/>
          <w:iCs/>
          <w:noProof/>
        </w:rPr>
        <w:t>Frontiers in Plant Science</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1834.</w:t>
      </w:r>
    </w:p>
    <w:p w14:paraId="6AA0D3C7"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Cavaleri MA, Reed SC, Smith WK, Wood TE</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Urgent need for warming experiments in tropical forests.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21</w:t>
      </w:r>
      <w:r w:rsidRPr="00872293">
        <w:rPr>
          <w:rFonts w:ascii="Times New Roman" w:hAnsi="Times New Roman" w:cs="Times New Roman"/>
          <w:noProof/>
        </w:rPr>
        <w:t>: 2111–2121.</w:t>
      </w:r>
    </w:p>
    <w:p w14:paraId="36E972A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Chung H, Muraoka H, Nakamura M, Han S, Muller O, Son Y</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Experimental warming studies on tree species and forest ecosystems: A literature review. </w:t>
      </w:r>
      <w:r w:rsidRPr="00872293">
        <w:rPr>
          <w:rFonts w:ascii="Times New Roman" w:hAnsi="Times New Roman" w:cs="Times New Roman"/>
          <w:i/>
          <w:iCs/>
          <w:noProof/>
        </w:rPr>
        <w:t>Journal of Plant Research</w:t>
      </w:r>
      <w:r w:rsidRPr="00872293">
        <w:rPr>
          <w:rFonts w:ascii="Times New Roman" w:hAnsi="Times New Roman" w:cs="Times New Roman"/>
          <w:noProof/>
        </w:rPr>
        <w:t xml:space="preserve"> </w:t>
      </w:r>
      <w:r w:rsidRPr="00872293">
        <w:rPr>
          <w:rFonts w:ascii="Times New Roman" w:hAnsi="Times New Roman" w:cs="Times New Roman"/>
          <w:b/>
          <w:bCs/>
          <w:noProof/>
        </w:rPr>
        <w:t>126</w:t>
      </w:r>
      <w:r w:rsidRPr="00872293">
        <w:rPr>
          <w:rFonts w:ascii="Times New Roman" w:hAnsi="Times New Roman" w:cs="Times New Roman"/>
          <w:noProof/>
        </w:rPr>
        <w:t>: 447–460.</w:t>
      </w:r>
    </w:p>
    <w:p w14:paraId="34E13A94"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Comas LH, Eissenstat DM</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Patterns in root trait variation among 25 co-existing North American forest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182</w:t>
      </w:r>
      <w:r w:rsidRPr="00872293">
        <w:rPr>
          <w:rFonts w:ascii="Times New Roman" w:hAnsi="Times New Roman" w:cs="Times New Roman"/>
          <w:noProof/>
        </w:rPr>
        <w:t>: 919–928.</w:t>
      </w:r>
    </w:p>
    <w:p w14:paraId="3F91108A"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Defrenne CE, McCormack ML, Roach WJ, Addo-Danso SD, Simard SW</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Intraspecific fine-root trait-environment relationships across interior douglas-fir forests of western Canada. </w:t>
      </w:r>
      <w:r w:rsidRPr="00872293">
        <w:rPr>
          <w:rFonts w:ascii="Times New Roman" w:hAnsi="Times New Roman" w:cs="Times New Roman"/>
          <w:i/>
          <w:iCs/>
          <w:noProof/>
        </w:rPr>
        <w:t>Plants</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199.</w:t>
      </w:r>
    </w:p>
    <w:p w14:paraId="3B3450A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Dukes JS, Chiariello NR, Cleland EE, Moore LA, Rebecca Shaw M, Thayer S, Tobeck T, Mooney HA, Field CB</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Responses of grassland production to single and multiple global </w:t>
      </w:r>
      <w:r w:rsidRPr="00872293">
        <w:rPr>
          <w:rFonts w:ascii="Times New Roman" w:hAnsi="Times New Roman" w:cs="Times New Roman"/>
          <w:noProof/>
        </w:rPr>
        <w:lastRenderedPageBreak/>
        <w:t xml:space="preserve">environmental changes. </w:t>
      </w:r>
      <w:r w:rsidRPr="00872293">
        <w:rPr>
          <w:rFonts w:ascii="Times New Roman" w:hAnsi="Times New Roman" w:cs="Times New Roman"/>
          <w:i/>
          <w:iCs/>
          <w:noProof/>
        </w:rPr>
        <w:t>PLoS Biology</w:t>
      </w:r>
      <w:r w:rsidRPr="00872293">
        <w:rPr>
          <w:rFonts w:ascii="Times New Roman" w:hAnsi="Times New Roman" w:cs="Times New Roman"/>
          <w:noProof/>
        </w:rPr>
        <w:t xml:space="preserve"> </w:t>
      </w:r>
      <w:r w:rsidRPr="00872293">
        <w:rPr>
          <w:rFonts w:ascii="Times New Roman" w:hAnsi="Times New Roman" w:cs="Times New Roman"/>
          <w:b/>
          <w:bCs/>
          <w:noProof/>
        </w:rPr>
        <w:t>3</w:t>
      </w:r>
      <w:r w:rsidRPr="00872293">
        <w:rPr>
          <w:rFonts w:ascii="Times New Roman" w:hAnsi="Times New Roman" w:cs="Times New Roman"/>
          <w:noProof/>
        </w:rPr>
        <w:t>: 319.</w:t>
      </w:r>
    </w:p>
    <w:p w14:paraId="610609C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van Dusschoten D, Metzner R, Kochs J, Postma JA, Pflugfelder D, Bühler J, Schurr U, Jahnke S</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Quantitative 3D analysis of plant roots growing in soil using magnetic resonance imaging. </w:t>
      </w:r>
      <w:r w:rsidRPr="00872293">
        <w:rPr>
          <w:rFonts w:ascii="Times New Roman" w:hAnsi="Times New Roman" w:cs="Times New Roman"/>
          <w:i/>
          <w:iCs/>
          <w:noProof/>
        </w:rPr>
        <w:t>Plant Physiology</w:t>
      </w:r>
      <w:r w:rsidRPr="00872293">
        <w:rPr>
          <w:rFonts w:ascii="Times New Roman" w:hAnsi="Times New Roman" w:cs="Times New Roman"/>
          <w:noProof/>
        </w:rPr>
        <w:t xml:space="preserve"> </w:t>
      </w:r>
      <w:r w:rsidRPr="00872293">
        <w:rPr>
          <w:rFonts w:ascii="Times New Roman" w:hAnsi="Times New Roman" w:cs="Times New Roman"/>
          <w:b/>
          <w:bCs/>
          <w:noProof/>
        </w:rPr>
        <w:t>170</w:t>
      </w:r>
      <w:r w:rsidRPr="00872293">
        <w:rPr>
          <w:rFonts w:ascii="Times New Roman" w:hAnsi="Times New Roman" w:cs="Times New Roman"/>
          <w:noProof/>
        </w:rPr>
        <w:t>: 1176–1188.</w:t>
      </w:r>
    </w:p>
    <w:p w14:paraId="3FB2EB18"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Eissenstat DM, Kucharski JM, Zadworny M, Adams TS, Koide RT</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Linking root traits to nutrient foraging in arbuscular mycorrhizal trees in a temperate forest.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208</w:t>
      </w:r>
      <w:r w:rsidRPr="00872293">
        <w:rPr>
          <w:rFonts w:ascii="Times New Roman" w:hAnsi="Times New Roman" w:cs="Times New Roman"/>
          <w:noProof/>
        </w:rPr>
        <w:t>: 114–124.</w:t>
      </w:r>
    </w:p>
    <w:p w14:paraId="4DF1C797"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Field CB, Behrenfeld MJ, Randerson JT, Falkowski P</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Primary production of the biosphere: Integrating terrestrial and oceanic components.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281</w:t>
      </w:r>
      <w:r w:rsidRPr="00872293">
        <w:rPr>
          <w:rFonts w:ascii="Times New Roman" w:hAnsi="Times New Roman" w:cs="Times New Roman"/>
          <w:noProof/>
        </w:rPr>
        <w:t>: 237–240.</w:t>
      </w:r>
    </w:p>
    <w:p w14:paraId="4F82DDD2"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Fitter AH, Self GK, Brown TK, Bogie DS, Graves JD, Benham D, Ineson P</w:t>
      </w:r>
      <w:r w:rsidRPr="00872293">
        <w:rPr>
          <w:rFonts w:ascii="Times New Roman" w:hAnsi="Times New Roman" w:cs="Times New Roman"/>
          <w:noProof/>
        </w:rPr>
        <w:t xml:space="preserve">. </w:t>
      </w:r>
      <w:r w:rsidRPr="00872293">
        <w:rPr>
          <w:rFonts w:ascii="Times New Roman" w:hAnsi="Times New Roman" w:cs="Times New Roman"/>
          <w:b/>
          <w:bCs/>
          <w:noProof/>
        </w:rPr>
        <w:t>1999</w:t>
      </w:r>
      <w:r w:rsidRPr="00872293">
        <w:rPr>
          <w:rFonts w:ascii="Times New Roman" w:hAnsi="Times New Roman" w:cs="Times New Roman"/>
          <w:noProof/>
        </w:rPr>
        <w:t xml:space="preserve">. Root production and turnover in an upland grassland subjected to artificial soil warming respond to radiation flux and nutrients, not temperature.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120</w:t>
      </w:r>
      <w:r w:rsidRPr="00872293">
        <w:rPr>
          <w:rFonts w:ascii="Times New Roman" w:hAnsi="Times New Roman" w:cs="Times New Roman"/>
          <w:noProof/>
        </w:rPr>
        <w:t>: 575–581.</w:t>
      </w:r>
    </w:p>
    <w:p w14:paraId="6A84A5B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Forbes PJ, Black KE, Hooker JE</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Temperature-induced alteration to root longevity in Lolium perenne.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190</w:t>
      </w:r>
      <w:r w:rsidRPr="00872293">
        <w:rPr>
          <w:rFonts w:ascii="Times New Roman" w:hAnsi="Times New Roman" w:cs="Times New Roman"/>
          <w:noProof/>
        </w:rPr>
        <w:t>: 87–90.</w:t>
      </w:r>
    </w:p>
    <w:p w14:paraId="7DD5606C"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Grime JP</w:t>
      </w:r>
      <w:r w:rsidRPr="00872293">
        <w:rPr>
          <w:rFonts w:ascii="Times New Roman" w:hAnsi="Times New Roman" w:cs="Times New Roman"/>
          <w:noProof/>
        </w:rPr>
        <w:t xml:space="preserve">. </w:t>
      </w:r>
      <w:r w:rsidRPr="00872293">
        <w:rPr>
          <w:rFonts w:ascii="Times New Roman" w:hAnsi="Times New Roman" w:cs="Times New Roman"/>
          <w:b/>
          <w:bCs/>
          <w:noProof/>
        </w:rPr>
        <w:t>1977</w:t>
      </w:r>
      <w:r w:rsidRPr="00872293">
        <w:rPr>
          <w:rFonts w:ascii="Times New Roman" w:hAnsi="Times New Roman" w:cs="Times New Roman"/>
          <w:noProof/>
        </w:rPr>
        <w:t xml:space="preserve">. Evidence for the Existence of Three Primary Strategies in Plants and Its Relevance to Ecological and Evolutionary Theory. </w:t>
      </w:r>
      <w:r w:rsidRPr="00872293">
        <w:rPr>
          <w:rFonts w:ascii="Times New Roman" w:hAnsi="Times New Roman" w:cs="Times New Roman"/>
          <w:i/>
          <w:iCs/>
          <w:noProof/>
        </w:rPr>
        <w:t>The American Naturalist</w:t>
      </w:r>
      <w:r w:rsidRPr="00872293">
        <w:rPr>
          <w:rFonts w:ascii="Times New Roman" w:hAnsi="Times New Roman" w:cs="Times New Roman"/>
          <w:noProof/>
        </w:rPr>
        <w:t xml:space="preserve"> </w:t>
      </w:r>
      <w:r w:rsidRPr="00872293">
        <w:rPr>
          <w:rFonts w:ascii="Times New Roman" w:hAnsi="Times New Roman" w:cs="Times New Roman"/>
          <w:b/>
          <w:bCs/>
          <w:noProof/>
        </w:rPr>
        <w:t>111</w:t>
      </w:r>
      <w:r w:rsidRPr="00872293">
        <w:rPr>
          <w:rFonts w:ascii="Times New Roman" w:hAnsi="Times New Roman" w:cs="Times New Roman"/>
          <w:noProof/>
        </w:rPr>
        <w:t>: 1169–1194.</w:t>
      </w:r>
    </w:p>
    <w:p w14:paraId="7DE1095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Harris NL, Lugo AE</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Disturbances. In: Harris NL, Lugo AE, Brown S, Heartsill Scalley T, eds. Luquillo Experimental Forest: Research History and Opportunities. U.S. Department of Agriculture, 21–49.</w:t>
      </w:r>
    </w:p>
    <w:p w14:paraId="3D3137FC"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lang w:val="pt-BR"/>
        </w:rPr>
        <w:t>Holdaway RJ, Richardson SJ, Dickie IA, Peltzer DA, Coomes DA</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2011</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Species- and community-level patterns in fine root traits along a 120000-year soil chronosequence in temperate rain forest.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99</w:t>
      </w:r>
      <w:r w:rsidRPr="00872293">
        <w:rPr>
          <w:rFonts w:ascii="Times New Roman" w:hAnsi="Times New Roman" w:cs="Times New Roman"/>
          <w:noProof/>
        </w:rPr>
        <w:t>: 954–963.</w:t>
      </w:r>
    </w:p>
    <w:p w14:paraId="243D9A7C"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Hungate BA, Holland EA, Jackson RB, Chapin FS, Mooney HA, Field CB</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The fate of carbon in grasslands under carbon dioxide enrichment.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388</w:t>
      </w:r>
      <w:r w:rsidRPr="00872293">
        <w:rPr>
          <w:rFonts w:ascii="Times New Roman" w:hAnsi="Times New Roman" w:cs="Times New Roman"/>
          <w:noProof/>
        </w:rPr>
        <w:t>: 576–579.</w:t>
      </w:r>
    </w:p>
    <w:p w14:paraId="6A5C5C0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Iversen CM</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Using root form to improve our understanding of root function. </w:t>
      </w:r>
      <w:r w:rsidRPr="00872293">
        <w:rPr>
          <w:rFonts w:ascii="Times New Roman" w:hAnsi="Times New Roman" w:cs="Times New Roman"/>
          <w:i/>
          <w:iCs/>
          <w:noProof/>
        </w:rPr>
        <w:t xml:space="preserve">New </w:t>
      </w:r>
      <w:r w:rsidRPr="00872293">
        <w:rPr>
          <w:rFonts w:ascii="Times New Roman" w:hAnsi="Times New Roman" w:cs="Times New Roman"/>
          <w:i/>
          <w:iCs/>
          <w:noProof/>
        </w:rPr>
        <w:lastRenderedPageBreak/>
        <w:t>Phytologist</w:t>
      </w:r>
      <w:r w:rsidRPr="00872293">
        <w:rPr>
          <w:rFonts w:ascii="Times New Roman" w:hAnsi="Times New Roman" w:cs="Times New Roman"/>
          <w:noProof/>
        </w:rPr>
        <w:t xml:space="preserve"> </w:t>
      </w:r>
      <w:r w:rsidRPr="00872293">
        <w:rPr>
          <w:rFonts w:ascii="Times New Roman" w:hAnsi="Times New Roman" w:cs="Times New Roman"/>
          <w:b/>
          <w:bCs/>
          <w:noProof/>
        </w:rPr>
        <w:t>203</w:t>
      </w:r>
      <w:r w:rsidRPr="00872293">
        <w:rPr>
          <w:rFonts w:ascii="Times New Roman" w:hAnsi="Times New Roman" w:cs="Times New Roman"/>
          <w:noProof/>
        </w:rPr>
        <w:t>: 707–709.</w:t>
      </w:r>
    </w:p>
    <w:p w14:paraId="7442DE8A"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Iversen CM, McCormack ML, Powell AS, Blackwood CB, Freschet GT, Kattge J, Roumet C, Stover DB, Soudzilovskaia NA, Valverde-Barrantes OJ,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A global Fine-Root Ecology Database to address below-ground challenges in plant ecology.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215</w:t>
      </w:r>
      <w:r w:rsidRPr="00872293">
        <w:rPr>
          <w:rFonts w:ascii="Times New Roman" w:hAnsi="Times New Roman" w:cs="Times New Roman"/>
          <w:noProof/>
        </w:rPr>
        <w:t>: 15–26.</w:t>
      </w:r>
    </w:p>
    <w:p w14:paraId="44605336"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Kimball BA, Alonso-Rodríguez AM, Cavaleri MA, Reed SC, González G, Wood TE</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Infrared heater system for warming tropical forest understory plants and soils. </w:t>
      </w:r>
      <w:r w:rsidRPr="00872293">
        <w:rPr>
          <w:rFonts w:ascii="Times New Roman" w:hAnsi="Times New Roman" w:cs="Times New Roman"/>
          <w:i/>
          <w:iCs/>
          <w:noProof/>
        </w:rPr>
        <w:t>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1932–1944.</w:t>
      </w:r>
    </w:p>
    <w:p w14:paraId="3E651ADB"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Kong D, Ma C, Zhang Q, Li L, Chen X, Zeng H, Guo D</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Leading dimensions in absorptive root trait variation across 96 subtropical forest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203</w:t>
      </w:r>
      <w:r w:rsidRPr="00872293">
        <w:rPr>
          <w:rFonts w:ascii="Times New Roman" w:hAnsi="Times New Roman" w:cs="Times New Roman"/>
          <w:noProof/>
        </w:rPr>
        <w:t>: 863–872.</w:t>
      </w:r>
    </w:p>
    <w:p w14:paraId="47C40E0A"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lang w:val="pt-BR"/>
        </w:rPr>
      </w:pPr>
      <w:r w:rsidRPr="00872293">
        <w:rPr>
          <w:rFonts w:ascii="Times New Roman" w:hAnsi="Times New Roman" w:cs="Times New Roman"/>
          <w:b/>
          <w:bCs/>
          <w:noProof/>
        </w:rPr>
        <w:t xml:space="preserve">Koven C, Knox R, Fisher R, Chambers J, Christoffersen B, Davies S, Detto M, Dietze M, Faybishenko B, Holm J,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Benchmarking and Parameter Sensitivity of Physiological and Vegetation Dynamics using the Functionally Assembled Terrestrial Ecosystem Simulator (FATES) at Barro Colorado Island, Panama. </w:t>
      </w:r>
      <w:r w:rsidRPr="00872293">
        <w:rPr>
          <w:rFonts w:ascii="Times New Roman" w:hAnsi="Times New Roman" w:cs="Times New Roman"/>
          <w:i/>
          <w:iCs/>
          <w:noProof/>
          <w:lang w:val="pt-BR"/>
        </w:rPr>
        <w:t>Biogeosciences Discussions</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17</w:t>
      </w:r>
      <w:r w:rsidRPr="00872293">
        <w:rPr>
          <w:rFonts w:ascii="Times New Roman" w:hAnsi="Times New Roman" w:cs="Times New Roman"/>
          <w:noProof/>
          <w:lang w:val="pt-BR"/>
        </w:rPr>
        <w:t>: 3017–3044.</w:t>
      </w:r>
    </w:p>
    <w:p w14:paraId="475B5E3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lang w:val="pt-BR"/>
        </w:rPr>
        <w:t xml:space="preserve">Lugli LF, Andersen KM, Aragão LEOC, Cordeiro AL, Cunha HFV, Fuchslueger L, Meir P, Mercado LM, Oblitas E, Quesada CA, </w:t>
      </w:r>
      <w:r w:rsidRPr="00872293">
        <w:rPr>
          <w:rFonts w:ascii="Times New Roman" w:hAnsi="Times New Roman" w:cs="Times New Roman"/>
          <w:b/>
          <w:bCs/>
          <w:i/>
          <w:iCs/>
          <w:noProof/>
          <w:lang w:val="pt-BR"/>
        </w:rPr>
        <w:t>et al.</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2019</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Multiple phosphorus acquisition strategies adopted by fine roots in low-fertility soils in Central Amazonia.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450</w:t>
      </w:r>
      <w:r w:rsidRPr="00872293">
        <w:rPr>
          <w:rFonts w:ascii="Times New Roman" w:hAnsi="Times New Roman" w:cs="Times New Roman"/>
          <w:noProof/>
        </w:rPr>
        <w:t>: 49–63.</w:t>
      </w:r>
    </w:p>
    <w:p w14:paraId="173B2460"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 Z, Guo D, Xu X, Lu M, Bardgett RD, Eissenstat DM, McCormack ML, Hedin LO</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Evolutionary history resolves global organization of root functional traits.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555</w:t>
      </w:r>
      <w:r w:rsidRPr="00872293">
        <w:rPr>
          <w:rFonts w:ascii="Times New Roman" w:hAnsi="Times New Roman" w:cs="Times New Roman"/>
          <w:noProof/>
        </w:rPr>
        <w:t>: 94–97.</w:t>
      </w:r>
    </w:p>
    <w:p w14:paraId="52EF4506"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Majdi H, Öhrvik J</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Interactive effects of soil warming and fertilization root production, mortality, and longevity in a Norway spruce stand in Northern Sweden.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182–188.</w:t>
      </w:r>
    </w:p>
    <w:p w14:paraId="4037E254"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Malhi Y, Gardner TA, Goldsmith GR, Silman MR, Zelazowski P</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Tropical Forests in the Anthropocene. </w:t>
      </w:r>
      <w:r w:rsidRPr="00872293">
        <w:rPr>
          <w:rFonts w:ascii="Times New Roman" w:hAnsi="Times New Roman" w:cs="Times New Roman"/>
          <w:i/>
          <w:iCs/>
          <w:noProof/>
        </w:rPr>
        <w:t>Annual Review of Environment and Resources</w:t>
      </w:r>
      <w:r w:rsidRPr="00872293">
        <w:rPr>
          <w:rFonts w:ascii="Times New Roman" w:hAnsi="Times New Roman" w:cs="Times New Roman"/>
          <w:noProof/>
        </w:rPr>
        <w:t xml:space="preserve"> </w:t>
      </w:r>
      <w:r w:rsidRPr="00872293">
        <w:rPr>
          <w:rFonts w:ascii="Times New Roman" w:hAnsi="Times New Roman" w:cs="Times New Roman"/>
          <w:b/>
          <w:bCs/>
          <w:noProof/>
        </w:rPr>
        <w:t>39</w:t>
      </w:r>
      <w:r w:rsidRPr="00872293">
        <w:rPr>
          <w:rFonts w:ascii="Times New Roman" w:hAnsi="Times New Roman" w:cs="Times New Roman"/>
          <w:noProof/>
        </w:rPr>
        <w:t>: 125–159.</w:t>
      </w:r>
    </w:p>
    <w:p w14:paraId="3AF2809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Matamala R, Stover DB</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Introduction to a Virtual Special Issue: modeling the hidden half – the root of our problem.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200</w:t>
      </w:r>
      <w:r w:rsidRPr="00872293">
        <w:rPr>
          <w:rFonts w:ascii="Times New Roman" w:hAnsi="Times New Roman" w:cs="Times New Roman"/>
          <w:noProof/>
        </w:rPr>
        <w:t>: 939–942.</w:t>
      </w:r>
    </w:p>
    <w:p w14:paraId="043CE78C"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McCormack ML, Dickie IA, Eissenstat DM, Fahey TJ, Fernandez CW, Guo D, Helmisaari HS, Hobbie EA, Iversen CM, Jackson RB,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Redefining fine roots improves understanding of below-ground contributions to terrestrial biosphere processes.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207</w:t>
      </w:r>
      <w:r w:rsidRPr="00872293">
        <w:rPr>
          <w:rFonts w:ascii="Times New Roman" w:hAnsi="Times New Roman" w:cs="Times New Roman"/>
          <w:noProof/>
        </w:rPr>
        <w:t>: 505–518.</w:t>
      </w:r>
    </w:p>
    <w:p w14:paraId="2F8B978A"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McCormack ML, Guo D, Iversen CM, Chen W, Eissenstat DM, Fernandez CW, Li L, Ma C, Ma Z, Poorter H,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Building a better foundation: improving root-trait measurements to understand and model plant and ecosystem processes.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215</w:t>
      </w:r>
      <w:r w:rsidRPr="00872293">
        <w:rPr>
          <w:rFonts w:ascii="Times New Roman" w:hAnsi="Times New Roman" w:cs="Times New Roman"/>
          <w:noProof/>
        </w:rPr>
        <w:t>: 27–37.</w:t>
      </w:r>
    </w:p>
    <w:p w14:paraId="19414D05"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Nadelhoffer KJ, Raich JW</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Fine Root Production Estimates and Belowground Carbon Allocation in Forest Ecosystems.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73</w:t>
      </w:r>
      <w:r w:rsidRPr="00872293">
        <w:rPr>
          <w:rFonts w:ascii="Times New Roman" w:hAnsi="Times New Roman" w:cs="Times New Roman"/>
          <w:noProof/>
        </w:rPr>
        <w:t>: 1139–1147.</w:t>
      </w:r>
    </w:p>
    <w:p w14:paraId="79348205"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Neill C</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Comparison of soil coring and ingrowth methods for measuring belowground production.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73</w:t>
      </w:r>
      <w:r w:rsidRPr="00872293">
        <w:rPr>
          <w:rFonts w:ascii="Times New Roman" w:hAnsi="Times New Roman" w:cs="Times New Roman"/>
          <w:noProof/>
        </w:rPr>
        <w:t>: 1918–1921.</w:t>
      </w:r>
    </w:p>
    <w:p w14:paraId="6E6CE569"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Inside the black box.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388</w:t>
      </w:r>
      <w:r w:rsidRPr="00872293">
        <w:rPr>
          <w:rFonts w:ascii="Times New Roman" w:hAnsi="Times New Roman" w:cs="Times New Roman"/>
          <w:noProof/>
        </w:rPr>
        <w:t>: 522–523.</w:t>
      </w:r>
    </w:p>
    <w:p w14:paraId="62A9E70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Iversen CM</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Introduction to a Virtual Issue on root traits.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215</w:t>
      </w:r>
      <w:r w:rsidRPr="00872293">
        <w:rPr>
          <w:rFonts w:ascii="Times New Roman" w:hAnsi="Times New Roman" w:cs="Times New Roman"/>
          <w:noProof/>
        </w:rPr>
        <w:t>: 5–8.</w:t>
      </w:r>
    </w:p>
    <w:p w14:paraId="2B11CBF2"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Jackson RB</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Root dynamics and global change: Seeking an ecosystem perspective.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3–12.</w:t>
      </w:r>
    </w:p>
    <w:p w14:paraId="64C9BDCE"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Ledford J, Reilly CD, Miller NE, O’Neill EG</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Fine-root production dominates response of a deciduous forest to atmospheric CO2 enrichment.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101</w:t>
      </w:r>
      <w:r w:rsidRPr="00872293">
        <w:rPr>
          <w:rFonts w:ascii="Times New Roman" w:hAnsi="Times New Roman" w:cs="Times New Roman"/>
          <w:noProof/>
        </w:rPr>
        <w:t>: 9689–9693.</w:t>
      </w:r>
    </w:p>
    <w:p w14:paraId="2A837F3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Pregitzer KS</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Fine roots of trees - A new perspective.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154</w:t>
      </w:r>
      <w:r w:rsidRPr="00872293">
        <w:rPr>
          <w:rFonts w:ascii="Times New Roman" w:hAnsi="Times New Roman" w:cs="Times New Roman"/>
          <w:noProof/>
        </w:rPr>
        <w:t>: 267–270.</w:t>
      </w:r>
    </w:p>
    <w:p w14:paraId="11B3889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Pregitzer KS, DeForest JL, Burton AJ, Allen MF, Ruess RW, Hendrick RL</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Fine Root Architecture of Nine North American Trees. </w:t>
      </w:r>
      <w:r w:rsidRPr="00872293">
        <w:rPr>
          <w:rFonts w:ascii="Times New Roman" w:hAnsi="Times New Roman" w:cs="Times New Roman"/>
          <w:i/>
          <w:iCs/>
          <w:noProof/>
        </w:rPr>
        <w:t>Ecological Monographs</w:t>
      </w:r>
      <w:r w:rsidRPr="00872293">
        <w:rPr>
          <w:rFonts w:ascii="Times New Roman" w:hAnsi="Times New Roman" w:cs="Times New Roman"/>
          <w:noProof/>
        </w:rPr>
        <w:t xml:space="preserve"> </w:t>
      </w:r>
      <w:r w:rsidRPr="00872293">
        <w:rPr>
          <w:rFonts w:ascii="Times New Roman" w:hAnsi="Times New Roman" w:cs="Times New Roman"/>
          <w:b/>
          <w:bCs/>
          <w:noProof/>
        </w:rPr>
        <w:t>72</w:t>
      </w:r>
      <w:r w:rsidRPr="00872293">
        <w:rPr>
          <w:rFonts w:ascii="Times New Roman" w:hAnsi="Times New Roman" w:cs="Times New Roman"/>
          <w:noProof/>
        </w:rPr>
        <w:t>: 293–309.</w:t>
      </w:r>
    </w:p>
    <w:p w14:paraId="2F8AEFA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Pritchard JK, Stephens M, Donnelly P</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Inference of population structure using multilocus genotype data. </w:t>
      </w:r>
      <w:r w:rsidRPr="00872293">
        <w:rPr>
          <w:rFonts w:ascii="Times New Roman" w:hAnsi="Times New Roman" w:cs="Times New Roman"/>
          <w:i/>
          <w:iCs/>
          <w:noProof/>
        </w:rPr>
        <w:t>Genetics</w:t>
      </w:r>
      <w:r w:rsidRPr="00872293">
        <w:rPr>
          <w:rFonts w:ascii="Times New Roman" w:hAnsi="Times New Roman" w:cs="Times New Roman"/>
          <w:noProof/>
        </w:rPr>
        <w:t xml:space="preserve"> </w:t>
      </w:r>
      <w:r w:rsidRPr="00872293">
        <w:rPr>
          <w:rFonts w:ascii="Times New Roman" w:hAnsi="Times New Roman" w:cs="Times New Roman"/>
          <w:b/>
          <w:bCs/>
          <w:noProof/>
        </w:rPr>
        <w:t>155</w:t>
      </w:r>
      <w:r w:rsidRPr="00872293">
        <w:rPr>
          <w:rFonts w:ascii="Times New Roman" w:hAnsi="Times New Roman" w:cs="Times New Roman"/>
          <w:noProof/>
        </w:rPr>
        <w:t>: 945–959.</w:t>
      </w:r>
    </w:p>
    <w:p w14:paraId="0017BBE0"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Pugnaire FI, Morillo JA, Peñuelas J, Reich PB, Bardgett RD, Gaxiola A, Wardle DA, van der Putten WH</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Climate change effects on plant-soil feedbacks and consequences for biodiversity and functioning of terrestrial ecosystems.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eaaz1834.</w:t>
      </w:r>
    </w:p>
    <w:p w14:paraId="298F1F52"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Rahman G, Sohag H, Chowdhury R, Wahid K, Dinh A, Arcand M, Vail S</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SoilCam: A Fully Automated Minirhizotron using Multispectral Imaging for Root Activity Monitoring. </w:t>
      </w:r>
      <w:r w:rsidRPr="00872293">
        <w:rPr>
          <w:rFonts w:ascii="Times New Roman" w:hAnsi="Times New Roman" w:cs="Times New Roman"/>
          <w:i/>
          <w:iCs/>
          <w:noProof/>
        </w:rPr>
        <w:t>Sensors</w:t>
      </w:r>
      <w:r w:rsidRPr="00872293">
        <w:rPr>
          <w:rFonts w:ascii="Times New Roman" w:hAnsi="Times New Roman" w:cs="Times New Roman"/>
          <w:noProof/>
        </w:rPr>
        <w:t xml:space="preserve"> </w:t>
      </w:r>
      <w:r w:rsidRPr="00872293">
        <w:rPr>
          <w:rFonts w:ascii="Times New Roman" w:hAnsi="Times New Roman" w:cs="Times New Roman"/>
          <w:b/>
          <w:bCs/>
          <w:noProof/>
        </w:rPr>
        <w:t>20</w:t>
      </w:r>
      <w:r w:rsidRPr="00872293">
        <w:rPr>
          <w:rFonts w:ascii="Times New Roman" w:hAnsi="Times New Roman" w:cs="Times New Roman"/>
          <w:noProof/>
        </w:rPr>
        <w:t>: 787.</w:t>
      </w:r>
    </w:p>
    <w:p w14:paraId="72B1674D"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Silver WL, Vogt KA</w:t>
      </w:r>
      <w:r w:rsidRPr="00872293">
        <w:rPr>
          <w:rFonts w:ascii="Times New Roman" w:hAnsi="Times New Roman" w:cs="Times New Roman"/>
          <w:noProof/>
        </w:rPr>
        <w:t xml:space="preserve">. </w:t>
      </w:r>
      <w:r w:rsidRPr="00872293">
        <w:rPr>
          <w:rFonts w:ascii="Times New Roman" w:hAnsi="Times New Roman" w:cs="Times New Roman"/>
          <w:b/>
          <w:bCs/>
          <w:noProof/>
        </w:rPr>
        <w:t>1993</w:t>
      </w:r>
      <w:r w:rsidRPr="00872293">
        <w:rPr>
          <w:rFonts w:ascii="Times New Roman" w:hAnsi="Times New Roman" w:cs="Times New Roman"/>
          <w:noProof/>
        </w:rPr>
        <w:t xml:space="preserve">. Fine Root Dynamics Following Single and Multiple Disturbances in a Subtropical Wet Forest Ecosystem. </w:t>
      </w:r>
      <w:r w:rsidRPr="00872293">
        <w:rPr>
          <w:rFonts w:ascii="Times New Roman" w:hAnsi="Times New Roman" w:cs="Times New Roman"/>
          <w:i/>
          <w:iCs/>
          <w:noProof/>
        </w:rPr>
        <w:t>The Journal of Ecology</w:t>
      </w:r>
      <w:r w:rsidRPr="00872293">
        <w:rPr>
          <w:rFonts w:ascii="Times New Roman" w:hAnsi="Times New Roman" w:cs="Times New Roman"/>
          <w:noProof/>
        </w:rPr>
        <w:t>.</w:t>
      </w:r>
    </w:p>
    <w:p w14:paraId="1AD4ECA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Sulman BN, Brzostek ER, Medici C, Shevliakova E, Menge DNL, Phillips RP</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Feedbacks between plant N demand and rhizosphere priming depend on type of mycorrhizal association. </w:t>
      </w:r>
      <w:r w:rsidRPr="00872293">
        <w:rPr>
          <w:rFonts w:ascii="Times New Roman" w:hAnsi="Times New Roman" w:cs="Times New Roman"/>
          <w:i/>
          <w:iCs/>
          <w:noProof/>
        </w:rPr>
        <w:t>Ecology Letters</w:t>
      </w:r>
      <w:r w:rsidRPr="00872293">
        <w:rPr>
          <w:rFonts w:ascii="Times New Roman" w:hAnsi="Times New Roman" w:cs="Times New Roman"/>
          <w:noProof/>
        </w:rPr>
        <w:t xml:space="preserve"> </w:t>
      </w:r>
      <w:r w:rsidRPr="00872293">
        <w:rPr>
          <w:rFonts w:ascii="Times New Roman" w:hAnsi="Times New Roman" w:cs="Times New Roman"/>
          <w:b/>
          <w:bCs/>
          <w:noProof/>
        </w:rPr>
        <w:t>20</w:t>
      </w:r>
      <w:r w:rsidRPr="00872293">
        <w:rPr>
          <w:rFonts w:ascii="Times New Roman" w:hAnsi="Times New Roman" w:cs="Times New Roman"/>
          <w:noProof/>
        </w:rPr>
        <w:t>: 1043–2053.</w:t>
      </w:r>
    </w:p>
    <w:p w14:paraId="7586DFD6"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Tedersoo L, Bahram M, Põlme S, Kõljalg U, Yorou NS, Wijesundera R, Ruiz LV, Vasco-Palacios AM, Thu PQ, Suija A,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Global diversity and geography of soil fungi.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346</w:t>
      </w:r>
      <w:r w:rsidRPr="00872293">
        <w:rPr>
          <w:rFonts w:ascii="Times New Roman" w:hAnsi="Times New Roman" w:cs="Times New Roman"/>
          <w:noProof/>
        </w:rPr>
        <w:t>: 6213.</w:t>
      </w:r>
    </w:p>
    <w:p w14:paraId="5245FE8A"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Valverde-Barrantes OJ, Maherali H, Baraloto C, Blackwood CB</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Independent evolutionary changes in fine-root traits among main clades during the diversification of seed plants. </w:t>
      </w:r>
      <w:r w:rsidRPr="00872293">
        <w:rPr>
          <w:rFonts w:ascii="Times New Roman" w:hAnsi="Times New Roman" w:cs="Times New Roman"/>
          <w:i/>
          <w:iCs/>
          <w:noProof/>
        </w:rPr>
        <w:t>New Phytologist</w:t>
      </w:r>
      <w:r w:rsidRPr="00872293">
        <w:rPr>
          <w:rFonts w:ascii="Times New Roman" w:hAnsi="Times New Roman" w:cs="Times New Roman"/>
          <w:noProof/>
        </w:rPr>
        <w:t>.</w:t>
      </w:r>
    </w:p>
    <w:p w14:paraId="6242E04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Vargas R, Trumbore SE, Allen MF</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Evidence of old carbon used to grow new fine roots in a tropical forest.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182</w:t>
      </w:r>
      <w:r w:rsidRPr="00872293">
        <w:rPr>
          <w:rFonts w:ascii="Times New Roman" w:hAnsi="Times New Roman" w:cs="Times New Roman"/>
          <w:noProof/>
        </w:rPr>
        <w:t>: 710–718.</w:t>
      </w:r>
    </w:p>
    <w:p w14:paraId="3AA1FB9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Violle C, Navas M-L, Vile D, Kazakou E, Fortunel C, Hummel I, Garnier E</w:t>
      </w:r>
      <w:r w:rsidRPr="00872293">
        <w:rPr>
          <w:rFonts w:ascii="Times New Roman" w:hAnsi="Times New Roman" w:cs="Times New Roman"/>
          <w:noProof/>
        </w:rPr>
        <w:t xml:space="preserve">. </w:t>
      </w:r>
      <w:r w:rsidRPr="00872293">
        <w:rPr>
          <w:rFonts w:ascii="Times New Roman" w:hAnsi="Times New Roman" w:cs="Times New Roman"/>
          <w:b/>
          <w:bCs/>
          <w:noProof/>
        </w:rPr>
        <w:t>2007</w:t>
      </w:r>
      <w:r w:rsidRPr="00872293">
        <w:rPr>
          <w:rFonts w:ascii="Times New Roman" w:hAnsi="Times New Roman" w:cs="Times New Roman"/>
          <w:noProof/>
        </w:rPr>
        <w:t xml:space="preserve">. Let the concept of trait be functional! </w:t>
      </w:r>
      <w:r w:rsidRPr="00872293">
        <w:rPr>
          <w:rFonts w:ascii="Times New Roman" w:hAnsi="Times New Roman" w:cs="Times New Roman"/>
          <w:i/>
          <w:iCs/>
          <w:noProof/>
        </w:rPr>
        <w:t>Oikos</w:t>
      </w:r>
      <w:r w:rsidRPr="00872293">
        <w:rPr>
          <w:rFonts w:ascii="Times New Roman" w:hAnsi="Times New Roman" w:cs="Times New Roman"/>
          <w:noProof/>
        </w:rPr>
        <w:t xml:space="preserve"> </w:t>
      </w:r>
      <w:r w:rsidRPr="00872293">
        <w:rPr>
          <w:rFonts w:ascii="Times New Roman" w:hAnsi="Times New Roman" w:cs="Times New Roman"/>
          <w:b/>
          <w:bCs/>
          <w:noProof/>
        </w:rPr>
        <w:t>116</w:t>
      </w:r>
      <w:r w:rsidRPr="00872293">
        <w:rPr>
          <w:rFonts w:ascii="Times New Roman" w:hAnsi="Times New Roman" w:cs="Times New Roman"/>
          <w:noProof/>
        </w:rPr>
        <w:t>.</w:t>
      </w:r>
    </w:p>
    <w:p w14:paraId="733D07B2"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Waisel Y, Eshel A, Kafkafi U</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w:t>
      </w:r>
      <w:r w:rsidRPr="00872293">
        <w:rPr>
          <w:rFonts w:ascii="Times New Roman" w:hAnsi="Times New Roman" w:cs="Times New Roman"/>
          <w:i/>
          <w:iCs/>
          <w:noProof/>
        </w:rPr>
        <w:t>Plant Roots: The Hidden Half</w:t>
      </w:r>
      <w:r w:rsidRPr="00872293">
        <w:rPr>
          <w:rFonts w:ascii="Times New Roman" w:hAnsi="Times New Roman" w:cs="Times New Roman"/>
          <w:noProof/>
        </w:rPr>
        <w:t>. New York: Marcel Dekker.</w:t>
      </w:r>
    </w:p>
    <w:p w14:paraId="075D3AF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Wan S, Norby RJ, Pregitzer KS, Ledford J, O’Neill EG</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CO2 enrichment and warming </w:t>
      </w:r>
      <w:r w:rsidRPr="00872293">
        <w:rPr>
          <w:rFonts w:ascii="Times New Roman" w:hAnsi="Times New Roman" w:cs="Times New Roman"/>
          <w:noProof/>
        </w:rPr>
        <w:lastRenderedPageBreak/>
        <w:t xml:space="preserve">of the atmosphere enhance both productivity and mortality of maple tree fine roots.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162</w:t>
      </w:r>
      <w:r w:rsidRPr="00872293">
        <w:rPr>
          <w:rFonts w:ascii="Times New Roman" w:hAnsi="Times New Roman" w:cs="Times New Roman"/>
          <w:noProof/>
        </w:rPr>
        <w:t>: 436–446.</w:t>
      </w:r>
    </w:p>
    <w:p w14:paraId="1EAAEC05"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Warren JM, Hanson PJ, Iversen CM, Kumar J, Walker AP, Wullschleger SD</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Root structural and functional dynamics in terrestrial biosphere models - evaluation and recommendations.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205</w:t>
      </w:r>
      <w:r w:rsidRPr="00872293">
        <w:rPr>
          <w:rFonts w:ascii="Times New Roman" w:hAnsi="Times New Roman" w:cs="Times New Roman"/>
          <w:noProof/>
        </w:rPr>
        <w:t>: 59–78.</w:t>
      </w:r>
    </w:p>
    <w:p w14:paraId="1E2D45B3"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Weemstra M, Mommer L, Visser EJW, van Ruijven J, Kuyper TW, Mohren GMJ, Sterck FJ</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Towards a multidimensional root trait framework: a tree root review. </w:t>
      </w:r>
      <w:r w:rsidRPr="00872293">
        <w:rPr>
          <w:rFonts w:ascii="Times New Roman" w:hAnsi="Times New Roman" w:cs="Times New Roman"/>
          <w:i/>
          <w:iCs/>
          <w:noProof/>
        </w:rPr>
        <w:t>The New phytologist</w:t>
      </w:r>
      <w:r w:rsidRPr="00872293">
        <w:rPr>
          <w:rFonts w:ascii="Times New Roman" w:hAnsi="Times New Roman" w:cs="Times New Roman"/>
          <w:noProof/>
        </w:rPr>
        <w:t xml:space="preserve"> </w:t>
      </w:r>
      <w:r w:rsidRPr="00872293">
        <w:rPr>
          <w:rFonts w:ascii="Times New Roman" w:hAnsi="Times New Roman" w:cs="Times New Roman"/>
          <w:b/>
          <w:bCs/>
          <w:noProof/>
        </w:rPr>
        <w:t>211</w:t>
      </w:r>
      <w:r w:rsidRPr="00872293">
        <w:rPr>
          <w:rFonts w:ascii="Times New Roman" w:hAnsi="Times New Roman" w:cs="Times New Roman"/>
          <w:noProof/>
        </w:rPr>
        <w:t>: 1159–1169.</w:t>
      </w:r>
    </w:p>
    <w:p w14:paraId="49D79B40"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Westoby M, Wright IJ</w:t>
      </w:r>
      <w:r w:rsidRPr="00872293">
        <w:rPr>
          <w:rFonts w:ascii="Times New Roman" w:hAnsi="Times New Roman" w:cs="Times New Roman"/>
          <w:noProof/>
        </w:rPr>
        <w:t xml:space="preserve">. </w:t>
      </w:r>
      <w:r w:rsidRPr="00872293">
        <w:rPr>
          <w:rFonts w:ascii="Times New Roman" w:hAnsi="Times New Roman" w:cs="Times New Roman"/>
          <w:b/>
          <w:bCs/>
          <w:noProof/>
        </w:rPr>
        <w:t>2006</w:t>
      </w:r>
      <w:r w:rsidRPr="00872293">
        <w:rPr>
          <w:rFonts w:ascii="Times New Roman" w:hAnsi="Times New Roman" w:cs="Times New Roman"/>
          <w:noProof/>
        </w:rPr>
        <w:t xml:space="preserve">. Land-plant ecology on the basis of functional traits. </w:t>
      </w:r>
      <w:r w:rsidRPr="00872293">
        <w:rPr>
          <w:rFonts w:ascii="Times New Roman" w:hAnsi="Times New Roman" w:cs="Times New Roman"/>
          <w:i/>
          <w:iCs/>
          <w:noProof/>
        </w:rPr>
        <w:t>Trends in 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21</w:t>
      </w:r>
      <w:r w:rsidRPr="00872293">
        <w:rPr>
          <w:rFonts w:ascii="Times New Roman" w:hAnsi="Times New Roman" w:cs="Times New Roman"/>
          <w:noProof/>
        </w:rPr>
        <w:t>: 261–268.</w:t>
      </w:r>
    </w:p>
    <w:p w14:paraId="6F6BBB11"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Wood TE, Cavaleri MA, Reed SC</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Tropical forest carbon balance in a warmer world: A critical review spanning microbial- to ecosystem-scale processes. </w:t>
      </w:r>
      <w:r w:rsidRPr="00872293">
        <w:rPr>
          <w:rFonts w:ascii="Times New Roman" w:hAnsi="Times New Roman" w:cs="Times New Roman"/>
          <w:i/>
          <w:iCs/>
          <w:noProof/>
        </w:rPr>
        <w:t>Biological Reviews</w:t>
      </w:r>
      <w:r w:rsidRPr="00872293">
        <w:rPr>
          <w:rFonts w:ascii="Times New Roman" w:hAnsi="Times New Roman" w:cs="Times New Roman"/>
          <w:noProof/>
        </w:rPr>
        <w:t xml:space="preserve"> </w:t>
      </w:r>
      <w:r w:rsidRPr="00872293">
        <w:rPr>
          <w:rFonts w:ascii="Times New Roman" w:hAnsi="Times New Roman" w:cs="Times New Roman"/>
          <w:b/>
          <w:bCs/>
          <w:noProof/>
        </w:rPr>
        <w:t>87</w:t>
      </w:r>
      <w:r w:rsidRPr="00872293">
        <w:rPr>
          <w:rFonts w:ascii="Times New Roman" w:hAnsi="Times New Roman" w:cs="Times New Roman"/>
          <w:noProof/>
        </w:rPr>
        <w:t>: 912–927.</w:t>
      </w:r>
    </w:p>
    <w:p w14:paraId="12F46CB2"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Wright IJ, Reich PB, Westoby M, Ackerly DD, Baruch Z, Bongers F, Cavender-Bares J, Chapin T, Cornellssen JHC, Diemer 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The worldwide leaf economics spectrum.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428</w:t>
      </w:r>
      <w:r w:rsidRPr="00872293">
        <w:rPr>
          <w:rFonts w:ascii="Times New Roman" w:hAnsi="Times New Roman" w:cs="Times New Roman"/>
          <w:noProof/>
        </w:rPr>
        <w:t>: 829–827.</w:t>
      </w:r>
    </w:p>
    <w:p w14:paraId="45FAA355"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Yaffar D, Norby RJ</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A historical and comparative review of 50 years of root data collection in Puerto Rico. </w:t>
      </w:r>
      <w:r w:rsidRPr="00872293">
        <w:rPr>
          <w:rFonts w:ascii="Times New Roman" w:hAnsi="Times New Roman" w:cs="Times New Roman"/>
          <w:i/>
          <w:iCs/>
          <w:noProof/>
        </w:rPr>
        <w:t>Biotropica</w:t>
      </w:r>
      <w:r w:rsidRPr="00872293">
        <w:rPr>
          <w:rFonts w:ascii="Times New Roman" w:hAnsi="Times New Roman" w:cs="Times New Roman"/>
          <w:noProof/>
        </w:rPr>
        <w:t xml:space="preserve"> </w:t>
      </w:r>
      <w:r w:rsidRPr="00872293">
        <w:rPr>
          <w:rFonts w:ascii="Times New Roman" w:hAnsi="Times New Roman" w:cs="Times New Roman"/>
          <w:b/>
          <w:bCs/>
          <w:noProof/>
        </w:rPr>
        <w:t>52</w:t>
      </w:r>
      <w:r w:rsidRPr="00872293">
        <w:rPr>
          <w:rFonts w:ascii="Times New Roman" w:hAnsi="Times New Roman" w:cs="Times New Roman"/>
          <w:noProof/>
        </w:rPr>
        <w:t>: 563–576.</w:t>
      </w:r>
    </w:p>
    <w:p w14:paraId="3B58D656"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Yuan ZY, Chen HYH</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Indirect Methods Produce Higher Estimates of Fine Root Production and Turnover Rates than Direct Methods. </w:t>
      </w:r>
      <w:r w:rsidRPr="00872293">
        <w:rPr>
          <w:rFonts w:ascii="Times New Roman" w:hAnsi="Times New Roman" w:cs="Times New Roman"/>
          <w:i/>
          <w:iCs/>
          <w:noProof/>
        </w:rPr>
        <w:t>PLoS ONE</w:t>
      </w:r>
      <w:r w:rsidRPr="00872293">
        <w:rPr>
          <w:rFonts w:ascii="Times New Roman" w:hAnsi="Times New Roman" w:cs="Times New Roman"/>
          <w:noProof/>
        </w:rPr>
        <w:t xml:space="preserve"> </w:t>
      </w:r>
      <w:r w:rsidRPr="00872293">
        <w:rPr>
          <w:rFonts w:ascii="Times New Roman" w:hAnsi="Times New Roman" w:cs="Times New Roman"/>
          <w:b/>
          <w:bCs/>
          <w:noProof/>
        </w:rPr>
        <w:t>7</w:t>
      </w:r>
      <w:r w:rsidRPr="00872293">
        <w:rPr>
          <w:rFonts w:ascii="Times New Roman" w:hAnsi="Times New Roman" w:cs="Times New Roman"/>
          <w:noProof/>
        </w:rPr>
        <w:t>: 48989.</w:t>
      </w:r>
    </w:p>
    <w:p w14:paraId="5A236EA4" w14:textId="77777777" w:rsidR="00680C52" w:rsidRPr="00872293" w:rsidRDefault="00680C52" w:rsidP="0053234F">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Zhou X, Fei S, Sherry R, Luo Y</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Root Biomass Dynamics Under Experimental Warming and Doubled Precipitation in a Tallgrass Prairie. </w:t>
      </w:r>
      <w:r w:rsidRPr="00872293">
        <w:rPr>
          <w:rFonts w:ascii="Times New Roman" w:hAnsi="Times New Roman" w:cs="Times New Roman"/>
          <w:i/>
          <w:iCs/>
          <w:noProof/>
        </w:rPr>
        <w:t>Ecosystems</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542–554.</w:t>
      </w:r>
    </w:p>
    <w:p w14:paraId="1C587BC5" w14:textId="77777777" w:rsidR="00680C52" w:rsidRPr="00872293" w:rsidRDefault="00680C52" w:rsidP="0053234F">
      <w:pPr>
        <w:spacing w:before="240" w:line="360" w:lineRule="auto"/>
        <w:rPr>
          <w:rFonts w:ascii="Times New Roman" w:hAnsi="Times New Roman" w:cs="Times New Roman"/>
          <w:b/>
          <w:bCs/>
        </w:rPr>
        <w:sectPr w:rsidR="00680C52" w:rsidRPr="00872293" w:rsidSect="00CB4657">
          <w:headerReference w:type="default" r:id="rId11"/>
          <w:type w:val="continuous"/>
          <w:pgSz w:w="12240" w:h="15840" w:code="1"/>
          <w:pgMar w:top="1440" w:right="1440" w:bottom="1440" w:left="1440" w:header="708" w:footer="708" w:gutter="0"/>
          <w:cols w:space="708"/>
          <w:docGrid w:linePitch="360"/>
        </w:sectPr>
      </w:pPr>
      <w:r w:rsidRPr="00872293">
        <w:rPr>
          <w:rFonts w:ascii="Times New Roman" w:hAnsi="Times New Roman" w:cs="Times New Roman"/>
          <w:b/>
          <w:bCs/>
        </w:rPr>
        <w:fldChar w:fldCharType="end"/>
      </w:r>
    </w:p>
    <w:p w14:paraId="09910784" w14:textId="77777777" w:rsidR="00680C52" w:rsidRPr="00872293" w:rsidRDefault="00680C52" w:rsidP="0053234F">
      <w:pPr>
        <w:pStyle w:val="Default"/>
        <w:spacing w:before="240" w:line="360" w:lineRule="auto"/>
        <w:rPr>
          <w:color w:val="auto"/>
        </w:rPr>
        <w:sectPr w:rsidR="00680C52" w:rsidRPr="00872293" w:rsidSect="00CB4657">
          <w:type w:val="continuous"/>
          <w:pgSz w:w="12240" w:h="15840" w:code="1"/>
          <w:pgMar w:top="1440" w:right="1440" w:bottom="1440" w:left="1440" w:header="708" w:footer="708" w:gutter="0"/>
          <w:cols w:space="708"/>
          <w:docGrid w:linePitch="360"/>
        </w:sectPr>
      </w:pPr>
    </w:p>
    <w:p w14:paraId="1C278DEA" w14:textId="77777777" w:rsidR="00E52E01" w:rsidRPr="00872293" w:rsidRDefault="00E52E01" w:rsidP="0053234F">
      <w:pPr>
        <w:spacing w:before="240" w:line="360" w:lineRule="auto"/>
        <w:rPr>
          <w:rFonts w:ascii="Times New Roman" w:hAnsi="Times New Roman" w:cs="Times New Roman"/>
        </w:rPr>
        <w:sectPr w:rsidR="00E52E01" w:rsidRPr="00872293" w:rsidSect="00CB4657">
          <w:headerReference w:type="default" r:id="rId12"/>
          <w:type w:val="continuous"/>
          <w:pgSz w:w="12240" w:h="15840" w:code="1"/>
          <w:pgMar w:top="1440" w:right="1440" w:bottom="1440" w:left="1440" w:header="708" w:footer="708" w:gutter="0"/>
          <w:cols w:space="708"/>
          <w:docGrid w:linePitch="360"/>
        </w:sectPr>
      </w:pPr>
    </w:p>
    <w:p w14:paraId="16B7CD31" w14:textId="77777777" w:rsidR="00FA2A3A" w:rsidRPr="00872293" w:rsidRDefault="00FA2A3A" w:rsidP="0040231B">
      <w:pPr>
        <w:spacing w:line="360" w:lineRule="auto"/>
        <w:rPr>
          <w:rFonts w:ascii="Times New Roman" w:hAnsi="Times New Roman" w:cs="Times New Roman"/>
          <w:b/>
          <w:bCs/>
          <w:sz w:val="36"/>
          <w:szCs w:val="36"/>
        </w:rPr>
      </w:pPr>
    </w:p>
    <w:p w14:paraId="3A22B499" w14:textId="056E67FA" w:rsidR="007731F1" w:rsidRPr="00872293" w:rsidRDefault="007A1DC3" w:rsidP="00A43783">
      <w:pPr>
        <w:jc w:val="center"/>
        <w:rPr>
          <w:rFonts w:ascii="Times New Roman" w:hAnsi="Times New Roman" w:cs="Times New Roman"/>
          <w:b/>
          <w:bCs/>
          <w:sz w:val="36"/>
          <w:szCs w:val="36"/>
        </w:rPr>
      </w:pPr>
      <w:r w:rsidRPr="00872293">
        <w:rPr>
          <w:rFonts w:ascii="Times New Roman" w:hAnsi="Times New Roman" w:cs="Times New Roman"/>
          <w:b/>
          <w:bCs/>
          <w:sz w:val="36"/>
          <w:szCs w:val="36"/>
        </w:rPr>
        <w:t>C</w:t>
      </w:r>
      <w:r w:rsidR="00367F21" w:rsidRPr="00872293">
        <w:rPr>
          <w:rFonts w:ascii="Times New Roman" w:hAnsi="Times New Roman" w:cs="Times New Roman"/>
          <w:b/>
          <w:bCs/>
          <w:sz w:val="36"/>
          <w:szCs w:val="36"/>
        </w:rPr>
        <w:t xml:space="preserve">hapter </w:t>
      </w:r>
      <w:r w:rsidRPr="00872293">
        <w:rPr>
          <w:rFonts w:ascii="Times New Roman" w:hAnsi="Times New Roman" w:cs="Times New Roman"/>
          <w:b/>
          <w:bCs/>
          <w:sz w:val="36"/>
          <w:szCs w:val="36"/>
        </w:rPr>
        <w:t>2</w:t>
      </w:r>
    </w:p>
    <w:p w14:paraId="686DB529" w14:textId="77777777" w:rsidR="00E47154" w:rsidRPr="00872293" w:rsidRDefault="00C50358" w:rsidP="008D2745">
      <w:pPr>
        <w:pStyle w:val="Heading1"/>
      </w:pPr>
      <w:bookmarkStart w:id="7" w:name="_Toc53689051"/>
      <w:r w:rsidRPr="00872293">
        <w:t>A historical and com</w:t>
      </w:r>
      <w:r w:rsidR="00D13EBD" w:rsidRPr="00872293">
        <w:t>p</w:t>
      </w:r>
      <w:r w:rsidRPr="00872293">
        <w:t>arative review of</w:t>
      </w:r>
      <w:r w:rsidR="001F1EE0" w:rsidRPr="00872293">
        <w:t xml:space="preserve"> </w:t>
      </w:r>
      <w:r w:rsidRPr="00872293">
        <w:t>50 years of root data collection in Puerto Ric</w:t>
      </w:r>
      <w:r w:rsidR="00E47154" w:rsidRPr="00872293">
        <w:t>o</w:t>
      </w:r>
      <w:bookmarkEnd w:id="7"/>
    </w:p>
    <w:p w14:paraId="53CBC474" w14:textId="77777777" w:rsidR="00082395" w:rsidRPr="00872293" w:rsidRDefault="00082395" w:rsidP="00314B78">
      <w:pPr>
        <w:spacing w:before="120"/>
        <w:rPr>
          <w:rFonts w:ascii="Times New Roman" w:eastAsia="Times New Roman" w:hAnsi="Times New Roman" w:cs="Times New Roman"/>
          <w:b/>
        </w:rPr>
      </w:pPr>
    </w:p>
    <w:p w14:paraId="4B3C78D2" w14:textId="77777777" w:rsidR="006B02DD" w:rsidRPr="00872293" w:rsidRDefault="00082395" w:rsidP="00314B78">
      <w:pPr>
        <w:spacing w:before="120" w:line="480" w:lineRule="auto"/>
        <w:jc w:val="center"/>
        <w:rPr>
          <w:rFonts w:ascii="Times New Roman" w:eastAsia="Times New Roman" w:hAnsi="Times New Roman" w:cs="Times New Roman"/>
          <w:b/>
        </w:rPr>
      </w:pPr>
      <w:r w:rsidRPr="00872293">
        <w:rPr>
          <w:rFonts w:ascii="Times New Roman" w:eastAsia="TimesNewRomanPSMT" w:hAnsi="Times New Roman" w:cs="Times New Roman"/>
        </w:rPr>
        <w:t>My use of “we” in this chapter refers to my co-authors and myself</w:t>
      </w:r>
      <w:r w:rsidRPr="00872293">
        <w:rPr>
          <w:rFonts w:ascii="Times New Roman" w:hAnsi="Times New Roman" w:cs="Times New Roman"/>
        </w:rPr>
        <w:t xml:space="preserve">. </w:t>
      </w:r>
      <w:r w:rsidR="00474A60" w:rsidRPr="00872293">
        <w:rPr>
          <w:rFonts w:ascii="Times New Roman" w:hAnsi="Times New Roman" w:cs="Times New Roman"/>
        </w:rPr>
        <w:t xml:space="preserve">A version of this chapter was published </w:t>
      </w:r>
      <w:r w:rsidR="006B02DD" w:rsidRPr="00872293">
        <w:rPr>
          <w:rFonts w:ascii="Times New Roman" w:hAnsi="Times New Roman" w:cs="Times New Roman"/>
        </w:rPr>
        <w:t xml:space="preserve">in </w:t>
      </w:r>
      <w:proofErr w:type="spellStart"/>
      <w:r w:rsidR="006B02DD" w:rsidRPr="00872293">
        <w:rPr>
          <w:rFonts w:ascii="Times New Roman" w:hAnsi="Times New Roman" w:cs="Times New Roman"/>
        </w:rPr>
        <w:t>Biotropica</w:t>
      </w:r>
      <w:proofErr w:type="spellEnd"/>
      <w:r w:rsidR="00474A60" w:rsidRPr="00872293">
        <w:rPr>
          <w:rFonts w:ascii="Times New Roman" w:hAnsi="Times New Roman" w:cs="Times New Roman"/>
        </w:rPr>
        <w:t xml:space="preserve">: </w:t>
      </w:r>
      <w:r w:rsidR="006B02DD" w:rsidRPr="00872293">
        <w:rPr>
          <w:rFonts w:ascii="Times New Roman" w:hAnsi="Times New Roman" w:cs="Times New Roman"/>
        </w:rPr>
        <w:t>Yaffar D. &amp; Norby R. J</w:t>
      </w:r>
      <w:r w:rsidR="00474A60" w:rsidRPr="00872293">
        <w:rPr>
          <w:rFonts w:ascii="Times New Roman" w:hAnsi="Times New Roman" w:cs="Times New Roman"/>
        </w:rPr>
        <w:t>. 20</w:t>
      </w:r>
      <w:r w:rsidR="006B02DD" w:rsidRPr="00872293">
        <w:rPr>
          <w:rFonts w:ascii="Times New Roman" w:hAnsi="Times New Roman" w:cs="Times New Roman"/>
        </w:rPr>
        <w:t>20</w:t>
      </w:r>
      <w:r w:rsidR="00474A60" w:rsidRPr="00872293">
        <w:rPr>
          <w:rFonts w:ascii="Times New Roman" w:hAnsi="Times New Roman" w:cs="Times New Roman"/>
        </w:rPr>
        <w:t>.</w:t>
      </w:r>
    </w:p>
    <w:p w14:paraId="69F3F298" w14:textId="43703D17" w:rsidR="00BC5284" w:rsidRPr="00872293" w:rsidRDefault="00B307DA" w:rsidP="00314B78">
      <w:pPr>
        <w:autoSpaceDE w:val="0"/>
        <w:autoSpaceDN w:val="0"/>
        <w:adjustRightInd w:val="0"/>
        <w:spacing w:before="120" w:line="480" w:lineRule="auto"/>
        <w:jc w:val="center"/>
        <w:rPr>
          <w:rFonts w:ascii="Times New Roman" w:hAnsi="Times New Roman" w:cs="Times New Roman"/>
        </w:rPr>
      </w:pPr>
      <w:r w:rsidRPr="00872293">
        <w:rPr>
          <w:rFonts w:ascii="Times New Roman" w:hAnsi="Times New Roman" w:cs="Times New Roman"/>
        </w:rPr>
        <w:t>DY developed the concept for the project, c</w:t>
      </w:r>
      <w:r w:rsidR="009C2398" w:rsidRPr="00872293">
        <w:rPr>
          <w:rFonts w:ascii="Times New Roman" w:hAnsi="Times New Roman" w:cs="Times New Roman"/>
        </w:rPr>
        <w:t>ollected</w:t>
      </w:r>
      <w:r w:rsidRPr="00872293">
        <w:rPr>
          <w:rFonts w:ascii="Times New Roman" w:hAnsi="Times New Roman" w:cs="Times New Roman"/>
        </w:rPr>
        <w:t xml:space="preserve"> and analyzed the data, and wrote the paper. RJN assisted in data analysis and reviewed and edited the paper.</w:t>
      </w:r>
    </w:p>
    <w:p w14:paraId="4EAE970C" w14:textId="77777777" w:rsidR="0017453B" w:rsidRPr="00872293" w:rsidRDefault="0017453B" w:rsidP="00314B78">
      <w:pPr>
        <w:spacing w:before="120"/>
        <w:rPr>
          <w:rFonts w:ascii="Times New Roman" w:hAnsi="Times New Roman" w:cs="Times New Roman"/>
        </w:rPr>
      </w:pPr>
      <w:r w:rsidRPr="00872293">
        <w:rPr>
          <w:rFonts w:ascii="Times New Roman" w:hAnsi="Times New Roman" w:cs="Times New Roman"/>
        </w:rPr>
        <w:br w:type="page"/>
      </w:r>
    </w:p>
    <w:p w14:paraId="1AE57B6E" w14:textId="77777777" w:rsidR="0030774A" w:rsidRPr="00872293" w:rsidRDefault="0030774A" w:rsidP="007E18C8">
      <w:pPr>
        <w:pStyle w:val="Heading2"/>
        <w:spacing w:before="0" w:after="0" w:line="360" w:lineRule="auto"/>
        <w:rPr>
          <w:rFonts w:cs="Times New Roman"/>
          <w:szCs w:val="24"/>
        </w:rPr>
      </w:pPr>
      <w:bookmarkStart w:id="8" w:name="_Toc53689052"/>
      <w:r w:rsidRPr="00872293">
        <w:rPr>
          <w:rFonts w:cs="Times New Roman"/>
          <w:szCs w:val="24"/>
        </w:rPr>
        <w:lastRenderedPageBreak/>
        <w:t>A</w:t>
      </w:r>
      <w:r w:rsidR="008D2745" w:rsidRPr="00872293">
        <w:rPr>
          <w:rFonts w:cs="Times New Roman"/>
          <w:szCs w:val="24"/>
        </w:rPr>
        <w:t>bstract</w:t>
      </w:r>
      <w:bookmarkEnd w:id="8"/>
    </w:p>
    <w:p w14:paraId="70BCFD28" w14:textId="5B44A4C5" w:rsidR="00527000" w:rsidRPr="00872293" w:rsidRDefault="00527000" w:rsidP="007E18C8">
      <w:pPr>
        <w:pStyle w:val="HTMLPreformatted"/>
        <w:shd w:val="clear" w:color="auto" w:fill="FFFFFF"/>
        <w:spacing w:before="240" w:line="360" w:lineRule="auto"/>
        <w:rPr>
          <w:rFonts w:ascii="Times New Roman" w:hAnsi="Times New Roman" w:cs="Times New Roman"/>
          <w:sz w:val="24"/>
          <w:szCs w:val="24"/>
        </w:rPr>
      </w:pPr>
      <w:r w:rsidRPr="00872293">
        <w:rPr>
          <w:rFonts w:ascii="Times New Roman" w:hAnsi="Times New Roman" w:cs="Times New Roman"/>
          <w:sz w:val="24"/>
          <w:szCs w:val="24"/>
        </w:rPr>
        <w:t xml:space="preserve">Fine roots play an important role in plant nutrition, as well as in carbon, </w:t>
      </w:r>
      <w:proofErr w:type="gramStart"/>
      <w:r w:rsidRPr="00872293">
        <w:rPr>
          <w:rFonts w:ascii="Times New Roman" w:hAnsi="Times New Roman" w:cs="Times New Roman"/>
          <w:sz w:val="24"/>
          <w:szCs w:val="24"/>
        </w:rPr>
        <w:t>water</w:t>
      </w:r>
      <w:proofErr w:type="gramEnd"/>
      <w:r w:rsidRPr="00872293">
        <w:rPr>
          <w:rFonts w:ascii="Times New Roman" w:hAnsi="Times New Roman" w:cs="Times New Roman"/>
          <w:sz w:val="24"/>
          <w:szCs w:val="24"/>
        </w:rPr>
        <w:t xml:space="preserve"> and nutrient cycling. </w:t>
      </w:r>
      <w:r w:rsidR="00634B6B" w:rsidRPr="00872293">
        <w:rPr>
          <w:rFonts w:ascii="Times New Roman" w:hAnsi="Times New Roman" w:cs="Times New Roman"/>
          <w:sz w:val="24"/>
          <w:szCs w:val="24"/>
        </w:rPr>
        <w:t>Fine r</w:t>
      </w:r>
      <w:r w:rsidRPr="00872293">
        <w:rPr>
          <w:rFonts w:ascii="Times New Roman" w:hAnsi="Times New Roman" w:cs="Times New Roman"/>
          <w:sz w:val="24"/>
          <w:szCs w:val="24"/>
        </w:rPr>
        <w:t xml:space="preserve">oots </w:t>
      </w:r>
      <w:r w:rsidR="002775E4" w:rsidRPr="00872293">
        <w:rPr>
          <w:rFonts w:ascii="Times New Roman" w:hAnsi="Times New Roman" w:cs="Times New Roman"/>
          <w:sz w:val="24"/>
          <w:szCs w:val="24"/>
        </w:rPr>
        <w:t>account</w:t>
      </w:r>
      <w:r w:rsidRPr="00872293">
        <w:rPr>
          <w:rFonts w:ascii="Times New Roman" w:hAnsi="Times New Roman" w:cs="Times New Roman"/>
          <w:sz w:val="24"/>
          <w:szCs w:val="24"/>
        </w:rPr>
        <w:t xml:space="preserve"> for a third of </w:t>
      </w:r>
      <w:r w:rsidR="00E26E80" w:rsidRPr="00872293">
        <w:rPr>
          <w:rFonts w:ascii="Times New Roman" w:hAnsi="Times New Roman" w:cs="Times New Roman"/>
          <w:sz w:val="24"/>
          <w:szCs w:val="24"/>
        </w:rPr>
        <w:t>terrestrial</w:t>
      </w:r>
      <w:r w:rsidRPr="00872293">
        <w:rPr>
          <w:rFonts w:ascii="Times New Roman" w:hAnsi="Times New Roman" w:cs="Times New Roman"/>
          <w:sz w:val="24"/>
          <w:szCs w:val="24"/>
        </w:rPr>
        <w:t xml:space="preserve"> net primary production (NPP)</w:t>
      </w:r>
      <w:r w:rsidR="002734AB" w:rsidRPr="00872293">
        <w:rPr>
          <w:rFonts w:ascii="Times New Roman" w:hAnsi="Times New Roman" w:cs="Times New Roman"/>
          <w:sz w:val="24"/>
          <w:szCs w:val="24"/>
        </w:rPr>
        <w:t>,</w:t>
      </w:r>
      <w:r w:rsidRPr="00872293">
        <w:rPr>
          <w:rFonts w:ascii="Times New Roman" w:hAnsi="Times New Roman" w:cs="Times New Roman"/>
          <w:sz w:val="24"/>
          <w:szCs w:val="24"/>
        </w:rPr>
        <w:t xml:space="preserve"> and inclusion </w:t>
      </w:r>
      <w:r w:rsidR="00DB1B16" w:rsidRPr="00872293">
        <w:rPr>
          <w:rFonts w:ascii="Times New Roman" w:hAnsi="Times New Roman" w:cs="Times New Roman"/>
          <w:sz w:val="24"/>
          <w:szCs w:val="24"/>
        </w:rPr>
        <w:t xml:space="preserve">of their structure and function </w:t>
      </w:r>
      <w:r w:rsidRPr="00872293">
        <w:rPr>
          <w:rFonts w:ascii="Times New Roman" w:hAnsi="Times New Roman" w:cs="Times New Roman"/>
          <w:sz w:val="24"/>
          <w:szCs w:val="24"/>
        </w:rPr>
        <w:t xml:space="preserve">in global carbon models </w:t>
      </w:r>
      <w:r w:rsidR="00DB1B16" w:rsidRPr="00872293">
        <w:rPr>
          <w:rFonts w:ascii="Times New Roman" w:hAnsi="Times New Roman" w:cs="Times New Roman"/>
          <w:sz w:val="24"/>
          <w:szCs w:val="24"/>
        </w:rPr>
        <w:t>should</w:t>
      </w:r>
      <w:r w:rsidRPr="00872293">
        <w:rPr>
          <w:rFonts w:ascii="Times New Roman" w:hAnsi="Times New Roman" w:cs="Times New Roman"/>
          <w:sz w:val="24"/>
          <w:szCs w:val="24"/>
        </w:rPr>
        <w:t xml:space="preserve"> </w:t>
      </w:r>
      <w:r w:rsidR="002C0C5C" w:rsidRPr="00872293">
        <w:rPr>
          <w:rFonts w:ascii="Times New Roman" w:hAnsi="Times New Roman" w:cs="Times New Roman"/>
          <w:sz w:val="24"/>
          <w:szCs w:val="24"/>
        </w:rPr>
        <w:t>improv</w:t>
      </w:r>
      <w:r w:rsidR="00DB1B16" w:rsidRPr="00872293">
        <w:rPr>
          <w:rFonts w:ascii="Times New Roman" w:hAnsi="Times New Roman" w:cs="Times New Roman"/>
          <w:sz w:val="24"/>
          <w:szCs w:val="24"/>
        </w:rPr>
        <w:t>e</w:t>
      </w:r>
      <w:r w:rsidR="002C0C5C" w:rsidRPr="00872293">
        <w:rPr>
          <w:rFonts w:ascii="Times New Roman" w:hAnsi="Times New Roman" w:cs="Times New Roman"/>
          <w:sz w:val="24"/>
          <w:szCs w:val="24"/>
        </w:rPr>
        <w:t xml:space="preserve"> </w:t>
      </w:r>
      <w:r w:rsidRPr="00872293">
        <w:rPr>
          <w:rFonts w:ascii="Times New Roman" w:hAnsi="Times New Roman" w:cs="Times New Roman"/>
          <w:sz w:val="24"/>
          <w:szCs w:val="24"/>
        </w:rPr>
        <w:t xml:space="preserve">predictions of </w:t>
      </w:r>
      <w:r w:rsidR="00DB1B16" w:rsidRPr="00872293">
        <w:rPr>
          <w:rFonts w:ascii="Times New Roman" w:hAnsi="Times New Roman" w:cs="Times New Roman"/>
          <w:sz w:val="24"/>
          <w:szCs w:val="24"/>
        </w:rPr>
        <w:t xml:space="preserve">ecosystem responses to </w:t>
      </w:r>
      <w:r w:rsidRPr="00872293">
        <w:rPr>
          <w:rFonts w:ascii="Times New Roman" w:hAnsi="Times New Roman" w:cs="Times New Roman"/>
          <w:sz w:val="24"/>
          <w:szCs w:val="24"/>
        </w:rPr>
        <w:t xml:space="preserve">climate change. However, studies </w:t>
      </w:r>
      <w:r w:rsidR="000E42F5" w:rsidRPr="00872293">
        <w:rPr>
          <w:rFonts w:ascii="Times New Roman" w:hAnsi="Times New Roman" w:cs="Times New Roman"/>
          <w:sz w:val="24"/>
          <w:szCs w:val="24"/>
        </w:rPr>
        <w:t>focusing on</w:t>
      </w:r>
      <w:r w:rsidRPr="00872293">
        <w:rPr>
          <w:rFonts w:ascii="Times New Roman" w:hAnsi="Times New Roman" w:cs="Times New Roman"/>
          <w:sz w:val="24"/>
          <w:szCs w:val="24"/>
        </w:rPr>
        <w:t xml:space="preserve"> underground p</w:t>
      </w:r>
      <w:r w:rsidR="000E42F5" w:rsidRPr="00872293">
        <w:rPr>
          <w:rFonts w:ascii="Times New Roman" w:hAnsi="Times New Roman" w:cs="Times New Roman"/>
          <w:sz w:val="24"/>
          <w:szCs w:val="24"/>
        </w:rPr>
        <w:t>lant</w:t>
      </w:r>
      <w:r w:rsidRPr="00872293">
        <w:rPr>
          <w:rFonts w:ascii="Times New Roman" w:hAnsi="Times New Roman" w:cs="Times New Roman"/>
          <w:sz w:val="24"/>
          <w:szCs w:val="24"/>
        </w:rPr>
        <w:t xml:space="preserve"> components are much less frequent than </w:t>
      </w:r>
      <w:r w:rsidR="00E26E80" w:rsidRPr="00872293">
        <w:rPr>
          <w:rFonts w:ascii="Times New Roman" w:hAnsi="Times New Roman" w:cs="Times New Roman"/>
          <w:sz w:val="24"/>
          <w:szCs w:val="24"/>
        </w:rPr>
        <w:t xml:space="preserve">those on </w:t>
      </w:r>
      <w:r w:rsidR="000E42F5" w:rsidRPr="00872293">
        <w:rPr>
          <w:rFonts w:ascii="Times New Roman" w:hAnsi="Times New Roman" w:cs="Times New Roman"/>
          <w:sz w:val="24"/>
          <w:szCs w:val="24"/>
        </w:rPr>
        <w:t xml:space="preserve">aboveground </w:t>
      </w:r>
      <w:r w:rsidR="00E26E80" w:rsidRPr="00872293">
        <w:rPr>
          <w:rFonts w:ascii="Times New Roman" w:hAnsi="Times New Roman" w:cs="Times New Roman"/>
          <w:sz w:val="24"/>
          <w:szCs w:val="24"/>
        </w:rPr>
        <w:t>structure</w:t>
      </w:r>
      <w:r w:rsidRPr="00872293">
        <w:rPr>
          <w:rFonts w:ascii="Times New Roman" w:hAnsi="Times New Roman" w:cs="Times New Roman"/>
          <w:sz w:val="24"/>
          <w:szCs w:val="24"/>
        </w:rPr>
        <w:t xml:space="preserve">. This is more marked in the tropics, where </w:t>
      </w:r>
      <w:r w:rsidR="008E663C" w:rsidRPr="00872293">
        <w:rPr>
          <w:rFonts w:ascii="Times New Roman" w:hAnsi="Times New Roman" w:cs="Times New Roman"/>
          <w:sz w:val="24"/>
          <w:szCs w:val="24"/>
        </w:rPr>
        <w:t xml:space="preserve">one </w:t>
      </w:r>
      <w:r w:rsidR="00D85E36" w:rsidRPr="00872293">
        <w:rPr>
          <w:rFonts w:ascii="Times New Roman" w:hAnsi="Times New Roman" w:cs="Times New Roman"/>
          <w:sz w:val="24"/>
          <w:szCs w:val="24"/>
        </w:rPr>
        <w:t>third of</w:t>
      </w:r>
      <w:r w:rsidRPr="00872293">
        <w:rPr>
          <w:rFonts w:ascii="Times New Roman" w:hAnsi="Times New Roman" w:cs="Times New Roman"/>
          <w:sz w:val="24"/>
          <w:szCs w:val="24"/>
        </w:rPr>
        <w:t xml:space="preserve"> the planet's </w:t>
      </w:r>
      <w:r w:rsidR="005D29AC" w:rsidRPr="00872293">
        <w:rPr>
          <w:rFonts w:ascii="Times New Roman" w:hAnsi="Times New Roman" w:cs="Times New Roman"/>
          <w:sz w:val="24"/>
          <w:szCs w:val="24"/>
        </w:rPr>
        <w:t xml:space="preserve">terrestrial </w:t>
      </w:r>
      <w:r w:rsidRPr="00872293">
        <w:rPr>
          <w:rFonts w:ascii="Times New Roman" w:hAnsi="Times New Roman" w:cs="Times New Roman"/>
          <w:sz w:val="24"/>
          <w:szCs w:val="24"/>
        </w:rPr>
        <w:t xml:space="preserve">NPP is produced. </w:t>
      </w:r>
      <w:r w:rsidR="000E42F5" w:rsidRPr="00872293">
        <w:rPr>
          <w:rFonts w:ascii="Times New Roman" w:hAnsi="Times New Roman" w:cs="Times New Roman"/>
          <w:sz w:val="24"/>
          <w:szCs w:val="24"/>
        </w:rPr>
        <w:t xml:space="preserve">Some </w:t>
      </w:r>
      <w:r w:rsidR="00DB1B16" w:rsidRPr="00872293">
        <w:rPr>
          <w:rFonts w:ascii="Times New Roman" w:hAnsi="Times New Roman" w:cs="Times New Roman"/>
          <w:sz w:val="24"/>
          <w:szCs w:val="24"/>
        </w:rPr>
        <w:t xml:space="preserve">tropical </w:t>
      </w:r>
      <w:r w:rsidRPr="00872293">
        <w:rPr>
          <w:rFonts w:ascii="Times New Roman" w:hAnsi="Times New Roman" w:cs="Times New Roman"/>
          <w:sz w:val="24"/>
          <w:szCs w:val="24"/>
        </w:rPr>
        <w:t xml:space="preserve">forests have been more represented </w:t>
      </w:r>
      <w:r w:rsidR="003D7089" w:rsidRPr="00872293">
        <w:rPr>
          <w:rFonts w:ascii="Times New Roman" w:hAnsi="Times New Roman" w:cs="Times New Roman"/>
          <w:sz w:val="24"/>
          <w:szCs w:val="24"/>
        </w:rPr>
        <w:t xml:space="preserve">in the literature </w:t>
      </w:r>
      <w:r w:rsidRPr="00872293">
        <w:rPr>
          <w:rFonts w:ascii="Times New Roman" w:hAnsi="Times New Roman" w:cs="Times New Roman"/>
          <w:sz w:val="24"/>
          <w:szCs w:val="24"/>
        </w:rPr>
        <w:t>than others, as demonstrated in the collective studies in Puerto Rico. This Caribbean island’s biodiversity, frequency of natural disturbances, eas</w:t>
      </w:r>
      <w:r w:rsidR="00D42579" w:rsidRPr="00872293">
        <w:rPr>
          <w:rFonts w:ascii="Times New Roman" w:hAnsi="Times New Roman" w:cs="Times New Roman"/>
          <w:sz w:val="24"/>
          <w:szCs w:val="24"/>
        </w:rPr>
        <w:t xml:space="preserve">e of access </w:t>
      </w:r>
      <w:r w:rsidRPr="00872293">
        <w:rPr>
          <w:rFonts w:ascii="Times New Roman" w:hAnsi="Times New Roman" w:cs="Times New Roman"/>
          <w:sz w:val="24"/>
          <w:szCs w:val="24"/>
        </w:rPr>
        <w:t xml:space="preserve">to forests, and long-term plots have created an ideal </w:t>
      </w:r>
      <w:r w:rsidR="00375E49" w:rsidRPr="00872293">
        <w:rPr>
          <w:rFonts w:ascii="Times New Roman" w:hAnsi="Times New Roman" w:cs="Times New Roman"/>
          <w:sz w:val="24"/>
          <w:szCs w:val="24"/>
        </w:rPr>
        <w:t>place</w:t>
      </w:r>
      <w:r w:rsidRPr="00872293">
        <w:rPr>
          <w:rFonts w:ascii="Times New Roman" w:hAnsi="Times New Roman" w:cs="Times New Roman"/>
          <w:sz w:val="24"/>
          <w:szCs w:val="24"/>
        </w:rPr>
        <w:t xml:space="preserve"> for the study of </w:t>
      </w:r>
      <w:r w:rsidR="00E26E80" w:rsidRPr="00872293">
        <w:rPr>
          <w:rFonts w:ascii="Times New Roman" w:hAnsi="Times New Roman" w:cs="Times New Roman"/>
          <w:sz w:val="24"/>
          <w:szCs w:val="24"/>
        </w:rPr>
        <w:t xml:space="preserve">tropical </w:t>
      </w:r>
      <w:r w:rsidRPr="00872293">
        <w:rPr>
          <w:rFonts w:ascii="Times New Roman" w:hAnsi="Times New Roman" w:cs="Times New Roman"/>
          <w:sz w:val="24"/>
          <w:szCs w:val="24"/>
        </w:rPr>
        <w:t>ecological processes. Th</w:t>
      </w:r>
      <w:r w:rsidR="00E26E80" w:rsidRPr="00872293">
        <w:rPr>
          <w:rFonts w:ascii="Times New Roman" w:hAnsi="Times New Roman" w:cs="Times New Roman"/>
          <w:sz w:val="24"/>
          <w:szCs w:val="24"/>
        </w:rPr>
        <w:t xml:space="preserve">is </w:t>
      </w:r>
      <w:r w:rsidRPr="00872293">
        <w:rPr>
          <w:rFonts w:ascii="Times New Roman" w:hAnsi="Times New Roman" w:cs="Times New Roman"/>
          <w:sz w:val="24"/>
          <w:szCs w:val="24"/>
        </w:rPr>
        <w:t xml:space="preserve">literature review emphasizes </w:t>
      </w:r>
      <w:r w:rsidR="003004B2" w:rsidRPr="00872293">
        <w:rPr>
          <w:rFonts w:ascii="Times New Roman" w:hAnsi="Times New Roman" w:cs="Times New Roman"/>
          <w:sz w:val="24"/>
          <w:szCs w:val="24"/>
        </w:rPr>
        <w:t xml:space="preserve">50 years </w:t>
      </w:r>
      <w:r w:rsidR="002C51E5" w:rsidRPr="00872293">
        <w:rPr>
          <w:rFonts w:ascii="Times New Roman" w:hAnsi="Times New Roman" w:cs="Times New Roman"/>
          <w:sz w:val="24"/>
          <w:szCs w:val="24"/>
        </w:rPr>
        <w:t xml:space="preserve">of root research </w:t>
      </w:r>
      <w:r w:rsidRPr="00872293">
        <w:rPr>
          <w:rFonts w:ascii="Times New Roman" w:hAnsi="Times New Roman" w:cs="Times New Roman"/>
          <w:sz w:val="24"/>
          <w:szCs w:val="24"/>
        </w:rPr>
        <w:t xml:space="preserve">and patterns </w:t>
      </w:r>
      <w:r w:rsidR="003004B2" w:rsidRPr="00872293">
        <w:rPr>
          <w:rFonts w:ascii="Times New Roman" w:hAnsi="Times New Roman" w:cs="Times New Roman"/>
          <w:sz w:val="24"/>
          <w:szCs w:val="24"/>
        </w:rPr>
        <w:t xml:space="preserve">revealed </w:t>
      </w:r>
      <w:r w:rsidRPr="00872293">
        <w:rPr>
          <w:rFonts w:ascii="Times New Roman" w:hAnsi="Times New Roman" w:cs="Times New Roman"/>
          <w:sz w:val="24"/>
          <w:szCs w:val="24"/>
        </w:rPr>
        <w:t xml:space="preserve">around </w:t>
      </w:r>
      <w:r w:rsidR="00593541" w:rsidRPr="00872293">
        <w:rPr>
          <w:rFonts w:ascii="Times New Roman" w:hAnsi="Times New Roman" w:cs="Times New Roman"/>
          <w:sz w:val="24"/>
          <w:szCs w:val="24"/>
        </w:rPr>
        <w:t>Puerto Rico</w:t>
      </w:r>
      <w:r w:rsidR="003004B2" w:rsidRPr="00872293">
        <w:rPr>
          <w:rFonts w:ascii="Times New Roman" w:hAnsi="Times New Roman" w:cs="Times New Roman"/>
          <w:sz w:val="24"/>
          <w:szCs w:val="24"/>
        </w:rPr>
        <w:t xml:space="preserve">. </w:t>
      </w:r>
      <w:r w:rsidR="00E2560B" w:rsidRPr="00872293">
        <w:rPr>
          <w:rFonts w:ascii="Times New Roman" w:hAnsi="Times New Roman" w:cs="Times New Roman"/>
          <w:sz w:val="24"/>
          <w:szCs w:val="24"/>
        </w:rPr>
        <w:t xml:space="preserve">The data in this review </w:t>
      </w:r>
      <w:r w:rsidR="00DB1B16" w:rsidRPr="00872293">
        <w:rPr>
          <w:rFonts w:ascii="Times New Roman" w:hAnsi="Times New Roman" w:cs="Times New Roman"/>
          <w:sz w:val="24"/>
          <w:szCs w:val="24"/>
        </w:rPr>
        <w:t xml:space="preserve">were </w:t>
      </w:r>
      <w:r w:rsidRPr="00872293">
        <w:rPr>
          <w:rFonts w:ascii="Times New Roman" w:hAnsi="Times New Roman" w:cs="Times New Roman"/>
          <w:sz w:val="24"/>
          <w:szCs w:val="24"/>
        </w:rPr>
        <w:t xml:space="preserve">compiled from </w:t>
      </w:r>
      <w:r w:rsidR="00E2560B" w:rsidRPr="00872293">
        <w:rPr>
          <w:rFonts w:ascii="Times New Roman" w:hAnsi="Times New Roman" w:cs="Times New Roman"/>
          <w:sz w:val="24"/>
          <w:szCs w:val="24"/>
        </w:rPr>
        <w:t xml:space="preserve">scientific publications, conference reports, symposiums, and </w:t>
      </w:r>
      <w:r w:rsidRPr="00872293">
        <w:rPr>
          <w:rFonts w:ascii="Times New Roman" w:hAnsi="Times New Roman" w:cs="Times New Roman"/>
          <w:sz w:val="24"/>
          <w:szCs w:val="24"/>
        </w:rPr>
        <w:t>raw</w:t>
      </w:r>
      <w:r w:rsidR="002775E4" w:rsidRPr="00872293">
        <w:rPr>
          <w:rFonts w:ascii="Times New Roman" w:hAnsi="Times New Roman" w:cs="Times New Roman"/>
          <w:sz w:val="24"/>
          <w:szCs w:val="24"/>
        </w:rPr>
        <w:t xml:space="preserve"> </w:t>
      </w:r>
      <w:r w:rsidRPr="00872293">
        <w:rPr>
          <w:rFonts w:ascii="Times New Roman" w:hAnsi="Times New Roman" w:cs="Times New Roman"/>
          <w:sz w:val="24"/>
          <w:szCs w:val="24"/>
        </w:rPr>
        <w:t xml:space="preserve">data shared by some </w:t>
      </w:r>
      <w:r w:rsidR="0003623F" w:rsidRPr="00872293">
        <w:rPr>
          <w:rFonts w:ascii="Times New Roman" w:hAnsi="Times New Roman" w:cs="Times New Roman"/>
          <w:sz w:val="24"/>
          <w:szCs w:val="24"/>
        </w:rPr>
        <w:t>researche</w:t>
      </w:r>
      <w:r w:rsidR="009C2398" w:rsidRPr="00872293">
        <w:rPr>
          <w:rFonts w:ascii="Times New Roman" w:hAnsi="Times New Roman" w:cs="Times New Roman"/>
          <w:sz w:val="24"/>
          <w:szCs w:val="24"/>
        </w:rPr>
        <w:t>r</w:t>
      </w:r>
      <w:r w:rsidR="0003623F" w:rsidRPr="00872293">
        <w:rPr>
          <w:rFonts w:ascii="Times New Roman" w:hAnsi="Times New Roman" w:cs="Times New Roman"/>
          <w:sz w:val="24"/>
          <w:szCs w:val="24"/>
        </w:rPr>
        <w:t>s</w:t>
      </w:r>
      <w:r w:rsidRPr="00872293">
        <w:rPr>
          <w:rFonts w:ascii="Times New Roman" w:hAnsi="Times New Roman" w:cs="Times New Roman"/>
          <w:sz w:val="24"/>
          <w:szCs w:val="24"/>
        </w:rPr>
        <w:t>. Emergent patterns include the shallow distribution of fine roots</w:t>
      </w:r>
      <w:r w:rsidR="007C378E" w:rsidRPr="00872293">
        <w:rPr>
          <w:rFonts w:ascii="Times New Roman" w:hAnsi="Times New Roman" w:cs="Times New Roman"/>
          <w:sz w:val="24"/>
          <w:szCs w:val="24"/>
        </w:rPr>
        <w:t>,</w:t>
      </w:r>
      <w:r w:rsidR="00DB1B16" w:rsidRPr="00872293">
        <w:rPr>
          <w:rFonts w:ascii="Times New Roman" w:hAnsi="Times New Roman" w:cs="Times New Roman"/>
          <w:sz w:val="24"/>
          <w:szCs w:val="24"/>
        </w:rPr>
        <w:t xml:space="preserve"> </w:t>
      </w:r>
      <w:r w:rsidRPr="00872293">
        <w:rPr>
          <w:rFonts w:ascii="Times New Roman" w:hAnsi="Times New Roman" w:cs="Times New Roman"/>
          <w:sz w:val="24"/>
          <w:szCs w:val="24"/>
        </w:rPr>
        <w:t>the great variation in root biomass</w:t>
      </w:r>
      <w:r w:rsidR="007F6C8F" w:rsidRPr="00872293">
        <w:rPr>
          <w:rFonts w:ascii="Times New Roman" w:hAnsi="Times New Roman" w:cs="Times New Roman"/>
          <w:sz w:val="24"/>
          <w:szCs w:val="24"/>
        </w:rPr>
        <w:t xml:space="preserve"> </w:t>
      </w:r>
      <w:r w:rsidR="00E26E80" w:rsidRPr="00872293">
        <w:rPr>
          <w:rFonts w:ascii="Times New Roman" w:hAnsi="Times New Roman" w:cs="Times New Roman"/>
          <w:sz w:val="24"/>
          <w:szCs w:val="24"/>
        </w:rPr>
        <w:t>among</w:t>
      </w:r>
      <w:r w:rsidR="007F6C8F" w:rsidRPr="00872293">
        <w:rPr>
          <w:rFonts w:ascii="Times New Roman" w:hAnsi="Times New Roman" w:cs="Times New Roman"/>
          <w:sz w:val="24"/>
          <w:szCs w:val="24"/>
        </w:rPr>
        <w:t xml:space="preserve"> different forest types</w:t>
      </w:r>
      <w:r w:rsidR="007C378E" w:rsidRPr="00872293">
        <w:rPr>
          <w:rFonts w:ascii="Times New Roman" w:hAnsi="Times New Roman" w:cs="Times New Roman"/>
          <w:sz w:val="24"/>
          <w:szCs w:val="24"/>
        </w:rPr>
        <w:t>,</w:t>
      </w:r>
      <w:r w:rsidR="00470F8F" w:rsidRPr="00872293">
        <w:rPr>
          <w:rFonts w:ascii="Times New Roman" w:hAnsi="Times New Roman" w:cs="Times New Roman"/>
          <w:sz w:val="24"/>
          <w:szCs w:val="24"/>
        </w:rPr>
        <w:t xml:space="preserve"> </w:t>
      </w:r>
      <w:r w:rsidRPr="00872293">
        <w:rPr>
          <w:rFonts w:ascii="Times New Roman" w:hAnsi="Times New Roman" w:cs="Times New Roman"/>
          <w:sz w:val="24"/>
          <w:szCs w:val="24"/>
        </w:rPr>
        <w:t xml:space="preserve">little variation in </w:t>
      </w:r>
      <w:r w:rsidR="00470F8F" w:rsidRPr="00872293">
        <w:rPr>
          <w:rFonts w:ascii="Times New Roman" w:hAnsi="Times New Roman" w:cs="Times New Roman"/>
          <w:sz w:val="24"/>
          <w:szCs w:val="24"/>
        </w:rPr>
        <w:t xml:space="preserve">root </w:t>
      </w:r>
      <w:r w:rsidRPr="00872293">
        <w:rPr>
          <w:rFonts w:ascii="Times New Roman" w:hAnsi="Times New Roman" w:cs="Times New Roman"/>
          <w:sz w:val="24"/>
          <w:szCs w:val="24"/>
        </w:rPr>
        <w:t>phosphorus concentrations</w:t>
      </w:r>
      <w:r w:rsidR="007C378E" w:rsidRPr="00872293">
        <w:rPr>
          <w:rFonts w:ascii="Times New Roman" w:hAnsi="Times New Roman" w:cs="Times New Roman"/>
          <w:sz w:val="24"/>
          <w:szCs w:val="24"/>
        </w:rPr>
        <w:t>,</w:t>
      </w:r>
      <w:r w:rsidR="007F6C8F" w:rsidRPr="00872293">
        <w:rPr>
          <w:rFonts w:ascii="Times New Roman" w:hAnsi="Times New Roman" w:cs="Times New Roman"/>
          <w:sz w:val="24"/>
          <w:szCs w:val="24"/>
        </w:rPr>
        <w:t xml:space="preserve"> </w:t>
      </w:r>
      <w:r w:rsidRPr="00872293">
        <w:rPr>
          <w:rFonts w:ascii="Times New Roman" w:hAnsi="Times New Roman" w:cs="Times New Roman"/>
          <w:sz w:val="24"/>
          <w:szCs w:val="24"/>
        </w:rPr>
        <w:t xml:space="preserve">the slow recovery of root biomass after </w:t>
      </w:r>
      <w:r w:rsidR="00E21808" w:rsidRPr="00872293">
        <w:rPr>
          <w:rFonts w:ascii="Times New Roman" w:hAnsi="Times New Roman" w:cs="Times New Roman"/>
          <w:sz w:val="24"/>
          <w:szCs w:val="24"/>
        </w:rPr>
        <w:t xml:space="preserve">Hurricane </w:t>
      </w:r>
      <w:r w:rsidR="0036665B" w:rsidRPr="00872293">
        <w:rPr>
          <w:rFonts w:ascii="Times New Roman" w:hAnsi="Times New Roman" w:cs="Times New Roman"/>
          <w:sz w:val="24"/>
          <w:szCs w:val="24"/>
        </w:rPr>
        <w:t>Hugo</w:t>
      </w:r>
      <w:r w:rsidRPr="00872293">
        <w:rPr>
          <w:rFonts w:ascii="Times New Roman" w:hAnsi="Times New Roman" w:cs="Times New Roman"/>
          <w:sz w:val="24"/>
          <w:szCs w:val="24"/>
        </w:rPr>
        <w:t xml:space="preserve">, </w:t>
      </w:r>
      <w:r w:rsidR="00E101E8" w:rsidRPr="00872293">
        <w:rPr>
          <w:rFonts w:ascii="Times New Roman" w:hAnsi="Times New Roman" w:cs="Times New Roman"/>
          <w:sz w:val="24"/>
          <w:szCs w:val="24"/>
          <w:shd w:val="clear" w:color="auto" w:fill="FFFFFF"/>
        </w:rPr>
        <w:t>and the fact that most data on roots come from the wet tropical Luquillo Experimental Forest, causing other habitat types to be under-represented</w:t>
      </w:r>
      <w:r w:rsidRPr="00872293">
        <w:rPr>
          <w:rFonts w:ascii="Times New Roman" w:hAnsi="Times New Roman" w:cs="Times New Roman"/>
          <w:sz w:val="24"/>
          <w:szCs w:val="24"/>
        </w:rPr>
        <w:t>. This review also shows the gaps in knowledge</w:t>
      </w:r>
      <w:r w:rsidR="00853D3D" w:rsidRPr="00872293">
        <w:rPr>
          <w:rFonts w:ascii="Times New Roman" w:hAnsi="Times New Roman" w:cs="Times New Roman"/>
          <w:sz w:val="24"/>
          <w:szCs w:val="24"/>
        </w:rPr>
        <w:t xml:space="preserve"> </w:t>
      </w:r>
      <w:r w:rsidR="00E21808" w:rsidRPr="00872293">
        <w:rPr>
          <w:rFonts w:ascii="Times New Roman" w:hAnsi="Times New Roman" w:cs="Times New Roman"/>
          <w:sz w:val="24"/>
          <w:szCs w:val="24"/>
        </w:rPr>
        <w:t>about fine roots in</w:t>
      </w:r>
      <w:r w:rsidRPr="00872293">
        <w:rPr>
          <w:rFonts w:ascii="Times New Roman" w:hAnsi="Times New Roman" w:cs="Times New Roman"/>
          <w:sz w:val="24"/>
          <w:szCs w:val="24"/>
        </w:rPr>
        <w:t xml:space="preserve"> the island</w:t>
      </w:r>
      <w:r w:rsidR="00853D3D" w:rsidRPr="00872293">
        <w:rPr>
          <w:rFonts w:ascii="Times New Roman" w:hAnsi="Times New Roman" w:cs="Times New Roman"/>
          <w:sz w:val="24"/>
          <w:szCs w:val="24"/>
        </w:rPr>
        <w:t>’</w:t>
      </w:r>
      <w:r w:rsidR="00F47856" w:rsidRPr="00872293">
        <w:rPr>
          <w:rFonts w:ascii="Times New Roman" w:hAnsi="Times New Roman" w:cs="Times New Roman"/>
          <w:sz w:val="24"/>
          <w:szCs w:val="24"/>
        </w:rPr>
        <w:t>s ecosystems</w:t>
      </w:r>
      <w:r w:rsidRPr="00872293">
        <w:rPr>
          <w:rFonts w:ascii="Times New Roman" w:hAnsi="Times New Roman" w:cs="Times New Roman"/>
          <w:sz w:val="24"/>
          <w:szCs w:val="24"/>
        </w:rPr>
        <w:t>, which should be used to promote and guide future studies.</w:t>
      </w:r>
    </w:p>
    <w:p w14:paraId="762D86EB" w14:textId="77777777" w:rsidR="00B307DA" w:rsidRPr="00872293" w:rsidRDefault="00B307DA" w:rsidP="003C456F">
      <w:pPr>
        <w:spacing w:line="360" w:lineRule="auto"/>
        <w:rPr>
          <w:rFonts w:ascii="Times New Roman" w:hAnsi="Times New Roman" w:cs="Times New Roman"/>
        </w:rPr>
      </w:pPr>
    </w:p>
    <w:p w14:paraId="4B9DE56C" w14:textId="77777777" w:rsidR="00A47BC4" w:rsidRPr="00872293" w:rsidRDefault="00A47BC4" w:rsidP="003C456F">
      <w:pPr>
        <w:spacing w:line="360" w:lineRule="auto"/>
        <w:rPr>
          <w:rFonts w:ascii="Times New Roman" w:eastAsia="Times New Roman" w:hAnsi="Times New Roman" w:cs="Times New Roman"/>
          <w:b/>
          <w:bCs/>
          <w:smallCaps/>
        </w:rPr>
      </w:pPr>
      <w:r w:rsidRPr="00872293">
        <w:rPr>
          <w:rFonts w:ascii="Times New Roman" w:eastAsia="Times New Roman" w:hAnsi="Times New Roman" w:cs="Times New Roman"/>
          <w:b/>
          <w:bCs/>
          <w:smallCaps/>
        </w:rPr>
        <w:br w:type="page"/>
      </w:r>
    </w:p>
    <w:p w14:paraId="03774A69" w14:textId="77777777" w:rsidR="00E40FC9" w:rsidRPr="00872293" w:rsidRDefault="00BB0222" w:rsidP="007E18C8">
      <w:pPr>
        <w:pStyle w:val="Heading2"/>
        <w:spacing w:before="0" w:after="0" w:line="360" w:lineRule="auto"/>
        <w:rPr>
          <w:rFonts w:cs="Times New Roman"/>
          <w:szCs w:val="24"/>
        </w:rPr>
      </w:pPr>
      <w:bookmarkStart w:id="9" w:name="_Toc53689053"/>
      <w:r w:rsidRPr="00872293">
        <w:rPr>
          <w:rFonts w:cs="Times New Roman"/>
          <w:szCs w:val="24"/>
        </w:rPr>
        <w:lastRenderedPageBreak/>
        <w:t>I</w:t>
      </w:r>
      <w:r w:rsidR="007F31ED" w:rsidRPr="00872293">
        <w:rPr>
          <w:rFonts w:cs="Times New Roman"/>
          <w:szCs w:val="24"/>
        </w:rPr>
        <w:t>ntroduction</w:t>
      </w:r>
      <w:bookmarkEnd w:id="9"/>
    </w:p>
    <w:p w14:paraId="126E6062" w14:textId="77777777" w:rsidR="00667D64" w:rsidRPr="00872293" w:rsidRDefault="00A17B85" w:rsidP="00993705">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T</w:t>
      </w:r>
      <w:r w:rsidR="00667D64" w:rsidRPr="00872293">
        <w:rPr>
          <w:rFonts w:ascii="Times New Roman" w:eastAsia="Times New Roman" w:hAnsi="Times New Roman" w:cs="Times New Roman"/>
        </w:rPr>
        <w:t>ree</w:t>
      </w:r>
      <w:r w:rsidR="0095523D" w:rsidRPr="00872293">
        <w:rPr>
          <w:rFonts w:ascii="Times New Roman" w:eastAsia="Times New Roman" w:hAnsi="Times New Roman" w:cs="Times New Roman"/>
        </w:rPr>
        <w:t xml:space="preserve"> roots</w:t>
      </w:r>
      <w:r w:rsidR="00667D64" w:rsidRPr="00872293">
        <w:rPr>
          <w:rFonts w:ascii="Times New Roman" w:eastAsia="Times New Roman" w:hAnsi="Times New Roman" w:cs="Times New Roman"/>
        </w:rPr>
        <w:t xml:space="preserve"> </w:t>
      </w:r>
      <w:r w:rsidR="0095523D" w:rsidRPr="00872293">
        <w:rPr>
          <w:rFonts w:ascii="Times New Roman" w:eastAsia="Times New Roman" w:hAnsi="Times New Roman" w:cs="Times New Roman"/>
        </w:rPr>
        <w:t>are</w:t>
      </w:r>
      <w:r w:rsidR="00667D64" w:rsidRPr="00872293">
        <w:rPr>
          <w:rFonts w:ascii="Times New Roman" w:eastAsia="Times New Roman" w:hAnsi="Times New Roman" w:cs="Times New Roman"/>
        </w:rPr>
        <w:t xml:space="preserve"> an important carbon sink in plants </w:t>
      </w:r>
      <w:r w:rsidR="00667D64" w:rsidRPr="00872293">
        <w:rPr>
          <w:rFonts w:ascii="Times New Roman" w:hAnsi="Times New Roman" w:cs="Times New Roman"/>
        </w:rPr>
        <w:t xml:space="preserve">representing </w:t>
      </w:r>
      <w:r w:rsidR="00470F8F" w:rsidRPr="00872293">
        <w:rPr>
          <w:rFonts w:ascii="Times New Roman" w:hAnsi="Times New Roman" w:cs="Times New Roman"/>
        </w:rPr>
        <w:t xml:space="preserve">approximately </w:t>
      </w:r>
      <w:r w:rsidR="00A91881" w:rsidRPr="00872293">
        <w:rPr>
          <w:rFonts w:ascii="Times New Roman" w:hAnsi="Times New Roman" w:cs="Times New Roman"/>
        </w:rPr>
        <w:t>26</w:t>
      </w:r>
      <w:r w:rsidR="008B48D5" w:rsidRPr="00872293">
        <w:rPr>
          <w:rFonts w:ascii="Times New Roman" w:hAnsi="Times New Roman" w:cs="Times New Roman"/>
        </w:rPr>
        <w:t>%</w:t>
      </w:r>
      <w:r w:rsidR="00EB1E0F" w:rsidRPr="00872293">
        <w:rPr>
          <w:rFonts w:ascii="Times New Roman" w:hAnsi="Times New Roman" w:cs="Times New Roman"/>
        </w:rPr>
        <w:t xml:space="preserve"> </w:t>
      </w:r>
      <w:r w:rsidR="00667D64" w:rsidRPr="00872293">
        <w:rPr>
          <w:rFonts w:ascii="Times New Roman" w:hAnsi="Times New Roman" w:cs="Times New Roman"/>
        </w:rPr>
        <w:t>of total plant biomass</w:t>
      </w:r>
      <w:r w:rsidR="00A91881" w:rsidRPr="00872293">
        <w:rPr>
          <w:rFonts w:ascii="Times New Roman" w:hAnsi="Times New Roman" w:cs="Times New Roman"/>
        </w:rPr>
        <w:t xml:space="preserve"> (Cairns </w:t>
      </w:r>
      <w:r w:rsidR="0029482E" w:rsidRPr="00872293">
        <w:rPr>
          <w:rFonts w:ascii="Times New Roman" w:hAnsi="Times New Roman" w:cs="Times New Roman"/>
          <w:i/>
        </w:rPr>
        <w:t>et al.,</w:t>
      </w:r>
      <w:r w:rsidR="0029482E" w:rsidRPr="00872293">
        <w:rPr>
          <w:rFonts w:ascii="Times New Roman" w:hAnsi="Times New Roman" w:cs="Times New Roman"/>
        </w:rPr>
        <w:t xml:space="preserve"> </w:t>
      </w:r>
      <w:r w:rsidR="00A91881" w:rsidRPr="00872293">
        <w:rPr>
          <w:rFonts w:ascii="Times New Roman" w:hAnsi="Times New Roman" w:cs="Times New Roman"/>
        </w:rPr>
        <w:t>1997</w:t>
      </w:r>
      <w:r w:rsidR="0095523D" w:rsidRPr="00872293">
        <w:rPr>
          <w:rFonts w:ascii="Times New Roman" w:hAnsi="Times New Roman" w:cs="Times New Roman"/>
        </w:rPr>
        <w:t xml:space="preserve">; </w:t>
      </w:r>
      <w:proofErr w:type="spellStart"/>
      <w:r w:rsidR="0095523D" w:rsidRPr="00872293">
        <w:rPr>
          <w:rFonts w:ascii="Times New Roman" w:hAnsi="Times New Roman" w:cs="Times New Roman"/>
        </w:rPr>
        <w:t>Malhi</w:t>
      </w:r>
      <w:proofErr w:type="spellEnd"/>
      <w:r w:rsidR="0095523D" w:rsidRPr="00872293">
        <w:rPr>
          <w:rFonts w:ascii="Times New Roman" w:hAnsi="Times New Roman" w:cs="Times New Roman"/>
        </w:rPr>
        <w:t xml:space="preserve">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0095523D" w:rsidRPr="00872293">
        <w:rPr>
          <w:rFonts w:ascii="Times New Roman" w:hAnsi="Times New Roman" w:cs="Times New Roman"/>
        </w:rPr>
        <w:t>2011</w:t>
      </w:r>
      <w:r w:rsidR="00A91881" w:rsidRPr="00872293">
        <w:rPr>
          <w:rFonts w:ascii="Times New Roman" w:hAnsi="Times New Roman" w:cs="Times New Roman"/>
        </w:rPr>
        <w:t>)</w:t>
      </w:r>
      <w:r w:rsidR="00667D64" w:rsidRPr="00872293">
        <w:rPr>
          <w:rFonts w:ascii="Times New Roman" w:hAnsi="Times New Roman" w:cs="Times New Roman"/>
        </w:rPr>
        <w:t xml:space="preserve">. However, </w:t>
      </w:r>
      <w:proofErr w:type="gramStart"/>
      <w:r w:rsidR="00667D64" w:rsidRPr="00872293">
        <w:rPr>
          <w:rFonts w:ascii="Times New Roman" w:hAnsi="Times New Roman" w:cs="Times New Roman"/>
        </w:rPr>
        <w:t>coarse</w:t>
      </w:r>
      <w:proofErr w:type="gramEnd"/>
      <w:r w:rsidR="00667D64" w:rsidRPr="00872293">
        <w:rPr>
          <w:rFonts w:ascii="Times New Roman" w:hAnsi="Times New Roman" w:cs="Times New Roman"/>
        </w:rPr>
        <w:t xml:space="preserve"> and fine roots are the most poorly understood plant components in terrestrial ecology, which is especially true in the tropics (</w:t>
      </w:r>
      <w:proofErr w:type="spellStart"/>
      <w:r w:rsidR="00667D64" w:rsidRPr="00872293">
        <w:rPr>
          <w:rFonts w:ascii="Times New Roman" w:hAnsi="Times New Roman" w:cs="Times New Roman"/>
        </w:rPr>
        <w:t>Pregitzer</w:t>
      </w:r>
      <w:proofErr w:type="spellEnd"/>
      <w:r w:rsidR="00901885" w:rsidRPr="00872293">
        <w:rPr>
          <w:rFonts w:ascii="Times New Roman" w:hAnsi="Times New Roman" w:cs="Times New Roman"/>
        </w:rPr>
        <w:t>,</w:t>
      </w:r>
      <w:r w:rsidR="00667D64" w:rsidRPr="00872293">
        <w:rPr>
          <w:rFonts w:ascii="Times New Roman" w:hAnsi="Times New Roman" w:cs="Times New Roman"/>
        </w:rPr>
        <w:t xml:space="preserve"> 2002; Comas &amp; </w:t>
      </w:r>
      <w:proofErr w:type="spellStart"/>
      <w:r w:rsidR="00667D64" w:rsidRPr="00872293">
        <w:rPr>
          <w:rFonts w:ascii="Times New Roman" w:hAnsi="Times New Roman" w:cs="Times New Roman"/>
        </w:rPr>
        <w:t>Eissenstat</w:t>
      </w:r>
      <w:proofErr w:type="spellEnd"/>
      <w:r w:rsidR="00901885" w:rsidRPr="00872293">
        <w:rPr>
          <w:rFonts w:ascii="Times New Roman" w:hAnsi="Times New Roman" w:cs="Times New Roman"/>
        </w:rPr>
        <w:t>,</w:t>
      </w:r>
      <w:r w:rsidR="00667D64" w:rsidRPr="00872293">
        <w:rPr>
          <w:rFonts w:ascii="Times New Roman" w:hAnsi="Times New Roman" w:cs="Times New Roman"/>
        </w:rPr>
        <w:t xml:space="preserve"> 2009). This is problem</w:t>
      </w:r>
      <w:r w:rsidR="009F3E1B" w:rsidRPr="00872293">
        <w:rPr>
          <w:rFonts w:ascii="Times New Roman" w:hAnsi="Times New Roman" w:cs="Times New Roman"/>
        </w:rPr>
        <w:t>atic</w:t>
      </w:r>
      <w:r w:rsidR="00667D64" w:rsidRPr="00872293">
        <w:rPr>
          <w:rFonts w:ascii="Times New Roman" w:hAnsi="Times New Roman" w:cs="Times New Roman"/>
        </w:rPr>
        <w:t xml:space="preserve"> because tropical forests are among the most productive ecosystems in the world (</w:t>
      </w:r>
      <w:proofErr w:type="spellStart"/>
      <w:r w:rsidR="00D94502" w:rsidRPr="00872293">
        <w:rPr>
          <w:rFonts w:ascii="Times New Roman" w:hAnsi="Times New Roman" w:cs="Times New Roman"/>
        </w:rPr>
        <w:t>Malhi</w:t>
      </w:r>
      <w:proofErr w:type="spellEnd"/>
      <w:r w:rsidR="00D94502" w:rsidRPr="00872293">
        <w:rPr>
          <w:rFonts w:ascii="Times New Roman" w:hAnsi="Times New Roman" w:cs="Times New Roman"/>
        </w:rPr>
        <w:t xml:space="preserve">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00D94502" w:rsidRPr="00872293">
        <w:rPr>
          <w:rFonts w:ascii="Times New Roman" w:hAnsi="Times New Roman" w:cs="Times New Roman"/>
        </w:rPr>
        <w:t>2011</w:t>
      </w:r>
      <w:r w:rsidR="00667D64" w:rsidRPr="00872293">
        <w:rPr>
          <w:rFonts w:ascii="Times New Roman" w:hAnsi="Times New Roman" w:cs="Times New Roman"/>
        </w:rPr>
        <w:t>)</w:t>
      </w:r>
      <w:r w:rsidR="00E21808" w:rsidRPr="00872293">
        <w:rPr>
          <w:rFonts w:ascii="Times New Roman" w:hAnsi="Times New Roman" w:cs="Times New Roman"/>
        </w:rPr>
        <w:t>;</w:t>
      </w:r>
      <w:r w:rsidR="009F3E1B" w:rsidRPr="00872293">
        <w:rPr>
          <w:rFonts w:ascii="Times New Roman" w:hAnsi="Times New Roman" w:cs="Times New Roman"/>
        </w:rPr>
        <w:t xml:space="preserve"> </w:t>
      </w:r>
      <w:r w:rsidR="00DE7C50" w:rsidRPr="00872293">
        <w:rPr>
          <w:rFonts w:ascii="Times New Roman" w:hAnsi="Times New Roman" w:cs="Times New Roman"/>
        </w:rPr>
        <w:t>thus</w:t>
      </w:r>
      <w:r w:rsidR="00E21808" w:rsidRPr="00872293">
        <w:rPr>
          <w:rFonts w:ascii="Times New Roman" w:hAnsi="Times New Roman" w:cs="Times New Roman"/>
        </w:rPr>
        <w:t>,</w:t>
      </w:r>
      <w:r w:rsidR="009F3E1B" w:rsidRPr="00872293">
        <w:rPr>
          <w:rFonts w:ascii="Times New Roman" w:hAnsi="Times New Roman" w:cs="Times New Roman"/>
        </w:rPr>
        <w:t xml:space="preserve"> understanding global carbon cycling requires a thorough understanding of tropical </w:t>
      </w:r>
      <w:r w:rsidR="00A32536" w:rsidRPr="00872293">
        <w:rPr>
          <w:rFonts w:ascii="Times New Roman" w:hAnsi="Times New Roman" w:cs="Times New Roman"/>
        </w:rPr>
        <w:t>forest components.</w:t>
      </w:r>
      <w:r w:rsidR="00667D64" w:rsidRPr="00872293">
        <w:rPr>
          <w:rFonts w:ascii="Times New Roman" w:eastAsia="Times New Roman" w:hAnsi="Times New Roman" w:cs="Times New Roman"/>
        </w:rPr>
        <w:t xml:space="preserve"> </w:t>
      </w:r>
      <w:r w:rsidR="00414AA7" w:rsidRPr="00872293">
        <w:rPr>
          <w:rFonts w:ascii="Times New Roman" w:hAnsi="Times New Roman" w:cs="Times New Roman"/>
        </w:rPr>
        <w:t xml:space="preserve">From the little </w:t>
      </w:r>
      <w:r w:rsidR="00A32536" w:rsidRPr="00872293">
        <w:rPr>
          <w:rFonts w:ascii="Times New Roman" w:hAnsi="Times New Roman" w:cs="Times New Roman"/>
        </w:rPr>
        <w:t xml:space="preserve">available </w:t>
      </w:r>
      <w:r w:rsidR="00414AA7" w:rsidRPr="00872293">
        <w:rPr>
          <w:rFonts w:ascii="Times New Roman" w:hAnsi="Times New Roman" w:cs="Times New Roman"/>
        </w:rPr>
        <w:t xml:space="preserve">data on tropical roots, the forests of Puerto Rico represent a </w:t>
      </w:r>
      <w:r w:rsidR="008F64ED" w:rsidRPr="00872293">
        <w:rPr>
          <w:rFonts w:ascii="Times New Roman" w:hAnsi="Times New Roman" w:cs="Times New Roman"/>
        </w:rPr>
        <w:t xml:space="preserve">disproportionally </w:t>
      </w:r>
      <w:r w:rsidR="00414AA7" w:rsidRPr="00872293">
        <w:rPr>
          <w:rFonts w:ascii="Times New Roman" w:hAnsi="Times New Roman" w:cs="Times New Roman"/>
        </w:rPr>
        <w:t xml:space="preserve">large amount </w:t>
      </w:r>
      <w:r w:rsidR="008F64ED" w:rsidRPr="00872293">
        <w:rPr>
          <w:rFonts w:ascii="Times New Roman" w:hAnsi="Times New Roman" w:cs="Times New Roman"/>
        </w:rPr>
        <w:t>relative</w:t>
      </w:r>
      <w:r w:rsidR="00414AA7" w:rsidRPr="00872293">
        <w:rPr>
          <w:rFonts w:ascii="Times New Roman" w:hAnsi="Times New Roman" w:cs="Times New Roman"/>
        </w:rPr>
        <w:t xml:space="preserve"> to its land cover; however, </w:t>
      </w:r>
      <w:r w:rsidR="00E21808" w:rsidRPr="00872293">
        <w:rPr>
          <w:rFonts w:ascii="Times New Roman" w:hAnsi="Times New Roman" w:cs="Times New Roman"/>
        </w:rPr>
        <w:t xml:space="preserve">many </w:t>
      </w:r>
      <w:r w:rsidR="00414AA7" w:rsidRPr="00872293">
        <w:rPr>
          <w:rFonts w:ascii="Times New Roman" w:hAnsi="Times New Roman" w:cs="Times New Roman"/>
        </w:rPr>
        <w:t xml:space="preserve">of </w:t>
      </w:r>
      <w:r w:rsidR="00E21808" w:rsidRPr="00872293">
        <w:rPr>
          <w:rFonts w:ascii="Times New Roman" w:hAnsi="Times New Roman" w:cs="Times New Roman"/>
        </w:rPr>
        <w:t xml:space="preserve">these </w:t>
      </w:r>
      <w:r w:rsidR="00414AA7" w:rsidRPr="00872293">
        <w:rPr>
          <w:rFonts w:ascii="Times New Roman" w:hAnsi="Times New Roman" w:cs="Times New Roman"/>
        </w:rPr>
        <w:t xml:space="preserve">data </w:t>
      </w:r>
      <w:r w:rsidR="00E21808" w:rsidRPr="00872293">
        <w:rPr>
          <w:rFonts w:ascii="Times New Roman" w:hAnsi="Times New Roman" w:cs="Times New Roman"/>
        </w:rPr>
        <w:t xml:space="preserve">are </w:t>
      </w:r>
      <w:r w:rsidR="00414AA7" w:rsidRPr="00872293">
        <w:rPr>
          <w:rFonts w:ascii="Times New Roman" w:hAnsi="Times New Roman" w:cs="Times New Roman"/>
        </w:rPr>
        <w:t>not readily available</w:t>
      </w:r>
      <w:bookmarkStart w:id="10" w:name="_Hlk18074739"/>
      <w:r w:rsidR="00667D64" w:rsidRPr="00872293">
        <w:rPr>
          <w:rFonts w:ascii="Times New Roman" w:eastAsia="Times New Roman" w:hAnsi="Times New Roman" w:cs="Times New Roman"/>
        </w:rPr>
        <w:t xml:space="preserve">. Here, </w:t>
      </w:r>
      <w:r w:rsidR="008F64ED" w:rsidRPr="00872293">
        <w:rPr>
          <w:rFonts w:ascii="Times New Roman" w:eastAsia="Times New Roman" w:hAnsi="Times New Roman" w:cs="Times New Roman"/>
        </w:rPr>
        <w:t>we</w:t>
      </w:r>
      <w:r w:rsidR="00667D64" w:rsidRPr="00872293">
        <w:rPr>
          <w:rFonts w:ascii="Times New Roman" w:eastAsia="Times New Roman" w:hAnsi="Times New Roman" w:cs="Times New Roman"/>
        </w:rPr>
        <w:t xml:space="preserve"> assemble and summarize information on root systems f</w:t>
      </w:r>
      <w:r w:rsidR="00DE7C50" w:rsidRPr="00872293">
        <w:rPr>
          <w:rFonts w:ascii="Times New Roman" w:eastAsia="Times New Roman" w:hAnsi="Times New Roman" w:cs="Times New Roman"/>
        </w:rPr>
        <w:t>r</w:t>
      </w:r>
      <w:r w:rsidR="00667D64" w:rsidRPr="00872293">
        <w:rPr>
          <w:rFonts w:ascii="Times New Roman" w:eastAsia="Times New Roman" w:hAnsi="Times New Roman" w:cs="Times New Roman"/>
        </w:rPr>
        <w:t>om studies on tropical forests in Puerto Rico</w:t>
      </w:r>
      <w:r w:rsidR="00487DAC" w:rsidRPr="00872293">
        <w:rPr>
          <w:rFonts w:ascii="Times New Roman" w:eastAsia="Times New Roman" w:hAnsi="Times New Roman" w:cs="Times New Roman"/>
        </w:rPr>
        <w:t xml:space="preserve">, including data </w:t>
      </w:r>
      <w:r w:rsidR="00D7041F" w:rsidRPr="00872293">
        <w:rPr>
          <w:rFonts w:ascii="Times New Roman" w:eastAsia="Times New Roman" w:hAnsi="Times New Roman" w:cs="Times New Roman"/>
        </w:rPr>
        <w:t>from Spanish</w:t>
      </w:r>
      <w:r w:rsidR="00487DAC" w:rsidRPr="00872293">
        <w:rPr>
          <w:rFonts w:ascii="Times New Roman" w:eastAsia="Times New Roman" w:hAnsi="Times New Roman" w:cs="Times New Roman"/>
        </w:rPr>
        <w:t xml:space="preserve">-language </w:t>
      </w:r>
      <w:r w:rsidR="00972D9D" w:rsidRPr="00872293">
        <w:rPr>
          <w:rFonts w:ascii="Times New Roman" w:eastAsia="Times New Roman" w:hAnsi="Times New Roman" w:cs="Times New Roman"/>
        </w:rPr>
        <w:t xml:space="preserve">publications </w:t>
      </w:r>
      <w:r w:rsidR="00667D64" w:rsidRPr="00872293">
        <w:rPr>
          <w:rFonts w:ascii="Times New Roman" w:eastAsia="Times New Roman" w:hAnsi="Times New Roman" w:cs="Times New Roman"/>
        </w:rPr>
        <w:t xml:space="preserve">not previously published in English. </w:t>
      </w:r>
      <w:bookmarkEnd w:id="10"/>
      <w:r w:rsidR="008F64ED" w:rsidRPr="00872293">
        <w:rPr>
          <w:rFonts w:ascii="Times New Roman" w:eastAsia="Times New Roman" w:hAnsi="Times New Roman" w:cs="Times New Roman"/>
        </w:rPr>
        <w:t>We</w:t>
      </w:r>
      <w:r w:rsidR="00667D64" w:rsidRPr="00872293">
        <w:rPr>
          <w:rFonts w:ascii="Times New Roman" w:eastAsia="Times New Roman" w:hAnsi="Times New Roman" w:cs="Times New Roman"/>
        </w:rPr>
        <w:t xml:space="preserve"> also discuss types of key research questions that could be addressed with these data. </w:t>
      </w:r>
    </w:p>
    <w:p w14:paraId="2F7458F5" w14:textId="77777777" w:rsidR="0098150C" w:rsidRPr="00872293" w:rsidRDefault="0098150C" w:rsidP="0098150C">
      <w:pPr>
        <w:spacing w:line="360" w:lineRule="auto"/>
        <w:rPr>
          <w:rFonts w:ascii="Times New Roman" w:eastAsia="Times New Roman" w:hAnsi="Times New Roman" w:cs="Times New Roman"/>
        </w:rPr>
      </w:pPr>
    </w:p>
    <w:p w14:paraId="1D85822D" w14:textId="77777777" w:rsidR="00667D64" w:rsidRPr="00872293" w:rsidRDefault="00667D64" w:rsidP="0098150C">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Tree roots are </w:t>
      </w:r>
      <w:r w:rsidR="009C5B3D" w:rsidRPr="00872293">
        <w:rPr>
          <w:rFonts w:ascii="Times New Roman" w:eastAsia="Times New Roman" w:hAnsi="Times New Roman" w:cs="Times New Roman"/>
        </w:rPr>
        <w:t xml:space="preserve">categorized </w:t>
      </w:r>
      <w:r w:rsidRPr="00872293">
        <w:rPr>
          <w:rFonts w:ascii="Times New Roman" w:eastAsia="Times New Roman" w:hAnsi="Times New Roman" w:cs="Times New Roman"/>
        </w:rPr>
        <w:t>traditionally by their diameter. Roots bigger than 2 mm in diameter are called “coarse roots</w:t>
      </w:r>
      <w:proofErr w:type="gramStart"/>
      <w:r w:rsidRPr="00872293">
        <w:rPr>
          <w:rFonts w:ascii="Times New Roman" w:eastAsia="Times New Roman" w:hAnsi="Times New Roman" w:cs="Times New Roman"/>
        </w:rPr>
        <w:t>”, and</w:t>
      </w:r>
      <w:proofErr w:type="gramEnd"/>
      <w:r w:rsidRPr="00872293">
        <w:rPr>
          <w:rFonts w:ascii="Times New Roman" w:eastAsia="Times New Roman" w:hAnsi="Times New Roman" w:cs="Times New Roman"/>
        </w:rPr>
        <w:t xml:space="preserve"> roots smaller than 2 mm in diameter are </w:t>
      </w:r>
      <w:r w:rsidR="00955856" w:rsidRPr="00872293">
        <w:rPr>
          <w:rFonts w:ascii="Times New Roman" w:eastAsia="Times New Roman" w:hAnsi="Times New Roman" w:cs="Times New Roman"/>
        </w:rPr>
        <w:t xml:space="preserve">often </w:t>
      </w:r>
      <w:r w:rsidRPr="00872293">
        <w:rPr>
          <w:rFonts w:ascii="Times New Roman" w:eastAsia="Times New Roman" w:hAnsi="Times New Roman" w:cs="Times New Roman"/>
        </w:rPr>
        <w:t xml:space="preserve">called “fine roots” </w:t>
      </w:r>
      <w:r w:rsidRPr="00872293">
        <w:rPr>
          <w:rFonts w:ascii="Times New Roman" w:eastAsia="Times New Roman" w:hAnsi="Times New Roman" w:cs="Times New Roman"/>
          <w:shd w:val="clear" w:color="auto" w:fill="FFFFFF"/>
        </w:rPr>
        <w:t>(</w:t>
      </w:r>
      <w:r w:rsidRPr="00872293">
        <w:rPr>
          <w:rFonts w:ascii="Times New Roman" w:eastAsia="Times New Roman" w:hAnsi="Times New Roman" w:cs="Times New Roman"/>
        </w:rPr>
        <w:t xml:space="preserve">Vogt </w:t>
      </w:r>
      <w:r w:rsidR="00603FE4" w:rsidRPr="00872293">
        <w:rPr>
          <w:rFonts w:ascii="Times New Roman" w:eastAsia="Times New Roman" w:hAnsi="Times New Roman" w:cs="Times New Roman"/>
        </w:rPr>
        <w:t xml:space="preserve">&amp; </w:t>
      </w:r>
      <w:r w:rsidRPr="00872293">
        <w:rPr>
          <w:rFonts w:ascii="Times New Roman" w:eastAsia="Times New Roman" w:hAnsi="Times New Roman" w:cs="Times New Roman"/>
        </w:rPr>
        <w:t>Persson, 1991</w:t>
      </w:r>
      <w:r w:rsidRPr="00872293">
        <w:rPr>
          <w:rFonts w:ascii="Times New Roman" w:eastAsia="Times New Roman" w:hAnsi="Times New Roman" w:cs="Times New Roman"/>
          <w:shd w:val="clear" w:color="auto" w:fill="FFFFFF"/>
        </w:rPr>
        <w:t xml:space="preserve">). Fine roots can be further divided into adsorptive and transport based </w:t>
      </w:r>
      <w:r w:rsidR="00BB08E2" w:rsidRPr="00872293">
        <w:rPr>
          <w:rFonts w:ascii="Times New Roman" w:eastAsia="Times New Roman" w:hAnsi="Times New Roman" w:cs="Times New Roman"/>
          <w:shd w:val="clear" w:color="auto" w:fill="FFFFFF"/>
        </w:rPr>
        <w:t>o</w:t>
      </w:r>
      <w:r w:rsidRPr="00872293">
        <w:rPr>
          <w:rFonts w:ascii="Times New Roman" w:eastAsia="Times New Roman" w:hAnsi="Times New Roman" w:cs="Times New Roman"/>
          <w:shd w:val="clear" w:color="auto" w:fill="FFFFFF"/>
        </w:rPr>
        <w:t>n their function</w:t>
      </w:r>
      <w:r w:rsidR="00BB08E2" w:rsidRPr="00872293">
        <w:rPr>
          <w:rFonts w:ascii="Times New Roman" w:eastAsia="Times New Roman" w:hAnsi="Times New Roman" w:cs="Times New Roman"/>
          <w:shd w:val="clear" w:color="auto" w:fill="FFFFFF"/>
        </w:rPr>
        <w:t xml:space="preserve"> related to nutrient and water uptake</w:t>
      </w:r>
      <w:r w:rsidRPr="00872293">
        <w:rPr>
          <w:rFonts w:ascii="Times New Roman" w:eastAsia="Times New Roman" w:hAnsi="Times New Roman" w:cs="Times New Roman"/>
          <w:shd w:val="clear" w:color="auto" w:fill="FFFFFF"/>
        </w:rPr>
        <w:t xml:space="preserve"> </w:t>
      </w:r>
      <w:r w:rsidRPr="00872293">
        <w:rPr>
          <w:rFonts w:ascii="Times New Roman" w:eastAsia="Times New Roman" w:hAnsi="Times New Roman" w:cs="Times New Roman"/>
        </w:rPr>
        <w:t>(</w:t>
      </w:r>
      <w:proofErr w:type="spellStart"/>
      <w:r w:rsidRPr="00872293">
        <w:rPr>
          <w:rFonts w:ascii="Times New Roman" w:eastAsia="Times New Roman" w:hAnsi="Times New Roman" w:cs="Times New Roman"/>
        </w:rPr>
        <w:t>Pregitzer</w:t>
      </w:r>
      <w:proofErr w:type="spellEnd"/>
      <w:r w:rsidRPr="00872293">
        <w:rPr>
          <w:rFonts w:ascii="Times New Roman" w:eastAsia="Times New Roman" w:hAnsi="Times New Roman" w:cs="Times New Roman"/>
        </w:rPr>
        <w:t xml:space="preserve">, 2002; Iversen, 2014; </w:t>
      </w:r>
      <w:r w:rsidRPr="00872293">
        <w:rPr>
          <w:rFonts w:ascii="Times New Roman" w:hAnsi="Times New Roman" w:cs="Times New Roman"/>
        </w:rPr>
        <w:t xml:space="preserve">McCormack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hAnsi="Times New Roman" w:cs="Times New Roman"/>
        </w:rPr>
        <w:t>2015</w:t>
      </w:r>
      <w:r w:rsidR="00EF3E6C" w:rsidRPr="00872293">
        <w:rPr>
          <w:rFonts w:ascii="Times New Roman" w:hAnsi="Times New Roman" w:cs="Times New Roman"/>
        </w:rPr>
        <w:t>)</w:t>
      </w:r>
      <w:r w:rsidRPr="00872293">
        <w:rPr>
          <w:rFonts w:ascii="Times New Roman" w:eastAsia="Times New Roman" w:hAnsi="Times New Roman" w:cs="Times New Roman"/>
        </w:rPr>
        <w:t>. Around 50</w:t>
      </w:r>
      <w:r w:rsidR="008B48D5" w:rsidRPr="00872293">
        <w:rPr>
          <w:rFonts w:ascii="Times New Roman" w:eastAsia="Times New Roman" w:hAnsi="Times New Roman" w:cs="Times New Roman"/>
        </w:rPr>
        <w:t xml:space="preserve">% </w:t>
      </w:r>
      <w:r w:rsidRPr="00872293">
        <w:rPr>
          <w:rFonts w:ascii="Times New Roman" w:eastAsia="Times New Roman" w:hAnsi="Times New Roman" w:cs="Times New Roman"/>
        </w:rPr>
        <w:t>of soil respiration and 33</w:t>
      </w:r>
      <w:r w:rsidR="008B48D5" w:rsidRPr="00872293">
        <w:rPr>
          <w:rFonts w:ascii="Times New Roman" w:eastAsia="Times New Roman" w:hAnsi="Times New Roman" w:cs="Times New Roman"/>
        </w:rPr>
        <w:t>%</w:t>
      </w:r>
      <w:r w:rsidRPr="00872293">
        <w:rPr>
          <w:rFonts w:ascii="Times New Roman" w:eastAsia="Times New Roman" w:hAnsi="Times New Roman" w:cs="Times New Roman"/>
        </w:rPr>
        <w:t xml:space="preserve"> of net primary production (NPP) </w:t>
      </w:r>
      <w:r w:rsidR="009C5B3D" w:rsidRPr="00872293">
        <w:rPr>
          <w:rFonts w:ascii="Times New Roman" w:eastAsia="Times New Roman" w:hAnsi="Times New Roman" w:cs="Times New Roman"/>
        </w:rPr>
        <w:t xml:space="preserve">are </w:t>
      </w:r>
      <w:r w:rsidRPr="00872293">
        <w:rPr>
          <w:rFonts w:ascii="Times New Roman" w:eastAsia="Times New Roman" w:hAnsi="Times New Roman" w:cs="Times New Roman"/>
        </w:rPr>
        <w:t xml:space="preserve">attributed to fine roots (Jackson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1996; </w:t>
      </w:r>
      <w:r w:rsidRPr="00872293">
        <w:rPr>
          <w:rFonts w:ascii="Times New Roman" w:eastAsia="Times New Roman" w:hAnsi="Times New Roman" w:cs="Times New Roman"/>
          <w:shd w:val="clear" w:color="auto" w:fill="FFFFFF"/>
        </w:rPr>
        <w:t xml:space="preserve">Hanson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shd w:val="clear" w:color="auto" w:fill="FFFFFF"/>
        </w:rPr>
        <w:t xml:space="preserve">2000; </w:t>
      </w:r>
      <w:r w:rsidRPr="00872293">
        <w:rPr>
          <w:rFonts w:ascii="Times New Roman" w:eastAsia="Times New Roman" w:hAnsi="Times New Roman" w:cs="Times New Roman"/>
        </w:rPr>
        <w:t xml:space="preserve">McCormack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2012; Kong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2014; McCormack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2015; Iversen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2017). </w:t>
      </w:r>
      <w:r w:rsidR="008F64ED" w:rsidRPr="00872293">
        <w:rPr>
          <w:rFonts w:ascii="Times New Roman" w:eastAsia="Times New Roman" w:hAnsi="Times New Roman" w:cs="Times New Roman"/>
        </w:rPr>
        <w:t>Yet, d</w:t>
      </w:r>
      <w:r w:rsidRPr="00872293">
        <w:rPr>
          <w:rFonts w:ascii="Times New Roman" w:eastAsia="Times New Roman" w:hAnsi="Times New Roman" w:cs="Times New Roman"/>
        </w:rPr>
        <w:t>espite their importance in plant survival, and global carbon and water cycl</w:t>
      </w:r>
      <w:r w:rsidR="008F64ED" w:rsidRPr="00872293">
        <w:rPr>
          <w:rFonts w:ascii="Times New Roman" w:eastAsia="Times New Roman" w:hAnsi="Times New Roman" w:cs="Times New Roman"/>
        </w:rPr>
        <w:t>ing</w:t>
      </w:r>
      <w:r w:rsidRPr="00872293">
        <w:rPr>
          <w:rFonts w:ascii="Times New Roman" w:eastAsia="Times New Roman" w:hAnsi="Times New Roman" w:cs="Times New Roman"/>
        </w:rPr>
        <w:t xml:space="preserve">, fine roots are </w:t>
      </w:r>
      <w:r w:rsidR="009C5B3D" w:rsidRPr="00872293">
        <w:rPr>
          <w:rFonts w:ascii="Times New Roman" w:eastAsia="Times New Roman" w:hAnsi="Times New Roman" w:cs="Times New Roman"/>
        </w:rPr>
        <w:t xml:space="preserve">poorly represented </w:t>
      </w:r>
      <w:r w:rsidRPr="00872293">
        <w:rPr>
          <w:rFonts w:ascii="Times New Roman" w:eastAsia="Times New Roman" w:hAnsi="Times New Roman" w:cs="Times New Roman"/>
        </w:rPr>
        <w:t>in database</w:t>
      </w:r>
      <w:r w:rsidR="0004031B" w:rsidRPr="00872293">
        <w:rPr>
          <w:rFonts w:ascii="Times New Roman" w:eastAsia="Times New Roman" w:hAnsi="Times New Roman" w:cs="Times New Roman"/>
        </w:rPr>
        <w:t>s</w:t>
      </w:r>
      <w:r w:rsidRPr="00872293">
        <w:rPr>
          <w:rFonts w:ascii="Times New Roman" w:eastAsia="Times New Roman" w:hAnsi="Times New Roman" w:cs="Times New Roman"/>
        </w:rPr>
        <w:t xml:space="preserve"> and Earth System Models</w:t>
      </w:r>
      <w:r w:rsidR="003E7A3D" w:rsidRPr="00872293">
        <w:rPr>
          <w:rFonts w:ascii="Times New Roman" w:eastAsia="Times New Roman" w:hAnsi="Times New Roman" w:cs="Times New Roman"/>
        </w:rPr>
        <w:t xml:space="preserve"> (ESM</w:t>
      </w:r>
      <w:r w:rsidR="00F86FE0" w:rsidRPr="00872293">
        <w:rPr>
          <w:rFonts w:ascii="Times New Roman" w:eastAsia="Times New Roman" w:hAnsi="Times New Roman" w:cs="Times New Roman"/>
        </w:rPr>
        <w:t>;</w:t>
      </w:r>
      <w:r w:rsidR="00661C14" w:rsidRPr="00872293">
        <w:rPr>
          <w:rFonts w:ascii="Times New Roman" w:eastAsia="Times New Roman" w:hAnsi="Times New Roman" w:cs="Times New Roman"/>
        </w:rPr>
        <w:t xml:space="preserve"> Warren </w:t>
      </w:r>
      <w:r w:rsidR="0029482E" w:rsidRPr="00872293">
        <w:rPr>
          <w:rFonts w:ascii="Times New Roman" w:hAnsi="Times New Roman" w:cs="Times New Roman"/>
          <w:i/>
          <w:noProof/>
        </w:rPr>
        <w:t>et al.,</w:t>
      </w:r>
      <w:r w:rsidR="0029482E" w:rsidRPr="00872293">
        <w:rPr>
          <w:rFonts w:ascii="Times New Roman" w:eastAsia="Lato-Regular" w:hAnsi="Times New Roman" w:cs="Times New Roman"/>
        </w:rPr>
        <w:t xml:space="preserve"> </w:t>
      </w:r>
      <w:r w:rsidR="00661C14" w:rsidRPr="00872293">
        <w:rPr>
          <w:rFonts w:ascii="Times New Roman" w:eastAsia="Times New Roman" w:hAnsi="Times New Roman" w:cs="Times New Roman"/>
        </w:rPr>
        <w:t>2015</w:t>
      </w:r>
      <w:r w:rsidR="003E7A3D" w:rsidRPr="00872293">
        <w:rPr>
          <w:rFonts w:ascii="Times New Roman" w:eastAsia="Times New Roman" w:hAnsi="Times New Roman" w:cs="Times New Roman"/>
        </w:rPr>
        <w:t>)</w:t>
      </w:r>
      <w:r w:rsidRPr="00872293">
        <w:rPr>
          <w:rFonts w:ascii="Times New Roman" w:eastAsia="Times New Roman" w:hAnsi="Times New Roman" w:cs="Times New Roman"/>
        </w:rPr>
        <w:t xml:space="preserve">. One reason for </w:t>
      </w:r>
      <w:r w:rsidR="0004031B" w:rsidRPr="00872293">
        <w:rPr>
          <w:rFonts w:ascii="Times New Roman" w:eastAsia="Times New Roman" w:hAnsi="Times New Roman" w:cs="Times New Roman"/>
        </w:rPr>
        <w:t>this</w:t>
      </w:r>
      <w:r w:rsidRPr="00872293">
        <w:rPr>
          <w:rFonts w:ascii="Times New Roman" w:eastAsia="Times New Roman" w:hAnsi="Times New Roman" w:cs="Times New Roman"/>
        </w:rPr>
        <w:t xml:space="preserve"> knowledge</w:t>
      </w:r>
      <w:r w:rsidR="0004031B" w:rsidRPr="00872293">
        <w:rPr>
          <w:rFonts w:ascii="Times New Roman" w:eastAsia="Times New Roman" w:hAnsi="Times New Roman" w:cs="Times New Roman"/>
        </w:rPr>
        <w:t xml:space="preserve"> gap is the</w:t>
      </w:r>
      <w:r w:rsidRPr="00872293">
        <w:rPr>
          <w:rFonts w:ascii="Times New Roman" w:eastAsia="Times New Roman" w:hAnsi="Times New Roman" w:cs="Times New Roman"/>
        </w:rPr>
        <w:t xml:space="preserve"> challenges</w:t>
      </w:r>
      <w:r w:rsidR="00AA1D94" w:rsidRPr="00872293">
        <w:rPr>
          <w:rFonts w:ascii="Times New Roman" w:eastAsia="Times New Roman" w:hAnsi="Times New Roman" w:cs="Times New Roman"/>
        </w:rPr>
        <w:t xml:space="preserve"> associated with root </w:t>
      </w:r>
      <w:r w:rsidR="00FF61C5" w:rsidRPr="00872293">
        <w:rPr>
          <w:rFonts w:ascii="Times New Roman" w:eastAsia="Times New Roman" w:hAnsi="Times New Roman" w:cs="Times New Roman"/>
        </w:rPr>
        <w:t>sampling</w:t>
      </w:r>
      <w:r w:rsidRPr="00872293">
        <w:rPr>
          <w:rFonts w:ascii="Times New Roman" w:eastAsia="Times New Roman" w:hAnsi="Times New Roman" w:cs="Times New Roman"/>
        </w:rPr>
        <w:t>, which increase with higher plant diversity and poor infrastructure accessibilit</w:t>
      </w:r>
      <w:r w:rsidR="00FF61C5" w:rsidRPr="00872293">
        <w:rPr>
          <w:rFonts w:ascii="Times New Roman" w:eastAsia="Times New Roman" w:hAnsi="Times New Roman" w:cs="Times New Roman"/>
        </w:rPr>
        <w:t xml:space="preserve">y as is </w:t>
      </w:r>
      <w:r w:rsidRPr="00872293">
        <w:rPr>
          <w:rFonts w:ascii="Times New Roman" w:eastAsia="Times New Roman" w:hAnsi="Times New Roman" w:cs="Times New Roman"/>
        </w:rPr>
        <w:t>often the case when working in the tropics (</w:t>
      </w:r>
      <w:proofErr w:type="spellStart"/>
      <w:r w:rsidRPr="00872293">
        <w:rPr>
          <w:rFonts w:ascii="Times New Roman" w:eastAsia="Times New Roman" w:hAnsi="Times New Roman" w:cs="Times New Roman"/>
        </w:rPr>
        <w:t>Lamanna</w:t>
      </w:r>
      <w:proofErr w:type="spellEnd"/>
      <w:r w:rsidRPr="00872293">
        <w:rPr>
          <w:rFonts w:ascii="Times New Roman" w:eastAsia="Times New Roman" w:hAnsi="Times New Roman" w:cs="Times New Roman"/>
        </w:rPr>
        <w:t xml:space="preserve">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2014; Siefert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2015; Iversen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2017).</w:t>
      </w:r>
    </w:p>
    <w:p w14:paraId="25DFC3A7" w14:textId="77777777" w:rsidR="0098150C" w:rsidRPr="00872293" w:rsidRDefault="0098150C" w:rsidP="003C456F">
      <w:pPr>
        <w:keepNext/>
        <w:spacing w:line="360" w:lineRule="auto"/>
        <w:rPr>
          <w:rFonts w:ascii="Times New Roman" w:eastAsia="Times New Roman" w:hAnsi="Times New Roman" w:cs="Times New Roman"/>
        </w:rPr>
      </w:pPr>
    </w:p>
    <w:p w14:paraId="1461A634" w14:textId="27D16874" w:rsidR="009F037E" w:rsidRPr="00872293" w:rsidRDefault="00D7041F" w:rsidP="00CD08B7">
      <w:pPr>
        <w:keepNext/>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Tropical forests account for around </w:t>
      </w:r>
      <w:r w:rsidR="00AB19E5" w:rsidRPr="00872293">
        <w:rPr>
          <w:rFonts w:ascii="Times New Roman" w:eastAsia="Times New Roman" w:hAnsi="Times New Roman" w:cs="Times New Roman"/>
        </w:rPr>
        <w:t xml:space="preserve">a third of terrestrial NPP (Field </w:t>
      </w:r>
      <w:r w:rsidR="00C66951" w:rsidRPr="00872293">
        <w:rPr>
          <w:rFonts w:ascii="Times New Roman" w:eastAsia="Times New Roman" w:hAnsi="Times New Roman" w:cs="Times New Roman"/>
          <w:i/>
        </w:rPr>
        <w:t>et al.,</w:t>
      </w:r>
      <w:r w:rsidR="00C66951" w:rsidRPr="00872293">
        <w:rPr>
          <w:rFonts w:ascii="Times New Roman" w:eastAsia="Times New Roman" w:hAnsi="Times New Roman" w:cs="Times New Roman"/>
        </w:rPr>
        <w:t xml:space="preserve"> </w:t>
      </w:r>
      <w:r w:rsidR="00AB19E5" w:rsidRPr="00872293">
        <w:rPr>
          <w:rFonts w:ascii="Times New Roman" w:eastAsia="Times New Roman" w:hAnsi="Times New Roman" w:cs="Times New Roman"/>
        </w:rPr>
        <w:t>1998), yet v</w:t>
      </w:r>
      <w:r w:rsidR="00667D64" w:rsidRPr="00872293">
        <w:rPr>
          <w:rFonts w:ascii="Times New Roman" w:eastAsia="Times New Roman" w:hAnsi="Times New Roman" w:cs="Times New Roman"/>
        </w:rPr>
        <w:t xml:space="preserve">ery little is known about </w:t>
      </w:r>
      <w:r w:rsidR="008C2361" w:rsidRPr="00872293">
        <w:rPr>
          <w:rFonts w:ascii="Times New Roman" w:eastAsia="Times New Roman" w:hAnsi="Times New Roman" w:cs="Times New Roman"/>
        </w:rPr>
        <w:t>fine-</w:t>
      </w:r>
      <w:r w:rsidR="00667D64" w:rsidRPr="00872293">
        <w:rPr>
          <w:rFonts w:ascii="Times New Roman" w:eastAsia="Times New Roman" w:hAnsi="Times New Roman" w:cs="Times New Roman"/>
        </w:rPr>
        <w:t xml:space="preserve">root traits </w:t>
      </w:r>
      <w:r w:rsidR="001C6479" w:rsidRPr="00872293">
        <w:rPr>
          <w:rFonts w:ascii="Times New Roman" w:eastAsia="Times New Roman" w:hAnsi="Times New Roman" w:cs="Times New Roman"/>
        </w:rPr>
        <w:t xml:space="preserve">(as defined by </w:t>
      </w:r>
      <w:proofErr w:type="spellStart"/>
      <w:r w:rsidR="001974CC" w:rsidRPr="00872293">
        <w:rPr>
          <w:rFonts w:ascii="Times New Roman" w:eastAsia="Times New Roman" w:hAnsi="Times New Roman" w:cs="Times New Roman"/>
        </w:rPr>
        <w:t>Violle</w:t>
      </w:r>
      <w:proofErr w:type="spellEnd"/>
      <w:r w:rsidR="001974CC" w:rsidRPr="00872293">
        <w:rPr>
          <w:rFonts w:ascii="Times New Roman" w:eastAsia="Times New Roman" w:hAnsi="Times New Roman" w:cs="Times New Roman"/>
        </w:rPr>
        <w:t xml:space="preserve"> </w:t>
      </w:r>
      <w:r w:rsidR="001974CC" w:rsidRPr="00872293">
        <w:rPr>
          <w:rFonts w:ascii="Times New Roman" w:eastAsia="Times New Roman" w:hAnsi="Times New Roman" w:cs="Times New Roman"/>
          <w:i/>
        </w:rPr>
        <w:t>et al.</w:t>
      </w:r>
      <w:r w:rsidR="001C6479" w:rsidRPr="00872293">
        <w:rPr>
          <w:rFonts w:ascii="Times New Roman" w:eastAsia="Times New Roman" w:hAnsi="Times New Roman" w:cs="Times New Roman"/>
        </w:rPr>
        <w:t xml:space="preserve">, </w:t>
      </w:r>
      <w:r w:rsidR="001974CC" w:rsidRPr="00872293">
        <w:rPr>
          <w:rFonts w:ascii="Times New Roman" w:eastAsia="Times New Roman" w:hAnsi="Times New Roman" w:cs="Times New Roman"/>
        </w:rPr>
        <w:t>2007</w:t>
      </w:r>
      <w:r w:rsidR="00DE7C50" w:rsidRPr="00872293">
        <w:rPr>
          <w:rFonts w:ascii="Times New Roman" w:eastAsia="Times New Roman" w:hAnsi="Times New Roman" w:cs="Times New Roman"/>
        </w:rPr>
        <w:t xml:space="preserve">) </w:t>
      </w:r>
      <w:r w:rsidR="00667D64" w:rsidRPr="00872293">
        <w:rPr>
          <w:rFonts w:ascii="Times New Roman" w:eastAsia="Times New Roman" w:hAnsi="Times New Roman" w:cs="Times New Roman"/>
        </w:rPr>
        <w:t xml:space="preserve">in the tropics compared to temperate forests (Iversen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667D64" w:rsidRPr="00872293">
        <w:rPr>
          <w:rFonts w:ascii="Times New Roman" w:eastAsia="Times New Roman" w:hAnsi="Times New Roman" w:cs="Times New Roman"/>
        </w:rPr>
        <w:t xml:space="preserve">2017; </w:t>
      </w:r>
      <w:proofErr w:type="spellStart"/>
      <w:r w:rsidR="00667D64" w:rsidRPr="00872293">
        <w:rPr>
          <w:rFonts w:ascii="Times New Roman" w:eastAsia="Times New Roman" w:hAnsi="Times New Roman" w:cs="Times New Roman"/>
        </w:rPr>
        <w:t>Freschet</w:t>
      </w:r>
      <w:proofErr w:type="spellEnd"/>
      <w:r w:rsidR="00667D64" w:rsidRPr="00872293">
        <w:rPr>
          <w:rFonts w:ascii="Times New Roman" w:eastAsia="Times New Roman" w:hAnsi="Times New Roman" w:cs="Times New Roman"/>
        </w:rPr>
        <w:t xml:space="preserve">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667D64" w:rsidRPr="00872293">
        <w:rPr>
          <w:rFonts w:ascii="Times New Roman" w:eastAsia="Times New Roman" w:hAnsi="Times New Roman" w:cs="Times New Roman"/>
        </w:rPr>
        <w:t xml:space="preserve">2017). </w:t>
      </w:r>
      <w:bookmarkStart w:id="11" w:name="_Hlk21509595"/>
      <w:r w:rsidR="00667D64" w:rsidRPr="00872293">
        <w:rPr>
          <w:rFonts w:ascii="Times New Roman" w:eastAsia="Times New Roman" w:hAnsi="Times New Roman" w:cs="Times New Roman"/>
        </w:rPr>
        <w:t>T</w:t>
      </w:r>
      <w:r w:rsidR="004E68E8" w:rsidRPr="00872293">
        <w:rPr>
          <w:rFonts w:ascii="Times New Roman" w:eastAsia="Times New Roman" w:hAnsi="Times New Roman" w:cs="Times New Roman"/>
        </w:rPr>
        <w:t>r</w:t>
      </w:r>
      <w:r w:rsidR="00667D64" w:rsidRPr="00872293">
        <w:rPr>
          <w:rFonts w:ascii="Times New Roman" w:eastAsia="Times New Roman" w:hAnsi="Times New Roman" w:cs="Times New Roman"/>
        </w:rPr>
        <w:t>opical trees represent a</w:t>
      </w:r>
      <w:r w:rsidR="00CE6C65" w:rsidRPr="00872293">
        <w:rPr>
          <w:rFonts w:ascii="Times New Roman" w:eastAsia="Times New Roman" w:hAnsi="Times New Roman" w:cs="Times New Roman"/>
        </w:rPr>
        <w:t>round 20</w:t>
      </w:r>
      <w:r w:rsidR="008B48D5" w:rsidRPr="00872293">
        <w:rPr>
          <w:rFonts w:ascii="Times New Roman" w:eastAsia="Times New Roman" w:hAnsi="Times New Roman" w:cs="Times New Roman"/>
        </w:rPr>
        <w:t xml:space="preserve">% </w:t>
      </w:r>
      <w:r w:rsidR="00667D64" w:rsidRPr="00872293">
        <w:rPr>
          <w:rFonts w:ascii="Times New Roman" w:eastAsia="Times New Roman" w:hAnsi="Times New Roman" w:cs="Times New Roman"/>
        </w:rPr>
        <w:t xml:space="preserve">of </w:t>
      </w:r>
      <w:r w:rsidR="00181740" w:rsidRPr="00872293">
        <w:rPr>
          <w:rFonts w:ascii="Times New Roman" w:eastAsia="Times New Roman" w:hAnsi="Times New Roman" w:cs="Times New Roman"/>
        </w:rPr>
        <w:t xml:space="preserve">the </w:t>
      </w:r>
      <w:r w:rsidR="00667D64" w:rsidRPr="00872293">
        <w:rPr>
          <w:rFonts w:ascii="Times New Roman" w:eastAsia="Times New Roman" w:hAnsi="Times New Roman" w:cs="Times New Roman"/>
        </w:rPr>
        <w:t xml:space="preserve">data in the Fine-Root Ecology Database (FRED) (Iversen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667D64" w:rsidRPr="00872293">
        <w:rPr>
          <w:rFonts w:ascii="Times New Roman" w:eastAsia="Times New Roman" w:hAnsi="Times New Roman" w:cs="Times New Roman"/>
        </w:rPr>
        <w:t>2017)</w:t>
      </w:r>
      <w:r w:rsidR="00955856" w:rsidRPr="00872293">
        <w:rPr>
          <w:rFonts w:ascii="Times New Roman" w:eastAsia="Times New Roman" w:hAnsi="Times New Roman" w:cs="Times New Roman"/>
        </w:rPr>
        <w:t xml:space="preserve">, from which </w:t>
      </w:r>
      <w:r w:rsidR="00955856" w:rsidRPr="00872293">
        <w:rPr>
          <w:rFonts w:ascii="Times New Roman" w:eastAsia="Times New Roman" w:hAnsi="Times New Roman" w:cs="Times New Roman"/>
        </w:rPr>
        <w:lastRenderedPageBreak/>
        <w:t>4</w:t>
      </w:r>
      <w:r w:rsidR="008B48D5" w:rsidRPr="00872293">
        <w:rPr>
          <w:rFonts w:ascii="Times New Roman" w:eastAsia="Times New Roman" w:hAnsi="Times New Roman" w:cs="Times New Roman"/>
        </w:rPr>
        <w:t>%</w:t>
      </w:r>
      <w:r w:rsidR="00955856" w:rsidRPr="00872293">
        <w:rPr>
          <w:rFonts w:ascii="Times New Roman" w:eastAsia="Times New Roman" w:hAnsi="Times New Roman" w:cs="Times New Roman"/>
        </w:rPr>
        <w:t xml:space="preserve"> is </w:t>
      </w:r>
      <w:r w:rsidR="00FE020A" w:rsidRPr="00872293">
        <w:rPr>
          <w:rFonts w:ascii="Times New Roman" w:eastAsia="Times New Roman" w:hAnsi="Times New Roman" w:cs="Times New Roman"/>
        </w:rPr>
        <w:t xml:space="preserve">from </w:t>
      </w:r>
      <w:r w:rsidR="00667D64" w:rsidRPr="00872293">
        <w:rPr>
          <w:rFonts w:ascii="Times New Roman" w:eastAsia="Times New Roman" w:hAnsi="Times New Roman" w:cs="Times New Roman"/>
        </w:rPr>
        <w:t>Puerto Rico</w:t>
      </w:r>
      <w:r w:rsidR="00877DFE" w:rsidRPr="00872293">
        <w:rPr>
          <w:rFonts w:ascii="Times New Roman" w:hAnsi="Times New Roman" w:cs="Times New Roman"/>
        </w:rPr>
        <w:t xml:space="preserve"> </w:t>
      </w:r>
      <w:r w:rsidR="00667D64" w:rsidRPr="00872293">
        <w:rPr>
          <w:rFonts w:ascii="Times New Roman" w:hAnsi="Times New Roman" w:cs="Times New Roman"/>
        </w:rPr>
        <w:t xml:space="preserve">(Iversen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667D64" w:rsidRPr="00872293">
        <w:rPr>
          <w:rFonts w:ascii="Times New Roman" w:hAnsi="Times New Roman" w:cs="Times New Roman"/>
        </w:rPr>
        <w:t>2017)</w:t>
      </w:r>
      <w:bookmarkStart w:id="12" w:name="_Hlk18144434"/>
      <w:r w:rsidR="00DC1C82" w:rsidRPr="00872293">
        <w:rPr>
          <w:rFonts w:ascii="Times New Roman" w:eastAsia="Times New Roman" w:hAnsi="Times New Roman" w:cs="Times New Roman"/>
          <w:shd w:val="clear" w:color="auto" w:fill="FFFFFF"/>
        </w:rPr>
        <w:t>.</w:t>
      </w:r>
      <w:r w:rsidR="00D5306A" w:rsidRPr="00872293" w:rsidDel="00D5306A">
        <w:rPr>
          <w:rFonts w:ascii="Times New Roman" w:eastAsia="Times New Roman" w:hAnsi="Times New Roman" w:cs="Times New Roman"/>
        </w:rPr>
        <w:t xml:space="preserve"> </w:t>
      </w:r>
      <w:bookmarkEnd w:id="11"/>
      <w:bookmarkEnd w:id="12"/>
      <w:r w:rsidR="007E5C9A" w:rsidRPr="00872293">
        <w:rPr>
          <w:rFonts w:ascii="Times New Roman" w:eastAsia="Times New Roman" w:hAnsi="Times New Roman" w:cs="Times New Roman"/>
        </w:rPr>
        <w:t>In this review, we</w:t>
      </w:r>
      <w:r w:rsidR="00667D64" w:rsidRPr="00872293">
        <w:rPr>
          <w:rFonts w:ascii="Times New Roman" w:eastAsia="Times New Roman" w:hAnsi="Times New Roman" w:cs="Times New Roman"/>
        </w:rPr>
        <w:t xml:space="preserve"> will first discuss the source of root data in relation to the geography and land</w:t>
      </w:r>
      <w:r w:rsidR="00A17B85" w:rsidRPr="00872293">
        <w:rPr>
          <w:rFonts w:ascii="Times New Roman" w:eastAsia="Times New Roman" w:hAnsi="Times New Roman" w:cs="Times New Roman"/>
        </w:rPr>
        <w:t>-</w:t>
      </w:r>
      <w:r w:rsidR="00667D64" w:rsidRPr="00872293">
        <w:rPr>
          <w:rFonts w:ascii="Times New Roman" w:eastAsia="Times New Roman" w:hAnsi="Times New Roman" w:cs="Times New Roman"/>
        </w:rPr>
        <w:t xml:space="preserve">use history of Puerto Rico. </w:t>
      </w:r>
      <w:r w:rsidR="00EA75A2" w:rsidRPr="00872293">
        <w:rPr>
          <w:rFonts w:ascii="Times New Roman" w:eastAsia="Times New Roman" w:hAnsi="Times New Roman" w:cs="Times New Roman"/>
        </w:rPr>
        <w:t>We</w:t>
      </w:r>
      <w:r w:rsidR="00667D64" w:rsidRPr="00872293">
        <w:rPr>
          <w:rFonts w:ascii="Times New Roman" w:eastAsia="Times New Roman" w:hAnsi="Times New Roman" w:cs="Times New Roman"/>
        </w:rPr>
        <w:t xml:space="preserve"> then describe the sources of data from the published literature</w:t>
      </w:r>
      <w:r w:rsidR="00EA75A2" w:rsidRPr="00872293">
        <w:rPr>
          <w:rFonts w:ascii="Times New Roman" w:eastAsia="Times New Roman" w:hAnsi="Times New Roman" w:cs="Times New Roman"/>
        </w:rPr>
        <w:t xml:space="preserve"> and</w:t>
      </w:r>
      <w:r w:rsidR="00667D64" w:rsidRPr="00872293">
        <w:rPr>
          <w:rFonts w:ascii="Times New Roman" w:eastAsia="Times New Roman" w:hAnsi="Times New Roman" w:cs="Times New Roman"/>
        </w:rPr>
        <w:t xml:space="preserve"> present the results of analyses organized by the</w:t>
      </w:r>
      <w:r w:rsidR="00EA75A2" w:rsidRPr="00872293">
        <w:rPr>
          <w:rFonts w:ascii="Times New Roman" w:eastAsia="Times New Roman" w:hAnsi="Times New Roman" w:cs="Times New Roman"/>
        </w:rPr>
        <w:t xml:space="preserve"> root trait </w:t>
      </w:r>
      <w:r w:rsidR="00667D64" w:rsidRPr="00872293">
        <w:rPr>
          <w:rFonts w:ascii="Times New Roman" w:eastAsia="Times New Roman" w:hAnsi="Times New Roman" w:cs="Times New Roman"/>
        </w:rPr>
        <w:t>categor</w:t>
      </w:r>
      <w:r w:rsidR="00EA75A2" w:rsidRPr="00872293">
        <w:rPr>
          <w:rFonts w:ascii="Times New Roman" w:eastAsia="Times New Roman" w:hAnsi="Times New Roman" w:cs="Times New Roman"/>
        </w:rPr>
        <w:t>ies of</w:t>
      </w:r>
      <w:r w:rsidR="00667D64" w:rsidRPr="00872293">
        <w:rPr>
          <w:rFonts w:ascii="Times New Roman" w:eastAsia="Times New Roman" w:hAnsi="Times New Roman" w:cs="Times New Roman"/>
        </w:rPr>
        <w:t xml:space="preserve"> </w:t>
      </w:r>
      <w:r w:rsidR="00EA75A2" w:rsidRPr="00872293">
        <w:rPr>
          <w:rFonts w:ascii="Times New Roman" w:eastAsia="Times New Roman" w:hAnsi="Times New Roman" w:cs="Times New Roman"/>
        </w:rPr>
        <w:t>FRED</w:t>
      </w:r>
      <w:r w:rsidR="00C52FED" w:rsidRPr="00872293">
        <w:rPr>
          <w:rFonts w:ascii="Times New Roman" w:eastAsia="Times New Roman" w:hAnsi="Times New Roman" w:cs="Times New Roman"/>
        </w:rPr>
        <w:t xml:space="preserve"> (</w:t>
      </w:r>
      <w:r w:rsidR="00DE745E" w:rsidRPr="00872293">
        <w:rPr>
          <w:rFonts w:ascii="Times New Roman" w:eastAsia="Times New Roman" w:hAnsi="Times New Roman" w:cs="Times New Roman"/>
        </w:rPr>
        <w:t xml:space="preserve">Iversen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DE745E" w:rsidRPr="00872293">
        <w:rPr>
          <w:rFonts w:ascii="Times New Roman" w:eastAsia="Times New Roman" w:hAnsi="Times New Roman" w:cs="Times New Roman"/>
        </w:rPr>
        <w:t>2017</w:t>
      </w:r>
      <w:r w:rsidR="00C52FED" w:rsidRPr="00872293">
        <w:rPr>
          <w:rFonts w:ascii="Times New Roman" w:eastAsia="Times New Roman" w:hAnsi="Times New Roman" w:cs="Times New Roman"/>
        </w:rPr>
        <w:t>)</w:t>
      </w:r>
      <w:r w:rsidR="00667D64" w:rsidRPr="00872293">
        <w:rPr>
          <w:rFonts w:ascii="Times New Roman" w:eastAsia="Times New Roman" w:hAnsi="Times New Roman" w:cs="Times New Roman"/>
        </w:rPr>
        <w:t xml:space="preserve">. </w:t>
      </w:r>
      <w:r w:rsidR="00784243" w:rsidRPr="00872293">
        <w:rPr>
          <w:rFonts w:ascii="Times New Roman" w:eastAsia="Times New Roman" w:hAnsi="Times New Roman" w:cs="Times New Roman"/>
        </w:rPr>
        <w:t>We</w:t>
      </w:r>
      <w:r w:rsidR="00667D64" w:rsidRPr="00872293">
        <w:rPr>
          <w:rFonts w:ascii="Times New Roman" w:eastAsia="Times New Roman" w:hAnsi="Times New Roman" w:cs="Times New Roman"/>
        </w:rPr>
        <w:t xml:space="preserve"> conclude with a discussion </w:t>
      </w:r>
      <w:r w:rsidR="00784243" w:rsidRPr="00872293">
        <w:rPr>
          <w:rFonts w:ascii="Times New Roman" w:eastAsia="Times New Roman" w:hAnsi="Times New Roman" w:cs="Times New Roman"/>
        </w:rPr>
        <w:t>on</w:t>
      </w:r>
      <w:r w:rsidR="00667D64" w:rsidRPr="00872293">
        <w:rPr>
          <w:rFonts w:ascii="Times New Roman" w:eastAsia="Times New Roman" w:hAnsi="Times New Roman" w:cs="Times New Roman"/>
        </w:rPr>
        <w:t xml:space="preserve"> root responses to environmental change and future research priorities. </w:t>
      </w:r>
    </w:p>
    <w:p w14:paraId="27A0F6CB" w14:textId="77777777" w:rsidR="00BD0A86" w:rsidRPr="00872293" w:rsidRDefault="00BD0A86" w:rsidP="00CD08B7">
      <w:pPr>
        <w:keepNext/>
        <w:spacing w:line="360" w:lineRule="auto"/>
        <w:rPr>
          <w:rFonts w:ascii="Times New Roman" w:eastAsia="Times New Roman" w:hAnsi="Times New Roman" w:cs="Times New Roman"/>
          <w:shd w:val="clear" w:color="auto" w:fill="FFE599"/>
        </w:rPr>
      </w:pPr>
    </w:p>
    <w:p w14:paraId="0131C5C7" w14:textId="77777777" w:rsidR="002D2C6B" w:rsidRPr="00872293" w:rsidRDefault="002D2C6B" w:rsidP="007E18C8">
      <w:pPr>
        <w:pStyle w:val="Heading3"/>
        <w:spacing w:before="0" w:after="0" w:line="360" w:lineRule="auto"/>
        <w:rPr>
          <w:rFonts w:cs="Times New Roman"/>
          <w:szCs w:val="24"/>
        </w:rPr>
      </w:pPr>
      <w:bookmarkStart w:id="13" w:name="_Toc53689054"/>
      <w:r w:rsidRPr="00872293">
        <w:rPr>
          <w:rFonts w:cs="Times New Roman"/>
          <w:szCs w:val="24"/>
        </w:rPr>
        <w:t>P</w:t>
      </w:r>
      <w:r w:rsidR="007F31ED" w:rsidRPr="00872293">
        <w:rPr>
          <w:rFonts w:cs="Times New Roman"/>
          <w:szCs w:val="24"/>
        </w:rPr>
        <w:t>uerto Rico as a tropical research site</w:t>
      </w:r>
      <w:bookmarkEnd w:id="13"/>
    </w:p>
    <w:p w14:paraId="6D7D0F33" w14:textId="77777777" w:rsidR="00C96861" w:rsidRPr="00872293" w:rsidRDefault="00C50358" w:rsidP="007E18C8">
      <w:pPr>
        <w:spacing w:before="240" w:line="360" w:lineRule="auto"/>
        <w:rPr>
          <w:rFonts w:ascii="Times New Roman" w:eastAsia="Times New Roman" w:hAnsi="Times New Roman" w:cs="Times New Roman"/>
          <w:b/>
          <w:bCs/>
        </w:rPr>
      </w:pPr>
      <w:r w:rsidRPr="00872293">
        <w:rPr>
          <w:rFonts w:ascii="Times New Roman" w:eastAsia="Times New Roman" w:hAnsi="Times New Roman" w:cs="Times New Roman"/>
          <w:highlight w:val="white"/>
        </w:rPr>
        <w:t xml:space="preserve">Puerto Rico is a Caribbean archipelago located within the geographic </w:t>
      </w:r>
      <w:r w:rsidR="00321389" w:rsidRPr="00872293">
        <w:rPr>
          <w:rFonts w:ascii="Times New Roman" w:eastAsia="Times New Roman" w:hAnsi="Times New Roman" w:cs="Times New Roman"/>
          <w:highlight w:val="white"/>
        </w:rPr>
        <w:t>zone of the tropics</w:t>
      </w:r>
      <w:r w:rsidR="00FD757C" w:rsidRPr="00872293">
        <w:rPr>
          <w:rFonts w:ascii="Times New Roman" w:eastAsia="Times New Roman" w:hAnsi="Times New Roman" w:cs="Times New Roman"/>
          <w:highlight w:val="white"/>
        </w:rPr>
        <w:t xml:space="preserve"> </w:t>
      </w:r>
      <w:r w:rsidRPr="00872293">
        <w:rPr>
          <w:rFonts w:ascii="Times New Roman" w:eastAsia="Times New Roman" w:hAnsi="Times New Roman" w:cs="Times New Roman"/>
          <w:highlight w:val="white"/>
        </w:rPr>
        <w:t>(Fig</w:t>
      </w:r>
      <w:r w:rsidR="00476986" w:rsidRPr="00872293">
        <w:rPr>
          <w:rFonts w:ascii="Times New Roman" w:eastAsia="Times New Roman" w:hAnsi="Times New Roman" w:cs="Times New Roman"/>
          <w:highlight w:val="white"/>
        </w:rPr>
        <w:t>ure</w:t>
      </w:r>
      <w:r w:rsidRPr="00872293">
        <w:rPr>
          <w:rFonts w:ascii="Times New Roman" w:eastAsia="Times New Roman" w:hAnsi="Times New Roman" w:cs="Times New Roman"/>
          <w:highlight w:val="white"/>
        </w:rPr>
        <w:t xml:space="preserve"> 1). </w:t>
      </w:r>
      <w:r w:rsidR="00824E44" w:rsidRPr="00872293">
        <w:rPr>
          <w:rFonts w:ascii="Times New Roman" w:eastAsia="Times New Roman" w:hAnsi="Times New Roman" w:cs="Times New Roman"/>
          <w:highlight w:val="white"/>
        </w:rPr>
        <w:t xml:space="preserve">Puerto Rico </w:t>
      </w:r>
      <w:r w:rsidRPr="00872293">
        <w:rPr>
          <w:rFonts w:ascii="Times New Roman" w:eastAsia="Times New Roman" w:hAnsi="Times New Roman" w:cs="Times New Roman"/>
          <w:highlight w:val="white"/>
        </w:rPr>
        <w:t>has a high diversity of ecosystems (</w:t>
      </w:r>
      <w:r w:rsidRPr="00872293">
        <w:rPr>
          <w:rFonts w:ascii="Times New Roman" w:eastAsia="Times New Roman" w:hAnsi="Times New Roman" w:cs="Times New Roman"/>
        </w:rPr>
        <w:t xml:space="preserve">Harris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2012</w:t>
      </w:r>
      <w:r w:rsidRPr="00872293">
        <w:rPr>
          <w:rFonts w:ascii="Times New Roman" w:eastAsia="Times New Roman" w:hAnsi="Times New Roman" w:cs="Times New Roman"/>
          <w:highlight w:val="white"/>
        </w:rPr>
        <w:t>),</w:t>
      </w:r>
      <w:r w:rsidR="00824E44" w:rsidRPr="00872293">
        <w:rPr>
          <w:rFonts w:ascii="Times New Roman" w:eastAsia="Times New Roman" w:hAnsi="Times New Roman" w:cs="Times New Roman"/>
          <w:highlight w:val="white"/>
        </w:rPr>
        <w:t xml:space="preserve"> and 10 of the 12 world orders of soils.</w:t>
      </w:r>
      <w:r w:rsidRPr="00872293">
        <w:rPr>
          <w:rFonts w:ascii="Times New Roman" w:eastAsia="Times New Roman" w:hAnsi="Times New Roman" w:cs="Times New Roman"/>
          <w:highlight w:val="white"/>
        </w:rPr>
        <w:t xml:space="preserve"> </w:t>
      </w:r>
      <w:r w:rsidR="00824E44" w:rsidRPr="00872293">
        <w:rPr>
          <w:rFonts w:ascii="Times New Roman" w:eastAsia="Times New Roman" w:hAnsi="Times New Roman" w:cs="Times New Roman"/>
          <w:highlight w:val="white"/>
        </w:rPr>
        <w:t>The</w:t>
      </w:r>
      <w:r w:rsidRPr="00872293">
        <w:rPr>
          <w:rFonts w:ascii="Times New Roman" w:eastAsia="Times New Roman" w:hAnsi="Times New Roman" w:cs="Times New Roman"/>
          <w:highlight w:val="white"/>
        </w:rPr>
        <w:t xml:space="preserve"> mean annual precipitation</w:t>
      </w:r>
      <w:r w:rsidR="00C3438B" w:rsidRPr="00872293">
        <w:rPr>
          <w:rFonts w:ascii="Times New Roman" w:eastAsia="Times New Roman" w:hAnsi="Times New Roman" w:cs="Times New Roman"/>
          <w:highlight w:val="white"/>
        </w:rPr>
        <w:t>, air temperature, and elevation</w:t>
      </w:r>
      <w:r w:rsidR="00824E44" w:rsidRPr="00872293">
        <w:rPr>
          <w:rFonts w:ascii="Times New Roman" w:eastAsia="Times New Roman" w:hAnsi="Times New Roman" w:cs="Times New Roman"/>
          <w:highlight w:val="white"/>
        </w:rPr>
        <w:t xml:space="preserve"> ranges</w:t>
      </w:r>
      <w:r w:rsidRPr="00872293">
        <w:rPr>
          <w:rFonts w:ascii="Times New Roman" w:eastAsia="Times New Roman" w:hAnsi="Times New Roman" w:cs="Times New Roman"/>
          <w:highlight w:val="white"/>
        </w:rPr>
        <w:t xml:space="preserve"> from 254 to 5000 mm</w:t>
      </w:r>
      <w:r w:rsidR="00C3438B" w:rsidRPr="00872293">
        <w:rPr>
          <w:rFonts w:ascii="Times New Roman" w:eastAsia="Times New Roman" w:hAnsi="Times New Roman" w:cs="Times New Roman"/>
          <w:highlight w:val="white"/>
        </w:rPr>
        <w:t>/y</w:t>
      </w:r>
      <w:r w:rsidR="001158B5" w:rsidRPr="00872293">
        <w:rPr>
          <w:rFonts w:ascii="Times New Roman" w:eastAsia="Times New Roman" w:hAnsi="Times New Roman" w:cs="Times New Roman"/>
          <w:highlight w:val="white"/>
        </w:rPr>
        <w:t>ea</w:t>
      </w:r>
      <w:r w:rsidR="00C3438B" w:rsidRPr="00872293">
        <w:rPr>
          <w:rFonts w:ascii="Times New Roman" w:eastAsia="Times New Roman" w:hAnsi="Times New Roman" w:cs="Times New Roman"/>
          <w:highlight w:val="white"/>
        </w:rPr>
        <w:t>r</w:t>
      </w:r>
      <w:r w:rsidRPr="00872293">
        <w:rPr>
          <w:rFonts w:ascii="Times New Roman" w:eastAsia="Times New Roman" w:hAnsi="Times New Roman" w:cs="Times New Roman"/>
          <w:highlight w:val="white"/>
        </w:rPr>
        <w:t xml:space="preserve">, </w:t>
      </w:r>
      <w:r w:rsidR="00C3438B" w:rsidRPr="00872293">
        <w:rPr>
          <w:rFonts w:ascii="Times New Roman" w:eastAsia="Times New Roman" w:hAnsi="Times New Roman" w:cs="Times New Roman"/>
          <w:highlight w:val="white"/>
        </w:rPr>
        <w:t>18</w:t>
      </w:r>
      <w:r w:rsidRPr="00872293">
        <w:rPr>
          <w:rFonts w:ascii="Times New Roman" w:eastAsia="Times New Roman" w:hAnsi="Times New Roman" w:cs="Times New Roman"/>
          <w:highlight w:val="white"/>
        </w:rPr>
        <w:t>-30</w:t>
      </w:r>
      <w:r w:rsidRPr="00872293">
        <w:rPr>
          <w:rFonts w:ascii="Times New Roman" w:eastAsia="Times New Roman" w:hAnsi="Times New Roman" w:cs="Times New Roman"/>
          <w:highlight w:val="white"/>
          <w:vertAlign w:val="superscript"/>
        </w:rPr>
        <w:t>o</w:t>
      </w:r>
      <w:r w:rsidRPr="00872293">
        <w:rPr>
          <w:rFonts w:ascii="Times New Roman" w:eastAsia="Times New Roman" w:hAnsi="Times New Roman" w:cs="Times New Roman"/>
          <w:highlight w:val="white"/>
        </w:rPr>
        <w:t xml:space="preserve">C, and </w:t>
      </w:r>
      <w:r w:rsidR="00C3438B" w:rsidRPr="00872293">
        <w:rPr>
          <w:rFonts w:ascii="Times New Roman" w:eastAsia="Times New Roman" w:hAnsi="Times New Roman" w:cs="Times New Roman"/>
          <w:highlight w:val="white"/>
        </w:rPr>
        <w:t xml:space="preserve">from </w:t>
      </w:r>
      <w:r w:rsidRPr="00872293">
        <w:rPr>
          <w:rFonts w:ascii="Times New Roman" w:eastAsia="Times New Roman" w:hAnsi="Times New Roman" w:cs="Times New Roman"/>
          <w:highlight w:val="white"/>
        </w:rPr>
        <w:t xml:space="preserve">sea level to 1338 m </w:t>
      </w:r>
      <w:proofErr w:type="spellStart"/>
      <w:r w:rsidRPr="00872293">
        <w:rPr>
          <w:rFonts w:ascii="Times New Roman" w:eastAsia="Times New Roman" w:hAnsi="Times New Roman" w:cs="Times New Roman"/>
          <w:highlight w:val="white"/>
        </w:rPr>
        <w:t>a</w:t>
      </w:r>
      <w:r w:rsidR="00CF2A89" w:rsidRPr="00872293">
        <w:rPr>
          <w:rFonts w:ascii="Times New Roman" w:eastAsia="Times New Roman" w:hAnsi="Times New Roman" w:cs="Times New Roman"/>
          <w:highlight w:val="white"/>
        </w:rPr>
        <w:t>.</w:t>
      </w:r>
      <w:r w:rsidRPr="00872293">
        <w:rPr>
          <w:rFonts w:ascii="Times New Roman" w:eastAsia="Times New Roman" w:hAnsi="Times New Roman" w:cs="Times New Roman"/>
          <w:highlight w:val="white"/>
        </w:rPr>
        <w:t>s</w:t>
      </w:r>
      <w:r w:rsidR="00CF2A89" w:rsidRPr="00872293">
        <w:rPr>
          <w:rFonts w:ascii="Times New Roman" w:eastAsia="Times New Roman" w:hAnsi="Times New Roman" w:cs="Times New Roman"/>
          <w:highlight w:val="white"/>
        </w:rPr>
        <w:t>.</w:t>
      </w:r>
      <w:r w:rsidRPr="00872293">
        <w:rPr>
          <w:rFonts w:ascii="Times New Roman" w:eastAsia="Times New Roman" w:hAnsi="Times New Roman" w:cs="Times New Roman"/>
          <w:highlight w:val="white"/>
        </w:rPr>
        <w:t>l</w:t>
      </w:r>
      <w:proofErr w:type="spellEnd"/>
      <w:r w:rsidR="00CF2A89" w:rsidRPr="00872293">
        <w:rPr>
          <w:rFonts w:ascii="Times New Roman" w:eastAsia="Times New Roman" w:hAnsi="Times New Roman" w:cs="Times New Roman"/>
          <w:highlight w:val="white"/>
        </w:rPr>
        <w:t>.</w:t>
      </w:r>
      <w:r w:rsidR="00C3438B" w:rsidRPr="00872293">
        <w:rPr>
          <w:rFonts w:ascii="Times New Roman" w:eastAsia="Times New Roman" w:hAnsi="Times New Roman" w:cs="Times New Roman"/>
          <w:highlight w:val="white"/>
        </w:rPr>
        <w:t xml:space="preserve">, respectively </w:t>
      </w:r>
      <w:r w:rsidRPr="00872293">
        <w:rPr>
          <w:rFonts w:ascii="Times New Roman" w:eastAsia="Times New Roman" w:hAnsi="Times New Roman" w:cs="Times New Roman"/>
          <w:highlight w:val="white"/>
        </w:rPr>
        <w:t>(</w:t>
      </w:r>
      <w:proofErr w:type="spellStart"/>
      <w:r w:rsidRPr="00872293">
        <w:rPr>
          <w:rFonts w:ascii="Times New Roman" w:eastAsia="Times New Roman" w:hAnsi="Times New Roman" w:cs="Times New Roman"/>
        </w:rPr>
        <w:t>Frangi</w:t>
      </w:r>
      <w:proofErr w:type="spellEnd"/>
      <w:r w:rsidRPr="00872293">
        <w:rPr>
          <w:rFonts w:ascii="Times New Roman" w:eastAsia="Times New Roman" w:hAnsi="Times New Roman" w:cs="Times New Roman"/>
        </w:rPr>
        <w:t xml:space="preserve"> &amp; Lugo, 1985; Murphy &amp; Lugo, 1986</w:t>
      </w:r>
      <w:r w:rsidR="005D5F29" w:rsidRPr="00872293">
        <w:rPr>
          <w:rFonts w:ascii="Times New Roman" w:eastAsia="Times New Roman" w:hAnsi="Times New Roman" w:cs="Times New Roman"/>
        </w:rPr>
        <w:t>a</w:t>
      </w:r>
      <w:r w:rsidRPr="00872293">
        <w:rPr>
          <w:rFonts w:ascii="Times New Roman" w:eastAsia="Times New Roman" w:hAnsi="Times New Roman" w:cs="Times New Roman"/>
        </w:rPr>
        <w:t xml:space="preserve">; Miller &amp; Lugo, 2009a). </w:t>
      </w:r>
      <w:r w:rsidRPr="00872293">
        <w:rPr>
          <w:rFonts w:ascii="Times New Roman" w:eastAsia="Times New Roman" w:hAnsi="Times New Roman" w:cs="Times New Roman"/>
          <w:highlight w:val="white"/>
        </w:rPr>
        <w:t>According to the life zones of Holdridge, Puerto Rico’s forests are considered “sub-tropical”</w:t>
      </w:r>
      <w:r w:rsidR="006E359D" w:rsidRPr="00872293">
        <w:rPr>
          <w:rFonts w:ascii="Times New Roman" w:eastAsia="Times New Roman" w:hAnsi="Times New Roman" w:cs="Times New Roman"/>
          <w:highlight w:val="white"/>
        </w:rPr>
        <w:t xml:space="preserve"> </w:t>
      </w:r>
      <w:r w:rsidR="006E359D" w:rsidRPr="00872293">
        <w:rPr>
          <w:rFonts w:ascii="Times New Roman" w:eastAsia="Times New Roman" w:hAnsi="Times New Roman" w:cs="Times New Roman"/>
        </w:rPr>
        <w:t>(</w:t>
      </w:r>
      <w:proofErr w:type="spellStart"/>
      <w:r w:rsidR="000B4BF7" w:rsidRPr="00872293">
        <w:rPr>
          <w:rFonts w:ascii="Times New Roman" w:eastAsia="Times New Roman" w:hAnsi="Times New Roman" w:cs="Times New Roman"/>
        </w:rPr>
        <w:t>Ewel</w:t>
      </w:r>
      <w:proofErr w:type="spellEnd"/>
      <w:r w:rsidR="000B4BF7" w:rsidRPr="00872293">
        <w:rPr>
          <w:rFonts w:ascii="Times New Roman" w:eastAsia="Times New Roman" w:hAnsi="Times New Roman" w:cs="Times New Roman"/>
        </w:rPr>
        <w:t xml:space="preserve"> &amp; Whitmore 1973</w:t>
      </w:r>
      <w:r w:rsidR="006E359D" w:rsidRPr="00872293">
        <w:rPr>
          <w:rFonts w:ascii="Times New Roman" w:eastAsia="Times New Roman" w:hAnsi="Times New Roman" w:cs="Times New Roman"/>
          <w:highlight w:val="white"/>
        </w:rPr>
        <w:t>)</w:t>
      </w:r>
      <w:r w:rsidRPr="00872293">
        <w:rPr>
          <w:rFonts w:ascii="Times New Roman" w:eastAsia="Times New Roman" w:hAnsi="Times New Roman" w:cs="Times New Roman"/>
          <w:highlight w:val="white"/>
        </w:rPr>
        <w:t xml:space="preserve">. However, according to the </w:t>
      </w:r>
      <w:r w:rsidR="00FA47EF" w:rsidRPr="00872293">
        <w:rPr>
          <w:rFonts w:ascii="Times New Roman" w:eastAsia="Times New Roman" w:hAnsi="Times New Roman" w:cs="Times New Roman"/>
          <w:highlight w:val="white"/>
        </w:rPr>
        <w:t xml:space="preserve">climate classification of </w:t>
      </w:r>
      <w:proofErr w:type="spellStart"/>
      <w:r w:rsidRPr="00872293">
        <w:rPr>
          <w:rFonts w:ascii="Times New Roman" w:eastAsia="Times New Roman" w:hAnsi="Times New Roman" w:cs="Times New Roman"/>
          <w:highlight w:val="white"/>
        </w:rPr>
        <w:t>Köppen</w:t>
      </w:r>
      <w:proofErr w:type="spellEnd"/>
      <w:r w:rsidRPr="00872293">
        <w:rPr>
          <w:rFonts w:ascii="Times New Roman" w:eastAsia="Times New Roman" w:hAnsi="Times New Roman" w:cs="Times New Roman"/>
          <w:highlight w:val="white"/>
        </w:rPr>
        <w:t xml:space="preserve">-Geiger, Trewartha, and </w:t>
      </w:r>
      <w:r w:rsidR="00FA47EF" w:rsidRPr="00872293">
        <w:rPr>
          <w:rFonts w:ascii="Times New Roman" w:eastAsia="Times New Roman" w:hAnsi="Times New Roman" w:cs="Times New Roman"/>
          <w:highlight w:val="white"/>
        </w:rPr>
        <w:t>Walter’s</w:t>
      </w:r>
      <w:r w:rsidR="003B268F" w:rsidRPr="00872293">
        <w:rPr>
          <w:rFonts w:ascii="Times New Roman" w:eastAsia="Times New Roman" w:hAnsi="Times New Roman" w:cs="Times New Roman"/>
          <w:highlight w:val="white"/>
        </w:rPr>
        <w:t xml:space="preserve"> </w:t>
      </w:r>
      <w:proofErr w:type="spellStart"/>
      <w:r w:rsidR="00FA47EF" w:rsidRPr="00872293">
        <w:rPr>
          <w:rFonts w:ascii="Times New Roman" w:eastAsia="Times New Roman" w:hAnsi="Times New Roman" w:cs="Times New Roman"/>
          <w:highlight w:val="white"/>
        </w:rPr>
        <w:t>zonobiomes</w:t>
      </w:r>
      <w:proofErr w:type="spellEnd"/>
      <w:r w:rsidRPr="00872293">
        <w:rPr>
          <w:rFonts w:ascii="Times New Roman" w:eastAsia="Times New Roman" w:hAnsi="Times New Roman" w:cs="Times New Roman"/>
          <w:highlight w:val="white"/>
        </w:rPr>
        <w:t>, these forests are “tropical”.</w:t>
      </w:r>
    </w:p>
    <w:p w14:paraId="71BD024C" w14:textId="77777777" w:rsidR="00C96861" w:rsidRPr="00872293" w:rsidRDefault="00C50358" w:rsidP="003C456F">
      <w:pPr>
        <w:spacing w:line="360" w:lineRule="auto"/>
        <w:rPr>
          <w:rFonts w:ascii="Times New Roman" w:eastAsia="Times New Roman" w:hAnsi="Times New Roman" w:cs="Times New Roman"/>
          <w:highlight w:val="white"/>
        </w:rPr>
      </w:pPr>
      <w:r w:rsidRPr="00872293">
        <w:rPr>
          <w:rFonts w:ascii="Times New Roman" w:eastAsia="Times New Roman" w:hAnsi="Times New Roman" w:cs="Times New Roman"/>
          <w:highlight w:val="white"/>
        </w:rPr>
        <w:t xml:space="preserve"> </w:t>
      </w:r>
    </w:p>
    <w:p w14:paraId="7B0E2334" w14:textId="77777777" w:rsidR="00F425BA" w:rsidRPr="00872293" w:rsidRDefault="00EE22B0" w:rsidP="0098150C">
      <w:pPr>
        <w:spacing w:line="360" w:lineRule="auto"/>
        <w:rPr>
          <w:rFonts w:ascii="Times New Roman" w:eastAsia="Times New Roman" w:hAnsi="Times New Roman" w:cs="Times New Roman"/>
        </w:rPr>
      </w:pPr>
      <w:r w:rsidRPr="00872293">
        <w:rPr>
          <w:rFonts w:ascii="Times New Roman" w:hAnsi="Times New Roman" w:cs="Times New Roman"/>
          <w:shd w:val="clear" w:color="auto" w:fill="FFFFFF"/>
        </w:rPr>
        <w:t>Up until the 1940’s, more than 90</w:t>
      </w:r>
      <w:r w:rsidR="008B48D5" w:rsidRPr="00872293">
        <w:rPr>
          <w:rFonts w:ascii="Times New Roman" w:hAnsi="Times New Roman" w:cs="Times New Roman"/>
          <w:shd w:val="clear" w:color="auto" w:fill="FFFFFF"/>
        </w:rPr>
        <w:t>%</w:t>
      </w:r>
      <w:r w:rsidRPr="00872293">
        <w:rPr>
          <w:rFonts w:ascii="Times New Roman" w:hAnsi="Times New Roman" w:cs="Times New Roman"/>
          <w:shd w:val="clear" w:color="auto" w:fill="FFFFFF"/>
        </w:rPr>
        <w:t xml:space="preserve"> of today’s Puerto Rican forests were agricultur</w:t>
      </w:r>
      <w:r w:rsidR="006844A7" w:rsidRPr="00872293">
        <w:rPr>
          <w:rFonts w:ascii="Times New Roman" w:hAnsi="Times New Roman" w:cs="Times New Roman"/>
          <w:shd w:val="clear" w:color="auto" w:fill="FFFFFF"/>
        </w:rPr>
        <w:t>al</w:t>
      </w:r>
      <w:r w:rsidRPr="00872293">
        <w:rPr>
          <w:rFonts w:ascii="Times New Roman" w:hAnsi="Times New Roman" w:cs="Times New Roman"/>
          <w:shd w:val="clear" w:color="auto" w:fill="FFFFFF"/>
        </w:rPr>
        <w:t xml:space="preserve"> fields. </w:t>
      </w:r>
      <w:r w:rsidR="00110397" w:rsidRPr="00872293">
        <w:rPr>
          <w:rFonts w:ascii="Times New Roman" w:hAnsi="Times New Roman" w:cs="Times New Roman"/>
          <w:shd w:val="clear" w:color="auto" w:fill="FFFFFF"/>
        </w:rPr>
        <w:t>Beginning in the 1960’s, m</w:t>
      </w:r>
      <w:r w:rsidRPr="00872293">
        <w:rPr>
          <w:rFonts w:ascii="Times New Roman" w:hAnsi="Times New Roman" w:cs="Times New Roman"/>
          <w:shd w:val="clear" w:color="auto" w:fill="FFFFFF"/>
        </w:rPr>
        <w:t>ost of these lands were abandoned following a transition of the island’s economy from agricultural to industrial (</w:t>
      </w:r>
      <w:proofErr w:type="spellStart"/>
      <w:r w:rsidRPr="00872293">
        <w:rPr>
          <w:rFonts w:ascii="Times New Roman" w:hAnsi="Times New Roman" w:cs="Times New Roman"/>
          <w:shd w:val="clear" w:color="auto" w:fill="FFFFFF"/>
        </w:rPr>
        <w:t>Edel</w:t>
      </w:r>
      <w:proofErr w:type="spellEnd"/>
      <w:r w:rsidRPr="00872293">
        <w:rPr>
          <w:rFonts w:ascii="Times New Roman" w:hAnsi="Times New Roman" w:cs="Times New Roman"/>
          <w:shd w:val="clear" w:color="auto" w:fill="FFFFFF"/>
        </w:rPr>
        <w:t xml:space="preserve">, 1962; Miller &amp; Lugo, 2009a), allowing </w:t>
      </w:r>
      <w:r w:rsidR="001B7C78" w:rsidRPr="00872293">
        <w:rPr>
          <w:rFonts w:ascii="Times New Roman" w:hAnsi="Times New Roman" w:cs="Times New Roman"/>
          <w:shd w:val="clear" w:color="auto" w:fill="FFFFFF"/>
        </w:rPr>
        <w:t>the</w:t>
      </w:r>
      <w:r w:rsidR="006844A7" w:rsidRPr="00872293">
        <w:rPr>
          <w:rFonts w:ascii="Times New Roman" w:hAnsi="Times New Roman" w:cs="Times New Roman"/>
          <w:shd w:val="clear" w:color="auto" w:fill="FFFFFF"/>
        </w:rPr>
        <w:t xml:space="preserve"> unmanaged</w:t>
      </w:r>
      <w:r w:rsidRPr="00872293">
        <w:rPr>
          <w:rFonts w:ascii="Times New Roman" w:eastAsia="Times New Roman" w:hAnsi="Times New Roman" w:cs="Times New Roman"/>
          <w:highlight w:val="white"/>
        </w:rPr>
        <w:t xml:space="preserve"> reforestation</w:t>
      </w:r>
      <w:r w:rsidRPr="00872293">
        <w:rPr>
          <w:rFonts w:ascii="Times New Roman" w:eastAsia="Times New Roman" w:hAnsi="Times New Roman" w:cs="Times New Roman"/>
        </w:rPr>
        <w:t xml:space="preserve"> </w:t>
      </w:r>
      <w:r w:rsidRPr="00872293">
        <w:rPr>
          <w:rFonts w:ascii="Times New Roman" w:hAnsi="Times New Roman" w:cs="Times New Roman"/>
          <w:shd w:val="clear" w:color="auto" w:fill="FFFFFF"/>
        </w:rPr>
        <w:t>of the island (Miller &amp; Lugo, 2009b).</w:t>
      </w:r>
      <w:r w:rsidRPr="00872293">
        <w:rPr>
          <w:rFonts w:ascii="Times New Roman" w:eastAsia="Times New Roman" w:hAnsi="Times New Roman" w:cs="Times New Roman"/>
        </w:rPr>
        <w:t xml:space="preserve"> </w:t>
      </w:r>
      <w:r w:rsidR="00C50358" w:rsidRPr="00872293">
        <w:rPr>
          <w:rFonts w:ascii="Times New Roman" w:eastAsia="Times New Roman" w:hAnsi="Times New Roman" w:cs="Times New Roman"/>
        </w:rPr>
        <w:t>Currently, more than 6</w:t>
      </w:r>
      <w:r w:rsidR="00302D9A" w:rsidRPr="00872293">
        <w:rPr>
          <w:rFonts w:ascii="Times New Roman" w:eastAsia="Times New Roman" w:hAnsi="Times New Roman" w:cs="Times New Roman"/>
        </w:rPr>
        <w:t>0</w:t>
      </w:r>
      <w:r w:rsidR="008B48D5" w:rsidRPr="00872293">
        <w:rPr>
          <w:rFonts w:ascii="Times New Roman" w:eastAsia="Times New Roman" w:hAnsi="Times New Roman" w:cs="Times New Roman"/>
        </w:rPr>
        <w:t xml:space="preserve">% </w:t>
      </w:r>
      <w:r w:rsidR="00C50358" w:rsidRPr="00872293">
        <w:rPr>
          <w:rFonts w:ascii="Times New Roman" w:eastAsia="Times New Roman" w:hAnsi="Times New Roman" w:cs="Times New Roman"/>
        </w:rPr>
        <w:t>of Puerto Rico is covered by forest</w:t>
      </w:r>
      <w:r w:rsidR="001B7C78" w:rsidRPr="00872293">
        <w:rPr>
          <w:rFonts w:ascii="Times New Roman" w:eastAsia="Times New Roman" w:hAnsi="Times New Roman" w:cs="Times New Roman"/>
        </w:rPr>
        <w:t>s</w:t>
      </w:r>
      <w:r w:rsidR="00C50358" w:rsidRPr="00872293">
        <w:rPr>
          <w:rFonts w:ascii="Times New Roman" w:eastAsia="Times New Roman" w:hAnsi="Times New Roman" w:cs="Times New Roman"/>
        </w:rPr>
        <w:t xml:space="preserve"> (Brandeis &amp; Turner</w:t>
      </w:r>
      <w:r w:rsidR="00F87137" w:rsidRPr="00872293">
        <w:rPr>
          <w:rFonts w:ascii="Times New Roman" w:eastAsia="Times New Roman" w:hAnsi="Times New Roman" w:cs="Times New Roman"/>
        </w:rPr>
        <w:t>,</w:t>
      </w:r>
      <w:r w:rsidR="00C50358" w:rsidRPr="00872293">
        <w:rPr>
          <w:rFonts w:ascii="Times New Roman" w:eastAsia="Times New Roman" w:hAnsi="Times New Roman" w:cs="Times New Roman"/>
        </w:rPr>
        <w:t xml:space="preserve"> 2013). </w:t>
      </w:r>
    </w:p>
    <w:p w14:paraId="68697CFF" w14:textId="77777777" w:rsidR="0098150C" w:rsidRPr="00872293" w:rsidRDefault="0098150C" w:rsidP="0098150C">
      <w:pPr>
        <w:spacing w:line="360" w:lineRule="auto"/>
        <w:rPr>
          <w:rFonts w:ascii="Times New Roman" w:eastAsia="Times New Roman" w:hAnsi="Times New Roman" w:cs="Times New Roman"/>
          <w:highlight w:val="white"/>
        </w:rPr>
      </w:pPr>
    </w:p>
    <w:p w14:paraId="31ED2D43" w14:textId="73C4D441" w:rsidR="00BB0222" w:rsidRPr="00872293" w:rsidRDefault="00C50358" w:rsidP="0098150C">
      <w:pPr>
        <w:spacing w:line="360" w:lineRule="auto"/>
        <w:rPr>
          <w:rFonts w:ascii="Times New Roman" w:eastAsia="Times New Roman" w:hAnsi="Times New Roman" w:cs="Times New Roman"/>
          <w:highlight w:val="white"/>
        </w:rPr>
      </w:pPr>
      <w:r w:rsidRPr="00872293">
        <w:rPr>
          <w:rFonts w:ascii="Times New Roman" w:eastAsia="Times New Roman" w:hAnsi="Times New Roman" w:cs="Times New Roman"/>
          <w:highlight w:val="white"/>
        </w:rPr>
        <w:t xml:space="preserve">Puerto Rico </w:t>
      </w:r>
      <w:r w:rsidR="00381DD2" w:rsidRPr="00872293">
        <w:rPr>
          <w:rFonts w:ascii="Times New Roman" w:eastAsia="Times New Roman" w:hAnsi="Times New Roman" w:cs="Times New Roman"/>
          <w:highlight w:val="white"/>
        </w:rPr>
        <w:t>has a diverse</w:t>
      </w:r>
      <w:r w:rsidRPr="00872293">
        <w:rPr>
          <w:rFonts w:ascii="Times New Roman" w:eastAsia="Times New Roman" w:hAnsi="Times New Roman" w:cs="Times New Roman"/>
          <w:highlight w:val="white"/>
        </w:rPr>
        <w:t xml:space="preserve"> fauna and flora </w:t>
      </w:r>
      <w:r w:rsidR="00381DD2" w:rsidRPr="00872293">
        <w:rPr>
          <w:rFonts w:ascii="Times New Roman" w:eastAsia="Times New Roman" w:hAnsi="Times New Roman" w:cs="Times New Roman"/>
          <w:highlight w:val="white"/>
        </w:rPr>
        <w:t xml:space="preserve">that </w:t>
      </w:r>
      <w:r w:rsidRPr="00872293">
        <w:rPr>
          <w:rFonts w:ascii="Times New Roman" w:eastAsia="Times New Roman" w:hAnsi="Times New Roman" w:cs="Times New Roman"/>
          <w:highlight w:val="white"/>
        </w:rPr>
        <w:t xml:space="preserve">are greatly shaped by hurricane events on this </w:t>
      </w:r>
      <w:r w:rsidR="00FD757C" w:rsidRPr="00872293">
        <w:rPr>
          <w:rFonts w:ascii="Times New Roman" w:eastAsia="Times New Roman" w:hAnsi="Times New Roman" w:cs="Times New Roman"/>
          <w:highlight w:val="white"/>
        </w:rPr>
        <w:t>island</w:t>
      </w:r>
      <w:r w:rsidR="00BE658F" w:rsidRPr="00872293">
        <w:rPr>
          <w:rFonts w:ascii="Times New Roman" w:eastAsia="Times New Roman" w:hAnsi="Times New Roman" w:cs="Times New Roman"/>
          <w:highlight w:val="white"/>
        </w:rPr>
        <w:t>, which</w:t>
      </w:r>
      <w:r w:rsidRPr="00872293">
        <w:rPr>
          <w:rFonts w:ascii="Times New Roman" w:eastAsia="Times New Roman" w:hAnsi="Times New Roman" w:cs="Times New Roman"/>
          <w:highlight w:val="white"/>
        </w:rPr>
        <w:t xml:space="preserve"> </w:t>
      </w:r>
      <w:r w:rsidR="00BE658F" w:rsidRPr="00872293">
        <w:rPr>
          <w:rFonts w:ascii="Times New Roman" w:eastAsia="Times New Roman" w:hAnsi="Times New Roman" w:cs="Times New Roman"/>
          <w:highlight w:val="white"/>
        </w:rPr>
        <w:t>represent</w:t>
      </w:r>
      <w:r w:rsidR="003A4221" w:rsidRPr="00872293">
        <w:rPr>
          <w:rFonts w:ascii="Times New Roman" w:eastAsia="Times New Roman" w:hAnsi="Times New Roman" w:cs="Times New Roman"/>
          <w:highlight w:val="white"/>
        </w:rPr>
        <w:t xml:space="preserve"> </w:t>
      </w:r>
      <w:r w:rsidRPr="00872293">
        <w:rPr>
          <w:rFonts w:ascii="Times New Roman" w:eastAsia="Times New Roman" w:hAnsi="Times New Roman" w:cs="Times New Roman"/>
          <w:highlight w:val="white"/>
        </w:rPr>
        <w:t xml:space="preserve">the </w:t>
      </w:r>
      <w:r w:rsidR="00C81DAF" w:rsidRPr="00872293">
        <w:rPr>
          <w:rFonts w:ascii="Times New Roman" w:eastAsia="Times New Roman" w:hAnsi="Times New Roman" w:cs="Times New Roman"/>
          <w:highlight w:val="white"/>
        </w:rPr>
        <w:t>greatest</w:t>
      </w:r>
      <w:r w:rsidRPr="00872293">
        <w:rPr>
          <w:rFonts w:ascii="Times New Roman" w:eastAsia="Times New Roman" w:hAnsi="Times New Roman" w:cs="Times New Roman"/>
          <w:highlight w:val="white"/>
        </w:rPr>
        <w:t xml:space="preserve"> non-anthropogenic disturbance</w:t>
      </w:r>
      <w:r w:rsidR="003A4221" w:rsidRPr="00872293">
        <w:rPr>
          <w:rFonts w:ascii="Times New Roman" w:eastAsia="Times New Roman" w:hAnsi="Times New Roman" w:cs="Times New Roman"/>
          <w:highlight w:val="white"/>
        </w:rPr>
        <w:t>.</w:t>
      </w:r>
      <w:r w:rsidRPr="00872293">
        <w:rPr>
          <w:rFonts w:ascii="Times New Roman" w:eastAsia="Times New Roman" w:hAnsi="Times New Roman" w:cs="Times New Roman"/>
          <w:highlight w:val="white"/>
        </w:rPr>
        <w:t xml:space="preserve"> The combination of </w:t>
      </w:r>
      <w:r w:rsidR="00A3116B" w:rsidRPr="00872293">
        <w:rPr>
          <w:rFonts w:ascii="Times New Roman" w:eastAsia="Times New Roman" w:hAnsi="Times New Roman" w:cs="Times New Roman"/>
          <w:highlight w:val="white"/>
        </w:rPr>
        <w:t xml:space="preserve">the </w:t>
      </w:r>
      <w:r w:rsidRPr="00872293">
        <w:rPr>
          <w:rFonts w:ascii="Times New Roman" w:eastAsia="Times New Roman" w:hAnsi="Times New Roman" w:cs="Times New Roman"/>
          <w:highlight w:val="white"/>
        </w:rPr>
        <w:t xml:space="preserve">biological diversity, tropical climate, resilience to natural disturbances, and easy access to forest study areas make Puerto Rico </w:t>
      </w:r>
      <w:r w:rsidR="007A5D0A" w:rsidRPr="00872293">
        <w:rPr>
          <w:rFonts w:ascii="Times New Roman" w:eastAsia="Times New Roman" w:hAnsi="Times New Roman" w:cs="Times New Roman"/>
          <w:highlight w:val="white"/>
        </w:rPr>
        <w:t>an</w:t>
      </w:r>
      <w:r w:rsidRPr="00872293">
        <w:rPr>
          <w:rFonts w:ascii="Times New Roman" w:eastAsia="Times New Roman" w:hAnsi="Times New Roman" w:cs="Times New Roman"/>
          <w:highlight w:val="white"/>
        </w:rPr>
        <w:t xml:space="preserve"> ideal tropical island for scientific studies</w:t>
      </w:r>
      <w:r w:rsidR="00BD2A77" w:rsidRPr="00872293">
        <w:rPr>
          <w:rFonts w:ascii="Times New Roman" w:eastAsia="Times New Roman" w:hAnsi="Times New Roman" w:cs="Times New Roman"/>
          <w:highlight w:val="white"/>
        </w:rPr>
        <w:t xml:space="preserve">. This is especially true for </w:t>
      </w:r>
      <w:r w:rsidR="003C3115" w:rsidRPr="00872293">
        <w:rPr>
          <w:rFonts w:ascii="Times New Roman" w:eastAsia="Times New Roman" w:hAnsi="Times New Roman" w:cs="Times New Roman"/>
          <w:highlight w:val="white"/>
        </w:rPr>
        <w:t xml:space="preserve">the </w:t>
      </w:r>
      <w:r w:rsidRPr="00872293">
        <w:rPr>
          <w:rFonts w:ascii="Times New Roman" w:eastAsia="Times New Roman" w:hAnsi="Times New Roman" w:cs="Times New Roman"/>
          <w:highlight w:val="white"/>
        </w:rPr>
        <w:t>Luquillo Experimental Forest (LEF), which has been managed by the USDA Forest Service</w:t>
      </w:r>
      <w:r w:rsidR="00A3116B" w:rsidRPr="00872293">
        <w:rPr>
          <w:rFonts w:ascii="Times New Roman" w:eastAsia="Times New Roman" w:hAnsi="Times New Roman" w:cs="Times New Roman"/>
          <w:highlight w:val="white"/>
        </w:rPr>
        <w:t xml:space="preserve"> (Forestry Division)</w:t>
      </w:r>
      <w:r w:rsidR="00995C70" w:rsidRPr="00872293">
        <w:rPr>
          <w:rFonts w:ascii="Times New Roman" w:eastAsia="Times New Roman" w:hAnsi="Times New Roman" w:cs="Times New Roman"/>
          <w:highlight w:val="white"/>
        </w:rPr>
        <w:t xml:space="preserve"> and their antecedents</w:t>
      </w:r>
      <w:r w:rsidRPr="00872293">
        <w:rPr>
          <w:rFonts w:ascii="Times New Roman" w:eastAsia="Times New Roman" w:hAnsi="Times New Roman" w:cs="Times New Roman"/>
          <w:highlight w:val="white"/>
        </w:rPr>
        <w:t xml:space="preserve"> since 1898.</w:t>
      </w:r>
    </w:p>
    <w:p w14:paraId="610FA50B" w14:textId="77777777" w:rsidR="00F01BEA" w:rsidRPr="00872293" w:rsidRDefault="00F01BEA" w:rsidP="0098150C">
      <w:pPr>
        <w:spacing w:line="360" w:lineRule="auto"/>
        <w:rPr>
          <w:rFonts w:ascii="Times New Roman" w:eastAsia="Times New Roman" w:hAnsi="Times New Roman" w:cs="Times New Roman"/>
          <w:highlight w:val="white"/>
        </w:rPr>
      </w:pPr>
    </w:p>
    <w:p w14:paraId="72EE2905" w14:textId="77777777" w:rsidR="00C96861" w:rsidRPr="00872293" w:rsidRDefault="00BB0222" w:rsidP="007E18C8">
      <w:pPr>
        <w:pStyle w:val="Heading2"/>
        <w:spacing w:before="0" w:after="0" w:line="360" w:lineRule="auto"/>
        <w:rPr>
          <w:rFonts w:cs="Times New Roman"/>
          <w:szCs w:val="24"/>
        </w:rPr>
      </w:pPr>
      <w:bookmarkStart w:id="14" w:name="_Toc53689055"/>
      <w:r w:rsidRPr="00872293">
        <w:rPr>
          <w:rFonts w:cs="Times New Roman"/>
          <w:szCs w:val="24"/>
        </w:rPr>
        <w:lastRenderedPageBreak/>
        <w:t>D</w:t>
      </w:r>
      <w:r w:rsidR="007F31ED" w:rsidRPr="00872293">
        <w:rPr>
          <w:rFonts w:cs="Times New Roman"/>
          <w:szCs w:val="24"/>
        </w:rPr>
        <w:t>ata sources and analysis</w:t>
      </w:r>
      <w:bookmarkEnd w:id="14"/>
    </w:p>
    <w:p w14:paraId="35A8A22C" w14:textId="77777777" w:rsidR="001B0514" w:rsidRPr="00872293" w:rsidRDefault="000B33D3" w:rsidP="007E18C8">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We assembled source material </w:t>
      </w:r>
      <w:r w:rsidR="00A157D0" w:rsidRPr="00872293">
        <w:rPr>
          <w:rFonts w:ascii="Times New Roman" w:eastAsia="Times New Roman" w:hAnsi="Times New Roman" w:cs="Times New Roman"/>
        </w:rPr>
        <w:t>using</w:t>
      </w:r>
      <w:r w:rsidR="00C50358" w:rsidRPr="00872293">
        <w:rPr>
          <w:rFonts w:ascii="Times New Roman" w:eastAsia="Times New Roman" w:hAnsi="Times New Roman" w:cs="Times New Roman"/>
        </w:rPr>
        <w:t xml:space="preserve"> Google Scholar, Web of Science, and Scop</w:t>
      </w:r>
      <w:r w:rsidR="007A5D0A" w:rsidRPr="00872293">
        <w:rPr>
          <w:rFonts w:ascii="Times New Roman" w:eastAsia="Times New Roman" w:hAnsi="Times New Roman" w:cs="Times New Roman"/>
        </w:rPr>
        <w:t>us</w:t>
      </w:r>
      <w:r w:rsidR="007F4212" w:rsidRPr="00872293">
        <w:rPr>
          <w:rFonts w:ascii="Times New Roman" w:eastAsia="Times New Roman" w:hAnsi="Times New Roman" w:cs="Times New Roman"/>
        </w:rPr>
        <w:t xml:space="preserve"> for English</w:t>
      </w:r>
      <w:r w:rsidR="003C3115" w:rsidRPr="00872293">
        <w:rPr>
          <w:rFonts w:ascii="Times New Roman" w:eastAsia="Times New Roman" w:hAnsi="Times New Roman" w:cs="Times New Roman"/>
        </w:rPr>
        <w:t>-language reports</w:t>
      </w:r>
      <w:r w:rsidR="007F4212" w:rsidRPr="00872293">
        <w:rPr>
          <w:rFonts w:ascii="Times New Roman" w:eastAsia="Times New Roman" w:hAnsi="Times New Roman" w:cs="Times New Roman"/>
        </w:rPr>
        <w:t>, and Google Scholar for studies in Spanish</w:t>
      </w:r>
      <w:r w:rsidR="00C50358" w:rsidRPr="00872293">
        <w:rPr>
          <w:rFonts w:ascii="Times New Roman" w:eastAsia="Times New Roman" w:hAnsi="Times New Roman" w:cs="Times New Roman"/>
        </w:rPr>
        <w:t xml:space="preserve">. </w:t>
      </w:r>
      <w:r w:rsidR="00313ED5" w:rsidRPr="00872293">
        <w:rPr>
          <w:rFonts w:ascii="Times New Roman" w:eastAsia="Times New Roman" w:hAnsi="Times New Roman" w:cs="Times New Roman"/>
        </w:rPr>
        <w:t>We</w:t>
      </w:r>
      <w:r w:rsidR="00C50358" w:rsidRPr="00872293">
        <w:rPr>
          <w:rFonts w:ascii="Times New Roman" w:eastAsia="Times New Roman" w:hAnsi="Times New Roman" w:cs="Times New Roman"/>
        </w:rPr>
        <w:t xml:space="preserve"> looked at all papers returned when searching for the key words: “root”, “belowground”, “plant”, and “Puerto Rico”</w:t>
      </w:r>
      <w:r w:rsidR="007F4212" w:rsidRPr="00872293">
        <w:rPr>
          <w:rFonts w:ascii="Times New Roman" w:eastAsia="Times New Roman" w:hAnsi="Times New Roman" w:cs="Times New Roman"/>
        </w:rPr>
        <w:t xml:space="preserve"> in English, and “</w:t>
      </w:r>
      <w:proofErr w:type="spellStart"/>
      <w:r w:rsidR="007F4212" w:rsidRPr="00872293">
        <w:rPr>
          <w:rFonts w:ascii="Times New Roman" w:eastAsia="Times New Roman" w:hAnsi="Times New Roman" w:cs="Times New Roman"/>
        </w:rPr>
        <w:t>raíz</w:t>
      </w:r>
      <w:proofErr w:type="spellEnd"/>
      <w:r w:rsidR="007F4212" w:rsidRPr="00872293">
        <w:rPr>
          <w:rFonts w:ascii="Times New Roman" w:eastAsia="Times New Roman" w:hAnsi="Times New Roman" w:cs="Times New Roman"/>
        </w:rPr>
        <w:t>”, “</w:t>
      </w:r>
      <w:proofErr w:type="spellStart"/>
      <w:r w:rsidR="007F4212" w:rsidRPr="00872293">
        <w:rPr>
          <w:rFonts w:ascii="Times New Roman" w:eastAsia="Times New Roman" w:hAnsi="Times New Roman" w:cs="Times New Roman"/>
        </w:rPr>
        <w:t>raíces</w:t>
      </w:r>
      <w:proofErr w:type="spellEnd"/>
      <w:r w:rsidR="007F4212" w:rsidRPr="00872293">
        <w:rPr>
          <w:rFonts w:ascii="Times New Roman" w:eastAsia="Times New Roman" w:hAnsi="Times New Roman" w:cs="Times New Roman"/>
        </w:rPr>
        <w:t>”, “planta”, “Puerto Rico”, “</w:t>
      </w:r>
      <w:proofErr w:type="spellStart"/>
      <w:r w:rsidR="007F4212" w:rsidRPr="00872293">
        <w:rPr>
          <w:rFonts w:ascii="Times New Roman" w:eastAsia="Times New Roman" w:hAnsi="Times New Roman" w:cs="Times New Roman"/>
        </w:rPr>
        <w:t>suelos</w:t>
      </w:r>
      <w:proofErr w:type="spellEnd"/>
      <w:r w:rsidR="007F4212" w:rsidRPr="00872293">
        <w:rPr>
          <w:rFonts w:ascii="Times New Roman" w:eastAsia="Times New Roman" w:hAnsi="Times New Roman" w:cs="Times New Roman"/>
        </w:rPr>
        <w:t>””or “</w:t>
      </w:r>
      <w:proofErr w:type="spellStart"/>
      <w:r w:rsidR="007F4212" w:rsidRPr="00872293">
        <w:rPr>
          <w:rFonts w:ascii="Times New Roman" w:eastAsia="Times New Roman" w:hAnsi="Times New Roman" w:cs="Times New Roman"/>
        </w:rPr>
        <w:t>suelo</w:t>
      </w:r>
      <w:proofErr w:type="spellEnd"/>
      <w:r w:rsidR="007F4212" w:rsidRPr="00872293">
        <w:rPr>
          <w:rFonts w:ascii="Times New Roman" w:eastAsia="Times New Roman" w:hAnsi="Times New Roman" w:cs="Times New Roman"/>
        </w:rPr>
        <w:t>”, árbol” or “</w:t>
      </w:r>
      <w:proofErr w:type="spellStart"/>
      <w:r w:rsidR="007F4212" w:rsidRPr="00872293">
        <w:rPr>
          <w:rFonts w:ascii="Times New Roman" w:eastAsia="Times New Roman" w:hAnsi="Times New Roman" w:cs="Times New Roman"/>
        </w:rPr>
        <w:t>árboles</w:t>
      </w:r>
      <w:proofErr w:type="spellEnd"/>
      <w:r w:rsidR="007F4212" w:rsidRPr="00872293">
        <w:rPr>
          <w:rFonts w:ascii="Times New Roman" w:eastAsia="Times New Roman" w:hAnsi="Times New Roman" w:cs="Times New Roman"/>
        </w:rPr>
        <w:t>”  in Spanish</w:t>
      </w:r>
      <w:r w:rsidR="00C50358" w:rsidRPr="00872293">
        <w:rPr>
          <w:rFonts w:ascii="Times New Roman" w:eastAsia="Times New Roman" w:hAnsi="Times New Roman" w:cs="Times New Roman"/>
        </w:rPr>
        <w:t xml:space="preserve">. Dr. Ariel Lugo, director of the International Institute of Tropical Forestry - Puerto Rico, provided raw data from </w:t>
      </w:r>
      <w:proofErr w:type="spellStart"/>
      <w:r w:rsidR="00C50358" w:rsidRPr="00872293">
        <w:rPr>
          <w:rFonts w:ascii="Times New Roman" w:eastAsia="Times New Roman" w:hAnsi="Times New Roman" w:cs="Times New Roman"/>
        </w:rPr>
        <w:t>Frangi</w:t>
      </w:r>
      <w:proofErr w:type="spellEnd"/>
      <w:r w:rsidR="00C50358" w:rsidRPr="00872293">
        <w:rPr>
          <w:rFonts w:ascii="Times New Roman" w:eastAsia="Times New Roman" w:hAnsi="Times New Roman" w:cs="Times New Roman"/>
        </w:rPr>
        <w:t xml:space="preserve"> &amp; Lugo (1985), Murphy &amp; Lugo (1986</w:t>
      </w:r>
      <w:r w:rsidR="005D5F29" w:rsidRPr="00872293">
        <w:rPr>
          <w:rFonts w:ascii="Times New Roman" w:eastAsia="Times New Roman" w:hAnsi="Times New Roman" w:cs="Times New Roman"/>
        </w:rPr>
        <w:t>a</w:t>
      </w:r>
      <w:r w:rsidR="00C50358" w:rsidRPr="00872293">
        <w:rPr>
          <w:rFonts w:ascii="Times New Roman" w:eastAsia="Times New Roman" w:hAnsi="Times New Roman" w:cs="Times New Roman"/>
        </w:rPr>
        <w:t xml:space="preserve">), Cuevas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C50358" w:rsidRPr="00872293">
        <w:rPr>
          <w:rFonts w:ascii="Times New Roman" w:eastAsia="Times New Roman" w:hAnsi="Times New Roman" w:cs="Times New Roman"/>
        </w:rPr>
        <w:t>(1991), and Lugo (1992). Colón</w:t>
      </w:r>
      <w:r w:rsidR="00AC68E1" w:rsidRPr="00872293">
        <w:rPr>
          <w:rFonts w:ascii="Times New Roman" w:eastAsia="Times New Roman" w:hAnsi="Times New Roman" w:cs="Times New Roman"/>
        </w:rPr>
        <w:t xml:space="preserve"> &amp; Lugo</w:t>
      </w:r>
      <w:r w:rsidR="00C50358" w:rsidRPr="00872293">
        <w:rPr>
          <w:rFonts w:ascii="Times New Roman" w:eastAsia="Times New Roman" w:hAnsi="Times New Roman" w:cs="Times New Roman"/>
        </w:rPr>
        <w:t xml:space="preserve"> (2006) and </w:t>
      </w:r>
      <w:proofErr w:type="spellStart"/>
      <w:r w:rsidR="00C50358" w:rsidRPr="00872293">
        <w:rPr>
          <w:rFonts w:ascii="Times New Roman" w:eastAsia="Times New Roman" w:hAnsi="Times New Roman" w:cs="Times New Roman"/>
        </w:rPr>
        <w:t>Teh</w:t>
      </w:r>
      <w:proofErr w:type="spellEnd"/>
      <w:r w:rsidR="00C50358" w:rsidRPr="00872293">
        <w:rPr>
          <w:rFonts w:ascii="Times New Roman" w:eastAsia="Times New Roman" w:hAnsi="Times New Roman" w:cs="Times New Roman"/>
        </w:rPr>
        <w:t xml:space="preserve">, Silver &amp; </w:t>
      </w:r>
      <w:proofErr w:type="spellStart"/>
      <w:r w:rsidR="00C50358" w:rsidRPr="00872293">
        <w:rPr>
          <w:rFonts w:ascii="Times New Roman" w:eastAsia="Times New Roman" w:hAnsi="Times New Roman" w:cs="Times New Roman"/>
        </w:rPr>
        <w:t>Scatena</w:t>
      </w:r>
      <w:proofErr w:type="spellEnd"/>
      <w:r w:rsidR="00C50358" w:rsidRPr="00872293">
        <w:rPr>
          <w:rFonts w:ascii="Times New Roman" w:eastAsia="Times New Roman" w:hAnsi="Times New Roman" w:cs="Times New Roman"/>
        </w:rPr>
        <w:t xml:space="preserve"> (2009) also provided raw data for this review</w:t>
      </w:r>
      <w:r w:rsidR="00FE5D53" w:rsidRPr="00872293">
        <w:rPr>
          <w:rFonts w:ascii="Times New Roman" w:eastAsia="Times New Roman" w:hAnsi="Times New Roman" w:cs="Times New Roman"/>
        </w:rPr>
        <w:t>.</w:t>
      </w:r>
      <w:r w:rsidR="00F17A65" w:rsidRPr="00872293">
        <w:rPr>
          <w:rFonts w:ascii="Times New Roman" w:eastAsia="Times New Roman" w:hAnsi="Times New Roman" w:cs="Times New Roman"/>
        </w:rPr>
        <w:t xml:space="preserve"> </w:t>
      </w:r>
      <w:r w:rsidR="009502EB" w:rsidRPr="00872293">
        <w:rPr>
          <w:rFonts w:ascii="Times New Roman" w:eastAsia="Times New Roman" w:hAnsi="Times New Roman" w:cs="Times New Roman"/>
        </w:rPr>
        <w:t>Our database contains</w:t>
      </w:r>
      <w:r w:rsidR="003F04CA" w:rsidRPr="00872293">
        <w:rPr>
          <w:rFonts w:ascii="Times New Roman" w:eastAsia="Times New Roman" w:hAnsi="Times New Roman" w:cs="Times New Roman"/>
        </w:rPr>
        <w:t xml:space="preserve"> 1</w:t>
      </w:r>
      <w:r w:rsidR="001B5A67" w:rsidRPr="00872293">
        <w:rPr>
          <w:rFonts w:ascii="Times New Roman" w:eastAsia="Times New Roman" w:hAnsi="Times New Roman" w:cs="Times New Roman"/>
        </w:rPr>
        <w:t>,</w:t>
      </w:r>
      <w:r w:rsidR="003F04CA" w:rsidRPr="00872293">
        <w:rPr>
          <w:rFonts w:ascii="Times New Roman" w:eastAsia="Times New Roman" w:hAnsi="Times New Roman" w:cs="Times New Roman"/>
        </w:rPr>
        <w:t>091</w:t>
      </w:r>
      <w:r w:rsidR="009502EB" w:rsidRPr="00872293">
        <w:rPr>
          <w:rFonts w:ascii="Times New Roman" w:eastAsia="Times New Roman" w:hAnsi="Times New Roman" w:cs="Times New Roman"/>
        </w:rPr>
        <w:t xml:space="preserve"> records from</w:t>
      </w:r>
      <w:r w:rsidR="00F17A65" w:rsidRPr="00872293">
        <w:rPr>
          <w:rFonts w:ascii="Times New Roman" w:eastAsia="Times New Roman" w:hAnsi="Times New Roman" w:cs="Times New Roman"/>
        </w:rPr>
        <w:t xml:space="preserve"> 46 studies, from which </w:t>
      </w:r>
      <w:r w:rsidR="00C04A2C" w:rsidRPr="00872293">
        <w:rPr>
          <w:rFonts w:ascii="Times New Roman" w:eastAsia="Times New Roman" w:hAnsi="Times New Roman" w:cs="Times New Roman"/>
        </w:rPr>
        <w:t xml:space="preserve">eight </w:t>
      </w:r>
      <w:r w:rsidR="003F04CA" w:rsidRPr="00872293">
        <w:rPr>
          <w:rFonts w:ascii="Times New Roman" w:eastAsia="Times New Roman" w:hAnsi="Times New Roman" w:cs="Times New Roman"/>
        </w:rPr>
        <w:t xml:space="preserve">studies </w:t>
      </w:r>
      <w:r w:rsidR="00C04A2C" w:rsidRPr="00872293">
        <w:rPr>
          <w:rFonts w:ascii="Times New Roman" w:eastAsia="Times New Roman" w:hAnsi="Times New Roman" w:cs="Times New Roman"/>
        </w:rPr>
        <w:t xml:space="preserve">are </w:t>
      </w:r>
      <w:r w:rsidR="00F17A65" w:rsidRPr="00872293">
        <w:rPr>
          <w:rFonts w:ascii="Times New Roman" w:eastAsia="Times New Roman" w:hAnsi="Times New Roman" w:cs="Times New Roman"/>
        </w:rPr>
        <w:t>in Spanish.</w:t>
      </w:r>
      <w:r w:rsidR="00FC7FDE" w:rsidRPr="00872293">
        <w:rPr>
          <w:rFonts w:ascii="Times New Roman" w:hAnsi="Times New Roman" w:cs="Times New Roman"/>
        </w:rPr>
        <w:t xml:space="preserve"> </w:t>
      </w:r>
    </w:p>
    <w:p w14:paraId="2162477B" w14:textId="77777777" w:rsidR="0098150C" w:rsidRPr="00872293" w:rsidRDefault="0098150C" w:rsidP="003C456F">
      <w:pPr>
        <w:autoSpaceDE w:val="0"/>
        <w:autoSpaceDN w:val="0"/>
        <w:adjustRightInd w:val="0"/>
        <w:spacing w:line="360" w:lineRule="auto"/>
        <w:rPr>
          <w:rFonts w:ascii="Times New Roman" w:eastAsia="Times New Roman" w:hAnsi="Times New Roman" w:cs="Times New Roman"/>
        </w:rPr>
      </w:pPr>
    </w:p>
    <w:p w14:paraId="525CF6D3" w14:textId="77777777" w:rsidR="00C96861" w:rsidRPr="00872293" w:rsidRDefault="00C50358" w:rsidP="003C456F">
      <w:pPr>
        <w:autoSpaceDE w:val="0"/>
        <w:autoSpaceDN w:val="0"/>
        <w:adjustRightInd w:val="0"/>
        <w:spacing w:line="360" w:lineRule="auto"/>
        <w:rPr>
          <w:rFonts w:ascii="Times New Roman" w:hAnsi="Times New Roman" w:cs="Times New Roman"/>
        </w:rPr>
      </w:pPr>
      <w:r w:rsidRPr="00872293">
        <w:rPr>
          <w:rFonts w:ascii="Times New Roman" w:eastAsia="Times New Roman" w:hAnsi="Times New Roman" w:cs="Times New Roman"/>
        </w:rPr>
        <w:t>To compare Puerto Rico’s data with other tropical</w:t>
      </w:r>
      <w:r w:rsidR="00CE7B03" w:rsidRPr="00872293">
        <w:rPr>
          <w:rFonts w:ascii="Times New Roman" w:eastAsia="Times New Roman" w:hAnsi="Times New Roman" w:cs="Times New Roman"/>
        </w:rPr>
        <w:t xml:space="preserve"> and </w:t>
      </w:r>
      <w:r w:rsidRPr="00872293">
        <w:rPr>
          <w:rFonts w:ascii="Times New Roman" w:eastAsia="Times New Roman" w:hAnsi="Times New Roman" w:cs="Times New Roman"/>
        </w:rPr>
        <w:t xml:space="preserve">global studies, </w:t>
      </w:r>
      <w:r w:rsidR="009303D6"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data from FRED (Fine</w:t>
      </w:r>
      <w:r w:rsidR="00E21808" w:rsidRPr="00872293">
        <w:rPr>
          <w:rFonts w:ascii="Times New Roman" w:eastAsia="Times New Roman" w:hAnsi="Times New Roman" w:cs="Times New Roman"/>
        </w:rPr>
        <w:t>-</w:t>
      </w:r>
      <w:r w:rsidRPr="00872293">
        <w:rPr>
          <w:rFonts w:ascii="Times New Roman" w:eastAsia="Times New Roman" w:hAnsi="Times New Roman" w:cs="Times New Roman"/>
        </w:rPr>
        <w:t>Root Ecology Database Version 2</w:t>
      </w:r>
      <w:r w:rsidR="009502EB" w:rsidRPr="00872293">
        <w:rPr>
          <w:rFonts w:ascii="Times New Roman" w:eastAsia="Times New Roman" w:hAnsi="Times New Roman" w:cs="Times New Roman"/>
        </w:rPr>
        <w:t>, http</w:t>
      </w:r>
      <w:r w:rsidR="00F03849" w:rsidRPr="00872293">
        <w:rPr>
          <w:rFonts w:ascii="Times New Roman" w:eastAsia="Times New Roman" w:hAnsi="Times New Roman" w:cs="Times New Roman"/>
        </w:rPr>
        <w:t>s</w:t>
      </w:r>
      <w:r w:rsidR="009502EB" w:rsidRPr="00872293">
        <w:rPr>
          <w:rFonts w:ascii="Times New Roman" w:eastAsia="Times New Roman" w:hAnsi="Times New Roman" w:cs="Times New Roman"/>
        </w:rPr>
        <w:t>://root.ornl.gov</w:t>
      </w:r>
      <w:r w:rsidRPr="00872293">
        <w:rPr>
          <w:rFonts w:ascii="Times New Roman" w:eastAsia="Times New Roman" w:hAnsi="Times New Roman" w:cs="Times New Roman"/>
        </w:rPr>
        <w:t>)</w:t>
      </w:r>
      <w:r w:rsidR="002A2EDF" w:rsidRPr="00872293">
        <w:rPr>
          <w:rFonts w:ascii="Times New Roman" w:eastAsia="Times New Roman" w:hAnsi="Times New Roman" w:cs="Times New Roman"/>
        </w:rPr>
        <w:t>.</w:t>
      </w:r>
      <w:r w:rsidR="00633FA5"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To compare root biomass by depth in both dry and wet forests, </w:t>
      </w:r>
      <w:r w:rsidR="009303D6"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defined fine roots as all roots less </w:t>
      </w:r>
      <w:r w:rsidR="009303D6" w:rsidRPr="00872293">
        <w:rPr>
          <w:rFonts w:ascii="Times New Roman" w:eastAsia="Times New Roman" w:hAnsi="Times New Roman" w:cs="Times New Roman"/>
        </w:rPr>
        <w:t xml:space="preserve">than </w:t>
      </w:r>
      <w:r w:rsidRPr="00872293">
        <w:rPr>
          <w:rFonts w:ascii="Times New Roman" w:eastAsia="Times New Roman" w:hAnsi="Times New Roman" w:cs="Times New Roman"/>
        </w:rPr>
        <w:t xml:space="preserve">or equal to 2 mm in diameter. When a study </w:t>
      </w:r>
      <w:r w:rsidR="009303D6" w:rsidRPr="00872293">
        <w:rPr>
          <w:rFonts w:ascii="Times New Roman" w:eastAsia="Times New Roman" w:hAnsi="Times New Roman" w:cs="Times New Roman"/>
        </w:rPr>
        <w:t>involved</w:t>
      </w:r>
      <w:r w:rsidRPr="00872293">
        <w:rPr>
          <w:rFonts w:ascii="Times New Roman" w:eastAsia="Times New Roman" w:hAnsi="Times New Roman" w:cs="Times New Roman"/>
        </w:rPr>
        <w:t xml:space="preserve"> experimental</w:t>
      </w:r>
      <w:r w:rsidR="009303D6" w:rsidRPr="00872293">
        <w:rPr>
          <w:rFonts w:ascii="Times New Roman" w:eastAsia="Times New Roman" w:hAnsi="Times New Roman" w:cs="Times New Roman"/>
        </w:rPr>
        <w:t xml:space="preserve"> manipulations</w:t>
      </w:r>
      <w:r w:rsidRPr="00872293">
        <w:rPr>
          <w:rFonts w:ascii="Times New Roman" w:eastAsia="Times New Roman" w:hAnsi="Times New Roman" w:cs="Times New Roman"/>
        </w:rPr>
        <w:t xml:space="preserve">,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only the control data for biomass and chemistry comparisons. </w:t>
      </w:r>
      <w:bookmarkStart w:id="15" w:name="_Hlk28263489"/>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modeled root vertical distribution based on </w:t>
      </w:r>
      <w:r w:rsidR="00AC19CD" w:rsidRPr="00872293">
        <w:rPr>
          <w:rFonts w:ascii="Times New Roman" w:eastAsia="Times New Roman" w:hAnsi="Times New Roman" w:cs="Times New Roman"/>
        </w:rPr>
        <w:t xml:space="preserve">Gale &amp; </w:t>
      </w:r>
      <w:proofErr w:type="spellStart"/>
      <w:r w:rsidR="00AC19CD" w:rsidRPr="00872293">
        <w:rPr>
          <w:rFonts w:ascii="Times New Roman" w:eastAsia="Times New Roman" w:hAnsi="Times New Roman" w:cs="Times New Roman"/>
        </w:rPr>
        <w:t>Grigal</w:t>
      </w:r>
      <w:proofErr w:type="spellEnd"/>
      <w:r w:rsidR="00AC19CD" w:rsidRPr="00872293">
        <w:rPr>
          <w:rFonts w:ascii="Times New Roman" w:eastAsia="Times New Roman" w:hAnsi="Times New Roman" w:cs="Times New Roman"/>
        </w:rPr>
        <w:t xml:space="preserve"> (1987)</w:t>
      </w:r>
      <w:r w:rsidR="00AC19CD" w:rsidRPr="00872293">
        <w:rPr>
          <w:rFonts w:ascii="Times New Roman" w:hAnsi="Times New Roman" w:cs="Times New Roman"/>
        </w:rPr>
        <w:t xml:space="preserve"> asymptotic equation Y = 1-</w:t>
      </w:r>
      <w:r w:rsidR="00EE2BAE" w:rsidRPr="00872293">
        <w:rPr>
          <w:rFonts w:ascii="Times New Roman" w:hAnsi="Times New Roman" w:cs="Times New Roman"/>
        </w:rPr>
        <w:t>ß</w:t>
      </w:r>
      <w:r w:rsidR="00EE2BAE" w:rsidRPr="00872293">
        <w:rPr>
          <w:rFonts w:ascii="Times New Roman" w:hAnsi="Times New Roman" w:cs="Times New Roman"/>
          <w:vertAlign w:val="superscript"/>
        </w:rPr>
        <w:t>d</w:t>
      </w:r>
      <w:r w:rsidR="00AC19CD" w:rsidRPr="00872293">
        <w:rPr>
          <w:rFonts w:ascii="Times New Roman" w:hAnsi="Times New Roman" w:cs="Times New Roman"/>
        </w:rPr>
        <w:t>, where d is depth</w:t>
      </w:r>
      <w:r w:rsidR="00CF3E2A" w:rsidRPr="00872293">
        <w:rPr>
          <w:rFonts w:ascii="Times New Roman" w:hAnsi="Times New Roman" w:cs="Times New Roman"/>
        </w:rPr>
        <w:t>,</w:t>
      </w:r>
      <w:r w:rsidR="00AC19CD" w:rsidRPr="00872293">
        <w:rPr>
          <w:rFonts w:ascii="Times New Roman" w:hAnsi="Times New Roman" w:cs="Times New Roman"/>
        </w:rPr>
        <w:t xml:space="preserve"> Y is the proportion of roots from the surface to depth d</w:t>
      </w:r>
      <w:r w:rsidR="00CF3E2A" w:rsidRPr="00872293">
        <w:rPr>
          <w:rFonts w:ascii="Times New Roman" w:hAnsi="Times New Roman" w:cs="Times New Roman"/>
        </w:rPr>
        <w:t>, and</w:t>
      </w:r>
      <w:r w:rsidR="00AC19CD" w:rsidRPr="00872293">
        <w:rPr>
          <w:rFonts w:ascii="Times New Roman" w:hAnsi="Times New Roman" w:cs="Times New Roman"/>
        </w:rPr>
        <w:t xml:space="preserve"> beta is the numerical index of rooting distribution</w:t>
      </w:r>
      <w:r w:rsidR="00CF3E2A" w:rsidRPr="00872293">
        <w:rPr>
          <w:rFonts w:ascii="Times New Roman" w:hAnsi="Times New Roman" w:cs="Times New Roman"/>
        </w:rPr>
        <w:t xml:space="preserve"> (</w:t>
      </w:r>
      <w:r w:rsidR="00ED21CA" w:rsidRPr="00872293">
        <w:rPr>
          <w:rFonts w:ascii="Times New Roman" w:hAnsi="Times New Roman" w:cs="Times New Roman"/>
        </w:rPr>
        <w:t xml:space="preserve">Jackson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ED21CA" w:rsidRPr="00872293">
        <w:rPr>
          <w:rFonts w:ascii="Times New Roman" w:hAnsi="Times New Roman" w:cs="Times New Roman"/>
        </w:rPr>
        <w:t>1996</w:t>
      </w:r>
      <w:r w:rsidR="00CF3E2A" w:rsidRPr="00872293">
        <w:rPr>
          <w:rFonts w:ascii="Times New Roman" w:hAnsi="Times New Roman" w:cs="Times New Roman"/>
        </w:rPr>
        <w:t>)</w:t>
      </w:r>
      <w:r w:rsidR="00AC19CD" w:rsidRPr="00872293">
        <w:rPr>
          <w:rFonts w:ascii="Times New Roman" w:hAnsi="Times New Roman" w:cs="Times New Roman"/>
        </w:rPr>
        <w:t xml:space="preserve">. High values of </w:t>
      </w:r>
      <w:r w:rsidR="00E21808" w:rsidRPr="00872293">
        <w:rPr>
          <w:rFonts w:ascii="Times New Roman" w:hAnsi="Times New Roman" w:cs="Times New Roman"/>
        </w:rPr>
        <w:t xml:space="preserve">beta </w:t>
      </w:r>
      <w:r w:rsidR="00AC19CD" w:rsidRPr="00872293">
        <w:rPr>
          <w:rFonts w:ascii="Times New Roman" w:hAnsi="Times New Roman" w:cs="Times New Roman"/>
        </w:rPr>
        <w:t>represent deeper rooting</w:t>
      </w:r>
      <w:bookmarkEnd w:id="15"/>
      <w:r w:rsidR="00AC19CD" w:rsidRPr="00872293">
        <w:rPr>
          <w:rFonts w:ascii="Times New Roman" w:hAnsi="Times New Roman" w:cs="Times New Roman"/>
        </w:rPr>
        <w:t xml:space="preserve">. </w:t>
      </w:r>
      <w:r w:rsidRPr="00872293">
        <w:rPr>
          <w:rFonts w:ascii="Times New Roman" w:eastAsia="Times New Roman" w:hAnsi="Times New Roman" w:cs="Times New Roman"/>
        </w:rPr>
        <w:t>For this</w:t>
      </w:r>
      <w:r w:rsidR="00863057" w:rsidRPr="00872293">
        <w:rPr>
          <w:rFonts w:ascii="Times New Roman" w:eastAsia="Times New Roman" w:hAnsi="Times New Roman" w:cs="Times New Roman"/>
        </w:rPr>
        <w:t>,</w:t>
      </w:r>
      <w:r w:rsidRPr="00872293">
        <w:rPr>
          <w:rFonts w:ascii="Times New Roman" w:eastAsia="Times New Roman" w:hAnsi="Times New Roman" w:cs="Times New Roman"/>
        </w:rPr>
        <w:t xml:space="preserve">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cumulative </w:t>
      </w:r>
      <w:r w:rsidR="00E21808" w:rsidRPr="00872293">
        <w:rPr>
          <w:rFonts w:ascii="Times New Roman" w:eastAsia="Times New Roman" w:hAnsi="Times New Roman" w:cs="Times New Roman"/>
        </w:rPr>
        <w:t xml:space="preserve">fraction </w:t>
      </w:r>
      <w:r w:rsidRPr="00872293">
        <w:rPr>
          <w:rFonts w:ascii="Times New Roman" w:eastAsia="Times New Roman" w:hAnsi="Times New Roman" w:cs="Times New Roman"/>
        </w:rPr>
        <w:t xml:space="preserve">of biomass </w:t>
      </w:r>
      <w:r w:rsidR="00C321BD" w:rsidRPr="00872293">
        <w:rPr>
          <w:rFonts w:ascii="Times New Roman" w:eastAsia="Times New Roman" w:hAnsi="Times New Roman" w:cs="Times New Roman"/>
        </w:rPr>
        <w:t xml:space="preserve">for </w:t>
      </w:r>
      <w:r w:rsidRPr="00872293">
        <w:rPr>
          <w:rFonts w:ascii="Times New Roman" w:eastAsia="Times New Roman" w:hAnsi="Times New Roman" w:cs="Times New Roman"/>
        </w:rPr>
        <w:t xml:space="preserve">all studies that classified root biomass by depth, including fine roots and mixed roots.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calculated the beta for only the studies </w:t>
      </w:r>
      <w:r w:rsidR="009303D6" w:rsidRPr="00872293">
        <w:rPr>
          <w:rFonts w:ascii="Times New Roman" w:eastAsia="Times New Roman" w:hAnsi="Times New Roman" w:cs="Times New Roman"/>
        </w:rPr>
        <w:t xml:space="preserve">in </w:t>
      </w:r>
      <w:r w:rsidRPr="00872293">
        <w:rPr>
          <w:rFonts w:ascii="Times New Roman" w:eastAsia="Times New Roman" w:hAnsi="Times New Roman" w:cs="Times New Roman"/>
        </w:rPr>
        <w:t xml:space="preserve">which root biomass reached 70 cm or more, and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compared it with the beta when using all the studies regardless of the maximum depth.</w:t>
      </w:r>
    </w:p>
    <w:p w14:paraId="5375DEE2" w14:textId="77777777" w:rsidR="0098150C" w:rsidRPr="00872293" w:rsidRDefault="0098150C" w:rsidP="0098150C">
      <w:pPr>
        <w:spacing w:line="360" w:lineRule="auto"/>
        <w:rPr>
          <w:rFonts w:ascii="Times New Roman" w:eastAsia="Times New Roman" w:hAnsi="Times New Roman" w:cs="Times New Roman"/>
        </w:rPr>
      </w:pPr>
    </w:p>
    <w:p w14:paraId="6BF462F5" w14:textId="452D3350" w:rsidR="00C96861" w:rsidRPr="00872293" w:rsidRDefault="00C50358" w:rsidP="0098150C">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To compare </w:t>
      </w:r>
      <w:proofErr w:type="spellStart"/>
      <w:r w:rsidRPr="00872293">
        <w:rPr>
          <w:rFonts w:ascii="Times New Roman" w:eastAsia="Times New Roman" w:hAnsi="Times New Roman" w:cs="Times New Roman"/>
        </w:rPr>
        <w:t>root:shoot</w:t>
      </w:r>
      <w:proofErr w:type="spellEnd"/>
      <w:r w:rsidRPr="00872293">
        <w:rPr>
          <w:rFonts w:ascii="Times New Roman" w:eastAsia="Times New Roman" w:hAnsi="Times New Roman" w:cs="Times New Roman"/>
        </w:rPr>
        <w:t xml:space="preserve"> ratio, </w:t>
      </w:r>
      <w:r w:rsidR="00FC6498" w:rsidRPr="00872293">
        <w:rPr>
          <w:rFonts w:ascii="Times New Roman" w:eastAsia="Times New Roman" w:hAnsi="Times New Roman" w:cs="Times New Roman"/>
        </w:rPr>
        <w:t xml:space="preserve">we </w:t>
      </w:r>
      <w:r w:rsidRPr="00872293">
        <w:rPr>
          <w:rFonts w:ascii="Times New Roman" w:eastAsia="Times New Roman" w:hAnsi="Times New Roman" w:cs="Times New Roman"/>
        </w:rPr>
        <w:t xml:space="preserve">used data that </w:t>
      </w:r>
      <w:r w:rsidR="003C3115" w:rsidRPr="00872293">
        <w:rPr>
          <w:rFonts w:ascii="Times New Roman" w:eastAsia="Times New Roman" w:hAnsi="Times New Roman" w:cs="Times New Roman"/>
        </w:rPr>
        <w:t xml:space="preserve">were </w:t>
      </w:r>
      <w:r w:rsidRPr="00872293">
        <w:rPr>
          <w:rFonts w:ascii="Times New Roman" w:eastAsia="Times New Roman" w:hAnsi="Times New Roman" w:cs="Times New Roman"/>
        </w:rPr>
        <w:t>collected using the destructive method (whole tree sampl</w:t>
      </w:r>
      <w:r w:rsidR="009303D6" w:rsidRPr="00872293">
        <w:rPr>
          <w:rFonts w:ascii="Times New Roman" w:eastAsia="Times New Roman" w:hAnsi="Times New Roman" w:cs="Times New Roman"/>
        </w:rPr>
        <w:t>ing</w:t>
      </w:r>
      <w:r w:rsidRPr="00872293">
        <w:rPr>
          <w:rFonts w:ascii="Times New Roman" w:eastAsia="Times New Roman" w:hAnsi="Times New Roman" w:cs="Times New Roman"/>
        </w:rPr>
        <w:t xml:space="preserve">) and reported both belowground (fine + coarse roots) and aboveground biomass </w:t>
      </w:r>
      <w:r w:rsidR="00B92747" w:rsidRPr="00872293">
        <w:rPr>
          <w:rFonts w:ascii="Times New Roman" w:eastAsia="Times New Roman" w:hAnsi="Times New Roman" w:cs="Times New Roman"/>
        </w:rPr>
        <w:t xml:space="preserve">at the record level </w:t>
      </w:r>
      <w:r w:rsidRPr="00872293">
        <w:rPr>
          <w:rFonts w:ascii="Times New Roman" w:eastAsia="Times New Roman" w:hAnsi="Times New Roman" w:cs="Times New Roman"/>
        </w:rPr>
        <w:t>(trunk + branches + leaves)</w:t>
      </w:r>
      <w:r w:rsidR="00B55A6F" w:rsidRPr="00872293">
        <w:rPr>
          <w:rFonts w:ascii="Times New Roman" w:eastAsia="Times New Roman" w:hAnsi="Times New Roman" w:cs="Times New Roman"/>
        </w:rPr>
        <w:t xml:space="preserve"> from species with at least three individuals</w:t>
      </w:r>
      <w:r w:rsidRPr="00872293">
        <w:rPr>
          <w:rFonts w:ascii="Times New Roman" w:eastAsia="Times New Roman" w:hAnsi="Times New Roman" w:cs="Times New Roman"/>
        </w:rPr>
        <w:t xml:space="preserve">.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calculated </w:t>
      </w:r>
      <w:proofErr w:type="spellStart"/>
      <w:r w:rsidRPr="00872293">
        <w:rPr>
          <w:rFonts w:ascii="Times New Roman" w:eastAsia="Times New Roman" w:hAnsi="Times New Roman" w:cs="Times New Roman"/>
        </w:rPr>
        <w:t>root:shoot</w:t>
      </w:r>
      <w:proofErr w:type="spellEnd"/>
      <w:r w:rsidRPr="00872293">
        <w:rPr>
          <w:rFonts w:ascii="Times New Roman" w:eastAsia="Times New Roman" w:hAnsi="Times New Roman" w:cs="Times New Roman"/>
        </w:rPr>
        <w:t xml:space="preserve"> ratio by dividing </w:t>
      </w:r>
      <w:r w:rsidR="00EE3501" w:rsidRPr="00872293">
        <w:rPr>
          <w:rFonts w:ascii="Times New Roman" w:eastAsia="Times New Roman" w:hAnsi="Times New Roman" w:cs="Times New Roman"/>
        </w:rPr>
        <w:t>belowground</w:t>
      </w:r>
      <w:r w:rsidRPr="00872293">
        <w:rPr>
          <w:rFonts w:ascii="Times New Roman" w:eastAsia="Times New Roman" w:hAnsi="Times New Roman" w:cs="Times New Roman"/>
        </w:rPr>
        <w:t xml:space="preserve"> biomass by </w:t>
      </w:r>
      <w:r w:rsidR="00EE3501" w:rsidRPr="00872293">
        <w:rPr>
          <w:rFonts w:ascii="Times New Roman" w:eastAsia="Times New Roman" w:hAnsi="Times New Roman" w:cs="Times New Roman"/>
        </w:rPr>
        <w:t xml:space="preserve">aboveground </w:t>
      </w:r>
      <w:r w:rsidRPr="00872293">
        <w:rPr>
          <w:rFonts w:ascii="Times New Roman" w:eastAsia="Times New Roman" w:hAnsi="Times New Roman" w:cs="Times New Roman"/>
        </w:rPr>
        <w:t>biomass from each sp</w:t>
      </w:r>
      <w:r w:rsidR="00422FBB" w:rsidRPr="00872293">
        <w:rPr>
          <w:rFonts w:ascii="Times New Roman" w:eastAsia="Times New Roman" w:hAnsi="Times New Roman" w:cs="Times New Roman"/>
        </w:rPr>
        <w:t>ecies</w:t>
      </w:r>
      <w:r w:rsidRPr="00872293">
        <w:rPr>
          <w:rFonts w:ascii="Times New Roman" w:eastAsia="Times New Roman" w:hAnsi="Times New Roman" w:cs="Times New Roman"/>
        </w:rPr>
        <w:t xml:space="preserve">. To compare Puerto Rico </w:t>
      </w:r>
      <w:proofErr w:type="spellStart"/>
      <w:r w:rsidRPr="00872293">
        <w:rPr>
          <w:rFonts w:ascii="Times New Roman" w:eastAsia="Times New Roman" w:hAnsi="Times New Roman" w:cs="Times New Roman"/>
        </w:rPr>
        <w:t>root:shoot</w:t>
      </w:r>
      <w:proofErr w:type="spellEnd"/>
      <w:r w:rsidRPr="00872293">
        <w:rPr>
          <w:rFonts w:ascii="Times New Roman" w:eastAsia="Times New Roman" w:hAnsi="Times New Roman" w:cs="Times New Roman"/>
        </w:rPr>
        <w:t xml:space="preserve"> ratio data with global</w:t>
      </w:r>
      <w:r w:rsidR="00E66E0A" w:rsidRPr="00872293">
        <w:rPr>
          <w:rFonts w:ascii="Times New Roman" w:eastAsia="Times New Roman" w:hAnsi="Times New Roman" w:cs="Times New Roman"/>
        </w:rPr>
        <w:t xml:space="preserve"> </w:t>
      </w:r>
      <w:r w:rsidRPr="00872293">
        <w:rPr>
          <w:rFonts w:ascii="Times New Roman" w:eastAsia="Times New Roman" w:hAnsi="Times New Roman" w:cs="Times New Roman"/>
        </w:rPr>
        <w:t>meta</w:t>
      </w:r>
      <w:r w:rsidR="00A17B85" w:rsidRPr="00872293">
        <w:rPr>
          <w:rFonts w:ascii="Times New Roman" w:eastAsia="Times New Roman" w:hAnsi="Times New Roman" w:cs="Times New Roman"/>
        </w:rPr>
        <w:t>-a</w:t>
      </w:r>
      <w:r w:rsidRPr="00872293">
        <w:rPr>
          <w:rFonts w:ascii="Times New Roman" w:eastAsia="Times New Roman" w:hAnsi="Times New Roman" w:cs="Times New Roman"/>
        </w:rPr>
        <w:t xml:space="preserve">nalyses from Cairns </w:t>
      </w:r>
      <w:r w:rsidR="00901885" w:rsidRPr="00872293">
        <w:rPr>
          <w:rFonts w:ascii="Times New Roman" w:eastAsia="Times New Roman" w:hAnsi="Times New Roman" w:cs="Times New Roman"/>
          <w:i/>
          <w:iCs/>
        </w:rPr>
        <w:t>et al</w:t>
      </w:r>
      <w:r w:rsidR="00901885" w:rsidRPr="00872293">
        <w:rPr>
          <w:rFonts w:ascii="Times New Roman" w:eastAsia="Times New Roman" w:hAnsi="Times New Roman" w:cs="Times New Roman"/>
        </w:rPr>
        <w:t>.</w:t>
      </w:r>
      <w:r w:rsidR="0036434B" w:rsidRPr="00872293">
        <w:rPr>
          <w:rFonts w:ascii="Times New Roman" w:eastAsia="Times New Roman" w:hAnsi="Times New Roman" w:cs="Times New Roman"/>
          <w:i/>
        </w:rPr>
        <w:t xml:space="preserve"> </w:t>
      </w:r>
      <w:r w:rsidRPr="00872293">
        <w:rPr>
          <w:rFonts w:ascii="Times New Roman" w:eastAsia="Times New Roman" w:hAnsi="Times New Roman" w:cs="Times New Roman"/>
        </w:rPr>
        <w:t>(1997)</w:t>
      </w:r>
      <w:r w:rsidR="00C84DA9" w:rsidRPr="00872293">
        <w:rPr>
          <w:rFonts w:ascii="Times New Roman" w:eastAsia="Times New Roman" w:hAnsi="Times New Roman" w:cs="Times New Roman"/>
        </w:rPr>
        <w:t xml:space="preserve"> and </w:t>
      </w:r>
      <w:proofErr w:type="spellStart"/>
      <w:r w:rsidR="00C84DA9" w:rsidRPr="00872293">
        <w:rPr>
          <w:rFonts w:ascii="Times New Roman" w:eastAsia="Times New Roman" w:hAnsi="Times New Roman" w:cs="Times New Roman"/>
        </w:rPr>
        <w:t>Mokany</w:t>
      </w:r>
      <w:proofErr w:type="spellEnd"/>
      <w:r w:rsidR="00C84DA9" w:rsidRPr="00872293">
        <w:rPr>
          <w:rFonts w:ascii="Times New Roman" w:eastAsia="Times New Roman" w:hAnsi="Times New Roman" w:cs="Times New Roman"/>
        </w:rPr>
        <w:t xml:space="preserve"> </w:t>
      </w:r>
      <w:r w:rsidR="00C84DA9" w:rsidRPr="00872293">
        <w:rPr>
          <w:rFonts w:ascii="Times New Roman" w:eastAsia="Times New Roman" w:hAnsi="Times New Roman" w:cs="Times New Roman"/>
          <w:i/>
          <w:iCs/>
        </w:rPr>
        <w:t>et al.</w:t>
      </w:r>
      <w:r w:rsidR="00C84DA9" w:rsidRPr="00872293">
        <w:rPr>
          <w:rFonts w:ascii="Times New Roman" w:eastAsia="Times New Roman" w:hAnsi="Times New Roman" w:cs="Times New Roman"/>
          <w:i/>
        </w:rPr>
        <w:t xml:space="preserve"> </w:t>
      </w:r>
      <w:r w:rsidR="00C84DA9" w:rsidRPr="00872293">
        <w:rPr>
          <w:rFonts w:ascii="Times New Roman" w:eastAsia="Times New Roman" w:hAnsi="Times New Roman" w:cs="Times New Roman"/>
        </w:rPr>
        <w:t>(2006),</w:t>
      </w:r>
      <w:r w:rsidRPr="00872293">
        <w:rPr>
          <w:rFonts w:ascii="Times New Roman" w:eastAsia="Times New Roman" w:hAnsi="Times New Roman" w:cs="Times New Roman"/>
        </w:rPr>
        <w:t xml:space="preserve"> </w:t>
      </w:r>
      <w:r w:rsidR="00C84DA9"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the same formula as their </w:t>
      </w:r>
      <w:r w:rsidRPr="00872293">
        <w:rPr>
          <w:rFonts w:ascii="Times New Roman" w:eastAsia="Times New Roman" w:hAnsi="Times New Roman" w:cs="Times New Roman"/>
        </w:rPr>
        <w:lastRenderedPageBreak/>
        <w:t>methods: root</w:t>
      </w:r>
      <w:r w:rsidR="00E66E0A" w:rsidRPr="00872293">
        <w:rPr>
          <w:rFonts w:ascii="Times New Roman" w:eastAsia="Times New Roman" w:hAnsi="Times New Roman" w:cs="Times New Roman"/>
        </w:rPr>
        <w:t xml:space="preserve"> </w:t>
      </w:r>
      <w:r w:rsidRPr="00872293">
        <w:rPr>
          <w:rFonts w:ascii="Times New Roman" w:eastAsia="Times New Roman" w:hAnsi="Times New Roman" w:cs="Times New Roman"/>
        </w:rPr>
        <w:t>biomass</w:t>
      </w:r>
      <w:r w:rsidR="00E21808" w:rsidRPr="00872293">
        <w:rPr>
          <w:rFonts w:ascii="Times New Roman" w:eastAsia="Times New Roman" w:hAnsi="Times New Roman" w:cs="Times New Roman"/>
        </w:rPr>
        <w:t xml:space="preserve"> </w:t>
      </w:r>
      <w:r w:rsidRPr="00872293">
        <w:rPr>
          <w:rFonts w:ascii="Times New Roman" w:eastAsia="Times New Roman" w:hAnsi="Times New Roman" w:cs="Times New Roman"/>
        </w:rPr>
        <w:t>=</w:t>
      </w:r>
      <w:r w:rsidR="00E21808"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exp(-1.0850+(0.9256 </w:t>
      </w:r>
      <w:r w:rsidR="00E21808" w:rsidRPr="00872293">
        <w:rPr>
          <w:rFonts w:ascii="Times New Roman" w:eastAsia="Times New Roman" w:hAnsi="Times New Roman" w:cs="Times New Roman"/>
        </w:rPr>
        <w:t>×</w:t>
      </w:r>
      <w:r w:rsidRPr="00872293">
        <w:rPr>
          <w:rFonts w:ascii="Times New Roman" w:eastAsia="Times New Roman" w:hAnsi="Times New Roman" w:cs="Times New Roman"/>
        </w:rPr>
        <w:t xml:space="preserve"> ln(shoot biomass</w:t>
      </w:r>
      <w:r w:rsidR="000B33D3" w:rsidRPr="00872293">
        <w:rPr>
          <w:rFonts w:ascii="Times New Roman" w:eastAsia="Times New Roman" w:hAnsi="Times New Roman" w:cs="Times New Roman"/>
        </w:rPr>
        <w:t xml:space="preserve">)), </w:t>
      </w:r>
      <w:r w:rsidR="00AD0BFF" w:rsidRPr="00872293">
        <w:rPr>
          <w:rFonts w:ascii="Times New Roman" w:eastAsia="Times New Roman" w:hAnsi="Times New Roman" w:cs="Times New Roman"/>
        </w:rPr>
        <w:t>and</w:t>
      </w:r>
      <w:r w:rsidRPr="00872293">
        <w:rPr>
          <w:rFonts w:ascii="Times New Roman" w:eastAsia="Times New Roman" w:hAnsi="Times New Roman" w:cs="Times New Roman"/>
        </w:rPr>
        <w:t xml:space="preserve"> root biomass=0.18</w:t>
      </w:r>
      <w:r w:rsidR="00E21808" w:rsidRPr="00872293">
        <w:rPr>
          <w:rFonts w:ascii="Times New Roman" w:eastAsia="Times New Roman" w:hAnsi="Times New Roman" w:cs="Times New Roman"/>
        </w:rPr>
        <w:t xml:space="preserve"> × </w:t>
      </w:r>
      <w:r w:rsidRPr="00872293">
        <w:rPr>
          <w:rFonts w:ascii="Times New Roman" w:eastAsia="Times New Roman" w:hAnsi="Times New Roman" w:cs="Times New Roman"/>
        </w:rPr>
        <w:t>shoot biomass</w:t>
      </w:r>
      <w:r w:rsidR="00AD0BFF" w:rsidRPr="00872293">
        <w:rPr>
          <w:rFonts w:ascii="Times New Roman" w:eastAsia="Times New Roman" w:hAnsi="Times New Roman" w:cs="Times New Roman"/>
        </w:rPr>
        <w:t>, respectively.</w:t>
      </w:r>
      <w:r w:rsidR="00B74EA9" w:rsidRPr="00872293">
        <w:rPr>
          <w:rFonts w:ascii="Times New Roman" w:eastAsia="Times New Roman" w:hAnsi="Times New Roman" w:cs="Times New Roman"/>
        </w:rPr>
        <w:t xml:space="preserve"> </w:t>
      </w:r>
    </w:p>
    <w:p w14:paraId="72164DCA" w14:textId="77777777" w:rsidR="00363349" w:rsidRPr="00872293" w:rsidRDefault="00363349" w:rsidP="0098150C">
      <w:pPr>
        <w:spacing w:line="360" w:lineRule="auto"/>
        <w:rPr>
          <w:rFonts w:ascii="Times New Roman" w:eastAsia="Times New Roman" w:hAnsi="Times New Roman" w:cs="Times New Roman"/>
          <w:b/>
        </w:rPr>
      </w:pPr>
    </w:p>
    <w:p w14:paraId="19854F8F" w14:textId="426A15C0" w:rsidR="00C96861" w:rsidRPr="00872293" w:rsidRDefault="00C50358" w:rsidP="0098150C">
      <w:pPr>
        <w:spacing w:line="360" w:lineRule="auto"/>
        <w:rPr>
          <w:rFonts w:ascii="Times New Roman" w:hAnsi="Times New Roman" w:cs="Times New Roman"/>
        </w:rPr>
      </w:pPr>
      <w:r w:rsidRPr="00872293">
        <w:rPr>
          <w:rFonts w:ascii="Times New Roman" w:eastAsia="Times New Roman" w:hAnsi="Times New Roman" w:cs="Times New Roman"/>
        </w:rPr>
        <w:t>All statistical analyses were performed in R studio</w:t>
      </w:r>
      <w:r w:rsidR="008E40CA" w:rsidRPr="00872293">
        <w:rPr>
          <w:rFonts w:ascii="Times New Roman" w:eastAsia="Times New Roman" w:hAnsi="Times New Roman" w:cs="Times New Roman"/>
        </w:rPr>
        <w:t xml:space="preserve"> (RStudio Team, 2016)</w:t>
      </w:r>
      <w:r w:rsidRPr="00872293">
        <w:rPr>
          <w:rFonts w:ascii="Times New Roman" w:eastAsia="Times New Roman" w:hAnsi="Times New Roman" w:cs="Times New Roman"/>
        </w:rPr>
        <w:t xml:space="preserve">.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logarithmic regressions to compare root biomass and root nutrient concentrations with depth.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performed simple linear regressions to compare root vs shoot biomass, soil vs root N and P, and fine</w:t>
      </w:r>
      <w:r w:rsidR="00E21808" w:rsidRPr="00872293">
        <w:rPr>
          <w:rFonts w:ascii="Times New Roman" w:eastAsia="Times New Roman" w:hAnsi="Times New Roman" w:cs="Times New Roman"/>
        </w:rPr>
        <w:t>-</w:t>
      </w:r>
      <w:r w:rsidRPr="00872293">
        <w:rPr>
          <w:rFonts w:ascii="Times New Roman" w:eastAsia="Times New Roman" w:hAnsi="Times New Roman" w:cs="Times New Roman"/>
        </w:rPr>
        <w:t xml:space="preserve">root biomass vs soil N. </w:t>
      </w:r>
      <w:r w:rsidR="00FC6498" w:rsidRPr="00872293">
        <w:rPr>
          <w:rFonts w:ascii="Times New Roman" w:eastAsia="Times New Roman" w:hAnsi="Times New Roman" w:cs="Times New Roman"/>
        </w:rPr>
        <w:t>We</w:t>
      </w:r>
      <w:r w:rsidRPr="00872293">
        <w:rPr>
          <w:rFonts w:ascii="Times New Roman" w:eastAsia="Times New Roman" w:hAnsi="Times New Roman" w:cs="Times New Roman"/>
        </w:rPr>
        <w:t xml:space="preserve"> used </w:t>
      </w:r>
      <w:r w:rsidR="002D73BD" w:rsidRPr="00872293">
        <w:rPr>
          <w:rFonts w:ascii="Times New Roman" w:eastAsia="Times New Roman" w:hAnsi="Times New Roman" w:cs="Times New Roman"/>
        </w:rPr>
        <w:t xml:space="preserve">an </w:t>
      </w:r>
      <w:r w:rsidRPr="00872293">
        <w:rPr>
          <w:rFonts w:ascii="Times New Roman" w:eastAsia="Times New Roman" w:hAnsi="Times New Roman" w:cs="Times New Roman"/>
        </w:rPr>
        <w:t>A</w:t>
      </w:r>
      <w:r w:rsidR="00864285" w:rsidRPr="00872293">
        <w:rPr>
          <w:rFonts w:ascii="Times New Roman" w:eastAsia="Times New Roman" w:hAnsi="Times New Roman" w:cs="Times New Roman"/>
        </w:rPr>
        <w:t>NOVA</w:t>
      </w:r>
      <w:r w:rsidRPr="00872293">
        <w:rPr>
          <w:rFonts w:ascii="Times New Roman" w:eastAsia="Times New Roman" w:hAnsi="Times New Roman" w:cs="Times New Roman"/>
        </w:rPr>
        <w:t xml:space="preserve"> to compare </w:t>
      </w:r>
      <w:proofErr w:type="spellStart"/>
      <w:r w:rsidR="00864285" w:rsidRPr="00872293">
        <w:rPr>
          <w:rFonts w:ascii="Times New Roman" w:eastAsia="Times New Roman" w:hAnsi="Times New Roman" w:cs="Times New Roman"/>
        </w:rPr>
        <w:t>r</w:t>
      </w:r>
      <w:r w:rsidRPr="00872293">
        <w:rPr>
          <w:rFonts w:ascii="Times New Roman" w:eastAsia="Times New Roman" w:hAnsi="Times New Roman" w:cs="Times New Roman"/>
        </w:rPr>
        <w:t>oot:shoot</w:t>
      </w:r>
      <w:proofErr w:type="spellEnd"/>
      <w:r w:rsidRPr="00872293">
        <w:rPr>
          <w:rFonts w:ascii="Times New Roman" w:eastAsia="Times New Roman" w:hAnsi="Times New Roman" w:cs="Times New Roman"/>
        </w:rPr>
        <w:t xml:space="preserve"> ratio among species, and N and P among species.</w:t>
      </w:r>
      <w:r w:rsidR="00F856CD" w:rsidRPr="00872293">
        <w:rPr>
          <w:rFonts w:ascii="Times New Roman" w:eastAsia="Times New Roman" w:hAnsi="Times New Roman" w:cs="Times New Roman"/>
        </w:rPr>
        <w:t xml:space="preserve"> We performed an ANCOVA to test the effect o</w:t>
      </w:r>
      <w:r w:rsidR="00DD4419" w:rsidRPr="00872293">
        <w:rPr>
          <w:rFonts w:ascii="Times New Roman" w:eastAsia="Times New Roman" w:hAnsi="Times New Roman" w:cs="Times New Roman"/>
        </w:rPr>
        <w:t>f tree</w:t>
      </w:r>
      <w:r w:rsidR="00F856CD" w:rsidRPr="00872293">
        <w:rPr>
          <w:rFonts w:ascii="Times New Roman" w:eastAsia="Times New Roman" w:hAnsi="Times New Roman" w:cs="Times New Roman"/>
        </w:rPr>
        <w:t xml:space="preserve"> </w:t>
      </w:r>
      <w:r w:rsidR="00DD4419" w:rsidRPr="00872293">
        <w:rPr>
          <w:rFonts w:ascii="Times New Roman" w:eastAsia="Times New Roman" w:hAnsi="Times New Roman" w:cs="Times New Roman"/>
        </w:rPr>
        <w:t>bole</w:t>
      </w:r>
      <w:r w:rsidR="00F856CD" w:rsidRPr="00872293">
        <w:rPr>
          <w:rFonts w:ascii="Times New Roman" w:eastAsia="Times New Roman" w:hAnsi="Times New Roman" w:cs="Times New Roman"/>
        </w:rPr>
        <w:t xml:space="preserve"> diameter (&gt;5 cm, and &lt;5 cm) and model source (i</w:t>
      </w:r>
      <w:r w:rsidR="00ED21B4" w:rsidRPr="00872293">
        <w:rPr>
          <w:rFonts w:ascii="Times New Roman" w:eastAsia="Times New Roman" w:hAnsi="Times New Roman" w:cs="Times New Roman"/>
        </w:rPr>
        <w:t>.</w:t>
      </w:r>
      <w:r w:rsidR="00F856CD" w:rsidRPr="00872293">
        <w:rPr>
          <w:rFonts w:ascii="Times New Roman" w:eastAsia="Times New Roman" w:hAnsi="Times New Roman" w:cs="Times New Roman"/>
        </w:rPr>
        <w:t>e.</w:t>
      </w:r>
      <w:r w:rsidR="00ED21B4" w:rsidRPr="00872293">
        <w:rPr>
          <w:rFonts w:ascii="Times New Roman" w:eastAsia="Times New Roman" w:hAnsi="Times New Roman" w:cs="Times New Roman"/>
        </w:rPr>
        <w:t>,</w:t>
      </w:r>
      <w:r w:rsidR="00F856CD" w:rsidRPr="00872293">
        <w:rPr>
          <w:rFonts w:ascii="Times New Roman" w:eastAsia="Times New Roman" w:hAnsi="Times New Roman" w:cs="Times New Roman"/>
        </w:rPr>
        <w:t xml:space="preserve"> </w:t>
      </w:r>
      <w:r w:rsidR="00A47844" w:rsidRPr="00872293">
        <w:rPr>
          <w:rFonts w:ascii="Times New Roman" w:eastAsia="Times New Roman" w:hAnsi="Times New Roman" w:cs="Times New Roman"/>
        </w:rPr>
        <w:t>m</w:t>
      </w:r>
      <w:r w:rsidR="00F856CD" w:rsidRPr="00872293">
        <w:rPr>
          <w:rFonts w:ascii="Times New Roman" w:eastAsia="Times New Roman" w:hAnsi="Times New Roman" w:cs="Times New Roman"/>
        </w:rPr>
        <w:t>eta</w:t>
      </w:r>
      <w:r w:rsidR="00A17B85" w:rsidRPr="00872293">
        <w:rPr>
          <w:rFonts w:ascii="Times New Roman" w:eastAsia="Times New Roman" w:hAnsi="Times New Roman" w:cs="Times New Roman"/>
        </w:rPr>
        <w:t>-a</w:t>
      </w:r>
      <w:r w:rsidR="00F856CD" w:rsidRPr="00872293">
        <w:rPr>
          <w:rFonts w:ascii="Times New Roman" w:eastAsia="Times New Roman" w:hAnsi="Times New Roman" w:cs="Times New Roman"/>
        </w:rPr>
        <w:t xml:space="preserve">nalyses) </w:t>
      </w:r>
      <w:r w:rsidR="00DD4419" w:rsidRPr="00872293">
        <w:rPr>
          <w:rFonts w:ascii="Times New Roman" w:eastAsia="Times New Roman" w:hAnsi="Times New Roman" w:cs="Times New Roman"/>
        </w:rPr>
        <w:t xml:space="preserve">on </w:t>
      </w:r>
      <w:r w:rsidR="00F856CD" w:rsidRPr="00872293">
        <w:rPr>
          <w:rFonts w:ascii="Times New Roman" w:eastAsia="Times New Roman" w:hAnsi="Times New Roman" w:cs="Times New Roman"/>
        </w:rPr>
        <w:t>the slope of our data regression.</w:t>
      </w:r>
      <w:r w:rsidR="00265BB9" w:rsidRPr="00872293">
        <w:rPr>
          <w:rFonts w:ascii="Times New Roman" w:eastAsia="Times New Roman" w:hAnsi="Times New Roman" w:cs="Times New Roman"/>
        </w:rPr>
        <w:t xml:space="preserve"> </w:t>
      </w:r>
      <w:r w:rsidR="00265BB9" w:rsidRPr="00872293">
        <w:rPr>
          <w:rFonts w:ascii="Times New Roman" w:hAnsi="Times New Roman" w:cs="Times New Roman"/>
        </w:rPr>
        <w:t>We ran multiple regressions between root biomass, depth, and mean annual precipitation from the book “</w:t>
      </w:r>
      <w:r w:rsidR="00DB5124" w:rsidRPr="00872293">
        <w:rPr>
          <w:rFonts w:ascii="Times New Roman" w:hAnsi="Times New Roman" w:cs="Times New Roman"/>
        </w:rPr>
        <w:t>L</w:t>
      </w:r>
      <w:r w:rsidR="00265BB9" w:rsidRPr="00872293">
        <w:rPr>
          <w:rFonts w:ascii="Times New Roman" w:hAnsi="Times New Roman" w:cs="Times New Roman"/>
        </w:rPr>
        <w:t xml:space="preserve">os </w:t>
      </w:r>
      <w:r w:rsidR="00E21808" w:rsidRPr="00872293">
        <w:rPr>
          <w:rFonts w:ascii="Times New Roman" w:hAnsi="Times New Roman" w:cs="Times New Roman"/>
        </w:rPr>
        <w:t xml:space="preserve">Bosques </w:t>
      </w:r>
      <w:r w:rsidR="00265BB9" w:rsidRPr="00872293">
        <w:rPr>
          <w:rFonts w:ascii="Times New Roman" w:hAnsi="Times New Roman" w:cs="Times New Roman"/>
        </w:rPr>
        <w:t xml:space="preserve">de Puerto Rico” to find the </w:t>
      </w:r>
      <w:r w:rsidR="00F95DD6" w:rsidRPr="00872293">
        <w:rPr>
          <w:rFonts w:ascii="Times New Roman" w:hAnsi="Times New Roman" w:cs="Times New Roman"/>
        </w:rPr>
        <w:t>best correlate of</w:t>
      </w:r>
      <w:r w:rsidR="00265BB9" w:rsidRPr="00872293">
        <w:rPr>
          <w:rFonts w:ascii="Times New Roman" w:hAnsi="Times New Roman" w:cs="Times New Roman"/>
        </w:rPr>
        <w:t xml:space="preserve"> root biomass.</w:t>
      </w:r>
      <w:r w:rsidR="00F95DD6" w:rsidRPr="00872293">
        <w:rPr>
          <w:rFonts w:ascii="Times New Roman" w:hAnsi="Times New Roman" w:cs="Times New Roman"/>
        </w:rPr>
        <w:t xml:space="preserve"> </w:t>
      </w:r>
    </w:p>
    <w:p w14:paraId="7AD1423C" w14:textId="77777777" w:rsidR="000A4A31" w:rsidRPr="00872293" w:rsidRDefault="000A4A31" w:rsidP="0098150C">
      <w:pPr>
        <w:spacing w:line="360" w:lineRule="auto"/>
        <w:rPr>
          <w:rFonts w:ascii="Times New Roman" w:eastAsia="Times New Roman" w:hAnsi="Times New Roman" w:cs="Times New Roman"/>
          <w:highlight w:val="yellow"/>
        </w:rPr>
      </w:pPr>
    </w:p>
    <w:p w14:paraId="2A49F2D9" w14:textId="77777777" w:rsidR="00B30EE9" w:rsidRPr="00872293" w:rsidRDefault="00083D7A" w:rsidP="007E18C8">
      <w:pPr>
        <w:pStyle w:val="Heading2"/>
        <w:spacing w:before="0" w:after="0" w:line="360" w:lineRule="auto"/>
        <w:rPr>
          <w:rFonts w:cs="Times New Roman"/>
          <w:szCs w:val="24"/>
        </w:rPr>
      </w:pPr>
      <w:bookmarkStart w:id="16" w:name="_Toc53689056"/>
      <w:r w:rsidRPr="00872293">
        <w:rPr>
          <w:rFonts w:cs="Times New Roman"/>
          <w:szCs w:val="24"/>
        </w:rPr>
        <w:t>T</w:t>
      </w:r>
      <w:r w:rsidR="007F31ED" w:rsidRPr="00872293">
        <w:rPr>
          <w:rFonts w:cs="Times New Roman"/>
          <w:szCs w:val="24"/>
        </w:rPr>
        <w:t>he story of “root digging” in Puerto Rico</w:t>
      </w:r>
      <w:bookmarkEnd w:id="16"/>
    </w:p>
    <w:p w14:paraId="71F636C3" w14:textId="77777777" w:rsidR="00C96861" w:rsidRPr="00872293" w:rsidRDefault="00C50358" w:rsidP="007E18C8">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For scientific purposes, root descriptions from Puerto Rico have been documented since the 1940’s. Most of these </w:t>
      </w:r>
      <w:r w:rsidR="00873929" w:rsidRPr="00872293">
        <w:rPr>
          <w:rFonts w:ascii="Times New Roman" w:eastAsia="Times New Roman" w:hAnsi="Times New Roman" w:cs="Times New Roman"/>
        </w:rPr>
        <w:t xml:space="preserve">studies </w:t>
      </w:r>
      <w:r w:rsidRPr="00872293">
        <w:rPr>
          <w:rFonts w:ascii="Times New Roman" w:eastAsia="Times New Roman" w:hAnsi="Times New Roman" w:cs="Times New Roman"/>
        </w:rPr>
        <w:t xml:space="preserve">encompass </w:t>
      </w:r>
      <w:r w:rsidR="00873929" w:rsidRPr="00872293">
        <w:rPr>
          <w:rFonts w:ascii="Times New Roman" w:eastAsia="Times New Roman" w:hAnsi="Times New Roman" w:cs="Times New Roman"/>
        </w:rPr>
        <w:t xml:space="preserve">qualitative descriptions of roots </w:t>
      </w:r>
      <w:r w:rsidRPr="00872293">
        <w:rPr>
          <w:rFonts w:ascii="Times New Roman" w:eastAsia="Times New Roman" w:hAnsi="Times New Roman" w:cs="Times New Roman"/>
        </w:rPr>
        <w:t>(White &amp; Childers, 1945</w:t>
      </w:r>
      <w:r w:rsidR="00873929" w:rsidRPr="00872293">
        <w:rPr>
          <w:rFonts w:ascii="Times New Roman" w:eastAsia="Times New Roman" w:hAnsi="Times New Roman" w:cs="Times New Roman"/>
        </w:rPr>
        <w:t xml:space="preserve">; </w:t>
      </w:r>
      <w:r w:rsidRPr="00872293">
        <w:rPr>
          <w:rFonts w:ascii="Times New Roman" w:eastAsia="Times New Roman" w:hAnsi="Times New Roman" w:cs="Times New Roman"/>
        </w:rPr>
        <w:t>LaRue, 1952)</w:t>
      </w:r>
      <w:r w:rsidR="00873929" w:rsidRPr="00872293">
        <w:rPr>
          <w:rFonts w:ascii="Times New Roman" w:eastAsia="Times New Roman" w:hAnsi="Times New Roman" w:cs="Times New Roman"/>
        </w:rPr>
        <w:t>.</w:t>
      </w:r>
      <w:r w:rsidR="008D79ED"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From 1962 on, the study of roots became more </w:t>
      </w:r>
      <w:r w:rsidR="00033BE6" w:rsidRPr="00872293">
        <w:rPr>
          <w:rFonts w:ascii="Times New Roman" w:eastAsia="Times New Roman" w:hAnsi="Times New Roman" w:cs="Times New Roman"/>
        </w:rPr>
        <w:t>quantitative</w:t>
      </w:r>
      <w:r w:rsidRPr="00872293">
        <w:rPr>
          <w:rFonts w:ascii="Times New Roman" w:eastAsia="Times New Roman" w:hAnsi="Times New Roman" w:cs="Times New Roman"/>
        </w:rPr>
        <w:t xml:space="preserve">. In 1967 </w:t>
      </w:r>
      <w:r w:rsidR="00FE5F16" w:rsidRPr="00872293">
        <w:rPr>
          <w:rFonts w:ascii="Times New Roman" w:eastAsia="Times New Roman" w:hAnsi="Times New Roman" w:cs="Times New Roman"/>
        </w:rPr>
        <w:t xml:space="preserve">began a study on </w:t>
      </w:r>
      <w:r w:rsidRPr="00872293">
        <w:rPr>
          <w:rFonts w:ascii="Times New Roman" w:eastAsia="Times New Roman" w:hAnsi="Times New Roman" w:cs="Times New Roman"/>
        </w:rPr>
        <w:t xml:space="preserve">the structure and function of various ecological compartments in LEF, including roots. </w:t>
      </w:r>
      <w:r w:rsidR="00E21808" w:rsidRPr="00872293">
        <w:rPr>
          <w:rFonts w:ascii="Times New Roman" w:eastAsia="Times New Roman" w:hAnsi="Times New Roman" w:cs="Times New Roman"/>
        </w:rPr>
        <w:t xml:space="preserve">The </w:t>
      </w:r>
      <w:r w:rsidRPr="00872293">
        <w:rPr>
          <w:rFonts w:ascii="Times New Roman" w:eastAsia="Times New Roman" w:hAnsi="Times New Roman" w:cs="Times New Roman"/>
        </w:rPr>
        <w:t>book</w:t>
      </w:r>
      <w:r w:rsidR="00E21808" w:rsidRPr="00872293">
        <w:rPr>
          <w:rFonts w:ascii="Times New Roman" w:eastAsia="Times New Roman" w:hAnsi="Times New Roman" w:cs="Times New Roman"/>
        </w:rPr>
        <w:t xml:space="preserve"> that resulted from this study (</w:t>
      </w:r>
      <w:proofErr w:type="spellStart"/>
      <w:r w:rsidR="00E21808" w:rsidRPr="00872293">
        <w:rPr>
          <w:rFonts w:ascii="Times New Roman" w:eastAsia="Times New Roman" w:hAnsi="Times New Roman" w:cs="Times New Roman"/>
        </w:rPr>
        <w:t>Odum</w:t>
      </w:r>
      <w:proofErr w:type="spellEnd"/>
      <w:r w:rsidR="00E21808" w:rsidRPr="00872293">
        <w:rPr>
          <w:rFonts w:ascii="Times New Roman" w:eastAsia="Times New Roman" w:hAnsi="Times New Roman" w:cs="Times New Roman"/>
        </w:rPr>
        <w:t xml:space="preserve"> &amp; Pigeon, 1970)</w:t>
      </w:r>
      <w:r w:rsidR="00FA65D3" w:rsidRPr="00872293">
        <w:rPr>
          <w:rFonts w:ascii="Times New Roman" w:eastAsia="Times New Roman" w:hAnsi="Times New Roman" w:cs="Times New Roman"/>
        </w:rPr>
        <w:t>, particularly chapters by</w:t>
      </w:r>
      <w:r w:rsidR="001B0514" w:rsidRPr="00872293">
        <w:rPr>
          <w:rFonts w:ascii="Times New Roman" w:eastAsia="Times New Roman" w:hAnsi="Times New Roman" w:cs="Times New Roman"/>
        </w:rPr>
        <w:t xml:space="preserve"> </w:t>
      </w:r>
      <w:proofErr w:type="spellStart"/>
      <w:r w:rsidR="00A47844" w:rsidRPr="00872293">
        <w:rPr>
          <w:rFonts w:ascii="Times New Roman" w:eastAsia="Times New Roman" w:hAnsi="Times New Roman" w:cs="Times New Roman"/>
        </w:rPr>
        <w:t>Odum</w:t>
      </w:r>
      <w:proofErr w:type="spellEnd"/>
      <w:r w:rsidR="00A47844" w:rsidRPr="00872293">
        <w:rPr>
          <w:rFonts w:ascii="Times New Roman" w:eastAsia="Times New Roman" w:hAnsi="Times New Roman" w:cs="Times New Roman"/>
          <w:highlight w:val="yellow"/>
        </w:rPr>
        <w:t xml:space="preserve"> </w:t>
      </w:r>
      <w:r w:rsidR="00A47844" w:rsidRPr="00872293">
        <w:rPr>
          <w:rFonts w:ascii="Times New Roman" w:eastAsia="Times New Roman" w:hAnsi="Times New Roman" w:cs="Times New Roman"/>
        </w:rPr>
        <w:t xml:space="preserve">and </w:t>
      </w:r>
      <w:r w:rsidR="00FA65D3" w:rsidRPr="00872293">
        <w:rPr>
          <w:rFonts w:ascii="Times New Roman" w:eastAsia="Times New Roman" w:hAnsi="Times New Roman" w:cs="Times New Roman"/>
        </w:rPr>
        <w:t>O</w:t>
      </w:r>
      <w:r w:rsidR="001B0514" w:rsidRPr="00872293">
        <w:rPr>
          <w:rFonts w:ascii="Times New Roman" w:eastAsia="Times New Roman" w:hAnsi="Times New Roman" w:cs="Times New Roman"/>
        </w:rPr>
        <w:t>vington &amp; Olson</w:t>
      </w:r>
      <w:r w:rsidR="00F64B20" w:rsidRPr="00872293">
        <w:rPr>
          <w:rFonts w:ascii="Times New Roman" w:eastAsia="Times New Roman" w:hAnsi="Times New Roman" w:cs="Times New Roman"/>
        </w:rPr>
        <w:t>,</w:t>
      </w:r>
      <w:r w:rsidRPr="00872293">
        <w:rPr>
          <w:rFonts w:ascii="Times New Roman" w:eastAsia="Times New Roman" w:hAnsi="Times New Roman" w:cs="Times New Roman"/>
        </w:rPr>
        <w:t xml:space="preserve"> reported root biomass, nutrient concentration</w:t>
      </w:r>
      <w:r w:rsidR="004F61D7" w:rsidRPr="00872293">
        <w:rPr>
          <w:rFonts w:ascii="Times New Roman" w:eastAsia="Times New Roman" w:hAnsi="Times New Roman" w:cs="Times New Roman"/>
        </w:rPr>
        <w:t>s</w:t>
      </w:r>
      <w:r w:rsidRPr="00872293">
        <w:rPr>
          <w:rFonts w:ascii="Times New Roman" w:eastAsia="Times New Roman" w:hAnsi="Times New Roman" w:cs="Times New Roman"/>
        </w:rPr>
        <w:t xml:space="preserve">, and morphology of 42 species in LEF. However, this work classified fine roots as less than 5 mm in diameter, </w:t>
      </w:r>
      <w:r w:rsidR="007735FC" w:rsidRPr="00872293">
        <w:rPr>
          <w:rFonts w:ascii="Times New Roman" w:eastAsia="Times New Roman" w:hAnsi="Times New Roman" w:cs="Times New Roman"/>
        </w:rPr>
        <w:t>making it</w:t>
      </w:r>
      <w:r w:rsidRPr="00872293">
        <w:rPr>
          <w:rFonts w:ascii="Times New Roman" w:eastAsia="Times New Roman" w:hAnsi="Times New Roman" w:cs="Times New Roman"/>
        </w:rPr>
        <w:t xml:space="preserve"> difficult to compare with recent studies that focused on a </w:t>
      </w:r>
      <w:r w:rsidR="002418F3" w:rsidRPr="00872293">
        <w:rPr>
          <w:rFonts w:ascii="Times New Roman" w:eastAsia="Times New Roman" w:hAnsi="Times New Roman" w:cs="Times New Roman"/>
        </w:rPr>
        <w:t>narrower</w:t>
      </w:r>
      <w:r w:rsidRPr="00872293">
        <w:rPr>
          <w:rFonts w:ascii="Times New Roman" w:eastAsia="Times New Roman" w:hAnsi="Times New Roman" w:cs="Times New Roman"/>
        </w:rPr>
        <w:t xml:space="preserve"> definition of fine roots (&lt;2 mm).</w:t>
      </w:r>
    </w:p>
    <w:p w14:paraId="0D9FBF12" w14:textId="77777777" w:rsidR="0098150C" w:rsidRPr="00872293" w:rsidRDefault="0098150C" w:rsidP="0098150C">
      <w:pPr>
        <w:spacing w:line="360" w:lineRule="auto"/>
        <w:rPr>
          <w:rFonts w:ascii="Times New Roman" w:eastAsia="Times New Roman" w:hAnsi="Times New Roman" w:cs="Times New Roman"/>
        </w:rPr>
      </w:pPr>
    </w:p>
    <w:p w14:paraId="4471BC21" w14:textId="77777777" w:rsidR="005A7BFD" w:rsidRPr="00872293" w:rsidRDefault="00C50358" w:rsidP="0098150C">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Following these studies, others </w:t>
      </w:r>
      <w:r w:rsidR="004F61D7" w:rsidRPr="00872293">
        <w:rPr>
          <w:rFonts w:ascii="Times New Roman" w:eastAsia="Times New Roman" w:hAnsi="Times New Roman" w:cs="Times New Roman"/>
        </w:rPr>
        <w:t xml:space="preserve">have </w:t>
      </w:r>
      <w:r w:rsidRPr="00872293">
        <w:rPr>
          <w:rFonts w:ascii="Times New Roman" w:eastAsia="Times New Roman" w:hAnsi="Times New Roman" w:cs="Times New Roman"/>
        </w:rPr>
        <w:t>reported root biomass and nutrient concentration as part of their measurements in Puerto Rico (Fig</w:t>
      </w:r>
      <w:r w:rsidR="00476986" w:rsidRPr="00872293">
        <w:rPr>
          <w:rFonts w:ascii="Times New Roman" w:eastAsia="Times New Roman" w:hAnsi="Times New Roman" w:cs="Times New Roman"/>
        </w:rPr>
        <w:t>ure</w:t>
      </w:r>
      <w:r w:rsidRPr="00872293">
        <w:rPr>
          <w:rFonts w:ascii="Times New Roman" w:eastAsia="Times New Roman" w:hAnsi="Times New Roman" w:cs="Times New Roman"/>
        </w:rPr>
        <w:t xml:space="preserve"> 1). Most studies were based in LEF, including the tabonuco forest (dominated by </w:t>
      </w:r>
      <w:proofErr w:type="spellStart"/>
      <w:r w:rsidRPr="00872293">
        <w:rPr>
          <w:rFonts w:ascii="Times New Roman" w:eastAsia="Times New Roman" w:hAnsi="Times New Roman" w:cs="Times New Roman"/>
          <w:i/>
        </w:rPr>
        <w:t>Dacryodes</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excelsa</w:t>
      </w:r>
      <w:proofErr w:type="spellEnd"/>
      <w:r w:rsidRPr="00872293">
        <w:rPr>
          <w:rFonts w:ascii="Times New Roman" w:eastAsia="Times New Roman" w:hAnsi="Times New Roman" w:cs="Times New Roman"/>
        </w:rPr>
        <w:t xml:space="preserve">; Kangas, 1992; Bloomfield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1993; Cusack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 xml:space="preserve">2011), the Sierra Palm forest (dominated by </w:t>
      </w:r>
      <w:proofErr w:type="spellStart"/>
      <w:r w:rsidRPr="00872293">
        <w:rPr>
          <w:rFonts w:ascii="Times New Roman" w:eastAsia="Times New Roman" w:hAnsi="Times New Roman" w:cs="Times New Roman"/>
          <w:i/>
        </w:rPr>
        <w:t>Prestoea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montana</w:t>
      </w:r>
      <w:proofErr w:type="spellEnd"/>
      <w:r w:rsidRPr="00872293">
        <w:rPr>
          <w:rFonts w:ascii="Times New Roman" w:eastAsia="Times New Roman" w:hAnsi="Times New Roman" w:cs="Times New Roman"/>
        </w:rPr>
        <w:t xml:space="preserve">; </w:t>
      </w:r>
      <w:proofErr w:type="spellStart"/>
      <w:r w:rsidRPr="00872293">
        <w:rPr>
          <w:rFonts w:ascii="Times New Roman" w:eastAsia="Times New Roman" w:hAnsi="Times New Roman" w:cs="Times New Roman"/>
        </w:rPr>
        <w:t>Frangi</w:t>
      </w:r>
      <w:proofErr w:type="spellEnd"/>
      <w:r w:rsidRPr="00872293">
        <w:rPr>
          <w:rFonts w:ascii="Times New Roman" w:eastAsia="Times New Roman" w:hAnsi="Times New Roman" w:cs="Times New Roman"/>
        </w:rPr>
        <w:t xml:space="preserve"> &amp; Lugo, 1985), the Colorado forest (dominated by </w:t>
      </w:r>
      <w:r w:rsidRPr="00872293">
        <w:rPr>
          <w:rFonts w:ascii="Times New Roman" w:eastAsia="Times New Roman" w:hAnsi="Times New Roman" w:cs="Times New Roman"/>
          <w:i/>
        </w:rPr>
        <w:t>Cyrilla racemiflora</w:t>
      </w:r>
      <w:r w:rsidRPr="00872293">
        <w:rPr>
          <w:rFonts w:ascii="Times New Roman" w:eastAsia="Times New Roman" w:hAnsi="Times New Roman" w:cs="Times New Roman"/>
        </w:rPr>
        <w:t xml:space="preserve">; Cusack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2011), and the elfin forest (</w:t>
      </w:r>
      <w:r w:rsidR="000671C7" w:rsidRPr="00872293">
        <w:rPr>
          <w:rFonts w:ascii="Times New Roman" w:eastAsia="Times New Roman" w:hAnsi="Times New Roman" w:cs="Times New Roman"/>
        </w:rPr>
        <w:t>d</w:t>
      </w:r>
      <w:r w:rsidRPr="00872293">
        <w:rPr>
          <w:rFonts w:ascii="Times New Roman" w:eastAsia="Times New Roman" w:hAnsi="Times New Roman" w:cs="Times New Roman"/>
        </w:rPr>
        <w:t xml:space="preserve">ominated by </w:t>
      </w:r>
      <w:r w:rsidRPr="00872293">
        <w:rPr>
          <w:rFonts w:ascii="Times New Roman" w:eastAsia="Times New Roman" w:hAnsi="Times New Roman" w:cs="Times New Roman"/>
          <w:i/>
        </w:rPr>
        <w:t>Tabebu</w:t>
      </w:r>
      <w:r w:rsidR="008C4145" w:rsidRPr="00872293">
        <w:rPr>
          <w:rFonts w:ascii="Times New Roman" w:eastAsia="Times New Roman" w:hAnsi="Times New Roman" w:cs="Times New Roman"/>
          <w:i/>
        </w:rPr>
        <w:t>i</w:t>
      </w:r>
      <w:r w:rsidRPr="00872293">
        <w:rPr>
          <w:rFonts w:ascii="Times New Roman" w:eastAsia="Times New Roman" w:hAnsi="Times New Roman" w:cs="Times New Roman"/>
          <w:i/>
        </w:rPr>
        <w:t>a rigida</w:t>
      </w:r>
      <w:r w:rsidRPr="00872293">
        <w:rPr>
          <w:rFonts w:ascii="Times New Roman" w:eastAsia="Times New Roman" w:hAnsi="Times New Roman" w:cs="Times New Roman"/>
        </w:rPr>
        <w:t xml:space="preserve">; Cordero, 1999). </w:t>
      </w:r>
      <w:r w:rsidR="003E1F38" w:rsidRPr="00872293">
        <w:rPr>
          <w:rFonts w:ascii="Times New Roman" w:eastAsia="Times New Roman" w:hAnsi="Times New Roman" w:cs="Times New Roman"/>
        </w:rPr>
        <w:t xml:space="preserve">The most studied species from these forests that included belowground measurements were </w:t>
      </w:r>
      <w:r w:rsidR="003E1F38" w:rsidRPr="00872293">
        <w:rPr>
          <w:rFonts w:ascii="Times New Roman" w:eastAsia="Times New Roman" w:hAnsi="Times New Roman" w:cs="Times New Roman"/>
          <w:i/>
          <w:iCs/>
        </w:rPr>
        <w:t xml:space="preserve">D. </w:t>
      </w:r>
      <w:proofErr w:type="spellStart"/>
      <w:r w:rsidR="003E1F38" w:rsidRPr="00872293">
        <w:rPr>
          <w:rFonts w:ascii="Times New Roman" w:eastAsia="Times New Roman" w:hAnsi="Times New Roman" w:cs="Times New Roman"/>
          <w:i/>
          <w:iCs/>
        </w:rPr>
        <w:t>excelsa</w:t>
      </w:r>
      <w:proofErr w:type="spellEnd"/>
      <w:r w:rsidR="003E1F38" w:rsidRPr="00872293">
        <w:rPr>
          <w:rFonts w:ascii="Times New Roman" w:eastAsia="Times New Roman" w:hAnsi="Times New Roman" w:cs="Times New Roman"/>
          <w:i/>
          <w:iCs/>
        </w:rPr>
        <w:t xml:space="preserve">, Cecropia </w:t>
      </w:r>
      <w:proofErr w:type="spellStart"/>
      <w:r w:rsidR="003E1F38" w:rsidRPr="00872293">
        <w:rPr>
          <w:rFonts w:ascii="Times New Roman" w:eastAsia="Times New Roman" w:hAnsi="Times New Roman" w:cs="Times New Roman"/>
          <w:i/>
          <w:iCs/>
        </w:rPr>
        <w:t>schreberiana</w:t>
      </w:r>
      <w:proofErr w:type="spellEnd"/>
      <w:r w:rsidR="003E1F38" w:rsidRPr="00872293">
        <w:rPr>
          <w:rFonts w:ascii="Times New Roman" w:eastAsia="Times New Roman" w:hAnsi="Times New Roman" w:cs="Times New Roman"/>
          <w:i/>
          <w:iCs/>
        </w:rPr>
        <w:t xml:space="preserve">, </w:t>
      </w:r>
      <w:r w:rsidR="00105037" w:rsidRPr="00872293">
        <w:rPr>
          <w:rFonts w:ascii="Times New Roman" w:eastAsia="Times New Roman" w:hAnsi="Times New Roman" w:cs="Times New Roman"/>
        </w:rPr>
        <w:t>and</w:t>
      </w:r>
      <w:r w:rsidR="00105037" w:rsidRPr="00872293">
        <w:rPr>
          <w:rFonts w:ascii="Times New Roman" w:eastAsia="Times New Roman" w:hAnsi="Times New Roman" w:cs="Times New Roman"/>
          <w:i/>
          <w:iCs/>
        </w:rPr>
        <w:t xml:space="preserve"> </w:t>
      </w:r>
      <w:r w:rsidR="003E1F38" w:rsidRPr="00872293">
        <w:rPr>
          <w:rFonts w:ascii="Times New Roman" w:eastAsia="Times New Roman" w:hAnsi="Times New Roman" w:cs="Times New Roman"/>
          <w:i/>
          <w:iCs/>
        </w:rPr>
        <w:lastRenderedPageBreak/>
        <w:t>Manilka</w:t>
      </w:r>
      <w:r w:rsidR="00AA48D1" w:rsidRPr="00872293">
        <w:rPr>
          <w:rFonts w:ascii="Times New Roman" w:eastAsia="Times New Roman" w:hAnsi="Times New Roman" w:cs="Times New Roman"/>
          <w:i/>
          <w:iCs/>
        </w:rPr>
        <w:t>r</w:t>
      </w:r>
      <w:r w:rsidR="003E1F38" w:rsidRPr="00872293">
        <w:rPr>
          <w:rFonts w:ascii="Times New Roman" w:eastAsia="Times New Roman" w:hAnsi="Times New Roman" w:cs="Times New Roman"/>
          <w:i/>
          <w:iCs/>
        </w:rPr>
        <w:t>a bidentata</w:t>
      </w:r>
      <w:r w:rsidR="00064560" w:rsidRPr="00872293">
        <w:rPr>
          <w:rFonts w:ascii="Times New Roman" w:eastAsia="Times New Roman" w:hAnsi="Times New Roman" w:cs="Times New Roman"/>
        </w:rPr>
        <w:t xml:space="preserve">, from which only </w:t>
      </w:r>
      <w:r w:rsidR="00064560" w:rsidRPr="00872293">
        <w:rPr>
          <w:rFonts w:ascii="Times New Roman" w:eastAsia="Times New Roman" w:hAnsi="Times New Roman" w:cs="Times New Roman"/>
          <w:i/>
          <w:iCs/>
        </w:rPr>
        <w:t xml:space="preserve">C. </w:t>
      </w:r>
      <w:proofErr w:type="spellStart"/>
      <w:r w:rsidR="00064560" w:rsidRPr="00872293">
        <w:rPr>
          <w:rFonts w:ascii="Times New Roman" w:eastAsia="Times New Roman" w:hAnsi="Times New Roman" w:cs="Times New Roman"/>
          <w:i/>
          <w:iCs/>
        </w:rPr>
        <w:t>schreberiana</w:t>
      </w:r>
      <w:proofErr w:type="spellEnd"/>
      <w:r w:rsidR="00064560" w:rsidRPr="00872293">
        <w:rPr>
          <w:rFonts w:ascii="Times New Roman" w:eastAsia="Times New Roman" w:hAnsi="Times New Roman" w:cs="Times New Roman"/>
          <w:i/>
          <w:iCs/>
        </w:rPr>
        <w:t xml:space="preserve"> </w:t>
      </w:r>
      <w:r w:rsidR="00064560" w:rsidRPr="00872293">
        <w:rPr>
          <w:rFonts w:ascii="Times New Roman" w:eastAsia="Times New Roman" w:hAnsi="Times New Roman" w:cs="Times New Roman"/>
        </w:rPr>
        <w:t xml:space="preserve">is within the 10 species </w:t>
      </w:r>
      <w:r w:rsidR="00522D9D" w:rsidRPr="00872293">
        <w:rPr>
          <w:rFonts w:ascii="Times New Roman" w:eastAsia="Times New Roman" w:hAnsi="Times New Roman" w:cs="Times New Roman"/>
        </w:rPr>
        <w:t xml:space="preserve">with greatest importance value </w:t>
      </w:r>
      <w:r w:rsidR="00064560" w:rsidRPr="00872293">
        <w:rPr>
          <w:rFonts w:ascii="Times New Roman" w:eastAsia="Times New Roman" w:hAnsi="Times New Roman" w:cs="Times New Roman"/>
        </w:rPr>
        <w:t xml:space="preserve">on the </w:t>
      </w:r>
      <w:r w:rsidR="00FA65D3" w:rsidRPr="00872293">
        <w:rPr>
          <w:rFonts w:ascii="Times New Roman" w:eastAsia="Times New Roman" w:hAnsi="Times New Roman" w:cs="Times New Roman"/>
        </w:rPr>
        <w:t>i</w:t>
      </w:r>
      <w:r w:rsidR="00064560" w:rsidRPr="00872293">
        <w:rPr>
          <w:rFonts w:ascii="Times New Roman" w:eastAsia="Times New Roman" w:hAnsi="Times New Roman" w:cs="Times New Roman"/>
        </w:rPr>
        <w:t>sland</w:t>
      </w:r>
      <w:r w:rsidR="00162042" w:rsidRPr="00872293">
        <w:rPr>
          <w:rFonts w:ascii="Times New Roman" w:eastAsia="Times New Roman" w:hAnsi="Times New Roman" w:cs="Times New Roman"/>
        </w:rPr>
        <w:t xml:space="preserve"> (</w:t>
      </w:r>
      <w:proofErr w:type="spellStart"/>
      <w:r w:rsidR="00162042" w:rsidRPr="00872293">
        <w:rPr>
          <w:rFonts w:ascii="Times New Roman" w:eastAsia="Times New Roman" w:hAnsi="Times New Roman" w:cs="Times New Roman"/>
        </w:rPr>
        <w:t>Marcano</w:t>
      </w:r>
      <w:proofErr w:type="spellEnd"/>
      <w:r w:rsidR="00162042" w:rsidRPr="00872293">
        <w:rPr>
          <w:rFonts w:ascii="Times New Roman" w:eastAsia="Times New Roman" w:hAnsi="Times New Roman" w:cs="Times New Roman"/>
        </w:rPr>
        <w:t xml:space="preserve"> Vega, 2019)</w:t>
      </w:r>
      <w:r w:rsidR="00064560" w:rsidRPr="00872293">
        <w:rPr>
          <w:rFonts w:ascii="Times New Roman" w:eastAsia="Times New Roman" w:hAnsi="Times New Roman" w:cs="Times New Roman"/>
        </w:rPr>
        <w:t>.</w:t>
      </w:r>
      <w:r w:rsidR="00105037" w:rsidRPr="00872293">
        <w:rPr>
          <w:rFonts w:ascii="Times New Roman" w:eastAsia="Times New Roman" w:hAnsi="Times New Roman" w:cs="Times New Roman"/>
        </w:rPr>
        <w:t xml:space="preserve"> The species with greatest importance value of Puerto Rico, </w:t>
      </w:r>
      <w:proofErr w:type="spellStart"/>
      <w:r w:rsidR="00105037" w:rsidRPr="00872293">
        <w:rPr>
          <w:rFonts w:ascii="Times New Roman" w:eastAsia="Times New Roman" w:hAnsi="Times New Roman" w:cs="Times New Roman"/>
          <w:i/>
          <w:iCs/>
        </w:rPr>
        <w:t>Spathodea</w:t>
      </w:r>
      <w:proofErr w:type="spellEnd"/>
      <w:r w:rsidR="00105037" w:rsidRPr="00872293">
        <w:rPr>
          <w:rFonts w:ascii="Times New Roman" w:eastAsia="Times New Roman" w:hAnsi="Times New Roman" w:cs="Times New Roman"/>
          <w:i/>
          <w:iCs/>
        </w:rPr>
        <w:t xml:space="preserve"> </w:t>
      </w:r>
      <w:proofErr w:type="spellStart"/>
      <w:r w:rsidR="00105037" w:rsidRPr="00872293">
        <w:rPr>
          <w:rFonts w:ascii="Times New Roman" w:eastAsia="Times New Roman" w:hAnsi="Times New Roman" w:cs="Times New Roman"/>
          <w:i/>
          <w:iCs/>
        </w:rPr>
        <w:t>campanulata</w:t>
      </w:r>
      <w:proofErr w:type="spellEnd"/>
      <w:r w:rsidR="00105037" w:rsidRPr="00872293">
        <w:rPr>
          <w:rFonts w:ascii="Times New Roman" w:eastAsia="Times New Roman" w:hAnsi="Times New Roman" w:cs="Times New Roman"/>
        </w:rPr>
        <w:t xml:space="preserve"> and </w:t>
      </w:r>
      <w:proofErr w:type="spellStart"/>
      <w:r w:rsidR="00105037" w:rsidRPr="00872293">
        <w:rPr>
          <w:rFonts w:ascii="Times New Roman" w:eastAsia="Times New Roman" w:hAnsi="Times New Roman" w:cs="Times New Roman"/>
          <w:i/>
          <w:iCs/>
        </w:rPr>
        <w:t>Guarea</w:t>
      </w:r>
      <w:proofErr w:type="spellEnd"/>
      <w:r w:rsidR="00105037" w:rsidRPr="00872293">
        <w:rPr>
          <w:rFonts w:ascii="Times New Roman" w:eastAsia="Times New Roman" w:hAnsi="Times New Roman" w:cs="Times New Roman"/>
          <w:i/>
          <w:iCs/>
        </w:rPr>
        <w:t xml:space="preserve"> </w:t>
      </w:r>
      <w:proofErr w:type="spellStart"/>
      <w:r w:rsidR="00105037" w:rsidRPr="00872293">
        <w:rPr>
          <w:rFonts w:ascii="Times New Roman" w:eastAsia="Times New Roman" w:hAnsi="Times New Roman" w:cs="Times New Roman"/>
          <w:i/>
          <w:iCs/>
        </w:rPr>
        <w:t>guidonea</w:t>
      </w:r>
      <w:proofErr w:type="spellEnd"/>
      <w:r w:rsidR="00105037" w:rsidRPr="00872293">
        <w:rPr>
          <w:rFonts w:ascii="Times New Roman" w:eastAsia="Times New Roman" w:hAnsi="Times New Roman" w:cs="Times New Roman"/>
        </w:rPr>
        <w:t>, are underrepresented in these studies.</w:t>
      </w:r>
      <w:r w:rsidR="00A33632" w:rsidRPr="00872293">
        <w:rPr>
          <w:rFonts w:ascii="Times New Roman" w:eastAsia="Times New Roman" w:hAnsi="Times New Roman" w:cs="Times New Roman"/>
        </w:rPr>
        <w:t xml:space="preserve"> The dry forest biome in general has less representation of root studies in Puerto Rico (Murphy &amp; Lugo, 1986</w:t>
      </w:r>
      <w:r w:rsidR="005D5F29" w:rsidRPr="00872293">
        <w:rPr>
          <w:rFonts w:ascii="Times New Roman" w:eastAsia="Times New Roman" w:hAnsi="Times New Roman" w:cs="Times New Roman"/>
        </w:rPr>
        <w:t>a</w:t>
      </w:r>
      <w:r w:rsidR="00A33632" w:rsidRPr="00872293">
        <w:rPr>
          <w:rFonts w:ascii="Times New Roman" w:eastAsia="Times New Roman" w:hAnsi="Times New Roman" w:cs="Times New Roman"/>
        </w:rPr>
        <w:t>; Murphy</w:t>
      </w:r>
      <w:r w:rsidR="005D5F29" w:rsidRPr="00872293">
        <w:rPr>
          <w:rFonts w:ascii="Times New Roman" w:eastAsia="Times New Roman" w:hAnsi="Times New Roman" w:cs="Times New Roman"/>
        </w:rPr>
        <w:t xml:space="preserve"> &amp; Lugo</w:t>
      </w:r>
      <w:r w:rsidR="00A33632" w:rsidRPr="00872293">
        <w:rPr>
          <w:rFonts w:ascii="Times New Roman" w:eastAsia="Times New Roman" w:hAnsi="Times New Roman" w:cs="Times New Roman"/>
        </w:rPr>
        <w:t>, 1986</w:t>
      </w:r>
      <w:r w:rsidR="005D5F29" w:rsidRPr="00872293">
        <w:rPr>
          <w:rFonts w:ascii="Times New Roman" w:eastAsia="Times New Roman" w:hAnsi="Times New Roman" w:cs="Times New Roman"/>
        </w:rPr>
        <w:t>b</w:t>
      </w:r>
      <w:r w:rsidR="00A33632" w:rsidRPr="00872293">
        <w:rPr>
          <w:rFonts w:ascii="Times New Roman" w:eastAsia="Times New Roman" w:hAnsi="Times New Roman" w:cs="Times New Roman"/>
        </w:rPr>
        <w:t>; Colón &amp; Lugo, 200</w:t>
      </w:r>
      <w:r w:rsidR="00AC68E1" w:rsidRPr="00872293">
        <w:rPr>
          <w:rFonts w:ascii="Times New Roman" w:eastAsia="Times New Roman" w:hAnsi="Times New Roman" w:cs="Times New Roman"/>
        </w:rPr>
        <w:t>6</w:t>
      </w:r>
      <w:r w:rsidR="00A33632" w:rsidRPr="00872293">
        <w:rPr>
          <w:rFonts w:ascii="Times New Roman" w:eastAsia="Times New Roman" w:hAnsi="Times New Roman" w:cs="Times New Roman"/>
        </w:rPr>
        <w:t xml:space="preserve">; Cusack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A33632" w:rsidRPr="00872293">
        <w:rPr>
          <w:rFonts w:ascii="Times New Roman" w:eastAsia="Times New Roman" w:hAnsi="Times New Roman" w:cs="Times New Roman"/>
        </w:rPr>
        <w:t>2009). No whole</w:t>
      </w:r>
      <w:r w:rsidR="00F64B20" w:rsidRPr="00872293">
        <w:rPr>
          <w:rFonts w:ascii="Times New Roman" w:eastAsia="Times New Roman" w:hAnsi="Times New Roman" w:cs="Times New Roman"/>
        </w:rPr>
        <w:t>-</w:t>
      </w:r>
      <w:r w:rsidR="00A33632" w:rsidRPr="00872293">
        <w:rPr>
          <w:rFonts w:ascii="Times New Roman" w:eastAsia="Times New Roman" w:hAnsi="Times New Roman" w:cs="Times New Roman"/>
        </w:rPr>
        <w:t>tree excavation was performed in forests outside of the LEF; thus</w:t>
      </w:r>
      <w:r w:rsidR="004B70A5" w:rsidRPr="00872293">
        <w:rPr>
          <w:rFonts w:ascii="Times New Roman" w:eastAsia="Times New Roman" w:hAnsi="Times New Roman" w:cs="Times New Roman"/>
        </w:rPr>
        <w:t>,</w:t>
      </w:r>
      <w:r w:rsidR="00A33632" w:rsidRPr="00872293">
        <w:rPr>
          <w:rFonts w:ascii="Times New Roman" w:eastAsia="Times New Roman" w:hAnsi="Times New Roman" w:cs="Times New Roman"/>
        </w:rPr>
        <w:t xml:space="preserve"> dry forest species (e.g.</w:t>
      </w:r>
      <w:r w:rsidR="00ED21B4" w:rsidRPr="00872293">
        <w:rPr>
          <w:rFonts w:ascii="Times New Roman" w:eastAsia="Times New Roman" w:hAnsi="Times New Roman" w:cs="Times New Roman"/>
        </w:rPr>
        <w:t>,</w:t>
      </w:r>
      <w:r w:rsidR="00A33632" w:rsidRPr="00872293">
        <w:rPr>
          <w:rFonts w:ascii="Times New Roman" w:eastAsia="Times New Roman" w:hAnsi="Times New Roman" w:cs="Times New Roman"/>
        </w:rPr>
        <w:t xml:space="preserve"> </w:t>
      </w:r>
      <w:r w:rsidR="00A33632" w:rsidRPr="00872293">
        <w:rPr>
          <w:rFonts w:ascii="Times New Roman" w:eastAsia="Times New Roman" w:hAnsi="Times New Roman" w:cs="Times New Roman"/>
          <w:i/>
          <w:iCs/>
        </w:rPr>
        <w:t xml:space="preserve">Leucaena </w:t>
      </w:r>
      <w:proofErr w:type="spellStart"/>
      <w:r w:rsidR="00A33632" w:rsidRPr="00872293">
        <w:rPr>
          <w:rFonts w:ascii="Times New Roman" w:eastAsia="Times New Roman" w:hAnsi="Times New Roman" w:cs="Times New Roman"/>
          <w:i/>
          <w:iCs/>
        </w:rPr>
        <w:t>leucocephala</w:t>
      </w:r>
      <w:proofErr w:type="spellEnd"/>
      <w:r w:rsidR="00A33632" w:rsidRPr="00872293">
        <w:rPr>
          <w:rFonts w:ascii="Times New Roman" w:eastAsia="Times New Roman" w:hAnsi="Times New Roman" w:cs="Times New Roman"/>
        </w:rPr>
        <w:t>)</w:t>
      </w:r>
      <w:r w:rsidR="004B2D70" w:rsidRPr="00872293">
        <w:rPr>
          <w:rFonts w:ascii="Times New Roman" w:eastAsia="Times New Roman" w:hAnsi="Times New Roman" w:cs="Times New Roman"/>
        </w:rPr>
        <w:t xml:space="preserve"> </w:t>
      </w:r>
      <w:r w:rsidR="00A33632" w:rsidRPr="00872293">
        <w:rPr>
          <w:rFonts w:ascii="Times New Roman" w:eastAsia="Times New Roman" w:hAnsi="Times New Roman" w:cs="Times New Roman"/>
        </w:rPr>
        <w:t>are underrepresented for underground studies. Even fewer studies have measured roots in other ecosystems of the island (</w:t>
      </w:r>
      <w:proofErr w:type="spellStart"/>
      <w:r w:rsidR="00A33632" w:rsidRPr="00872293">
        <w:rPr>
          <w:rFonts w:ascii="Times New Roman" w:eastAsia="Times New Roman" w:hAnsi="Times New Roman" w:cs="Times New Roman"/>
        </w:rPr>
        <w:t>Parrotta</w:t>
      </w:r>
      <w:proofErr w:type="spellEnd"/>
      <w:r w:rsidR="00A33632" w:rsidRPr="00872293">
        <w:rPr>
          <w:rFonts w:ascii="Times New Roman" w:eastAsia="Times New Roman" w:hAnsi="Times New Roman" w:cs="Times New Roman"/>
        </w:rPr>
        <w:t xml:space="preserve">, 1999; Viera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A33632" w:rsidRPr="00872293">
        <w:rPr>
          <w:rFonts w:ascii="Times New Roman" w:eastAsia="Times New Roman" w:hAnsi="Times New Roman" w:cs="Times New Roman"/>
        </w:rPr>
        <w:t>2008; Marin-</w:t>
      </w:r>
      <w:proofErr w:type="spellStart"/>
      <w:r w:rsidR="00A33632" w:rsidRPr="00872293">
        <w:rPr>
          <w:rFonts w:ascii="Times New Roman" w:eastAsia="Times New Roman" w:hAnsi="Times New Roman" w:cs="Times New Roman"/>
        </w:rPr>
        <w:t>Spiotta</w:t>
      </w:r>
      <w:proofErr w:type="spellEnd"/>
      <w:r w:rsidR="00A33632" w:rsidRPr="00872293">
        <w:rPr>
          <w:rFonts w:ascii="Times New Roman" w:eastAsia="Times New Roman" w:hAnsi="Times New Roman" w:cs="Times New Roman"/>
        </w:rPr>
        <w:t xml:space="preserve">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A33632" w:rsidRPr="00872293">
        <w:rPr>
          <w:rFonts w:ascii="Times New Roman" w:eastAsia="Times New Roman" w:hAnsi="Times New Roman" w:cs="Times New Roman"/>
        </w:rPr>
        <w:t xml:space="preserve">2009; Ostertag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A33632" w:rsidRPr="00872293">
        <w:rPr>
          <w:rFonts w:ascii="Times New Roman" w:eastAsia="Times New Roman" w:hAnsi="Times New Roman" w:cs="Times New Roman"/>
        </w:rPr>
        <w:t xml:space="preserve">2008; Lugo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A33632" w:rsidRPr="00872293">
        <w:rPr>
          <w:rFonts w:ascii="Times New Roman" w:eastAsia="Times New Roman" w:hAnsi="Times New Roman" w:cs="Times New Roman"/>
        </w:rPr>
        <w:t xml:space="preserve">2011). </w:t>
      </w:r>
    </w:p>
    <w:p w14:paraId="5A4B065E" w14:textId="77777777" w:rsidR="0098150C" w:rsidRPr="00872293" w:rsidRDefault="0098150C" w:rsidP="0098150C">
      <w:pPr>
        <w:spacing w:line="360" w:lineRule="auto"/>
        <w:rPr>
          <w:rFonts w:ascii="Times New Roman" w:eastAsia="Times New Roman" w:hAnsi="Times New Roman" w:cs="Times New Roman"/>
        </w:rPr>
      </w:pPr>
      <w:bookmarkStart w:id="17" w:name="_Hlk21345104"/>
    </w:p>
    <w:p w14:paraId="0B402FD3" w14:textId="56B10437" w:rsidR="00BF153B" w:rsidRPr="00872293" w:rsidRDefault="00A33632" w:rsidP="0098150C">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From all the studies considered here, </w:t>
      </w:r>
      <w:r w:rsidR="0098558A" w:rsidRPr="00872293">
        <w:rPr>
          <w:rFonts w:ascii="Times New Roman" w:eastAsia="Times New Roman" w:hAnsi="Times New Roman" w:cs="Times New Roman"/>
        </w:rPr>
        <w:t>18</w:t>
      </w:r>
      <w:r w:rsidR="008B48D5" w:rsidRPr="00872293">
        <w:rPr>
          <w:rFonts w:ascii="Times New Roman" w:eastAsia="Times New Roman" w:hAnsi="Times New Roman" w:cs="Times New Roman"/>
        </w:rPr>
        <w:t>%</w:t>
      </w:r>
      <w:r w:rsidRPr="00872293">
        <w:rPr>
          <w:rFonts w:ascii="Times New Roman" w:eastAsia="Times New Roman" w:hAnsi="Times New Roman" w:cs="Times New Roman"/>
        </w:rPr>
        <w:t xml:space="preserve"> focused primarily on roots</w:t>
      </w:r>
      <w:r w:rsidR="00F64B20" w:rsidRPr="00872293">
        <w:rPr>
          <w:rFonts w:ascii="Times New Roman" w:eastAsia="Times New Roman" w:hAnsi="Times New Roman" w:cs="Times New Roman"/>
        </w:rPr>
        <w:t>;</w:t>
      </w:r>
      <w:r w:rsidRPr="00872293">
        <w:rPr>
          <w:rFonts w:ascii="Times New Roman" w:eastAsia="Times New Roman" w:hAnsi="Times New Roman" w:cs="Times New Roman"/>
        </w:rPr>
        <w:t xml:space="preserve"> the rest included roots as a secondary measurement. Following the FRED classification of fine-root traits (McCormack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Pr="00872293">
        <w:rPr>
          <w:rFonts w:ascii="Times New Roman" w:eastAsia="Times New Roman" w:hAnsi="Times New Roman" w:cs="Times New Roman"/>
        </w:rPr>
        <w:t>2017), 2</w:t>
      </w:r>
      <w:r w:rsidR="006A1A3C" w:rsidRPr="00872293">
        <w:rPr>
          <w:rFonts w:ascii="Times New Roman" w:eastAsia="Times New Roman" w:hAnsi="Times New Roman" w:cs="Times New Roman"/>
        </w:rPr>
        <w:t>5</w:t>
      </w:r>
      <w:r w:rsidRPr="00872293">
        <w:rPr>
          <w:rFonts w:ascii="Times New Roman" w:eastAsia="Times New Roman" w:hAnsi="Times New Roman" w:cs="Times New Roman"/>
        </w:rPr>
        <w:t xml:space="preserve"> studies considered in this review measured root system</w:t>
      </w:r>
      <w:r w:rsidR="00490FE4" w:rsidRPr="00872293">
        <w:rPr>
          <w:rFonts w:ascii="Times New Roman" w:eastAsia="Times New Roman" w:hAnsi="Times New Roman" w:cs="Times New Roman"/>
        </w:rPr>
        <w:t xml:space="preserve"> traits</w:t>
      </w:r>
      <w:r w:rsidRPr="00872293">
        <w:rPr>
          <w:rFonts w:ascii="Times New Roman" w:eastAsia="Times New Roman" w:hAnsi="Times New Roman" w:cs="Times New Roman"/>
        </w:rPr>
        <w:t>, 1</w:t>
      </w:r>
      <w:r w:rsidR="007D70D1" w:rsidRPr="00872293">
        <w:rPr>
          <w:rFonts w:ascii="Times New Roman" w:eastAsia="Times New Roman" w:hAnsi="Times New Roman" w:cs="Times New Roman"/>
        </w:rPr>
        <w:t>3</w:t>
      </w:r>
      <w:r w:rsidRPr="00872293">
        <w:rPr>
          <w:rFonts w:ascii="Times New Roman" w:eastAsia="Times New Roman" w:hAnsi="Times New Roman" w:cs="Times New Roman"/>
        </w:rPr>
        <w:t xml:space="preserve"> measured chemical traits, </w:t>
      </w:r>
      <w:r w:rsidR="00911E1E" w:rsidRPr="00872293">
        <w:rPr>
          <w:rFonts w:ascii="Times New Roman" w:eastAsia="Times New Roman" w:hAnsi="Times New Roman" w:cs="Times New Roman"/>
        </w:rPr>
        <w:t>nine</w:t>
      </w:r>
      <w:r w:rsidRPr="00872293">
        <w:rPr>
          <w:rFonts w:ascii="Times New Roman" w:eastAsia="Times New Roman" w:hAnsi="Times New Roman" w:cs="Times New Roman"/>
        </w:rPr>
        <w:t xml:space="preserve"> studied root dynamics, s</w:t>
      </w:r>
      <w:r w:rsidR="008D1A86" w:rsidRPr="00872293">
        <w:rPr>
          <w:rFonts w:ascii="Times New Roman" w:eastAsia="Times New Roman" w:hAnsi="Times New Roman" w:cs="Times New Roman"/>
        </w:rPr>
        <w:t>ix</w:t>
      </w:r>
      <w:r w:rsidRPr="00872293">
        <w:rPr>
          <w:rFonts w:ascii="Times New Roman" w:eastAsia="Times New Roman" w:hAnsi="Times New Roman" w:cs="Times New Roman"/>
        </w:rPr>
        <w:t xml:space="preserve"> looked at microbial association, </w:t>
      </w:r>
      <w:r w:rsidR="00C438C0" w:rsidRPr="00872293">
        <w:rPr>
          <w:rFonts w:ascii="Times New Roman" w:eastAsia="Times New Roman" w:hAnsi="Times New Roman" w:cs="Times New Roman"/>
        </w:rPr>
        <w:t>four</w:t>
      </w:r>
      <w:r w:rsidR="005F0376" w:rsidRPr="00872293">
        <w:rPr>
          <w:rFonts w:ascii="Times New Roman" w:eastAsia="Times New Roman" w:hAnsi="Times New Roman" w:cs="Times New Roman"/>
        </w:rPr>
        <w:t xml:space="preserve"> measured root physiology, </w:t>
      </w:r>
      <w:r w:rsidRPr="00872293">
        <w:rPr>
          <w:rFonts w:ascii="Times New Roman" w:eastAsia="Times New Roman" w:hAnsi="Times New Roman" w:cs="Times New Roman"/>
        </w:rPr>
        <w:t>two measured root architecture and morphology, and none studied anatomical traits (Fig</w:t>
      </w:r>
      <w:r w:rsidR="00476986" w:rsidRPr="00872293">
        <w:rPr>
          <w:rFonts w:ascii="Times New Roman" w:eastAsia="Times New Roman" w:hAnsi="Times New Roman" w:cs="Times New Roman"/>
        </w:rPr>
        <w:t>ure</w:t>
      </w:r>
      <w:r w:rsidRPr="00872293">
        <w:rPr>
          <w:rFonts w:ascii="Times New Roman" w:eastAsia="Times New Roman" w:hAnsi="Times New Roman" w:cs="Times New Roman"/>
        </w:rPr>
        <w:t xml:space="preserve"> 1). Here, we summarize these studies, assigning them by the different root traits categories of FRED.</w:t>
      </w:r>
      <w:bookmarkEnd w:id="17"/>
      <w:r w:rsidR="00F1074E" w:rsidRPr="00872293">
        <w:rPr>
          <w:rFonts w:ascii="Times New Roman" w:eastAsia="Times New Roman" w:hAnsi="Times New Roman" w:cs="Times New Roman"/>
        </w:rPr>
        <w:t xml:space="preserve">  </w:t>
      </w:r>
    </w:p>
    <w:p w14:paraId="5FFB8F57" w14:textId="17551029" w:rsidR="008B25AD" w:rsidRPr="00872293" w:rsidRDefault="00C922E9" w:rsidP="00AB55CE">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387765CE" w14:textId="77777777" w:rsidR="00B30EE9" w:rsidRPr="00872293" w:rsidRDefault="00CB2147" w:rsidP="00C922E9">
      <w:pPr>
        <w:pStyle w:val="Heading2"/>
        <w:spacing w:before="0" w:after="0" w:line="360" w:lineRule="auto"/>
        <w:rPr>
          <w:rFonts w:cs="Times New Roman"/>
          <w:szCs w:val="24"/>
        </w:rPr>
      </w:pPr>
      <w:bookmarkStart w:id="18" w:name="_Toc53689057"/>
      <w:r w:rsidRPr="00872293">
        <w:rPr>
          <w:rFonts w:cs="Times New Roman"/>
          <w:szCs w:val="24"/>
        </w:rPr>
        <w:t>R</w:t>
      </w:r>
      <w:r w:rsidR="008B26E9" w:rsidRPr="00872293">
        <w:rPr>
          <w:rFonts w:cs="Times New Roman"/>
          <w:szCs w:val="24"/>
        </w:rPr>
        <w:t>oot system</w:t>
      </w:r>
      <w:bookmarkEnd w:id="18"/>
    </w:p>
    <w:p w14:paraId="5789537F" w14:textId="77777777" w:rsidR="00BF153B" w:rsidRPr="00872293" w:rsidRDefault="00B90ECF" w:rsidP="00C922E9">
      <w:pPr>
        <w:pStyle w:val="Heading3"/>
        <w:spacing w:before="0" w:after="0" w:line="360" w:lineRule="auto"/>
        <w:rPr>
          <w:rFonts w:cs="Times New Roman"/>
          <w:szCs w:val="24"/>
        </w:rPr>
      </w:pPr>
      <w:bookmarkStart w:id="19" w:name="_Toc53689058"/>
      <w:r w:rsidRPr="00872293">
        <w:rPr>
          <w:rFonts w:cs="Times New Roman"/>
          <w:szCs w:val="24"/>
        </w:rPr>
        <w:t>R</w:t>
      </w:r>
      <w:r w:rsidR="008B26E9" w:rsidRPr="00872293">
        <w:rPr>
          <w:rFonts w:cs="Times New Roman"/>
          <w:szCs w:val="24"/>
        </w:rPr>
        <w:t>oot biomass</w:t>
      </w:r>
      <w:bookmarkEnd w:id="19"/>
    </w:p>
    <w:p w14:paraId="4A5509CD" w14:textId="73A68B19" w:rsidR="003A01E8" w:rsidRPr="00872293" w:rsidRDefault="00C8039C" w:rsidP="00AB55CE">
      <w:pPr>
        <w:spacing w:before="240" w:line="360" w:lineRule="auto"/>
        <w:rPr>
          <w:rFonts w:ascii="Times New Roman" w:hAnsi="Times New Roman" w:cs="Times New Roman"/>
        </w:rPr>
      </w:pPr>
      <w:r w:rsidRPr="00872293">
        <w:rPr>
          <w:rFonts w:ascii="Times New Roman" w:hAnsi="Times New Roman" w:cs="Times New Roman"/>
        </w:rPr>
        <w:t>F</w:t>
      </w:r>
      <w:r w:rsidR="003A01E8" w:rsidRPr="00872293">
        <w:rPr>
          <w:rFonts w:ascii="Times New Roman" w:hAnsi="Times New Roman" w:cs="Times New Roman"/>
        </w:rPr>
        <w:t xml:space="preserve">ine-root classification varied among </w:t>
      </w:r>
      <w:r w:rsidR="00BF0FB5" w:rsidRPr="00872293">
        <w:rPr>
          <w:rFonts w:ascii="Times New Roman" w:hAnsi="Times New Roman" w:cs="Times New Roman"/>
        </w:rPr>
        <w:t xml:space="preserve">the </w:t>
      </w:r>
      <w:r w:rsidR="003A01E8" w:rsidRPr="00872293">
        <w:rPr>
          <w:rFonts w:ascii="Times New Roman" w:hAnsi="Times New Roman" w:cs="Times New Roman"/>
        </w:rPr>
        <w:t>studies</w:t>
      </w:r>
      <w:r w:rsidRPr="00872293">
        <w:rPr>
          <w:rFonts w:ascii="Times New Roman" w:hAnsi="Times New Roman" w:cs="Times New Roman"/>
        </w:rPr>
        <w:t xml:space="preserve"> that measured fine-root biomass</w:t>
      </w:r>
      <w:r w:rsidR="003A01E8" w:rsidRPr="00872293">
        <w:rPr>
          <w:rFonts w:ascii="Times New Roman" w:hAnsi="Times New Roman" w:cs="Times New Roman"/>
        </w:rPr>
        <w:t>, making it difficult to synthesize across results. Ovington &amp; Olson (1970) reported</w:t>
      </w:r>
      <w:r w:rsidR="009B0F07" w:rsidRPr="00872293">
        <w:rPr>
          <w:rFonts w:ascii="Times New Roman" w:hAnsi="Times New Roman" w:cs="Times New Roman"/>
        </w:rPr>
        <w:t>, using whole</w:t>
      </w:r>
      <w:r w:rsidR="00F64B20" w:rsidRPr="00872293">
        <w:rPr>
          <w:rFonts w:ascii="Times New Roman" w:hAnsi="Times New Roman" w:cs="Times New Roman"/>
        </w:rPr>
        <w:t>-</w:t>
      </w:r>
      <w:r w:rsidR="009B0F07" w:rsidRPr="00872293">
        <w:rPr>
          <w:rFonts w:ascii="Times New Roman" w:hAnsi="Times New Roman" w:cs="Times New Roman"/>
        </w:rPr>
        <w:t>tree removal method,</w:t>
      </w:r>
      <w:r w:rsidR="003A01E8" w:rsidRPr="00872293">
        <w:rPr>
          <w:rFonts w:ascii="Times New Roman" w:hAnsi="Times New Roman" w:cs="Times New Roman"/>
        </w:rPr>
        <w:t xml:space="preserve"> an average biomass of 64.8 Mg</w:t>
      </w:r>
      <w:r w:rsidR="00BD6642">
        <w:rPr>
          <w:rFonts w:ascii="Times New Roman" w:hAnsi="Times New Roman" w:cs="Times New Roman"/>
        </w:rPr>
        <w:t xml:space="preserve"> </w:t>
      </w:r>
      <w:r w:rsidR="003A01E8" w:rsidRPr="00872293">
        <w:rPr>
          <w:rFonts w:ascii="Times New Roman" w:hAnsi="Times New Roman" w:cs="Times New Roman"/>
        </w:rPr>
        <w:t>ha</w:t>
      </w:r>
      <w:r w:rsidR="00BD6642" w:rsidRPr="00BD6642">
        <w:rPr>
          <w:rFonts w:ascii="Times New Roman" w:hAnsi="Times New Roman" w:cs="Times New Roman"/>
          <w:vertAlign w:val="superscript"/>
        </w:rPr>
        <w:t>-1</w:t>
      </w:r>
      <w:r w:rsidR="003A01E8" w:rsidRPr="00872293">
        <w:rPr>
          <w:rFonts w:ascii="Times New Roman" w:hAnsi="Times New Roman" w:cs="Times New Roman"/>
        </w:rPr>
        <w:t xml:space="preserve"> for coarse roots only (</w:t>
      </w:r>
      <w:r w:rsidR="002A1FE7" w:rsidRPr="00872293">
        <w:rPr>
          <w:rFonts w:ascii="Times New Roman" w:hAnsi="Times New Roman" w:cs="Times New Roman"/>
        </w:rPr>
        <w:t xml:space="preserve">described as more than </w:t>
      </w:r>
      <w:r w:rsidR="003A01E8" w:rsidRPr="00872293">
        <w:rPr>
          <w:rFonts w:ascii="Times New Roman" w:hAnsi="Times New Roman" w:cs="Times New Roman"/>
        </w:rPr>
        <w:t xml:space="preserve">5 mm in diameter), </w:t>
      </w:r>
      <w:r w:rsidR="007805B5" w:rsidRPr="00872293">
        <w:rPr>
          <w:rFonts w:ascii="Times New Roman" w:hAnsi="Times New Roman" w:cs="Times New Roman"/>
        </w:rPr>
        <w:t>and</w:t>
      </w:r>
      <w:r w:rsidR="004950EC" w:rsidRPr="00872293">
        <w:rPr>
          <w:rFonts w:ascii="Times New Roman" w:hAnsi="Times New Roman" w:cs="Times New Roman"/>
        </w:rPr>
        <w:t xml:space="preserve"> </w:t>
      </w:r>
      <w:proofErr w:type="spellStart"/>
      <w:r w:rsidR="004950EC" w:rsidRPr="00872293">
        <w:rPr>
          <w:rFonts w:ascii="Times New Roman" w:hAnsi="Times New Roman" w:cs="Times New Roman"/>
        </w:rPr>
        <w:t>Odum</w:t>
      </w:r>
      <w:proofErr w:type="spellEnd"/>
      <w:r w:rsidR="004950EC" w:rsidRPr="00872293">
        <w:rPr>
          <w:rFonts w:ascii="Times New Roman" w:hAnsi="Times New Roman" w:cs="Times New Roman"/>
        </w:rPr>
        <w:t xml:space="preserve"> (1970</w:t>
      </w:r>
      <w:r w:rsidR="00775382" w:rsidRPr="00872293">
        <w:rPr>
          <w:rFonts w:ascii="Times New Roman" w:hAnsi="Times New Roman" w:cs="Times New Roman"/>
        </w:rPr>
        <w:t>a</w:t>
      </w:r>
      <w:r w:rsidR="004950EC" w:rsidRPr="00872293">
        <w:rPr>
          <w:rFonts w:ascii="Times New Roman" w:hAnsi="Times New Roman" w:cs="Times New Roman"/>
        </w:rPr>
        <w:t>) reported</w:t>
      </w:r>
      <w:r w:rsidR="007805B5" w:rsidRPr="00872293">
        <w:rPr>
          <w:rFonts w:ascii="Times New Roman" w:hAnsi="Times New Roman" w:cs="Times New Roman"/>
        </w:rPr>
        <w:t xml:space="preserve"> 3.52 Mg</w:t>
      </w:r>
      <w:r w:rsidR="00BD6642">
        <w:rPr>
          <w:rFonts w:ascii="Times New Roman" w:hAnsi="Times New Roman" w:cs="Times New Roman"/>
        </w:rPr>
        <w:t xml:space="preserve"> </w:t>
      </w:r>
      <w:r w:rsidR="007805B5" w:rsidRPr="00872293">
        <w:rPr>
          <w:rFonts w:ascii="Times New Roman" w:hAnsi="Times New Roman" w:cs="Times New Roman"/>
        </w:rPr>
        <w:t>ha</w:t>
      </w:r>
      <w:r w:rsidR="00BD6642" w:rsidRPr="00BD6642">
        <w:rPr>
          <w:rFonts w:ascii="Times New Roman" w:hAnsi="Times New Roman" w:cs="Times New Roman"/>
          <w:vertAlign w:val="superscript"/>
        </w:rPr>
        <w:t>-1</w:t>
      </w:r>
      <w:r w:rsidR="007805B5" w:rsidRPr="00872293">
        <w:rPr>
          <w:rFonts w:ascii="Times New Roman" w:hAnsi="Times New Roman" w:cs="Times New Roman"/>
        </w:rPr>
        <w:t xml:space="preserve"> for small roots</w:t>
      </w:r>
      <w:r w:rsidR="003A01E8" w:rsidRPr="00872293">
        <w:rPr>
          <w:rFonts w:ascii="Times New Roman" w:hAnsi="Times New Roman" w:cs="Times New Roman"/>
        </w:rPr>
        <w:t xml:space="preserve"> </w:t>
      </w:r>
      <w:r w:rsidR="007805B5" w:rsidRPr="00872293">
        <w:rPr>
          <w:rFonts w:ascii="Times New Roman" w:hAnsi="Times New Roman" w:cs="Times New Roman"/>
        </w:rPr>
        <w:t>(</w:t>
      </w:r>
      <w:r w:rsidR="002A1FE7" w:rsidRPr="00872293">
        <w:rPr>
          <w:rFonts w:ascii="Times New Roman" w:hAnsi="Times New Roman" w:cs="Times New Roman"/>
        </w:rPr>
        <w:t xml:space="preserve">described as less than </w:t>
      </w:r>
      <w:r w:rsidR="003A01E8" w:rsidRPr="00872293">
        <w:rPr>
          <w:rFonts w:ascii="Times New Roman" w:hAnsi="Times New Roman" w:cs="Times New Roman"/>
        </w:rPr>
        <w:t>5 mm in diameter</w:t>
      </w:r>
      <w:r w:rsidR="00704FAA" w:rsidRPr="00872293">
        <w:rPr>
          <w:rFonts w:ascii="Times New Roman" w:hAnsi="Times New Roman" w:cs="Times New Roman"/>
        </w:rPr>
        <w:t>)</w:t>
      </w:r>
      <w:r w:rsidR="004950EC" w:rsidRPr="00872293">
        <w:rPr>
          <w:rFonts w:ascii="Times New Roman" w:hAnsi="Times New Roman" w:cs="Times New Roman"/>
        </w:rPr>
        <w:t>.</w:t>
      </w:r>
      <w:r w:rsidR="00DD0530" w:rsidRPr="00872293">
        <w:rPr>
          <w:rFonts w:ascii="Times New Roman" w:hAnsi="Times New Roman" w:cs="Times New Roman"/>
        </w:rPr>
        <w:t xml:space="preserve"> </w:t>
      </w:r>
      <w:r w:rsidR="007E5C9A" w:rsidRPr="00872293">
        <w:rPr>
          <w:rFonts w:ascii="Times New Roman" w:hAnsi="Times New Roman" w:cs="Times New Roman"/>
        </w:rPr>
        <w:t>Together</w:t>
      </w:r>
      <w:r w:rsidR="001141F2" w:rsidRPr="00872293">
        <w:rPr>
          <w:rFonts w:ascii="Times New Roman" w:hAnsi="Times New Roman" w:cs="Times New Roman"/>
        </w:rPr>
        <w:t xml:space="preserve">, </w:t>
      </w:r>
      <w:proofErr w:type="gramStart"/>
      <w:r w:rsidR="001141F2" w:rsidRPr="00872293">
        <w:rPr>
          <w:rFonts w:ascii="Times New Roman" w:hAnsi="Times New Roman" w:cs="Times New Roman"/>
        </w:rPr>
        <w:t>coarse</w:t>
      </w:r>
      <w:proofErr w:type="gramEnd"/>
      <w:r w:rsidR="001141F2" w:rsidRPr="00872293">
        <w:rPr>
          <w:rFonts w:ascii="Times New Roman" w:hAnsi="Times New Roman" w:cs="Times New Roman"/>
        </w:rPr>
        <w:t xml:space="preserve"> and fine roots represent 25</w:t>
      </w:r>
      <w:r w:rsidR="008B48D5" w:rsidRPr="00872293">
        <w:rPr>
          <w:rFonts w:ascii="Times New Roman" w:hAnsi="Times New Roman" w:cs="Times New Roman"/>
        </w:rPr>
        <w:t>%</w:t>
      </w:r>
      <w:r w:rsidR="00152946" w:rsidRPr="00872293">
        <w:rPr>
          <w:rFonts w:ascii="Times New Roman" w:hAnsi="Times New Roman" w:cs="Times New Roman"/>
        </w:rPr>
        <w:t xml:space="preserve"> </w:t>
      </w:r>
      <w:r w:rsidR="001141F2" w:rsidRPr="00872293">
        <w:rPr>
          <w:rFonts w:ascii="Times New Roman" w:hAnsi="Times New Roman" w:cs="Times New Roman"/>
        </w:rPr>
        <w:t xml:space="preserve">of total </w:t>
      </w:r>
      <w:r w:rsidR="007B64E9" w:rsidRPr="00872293">
        <w:rPr>
          <w:rFonts w:ascii="Times New Roman" w:hAnsi="Times New Roman" w:cs="Times New Roman"/>
        </w:rPr>
        <w:t xml:space="preserve">tree </w:t>
      </w:r>
      <w:r w:rsidR="001141F2" w:rsidRPr="00872293">
        <w:rPr>
          <w:rFonts w:ascii="Times New Roman" w:hAnsi="Times New Roman" w:cs="Times New Roman"/>
        </w:rPr>
        <w:t>biomass</w:t>
      </w:r>
      <w:r w:rsidR="00BF0FB5" w:rsidRPr="00872293">
        <w:rPr>
          <w:rFonts w:ascii="Times New Roman" w:hAnsi="Times New Roman" w:cs="Times New Roman"/>
        </w:rPr>
        <w:t xml:space="preserve"> from these studies</w:t>
      </w:r>
      <w:r w:rsidR="00081E6E" w:rsidRPr="00872293">
        <w:rPr>
          <w:rFonts w:ascii="Times New Roman" w:hAnsi="Times New Roman" w:cs="Times New Roman"/>
        </w:rPr>
        <w:t xml:space="preserve">. </w:t>
      </w:r>
      <w:proofErr w:type="spellStart"/>
      <w:r w:rsidR="003A01E8" w:rsidRPr="00872293">
        <w:rPr>
          <w:rFonts w:ascii="Times New Roman" w:hAnsi="Times New Roman" w:cs="Times New Roman"/>
        </w:rPr>
        <w:t>Golley</w:t>
      </w:r>
      <w:proofErr w:type="spellEnd"/>
      <w:r w:rsidR="003A01E8" w:rsidRPr="00872293">
        <w:rPr>
          <w:rFonts w:ascii="Times New Roman" w:hAnsi="Times New Roman" w:cs="Times New Roman"/>
        </w:rPr>
        <w:t xml:space="preserve"> </w:t>
      </w:r>
      <w:r w:rsidR="00C66951" w:rsidRPr="00872293">
        <w:rPr>
          <w:rFonts w:ascii="Times New Roman" w:hAnsi="Times New Roman" w:cs="Times New Roman"/>
          <w:i/>
          <w:noProof/>
        </w:rPr>
        <w:t>et al.</w:t>
      </w:r>
      <w:r w:rsidR="00C66951" w:rsidRPr="00872293">
        <w:rPr>
          <w:rFonts w:ascii="Times New Roman" w:eastAsia="Lato-Regular" w:hAnsi="Times New Roman" w:cs="Times New Roman"/>
        </w:rPr>
        <w:t xml:space="preserve"> (</w:t>
      </w:r>
      <w:r w:rsidR="00C66951" w:rsidRPr="00872293">
        <w:rPr>
          <w:rFonts w:ascii="Times New Roman" w:hAnsi="Times New Roman" w:cs="Times New Roman"/>
        </w:rPr>
        <w:t>1962)</w:t>
      </w:r>
      <w:r w:rsidR="003A01E8" w:rsidRPr="00872293">
        <w:rPr>
          <w:rFonts w:ascii="Times New Roman" w:hAnsi="Times New Roman" w:cs="Times New Roman"/>
        </w:rPr>
        <w:t xml:space="preserve"> measured root biomass (fine</w:t>
      </w:r>
      <w:r w:rsidR="00E81709" w:rsidRPr="00872293">
        <w:rPr>
          <w:rFonts w:ascii="Times New Roman" w:hAnsi="Times New Roman" w:cs="Times New Roman"/>
        </w:rPr>
        <w:t xml:space="preserve"> +</w:t>
      </w:r>
      <w:r w:rsidR="003A01E8" w:rsidRPr="00872293">
        <w:rPr>
          <w:rFonts w:ascii="Times New Roman" w:hAnsi="Times New Roman" w:cs="Times New Roman"/>
        </w:rPr>
        <w:t xml:space="preserve"> coarse) from a red mangrove (</w:t>
      </w:r>
      <w:r w:rsidR="003A01E8" w:rsidRPr="00872293">
        <w:rPr>
          <w:rFonts w:ascii="Times New Roman" w:hAnsi="Times New Roman" w:cs="Times New Roman"/>
          <w:i/>
        </w:rPr>
        <w:t>Rhizophora mangle</w:t>
      </w:r>
      <w:r w:rsidR="003A01E8" w:rsidRPr="00872293">
        <w:rPr>
          <w:rFonts w:ascii="Times New Roman" w:hAnsi="Times New Roman" w:cs="Times New Roman"/>
        </w:rPr>
        <w:t>) forest on the southern shores of Puerto Rico. Prop</w:t>
      </w:r>
      <w:r w:rsidR="00F64B20" w:rsidRPr="00872293">
        <w:rPr>
          <w:rFonts w:ascii="Times New Roman" w:hAnsi="Times New Roman" w:cs="Times New Roman"/>
        </w:rPr>
        <w:t>-</w:t>
      </w:r>
      <w:r w:rsidR="003A01E8" w:rsidRPr="00872293">
        <w:rPr>
          <w:rFonts w:ascii="Times New Roman" w:hAnsi="Times New Roman" w:cs="Times New Roman"/>
        </w:rPr>
        <w:t xml:space="preserve">root </w:t>
      </w:r>
      <w:r w:rsidR="009B1A07" w:rsidRPr="00872293">
        <w:rPr>
          <w:rFonts w:ascii="Times New Roman" w:hAnsi="Times New Roman" w:cs="Times New Roman"/>
        </w:rPr>
        <w:t xml:space="preserve">(adventitious aerial roots) </w:t>
      </w:r>
      <w:r w:rsidR="003A01E8" w:rsidRPr="00872293">
        <w:rPr>
          <w:rFonts w:ascii="Times New Roman" w:hAnsi="Times New Roman" w:cs="Times New Roman"/>
        </w:rPr>
        <w:t>biomass was taken by whole</w:t>
      </w:r>
      <w:r w:rsidR="00F64B20" w:rsidRPr="00872293">
        <w:rPr>
          <w:rFonts w:ascii="Times New Roman" w:hAnsi="Times New Roman" w:cs="Times New Roman"/>
        </w:rPr>
        <w:t>-</w:t>
      </w:r>
      <w:r w:rsidR="003A01E8" w:rsidRPr="00872293">
        <w:rPr>
          <w:rFonts w:ascii="Times New Roman" w:hAnsi="Times New Roman" w:cs="Times New Roman"/>
        </w:rPr>
        <w:t>tree removal</w:t>
      </w:r>
      <w:r w:rsidR="00F64B20" w:rsidRPr="00872293">
        <w:rPr>
          <w:rFonts w:ascii="Times New Roman" w:hAnsi="Times New Roman" w:cs="Times New Roman"/>
        </w:rPr>
        <w:t>;</w:t>
      </w:r>
      <w:r w:rsidR="003A01E8" w:rsidRPr="00872293">
        <w:rPr>
          <w:rFonts w:ascii="Times New Roman" w:hAnsi="Times New Roman" w:cs="Times New Roman"/>
        </w:rPr>
        <w:t xml:space="preserve"> the total prop</w:t>
      </w:r>
      <w:r w:rsidR="00F64B20" w:rsidRPr="00872293">
        <w:rPr>
          <w:rFonts w:ascii="Times New Roman" w:hAnsi="Times New Roman" w:cs="Times New Roman"/>
        </w:rPr>
        <w:t>-</w:t>
      </w:r>
      <w:r w:rsidR="003A01E8" w:rsidRPr="00872293">
        <w:rPr>
          <w:rFonts w:ascii="Times New Roman" w:hAnsi="Times New Roman" w:cs="Times New Roman"/>
        </w:rPr>
        <w:t xml:space="preserve">root biomass </w:t>
      </w:r>
      <w:r w:rsidR="00F64B20" w:rsidRPr="00872293">
        <w:rPr>
          <w:rFonts w:ascii="Times New Roman" w:hAnsi="Times New Roman" w:cs="Times New Roman"/>
        </w:rPr>
        <w:t xml:space="preserve">was </w:t>
      </w:r>
      <w:r w:rsidR="003A01E8" w:rsidRPr="00872293">
        <w:rPr>
          <w:rFonts w:ascii="Times New Roman" w:hAnsi="Times New Roman" w:cs="Times New Roman"/>
        </w:rPr>
        <w:t>14.37 Mg</w:t>
      </w:r>
      <w:r w:rsidR="00BD6642">
        <w:rPr>
          <w:rFonts w:ascii="Times New Roman" w:hAnsi="Times New Roman" w:cs="Times New Roman"/>
        </w:rPr>
        <w:t xml:space="preserve"> </w:t>
      </w:r>
      <w:r w:rsidR="00BD6642" w:rsidRPr="00872293">
        <w:rPr>
          <w:rFonts w:ascii="Times New Roman" w:hAnsi="Times New Roman" w:cs="Times New Roman"/>
        </w:rPr>
        <w:t>ha</w:t>
      </w:r>
      <w:r w:rsidR="00BD6642" w:rsidRPr="00BD6642">
        <w:rPr>
          <w:rFonts w:ascii="Times New Roman" w:hAnsi="Times New Roman" w:cs="Times New Roman"/>
          <w:vertAlign w:val="superscript"/>
        </w:rPr>
        <w:t>-1</w:t>
      </w:r>
      <w:r w:rsidR="003A01E8" w:rsidRPr="00872293">
        <w:rPr>
          <w:rFonts w:ascii="Times New Roman" w:hAnsi="Times New Roman" w:cs="Times New Roman"/>
        </w:rPr>
        <w:t xml:space="preserve">. </w:t>
      </w:r>
      <w:r w:rsidR="002A1FE7" w:rsidRPr="00872293">
        <w:rPr>
          <w:rFonts w:ascii="Times New Roman" w:hAnsi="Times New Roman" w:cs="Times New Roman"/>
        </w:rPr>
        <w:t xml:space="preserve">Fine </w:t>
      </w:r>
      <w:r w:rsidR="00BF3BC3" w:rsidRPr="00872293">
        <w:rPr>
          <w:rFonts w:ascii="Times New Roman" w:hAnsi="Times New Roman" w:cs="Times New Roman"/>
        </w:rPr>
        <w:t>roots</w:t>
      </w:r>
      <w:r w:rsidR="003A01E8" w:rsidRPr="00872293">
        <w:rPr>
          <w:rFonts w:ascii="Times New Roman" w:hAnsi="Times New Roman" w:cs="Times New Roman"/>
        </w:rPr>
        <w:t xml:space="preserve"> (</w:t>
      </w:r>
      <w:r w:rsidR="00A47844" w:rsidRPr="00872293">
        <w:rPr>
          <w:rFonts w:ascii="Times New Roman" w:hAnsi="Times New Roman" w:cs="Times New Roman"/>
        </w:rPr>
        <w:t>&lt;</w:t>
      </w:r>
      <w:r w:rsidR="003A01E8" w:rsidRPr="00872293">
        <w:rPr>
          <w:rFonts w:ascii="Times New Roman" w:hAnsi="Times New Roman" w:cs="Times New Roman"/>
        </w:rPr>
        <w:t>5-1</w:t>
      </w:r>
      <w:r w:rsidR="0096792A" w:rsidRPr="00872293">
        <w:rPr>
          <w:rFonts w:ascii="Times New Roman" w:hAnsi="Times New Roman" w:cs="Times New Roman"/>
        </w:rPr>
        <w:t>0</w:t>
      </w:r>
      <w:r w:rsidR="003A01E8" w:rsidRPr="00872293">
        <w:rPr>
          <w:rFonts w:ascii="Times New Roman" w:hAnsi="Times New Roman" w:cs="Times New Roman"/>
        </w:rPr>
        <w:t xml:space="preserve"> </w:t>
      </w:r>
      <w:r w:rsidR="0096792A" w:rsidRPr="00872293">
        <w:rPr>
          <w:rFonts w:ascii="Times New Roman" w:hAnsi="Times New Roman" w:cs="Times New Roman"/>
        </w:rPr>
        <w:t>m</w:t>
      </w:r>
      <w:r w:rsidR="003A01E8" w:rsidRPr="00872293">
        <w:rPr>
          <w:rFonts w:ascii="Times New Roman" w:hAnsi="Times New Roman" w:cs="Times New Roman"/>
        </w:rPr>
        <w:t>m</w:t>
      </w:r>
      <w:r w:rsidR="002A1FE7" w:rsidRPr="00872293">
        <w:rPr>
          <w:rFonts w:ascii="Times New Roman" w:hAnsi="Times New Roman" w:cs="Times New Roman"/>
        </w:rPr>
        <w:t xml:space="preserve"> in diameter</w:t>
      </w:r>
      <w:r w:rsidR="003A01E8" w:rsidRPr="00872293">
        <w:rPr>
          <w:rFonts w:ascii="Times New Roman" w:hAnsi="Times New Roman" w:cs="Times New Roman"/>
        </w:rPr>
        <w:t xml:space="preserve">) </w:t>
      </w:r>
      <w:r w:rsidR="00734274" w:rsidRPr="00872293">
        <w:rPr>
          <w:rFonts w:ascii="Times New Roman" w:hAnsi="Times New Roman" w:cs="Times New Roman"/>
        </w:rPr>
        <w:t xml:space="preserve">plus peat </w:t>
      </w:r>
      <w:r w:rsidR="003A01E8" w:rsidRPr="00872293">
        <w:rPr>
          <w:rFonts w:ascii="Times New Roman" w:hAnsi="Times New Roman" w:cs="Times New Roman"/>
        </w:rPr>
        <w:t xml:space="preserve">and coarse </w:t>
      </w:r>
      <w:r w:rsidR="002A1FE7" w:rsidRPr="00872293">
        <w:rPr>
          <w:rFonts w:ascii="Times New Roman" w:hAnsi="Times New Roman" w:cs="Times New Roman"/>
        </w:rPr>
        <w:t xml:space="preserve">roots </w:t>
      </w:r>
      <w:r w:rsidR="003A01E8" w:rsidRPr="00872293">
        <w:rPr>
          <w:rFonts w:ascii="Times New Roman" w:hAnsi="Times New Roman" w:cs="Times New Roman"/>
        </w:rPr>
        <w:t>(</w:t>
      </w:r>
      <w:r w:rsidR="00A47844" w:rsidRPr="00872293">
        <w:rPr>
          <w:rFonts w:ascii="Times New Roman" w:hAnsi="Times New Roman" w:cs="Times New Roman"/>
        </w:rPr>
        <w:t>&gt;</w:t>
      </w:r>
      <w:r w:rsidR="002A1FE7" w:rsidRPr="00872293">
        <w:rPr>
          <w:rFonts w:ascii="Times New Roman" w:hAnsi="Times New Roman" w:cs="Times New Roman"/>
        </w:rPr>
        <w:t xml:space="preserve"> </w:t>
      </w:r>
      <w:r w:rsidR="003A01E8" w:rsidRPr="00872293">
        <w:rPr>
          <w:rFonts w:ascii="Times New Roman" w:hAnsi="Times New Roman" w:cs="Times New Roman"/>
        </w:rPr>
        <w:t>2 cm</w:t>
      </w:r>
      <w:r w:rsidR="002A1FE7" w:rsidRPr="00872293">
        <w:rPr>
          <w:rFonts w:ascii="Times New Roman" w:hAnsi="Times New Roman" w:cs="Times New Roman"/>
        </w:rPr>
        <w:t xml:space="preserve"> in diameter</w:t>
      </w:r>
      <w:r w:rsidR="003A01E8" w:rsidRPr="00872293">
        <w:rPr>
          <w:rFonts w:ascii="Times New Roman" w:hAnsi="Times New Roman" w:cs="Times New Roman"/>
        </w:rPr>
        <w:t>) were taken by cores and weighed 40 Mg</w:t>
      </w:r>
      <w:r w:rsidR="00BD6642">
        <w:rPr>
          <w:rFonts w:ascii="Times New Roman" w:hAnsi="Times New Roman" w:cs="Times New Roman"/>
        </w:rPr>
        <w:t xml:space="preserve"> </w:t>
      </w:r>
      <w:r w:rsidR="003A01E8" w:rsidRPr="00872293">
        <w:rPr>
          <w:rFonts w:ascii="Times New Roman" w:hAnsi="Times New Roman" w:cs="Times New Roman"/>
        </w:rPr>
        <w:t>ha</w:t>
      </w:r>
      <w:r w:rsidR="00BD6642" w:rsidRPr="00BD6642">
        <w:rPr>
          <w:rFonts w:ascii="Times New Roman" w:hAnsi="Times New Roman" w:cs="Times New Roman"/>
          <w:vertAlign w:val="superscript"/>
        </w:rPr>
        <w:t>-1</w:t>
      </w:r>
      <w:r w:rsidR="003A01E8" w:rsidRPr="00872293">
        <w:rPr>
          <w:rFonts w:ascii="Times New Roman" w:hAnsi="Times New Roman" w:cs="Times New Roman"/>
        </w:rPr>
        <w:t xml:space="preserve"> and 9.97</w:t>
      </w:r>
      <w:r w:rsidR="00F64B20" w:rsidRPr="00872293">
        <w:rPr>
          <w:rFonts w:ascii="Times New Roman" w:hAnsi="Times New Roman" w:cs="Times New Roman"/>
        </w:rPr>
        <w:t xml:space="preserve"> </w:t>
      </w:r>
      <w:r w:rsidR="003A01E8" w:rsidRPr="00872293">
        <w:rPr>
          <w:rFonts w:ascii="Times New Roman" w:hAnsi="Times New Roman" w:cs="Times New Roman"/>
        </w:rPr>
        <w:t>Mg</w:t>
      </w:r>
      <w:r w:rsidR="00BD6642">
        <w:rPr>
          <w:rFonts w:ascii="Times New Roman" w:hAnsi="Times New Roman" w:cs="Times New Roman"/>
        </w:rPr>
        <w:t xml:space="preserve"> </w:t>
      </w:r>
      <w:r w:rsidR="00BD6642" w:rsidRPr="00872293">
        <w:rPr>
          <w:rFonts w:ascii="Times New Roman" w:hAnsi="Times New Roman" w:cs="Times New Roman"/>
        </w:rPr>
        <w:t>ha</w:t>
      </w:r>
      <w:r w:rsidR="00BD6642" w:rsidRPr="00BD6642">
        <w:rPr>
          <w:rFonts w:ascii="Times New Roman" w:hAnsi="Times New Roman" w:cs="Times New Roman"/>
          <w:vertAlign w:val="superscript"/>
        </w:rPr>
        <w:t>-</w:t>
      </w:r>
      <w:proofErr w:type="gramStart"/>
      <w:r w:rsidR="00BD6642" w:rsidRPr="00BD6642">
        <w:rPr>
          <w:rFonts w:ascii="Times New Roman" w:hAnsi="Times New Roman" w:cs="Times New Roman"/>
          <w:vertAlign w:val="superscript"/>
        </w:rPr>
        <w:t>1</w:t>
      </w:r>
      <w:proofErr w:type="gramEnd"/>
      <w:r w:rsidR="003A01E8" w:rsidRPr="00872293">
        <w:rPr>
          <w:rFonts w:ascii="Times New Roman" w:hAnsi="Times New Roman" w:cs="Times New Roman"/>
        </w:rPr>
        <w:t xml:space="preserve"> respectively. </w:t>
      </w:r>
      <w:r w:rsidR="00456743" w:rsidRPr="00872293">
        <w:rPr>
          <w:rFonts w:ascii="Times New Roman" w:hAnsi="Times New Roman" w:cs="Times New Roman"/>
        </w:rPr>
        <w:t xml:space="preserve">Coarse </w:t>
      </w:r>
      <w:r w:rsidR="003A01E8" w:rsidRPr="00872293">
        <w:rPr>
          <w:rFonts w:ascii="Times New Roman" w:hAnsi="Times New Roman" w:cs="Times New Roman"/>
        </w:rPr>
        <w:lastRenderedPageBreak/>
        <w:t>root biomass is less than th</w:t>
      </w:r>
      <w:r w:rsidR="0033577D" w:rsidRPr="00872293">
        <w:rPr>
          <w:rFonts w:ascii="Times New Roman" w:hAnsi="Times New Roman" w:cs="Times New Roman"/>
        </w:rPr>
        <w:t xml:space="preserve">at </w:t>
      </w:r>
      <w:r w:rsidR="003A01E8" w:rsidRPr="00872293">
        <w:rPr>
          <w:rFonts w:ascii="Times New Roman" w:hAnsi="Times New Roman" w:cs="Times New Roman"/>
        </w:rPr>
        <w:t xml:space="preserve">reported by Ovington </w:t>
      </w:r>
      <w:r w:rsidR="001565F6" w:rsidRPr="00872293">
        <w:rPr>
          <w:rFonts w:ascii="Times New Roman" w:hAnsi="Times New Roman" w:cs="Times New Roman"/>
        </w:rPr>
        <w:t xml:space="preserve">&amp; </w:t>
      </w:r>
      <w:r w:rsidR="003A01E8" w:rsidRPr="00872293">
        <w:rPr>
          <w:rFonts w:ascii="Times New Roman" w:hAnsi="Times New Roman" w:cs="Times New Roman"/>
        </w:rPr>
        <w:t>Olson (1970</w:t>
      </w:r>
      <w:r w:rsidR="00625549" w:rsidRPr="00872293">
        <w:rPr>
          <w:rFonts w:ascii="Times New Roman" w:hAnsi="Times New Roman" w:cs="Times New Roman"/>
        </w:rPr>
        <w:t>) in the LEF, which may reflect differences in vegetation</w:t>
      </w:r>
      <w:r w:rsidR="002A1FE7" w:rsidRPr="00872293">
        <w:rPr>
          <w:rFonts w:ascii="Times New Roman" w:hAnsi="Times New Roman" w:cs="Times New Roman"/>
        </w:rPr>
        <w:t>, root diameter classification,</w:t>
      </w:r>
      <w:r w:rsidR="00625549" w:rsidRPr="00872293">
        <w:rPr>
          <w:rFonts w:ascii="Times New Roman" w:hAnsi="Times New Roman" w:cs="Times New Roman"/>
        </w:rPr>
        <w:t xml:space="preserve"> </w:t>
      </w:r>
      <w:r w:rsidR="002A1FE7" w:rsidRPr="00872293">
        <w:rPr>
          <w:rFonts w:ascii="Times New Roman" w:hAnsi="Times New Roman" w:cs="Times New Roman"/>
        </w:rPr>
        <w:t>and</w:t>
      </w:r>
      <w:r w:rsidR="00625549" w:rsidRPr="00872293">
        <w:rPr>
          <w:rFonts w:ascii="Times New Roman" w:hAnsi="Times New Roman" w:cs="Times New Roman"/>
        </w:rPr>
        <w:t xml:space="preserve"> the method of collection</w:t>
      </w:r>
      <w:r w:rsidR="003A01E8" w:rsidRPr="00872293">
        <w:rPr>
          <w:rFonts w:ascii="Times New Roman" w:hAnsi="Times New Roman" w:cs="Times New Roman"/>
        </w:rPr>
        <w:t xml:space="preserve">. </w:t>
      </w:r>
      <w:r w:rsidR="00674CD5" w:rsidRPr="00872293">
        <w:rPr>
          <w:rFonts w:ascii="Times New Roman" w:hAnsi="Times New Roman" w:cs="Times New Roman"/>
        </w:rPr>
        <w:t>P</w:t>
      </w:r>
      <w:r w:rsidR="00D352AB" w:rsidRPr="00872293">
        <w:rPr>
          <w:rFonts w:ascii="Times New Roman" w:hAnsi="Times New Roman" w:cs="Times New Roman"/>
        </w:rPr>
        <w:t>rop and coarse roots represent 46</w:t>
      </w:r>
      <w:r w:rsidR="008B48D5" w:rsidRPr="00872293">
        <w:rPr>
          <w:rFonts w:ascii="Times New Roman" w:hAnsi="Times New Roman" w:cs="Times New Roman"/>
        </w:rPr>
        <w:t>%</w:t>
      </w:r>
      <w:r w:rsidR="00152946" w:rsidRPr="00872293">
        <w:rPr>
          <w:rFonts w:ascii="Times New Roman" w:hAnsi="Times New Roman" w:cs="Times New Roman"/>
        </w:rPr>
        <w:t xml:space="preserve"> </w:t>
      </w:r>
      <w:r w:rsidR="00D352AB" w:rsidRPr="00872293">
        <w:rPr>
          <w:rFonts w:ascii="Times New Roman" w:hAnsi="Times New Roman" w:cs="Times New Roman"/>
        </w:rPr>
        <w:t>of total tree biomass</w:t>
      </w:r>
      <w:r w:rsidR="00BB1C82" w:rsidRPr="00872293">
        <w:rPr>
          <w:rFonts w:ascii="Times New Roman" w:hAnsi="Times New Roman" w:cs="Times New Roman"/>
        </w:rPr>
        <w:t>, which is more than in Ovington &amp; Olson (1970)</w:t>
      </w:r>
      <w:r w:rsidR="00D352AB" w:rsidRPr="00872293">
        <w:rPr>
          <w:rFonts w:ascii="Times New Roman" w:hAnsi="Times New Roman" w:cs="Times New Roman"/>
        </w:rPr>
        <w:t xml:space="preserve">. </w:t>
      </w:r>
      <w:r w:rsidR="003A01E8" w:rsidRPr="00872293">
        <w:rPr>
          <w:rFonts w:ascii="Times New Roman" w:hAnsi="Times New Roman" w:cs="Times New Roman"/>
        </w:rPr>
        <w:t>Although the diameter selected in this study for fine roots (5-1</w:t>
      </w:r>
      <w:r w:rsidR="00632DFE" w:rsidRPr="00872293">
        <w:rPr>
          <w:rFonts w:ascii="Times New Roman" w:hAnsi="Times New Roman" w:cs="Times New Roman"/>
        </w:rPr>
        <w:t>0</w:t>
      </w:r>
      <w:r w:rsidR="003A01E8" w:rsidRPr="00872293">
        <w:rPr>
          <w:rFonts w:ascii="Times New Roman" w:hAnsi="Times New Roman" w:cs="Times New Roman"/>
        </w:rPr>
        <w:t xml:space="preserve"> </w:t>
      </w:r>
      <w:r w:rsidR="00632DFE" w:rsidRPr="00872293">
        <w:rPr>
          <w:rFonts w:ascii="Times New Roman" w:hAnsi="Times New Roman" w:cs="Times New Roman"/>
        </w:rPr>
        <w:t>m</w:t>
      </w:r>
      <w:r w:rsidR="003A01E8" w:rsidRPr="00872293">
        <w:rPr>
          <w:rFonts w:ascii="Times New Roman" w:hAnsi="Times New Roman" w:cs="Times New Roman"/>
        </w:rPr>
        <w:t>m)</w:t>
      </w:r>
      <w:r w:rsidR="00BE2B2E" w:rsidRPr="00872293">
        <w:rPr>
          <w:rFonts w:ascii="Times New Roman" w:hAnsi="Times New Roman" w:cs="Times New Roman"/>
        </w:rPr>
        <w:t xml:space="preserve"> is greater than the rest of the studies presented in this review</w:t>
      </w:r>
      <w:r w:rsidR="003760FD" w:rsidRPr="00872293">
        <w:rPr>
          <w:rFonts w:ascii="Times New Roman" w:hAnsi="Times New Roman" w:cs="Times New Roman"/>
        </w:rPr>
        <w:t>,</w:t>
      </w:r>
      <w:r w:rsidR="00BE2B2E" w:rsidRPr="00872293">
        <w:rPr>
          <w:rFonts w:ascii="Times New Roman" w:hAnsi="Times New Roman" w:cs="Times New Roman"/>
        </w:rPr>
        <w:t xml:space="preserve"> and the biomass </w:t>
      </w:r>
      <w:r w:rsidR="00184353" w:rsidRPr="00872293">
        <w:rPr>
          <w:rFonts w:ascii="Times New Roman" w:hAnsi="Times New Roman" w:cs="Times New Roman"/>
        </w:rPr>
        <w:t>included</w:t>
      </w:r>
      <w:r w:rsidR="00BE2B2E" w:rsidRPr="00872293">
        <w:rPr>
          <w:rFonts w:ascii="Times New Roman" w:hAnsi="Times New Roman" w:cs="Times New Roman"/>
        </w:rPr>
        <w:t xml:space="preserve"> peat biomass</w:t>
      </w:r>
      <w:r w:rsidR="003A01E8" w:rsidRPr="00872293">
        <w:rPr>
          <w:rFonts w:ascii="Times New Roman" w:hAnsi="Times New Roman" w:cs="Times New Roman"/>
        </w:rPr>
        <w:t xml:space="preserve">, </w:t>
      </w:r>
      <w:r w:rsidR="00873DD9" w:rsidRPr="00872293">
        <w:rPr>
          <w:rFonts w:ascii="Times New Roman" w:hAnsi="Times New Roman" w:cs="Times New Roman"/>
        </w:rPr>
        <w:t>we</w:t>
      </w:r>
      <w:r w:rsidR="003A4886" w:rsidRPr="00872293">
        <w:rPr>
          <w:rFonts w:ascii="Times New Roman" w:hAnsi="Times New Roman" w:cs="Times New Roman"/>
        </w:rPr>
        <w:t xml:space="preserve"> </w:t>
      </w:r>
      <w:r w:rsidR="003A01E8" w:rsidRPr="00872293">
        <w:rPr>
          <w:rFonts w:ascii="Times New Roman" w:hAnsi="Times New Roman" w:cs="Times New Roman"/>
        </w:rPr>
        <w:t>can nevertheless conclude that mangroves present especially high fine-root biomass in Puerto Rico.</w:t>
      </w:r>
      <w:r w:rsidR="00081E6E" w:rsidRPr="00872293">
        <w:rPr>
          <w:rFonts w:ascii="Times New Roman" w:hAnsi="Times New Roman" w:cs="Times New Roman"/>
        </w:rPr>
        <w:t xml:space="preserve"> </w:t>
      </w:r>
      <w:proofErr w:type="spellStart"/>
      <w:r w:rsidR="003A01E8" w:rsidRPr="00872293">
        <w:rPr>
          <w:rFonts w:ascii="Times New Roman" w:hAnsi="Times New Roman" w:cs="Times New Roman"/>
        </w:rPr>
        <w:t>Frangi</w:t>
      </w:r>
      <w:proofErr w:type="spellEnd"/>
      <w:r w:rsidR="003A01E8" w:rsidRPr="00872293">
        <w:rPr>
          <w:rFonts w:ascii="Times New Roman" w:hAnsi="Times New Roman" w:cs="Times New Roman"/>
        </w:rPr>
        <w:t xml:space="preserve"> &amp; Lugo (1985) found</w:t>
      </w:r>
      <w:r w:rsidR="00262900" w:rsidRPr="00872293">
        <w:rPr>
          <w:rFonts w:ascii="Times New Roman" w:hAnsi="Times New Roman" w:cs="Times New Roman"/>
        </w:rPr>
        <w:t xml:space="preserve"> that </w:t>
      </w:r>
      <w:r w:rsidR="003A01E8" w:rsidRPr="00872293">
        <w:rPr>
          <w:rFonts w:ascii="Times New Roman" w:hAnsi="Times New Roman" w:cs="Times New Roman"/>
        </w:rPr>
        <w:t>in a primary wet palm forest at LEF total root biomass was 61.7 Mg</w:t>
      </w:r>
      <w:r w:rsidR="00B20734" w:rsidRPr="00B20734">
        <w:rPr>
          <w:rFonts w:ascii="Times New Roman" w:hAnsi="Times New Roman" w:cs="Times New Roman"/>
        </w:rPr>
        <w:t xml:space="preserve"> </w:t>
      </w:r>
      <w:r w:rsidR="00B20734" w:rsidRPr="00872293">
        <w:rPr>
          <w:rFonts w:ascii="Times New Roman" w:hAnsi="Times New Roman" w:cs="Times New Roman"/>
        </w:rPr>
        <w:t>ha</w:t>
      </w:r>
      <w:r w:rsidR="00B20734" w:rsidRPr="00BD6642">
        <w:rPr>
          <w:rFonts w:ascii="Times New Roman" w:hAnsi="Times New Roman" w:cs="Times New Roman"/>
          <w:vertAlign w:val="superscript"/>
        </w:rPr>
        <w:t>-1</w:t>
      </w:r>
      <w:r w:rsidR="00B20734">
        <w:rPr>
          <w:rFonts w:ascii="Times New Roman" w:hAnsi="Times New Roman" w:cs="Times New Roman"/>
        </w:rPr>
        <w:t xml:space="preserve"> </w:t>
      </w:r>
      <w:r w:rsidR="003A01E8" w:rsidRPr="00872293">
        <w:rPr>
          <w:rFonts w:ascii="Times New Roman" w:hAnsi="Times New Roman" w:cs="Times New Roman"/>
        </w:rPr>
        <w:t xml:space="preserve">up to 95 cm deep, </w:t>
      </w:r>
      <w:r w:rsidR="00B74446" w:rsidRPr="00872293">
        <w:rPr>
          <w:rFonts w:ascii="Times New Roman" w:hAnsi="Times New Roman" w:cs="Times New Roman"/>
        </w:rPr>
        <w:t>which represents 21.5</w:t>
      </w:r>
      <w:r w:rsidR="008B48D5" w:rsidRPr="00872293">
        <w:rPr>
          <w:rFonts w:ascii="Times New Roman" w:hAnsi="Times New Roman" w:cs="Times New Roman"/>
        </w:rPr>
        <w:t xml:space="preserve">% </w:t>
      </w:r>
      <w:r w:rsidR="00B74446" w:rsidRPr="00872293">
        <w:rPr>
          <w:rFonts w:ascii="Times New Roman" w:hAnsi="Times New Roman" w:cs="Times New Roman"/>
        </w:rPr>
        <w:t xml:space="preserve">of total tree biomass, </w:t>
      </w:r>
      <w:r w:rsidR="003A01E8" w:rsidRPr="00872293">
        <w:rPr>
          <w:rFonts w:ascii="Times New Roman" w:hAnsi="Times New Roman" w:cs="Times New Roman"/>
        </w:rPr>
        <w:t>similar to what Ovington &amp; Olson (1970) showed. Total root biomass was also obtained by using the coring method. Fine-root biomass (&lt;1 mm) was 24.6 Mg</w:t>
      </w:r>
      <w:r w:rsidR="00BD6642">
        <w:rPr>
          <w:rFonts w:ascii="Times New Roman" w:hAnsi="Times New Roman" w:cs="Times New Roman"/>
        </w:rPr>
        <w:t xml:space="preserve"> </w:t>
      </w:r>
      <w:r w:rsidR="00BD6642" w:rsidRPr="00872293">
        <w:rPr>
          <w:rFonts w:ascii="Times New Roman" w:hAnsi="Times New Roman" w:cs="Times New Roman"/>
        </w:rPr>
        <w:t>ha</w:t>
      </w:r>
      <w:r w:rsidR="00BD6642" w:rsidRPr="00BD6642">
        <w:rPr>
          <w:rFonts w:ascii="Times New Roman" w:hAnsi="Times New Roman" w:cs="Times New Roman"/>
          <w:vertAlign w:val="superscript"/>
        </w:rPr>
        <w:t>-1</w:t>
      </w:r>
      <w:r w:rsidR="003A01E8" w:rsidRPr="00872293">
        <w:rPr>
          <w:rFonts w:ascii="Times New Roman" w:hAnsi="Times New Roman" w:cs="Times New Roman"/>
        </w:rPr>
        <w:t xml:space="preserve"> within 30 cm of depth and 27.2 Mg</w:t>
      </w:r>
      <w:r w:rsidR="00E07690">
        <w:rPr>
          <w:rFonts w:ascii="Times New Roman" w:hAnsi="Times New Roman" w:cs="Times New Roman"/>
        </w:rPr>
        <w:t xml:space="preserve"> </w:t>
      </w:r>
      <w:r w:rsidR="00E07690" w:rsidRPr="00872293">
        <w:rPr>
          <w:rFonts w:ascii="Times New Roman" w:hAnsi="Times New Roman" w:cs="Times New Roman"/>
        </w:rPr>
        <w:t>ha</w:t>
      </w:r>
      <w:r w:rsidR="00E07690" w:rsidRPr="00BD6642">
        <w:rPr>
          <w:rFonts w:ascii="Times New Roman" w:hAnsi="Times New Roman" w:cs="Times New Roman"/>
          <w:vertAlign w:val="superscript"/>
        </w:rPr>
        <w:t>-1</w:t>
      </w:r>
      <w:r w:rsidR="003A01E8" w:rsidRPr="00872293">
        <w:rPr>
          <w:rFonts w:ascii="Times New Roman" w:hAnsi="Times New Roman" w:cs="Times New Roman"/>
        </w:rPr>
        <w:t xml:space="preserve"> a</w:t>
      </w:r>
      <w:r w:rsidR="0033577D" w:rsidRPr="00872293">
        <w:rPr>
          <w:rFonts w:ascii="Times New Roman" w:hAnsi="Times New Roman" w:cs="Times New Roman"/>
        </w:rPr>
        <w:t>t</w:t>
      </w:r>
      <w:r w:rsidR="003A01E8" w:rsidRPr="00872293">
        <w:rPr>
          <w:rFonts w:ascii="Times New Roman" w:hAnsi="Times New Roman" w:cs="Times New Roman"/>
        </w:rPr>
        <w:t xml:space="preserve"> 95 cm </w:t>
      </w:r>
      <w:r w:rsidR="0033577D" w:rsidRPr="00872293">
        <w:rPr>
          <w:rFonts w:ascii="Times New Roman" w:hAnsi="Times New Roman" w:cs="Times New Roman"/>
        </w:rPr>
        <w:t xml:space="preserve">of </w:t>
      </w:r>
      <w:r w:rsidR="003A01E8" w:rsidRPr="00872293">
        <w:rPr>
          <w:rFonts w:ascii="Times New Roman" w:hAnsi="Times New Roman" w:cs="Times New Roman"/>
        </w:rPr>
        <w:t xml:space="preserve">depth. </w:t>
      </w:r>
    </w:p>
    <w:p w14:paraId="3B65CF12" w14:textId="77777777" w:rsidR="0098150C" w:rsidRPr="00872293" w:rsidRDefault="0098150C" w:rsidP="003C456F">
      <w:pPr>
        <w:autoSpaceDE w:val="0"/>
        <w:autoSpaceDN w:val="0"/>
        <w:adjustRightInd w:val="0"/>
        <w:spacing w:line="360" w:lineRule="auto"/>
        <w:rPr>
          <w:rFonts w:ascii="Times New Roman" w:hAnsi="Times New Roman" w:cs="Times New Roman"/>
        </w:rPr>
      </w:pPr>
    </w:p>
    <w:p w14:paraId="4BC5B7F6" w14:textId="5E159E8E" w:rsidR="00C13628" w:rsidRPr="00872293" w:rsidRDefault="003A01E8" w:rsidP="003C456F">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In the book “Los </w:t>
      </w:r>
      <w:r w:rsidR="00F64B20" w:rsidRPr="00872293">
        <w:rPr>
          <w:rFonts w:ascii="Times New Roman" w:hAnsi="Times New Roman" w:cs="Times New Roman"/>
        </w:rPr>
        <w:t xml:space="preserve">Bosques </w:t>
      </w:r>
      <w:r w:rsidRPr="00872293">
        <w:rPr>
          <w:rFonts w:ascii="Times New Roman" w:hAnsi="Times New Roman" w:cs="Times New Roman"/>
        </w:rPr>
        <w:t>de Puerto Rico” (Lugo</w:t>
      </w:r>
      <w:r w:rsidR="0063385C" w:rsidRPr="00872293">
        <w:rPr>
          <w:rFonts w:ascii="Times New Roman" w:hAnsi="Times New Roman" w:cs="Times New Roman"/>
        </w:rPr>
        <w:t>,</w:t>
      </w:r>
      <w:r w:rsidRPr="00872293">
        <w:rPr>
          <w:rFonts w:ascii="Times New Roman" w:hAnsi="Times New Roman" w:cs="Times New Roman"/>
        </w:rPr>
        <w:t xml:space="preserve"> 1983), seven studies reported root biomass by depth but not by species or di</w:t>
      </w:r>
      <w:r w:rsidR="000C06CE" w:rsidRPr="00872293">
        <w:rPr>
          <w:rFonts w:ascii="Times New Roman" w:hAnsi="Times New Roman" w:cs="Times New Roman"/>
        </w:rPr>
        <w:t>a</w:t>
      </w:r>
      <w:r w:rsidRPr="00872293">
        <w:rPr>
          <w:rFonts w:ascii="Times New Roman" w:hAnsi="Times New Roman" w:cs="Times New Roman"/>
        </w:rPr>
        <w:t>meter classification (</w:t>
      </w:r>
      <w:r w:rsidR="00032208" w:rsidRPr="00872293">
        <w:rPr>
          <w:rFonts w:ascii="Times New Roman" w:hAnsi="Times New Roman" w:cs="Times New Roman"/>
        </w:rPr>
        <w:t xml:space="preserve">Table </w:t>
      </w:r>
      <w:r w:rsidR="00117CA6" w:rsidRPr="00872293">
        <w:rPr>
          <w:rFonts w:ascii="Times New Roman" w:hAnsi="Times New Roman" w:cs="Times New Roman"/>
        </w:rPr>
        <w:t>1</w:t>
      </w:r>
      <w:r w:rsidRPr="00872293">
        <w:rPr>
          <w:rFonts w:ascii="Times New Roman" w:hAnsi="Times New Roman" w:cs="Times New Roman"/>
        </w:rPr>
        <w:t>). The variability in plant composition, precipitation, and soil type ma</w:t>
      </w:r>
      <w:r w:rsidR="00265069" w:rsidRPr="00872293">
        <w:rPr>
          <w:rFonts w:ascii="Times New Roman" w:hAnsi="Times New Roman" w:cs="Times New Roman"/>
        </w:rPr>
        <w:t>de</w:t>
      </w:r>
      <w:r w:rsidRPr="00872293">
        <w:rPr>
          <w:rFonts w:ascii="Times New Roman" w:hAnsi="Times New Roman" w:cs="Times New Roman"/>
        </w:rPr>
        <w:t xml:space="preserve"> root biomass distribution variable as well. </w:t>
      </w:r>
      <w:r w:rsidR="002D6E7A" w:rsidRPr="00872293">
        <w:rPr>
          <w:rFonts w:ascii="Times New Roman" w:hAnsi="Times New Roman" w:cs="Times New Roman"/>
        </w:rPr>
        <w:t>We performed multiple regressions between root biomass, depth, and mean annual precipitation, but no pattern was found. T</w:t>
      </w:r>
      <w:r w:rsidRPr="00872293">
        <w:rPr>
          <w:rFonts w:ascii="Times New Roman" w:hAnsi="Times New Roman" w:cs="Times New Roman"/>
        </w:rPr>
        <w:t xml:space="preserve">he floodplain in </w:t>
      </w:r>
      <w:proofErr w:type="spellStart"/>
      <w:r w:rsidRPr="00872293">
        <w:rPr>
          <w:rFonts w:ascii="Times New Roman" w:hAnsi="Times New Roman" w:cs="Times New Roman"/>
        </w:rPr>
        <w:t>Patillas</w:t>
      </w:r>
      <w:proofErr w:type="spellEnd"/>
      <w:r w:rsidRPr="00872293">
        <w:rPr>
          <w:rFonts w:ascii="Times New Roman" w:hAnsi="Times New Roman" w:cs="Times New Roman"/>
        </w:rPr>
        <w:t xml:space="preserve"> (Alvarez </w:t>
      </w:r>
      <w:r w:rsidR="003506DE" w:rsidRPr="00872293">
        <w:rPr>
          <w:rFonts w:ascii="Times New Roman" w:hAnsi="Times New Roman" w:cs="Times New Roman"/>
          <w:i/>
          <w:noProof/>
        </w:rPr>
        <w:t>et al.,</w:t>
      </w:r>
      <w:r w:rsidR="003506DE" w:rsidRPr="00872293">
        <w:rPr>
          <w:rFonts w:ascii="Times New Roman" w:eastAsia="Lato-Regular" w:hAnsi="Times New Roman" w:cs="Times New Roman"/>
        </w:rPr>
        <w:t xml:space="preserve"> </w:t>
      </w:r>
      <w:r w:rsidRPr="00872293">
        <w:rPr>
          <w:rFonts w:ascii="Times New Roman" w:hAnsi="Times New Roman" w:cs="Times New Roman"/>
        </w:rPr>
        <w:t>1983) has the highest root biomass in the book (35.5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Pr="00872293">
        <w:rPr>
          <w:rFonts w:ascii="Times New Roman" w:hAnsi="Times New Roman" w:cs="Times New Roman"/>
        </w:rPr>
        <w:t xml:space="preserve">), which could be related to the species composition (mangrove forest), high organic material accumulated in that horizon, and the anoxic conditions. </w:t>
      </w:r>
      <w:r w:rsidR="00B36B2C" w:rsidRPr="00872293">
        <w:rPr>
          <w:rFonts w:ascii="Times New Roman" w:hAnsi="Times New Roman" w:cs="Times New Roman"/>
        </w:rPr>
        <w:t>This</w:t>
      </w:r>
      <w:r w:rsidRPr="00872293">
        <w:rPr>
          <w:rFonts w:ascii="Times New Roman" w:hAnsi="Times New Roman" w:cs="Times New Roman"/>
        </w:rPr>
        <w:t xml:space="preserve"> biomass </w:t>
      </w:r>
      <w:r w:rsidR="00B36B2C" w:rsidRPr="00872293">
        <w:rPr>
          <w:rFonts w:ascii="Times New Roman" w:hAnsi="Times New Roman" w:cs="Times New Roman"/>
        </w:rPr>
        <w:t>is 15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B36B2C" w:rsidRPr="00872293">
        <w:rPr>
          <w:rFonts w:ascii="Times New Roman" w:hAnsi="Times New Roman" w:cs="Times New Roman"/>
        </w:rPr>
        <w:t xml:space="preserve"> less than the one reported by </w:t>
      </w:r>
      <w:proofErr w:type="spellStart"/>
      <w:r w:rsidR="00B36B2C" w:rsidRPr="00872293">
        <w:rPr>
          <w:rFonts w:ascii="Times New Roman" w:hAnsi="Times New Roman" w:cs="Times New Roman"/>
        </w:rPr>
        <w:t>Golley</w:t>
      </w:r>
      <w:proofErr w:type="spellEnd"/>
      <w:r w:rsidR="00B36B2C" w:rsidRPr="00872293">
        <w:rPr>
          <w:rFonts w:ascii="Times New Roman" w:hAnsi="Times New Roman" w:cs="Times New Roman"/>
        </w:rPr>
        <w:t xml:space="preserve"> </w:t>
      </w:r>
      <w:r w:rsidR="00D9727D" w:rsidRPr="00872293">
        <w:rPr>
          <w:rFonts w:ascii="Times New Roman" w:hAnsi="Times New Roman" w:cs="Times New Roman"/>
          <w:i/>
          <w:noProof/>
        </w:rPr>
        <w:t>et al.</w:t>
      </w:r>
      <w:r w:rsidR="00D9727D" w:rsidRPr="00872293">
        <w:rPr>
          <w:rFonts w:ascii="Times New Roman" w:eastAsia="Lato-Regular" w:hAnsi="Times New Roman" w:cs="Times New Roman"/>
        </w:rPr>
        <w:t xml:space="preserve"> </w:t>
      </w:r>
      <w:r w:rsidR="00B36B2C" w:rsidRPr="00872293">
        <w:rPr>
          <w:rFonts w:ascii="Times New Roman" w:hAnsi="Times New Roman" w:cs="Times New Roman"/>
        </w:rPr>
        <w:t>(1962), who included peat in the biomass calculations</w:t>
      </w:r>
      <w:r w:rsidRPr="00872293">
        <w:rPr>
          <w:rFonts w:ascii="Times New Roman" w:hAnsi="Times New Roman" w:cs="Times New Roman"/>
        </w:rPr>
        <w:t xml:space="preserve">. The lowest root biomass was from a mature forest in </w:t>
      </w:r>
      <w:proofErr w:type="spellStart"/>
      <w:r w:rsidRPr="00872293">
        <w:rPr>
          <w:rFonts w:ascii="Times New Roman" w:hAnsi="Times New Roman" w:cs="Times New Roman"/>
        </w:rPr>
        <w:t>Maricao</w:t>
      </w:r>
      <w:proofErr w:type="spellEnd"/>
      <w:r w:rsidRPr="00872293">
        <w:rPr>
          <w:rFonts w:ascii="Times New Roman" w:hAnsi="Times New Roman" w:cs="Times New Roman"/>
        </w:rPr>
        <w:t xml:space="preserve"> with 6.27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Pr="00872293">
        <w:rPr>
          <w:rFonts w:ascii="Times New Roman" w:hAnsi="Times New Roman" w:cs="Times New Roman"/>
        </w:rPr>
        <w:t xml:space="preserve"> in 30 cm of depth (</w:t>
      </w:r>
      <w:r w:rsidRPr="00872293">
        <w:rPr>
          <w:rFonts w:ascii="Times New Roman" w:eastAsia="Times New Roman" w:hAnsi="Times New Roman" w:cs="Times New Roman"/>
        </w:rPr>
        <w:t xml:space="preserve">Rivera </w:t>
      </w:r>
      <w:r w:rsidR="003506DE" w:rsidRPr="00872293">
        <w:rPr>
          <w:rFonts w:ascii="Times New Roman" w:hAnsi="Times New Roman" w:cs="Times New Roman"/>
          <w:i/>
          <w:noProof/>
        </w:rPr>
        <w:t>et al.,</w:t>
      </w:r>
      <w:r w:rsidR="003506DE" w:rsidRPr="00872293">
        <w:rPr>
          <w:rFonts w:ascii="Times New Roman" w:eastAsia="Lato-Regular" w:hAnsi="Times New Roman" w:cs="Times New Roman"/>
        </w:rPr>
        <w:t xml:space="preserve"> </w:t>
      </w:r>
      <w:r w:rsidRPr="00872293">
        <w:rPr>
          <w:rFonts w:ascii="Times New Roman" w:eastAsia="Times New Roman" w:hAnsi="Times New Roman" w:cs="Times New Roman"/>
        </w:rPr>
        <w:t>1983) where the soils were very dry and poor in calcium (Whittaker</w:t>
      </w:r>
      <w:r w:rsidR="00911950" w:rsidRPr="00872293">
        <w:rPr>
          <w:rFonts w:ascii="Times New Roman" w:eastAsia="Times New Roman" w:hAnsi="Times New Roman" w:cs="Times New Roman"/>
        </w:rPr>
        <w:t>,</w:t>
      </w:r>
      <w:r w:rsidRPr="00872293">
        <w:rPr>
          <w:rFonts w:ascii="Times New Roman" w:eastAsia="Times New Roman" w:hAnsi="Times New Roman" w:cs="Times New Roman"/>
        </w:rPr>
        <w:t xml:space="preserve"> 1954).</w:t>
      </w:r>
    </w:p>
    <w:p w14:paraId="7B2F2AB6" w14:textId="77777777" w:rsidR="0098150C" w:rsidRPr="00872293" w:rsidRDefault="0098150C" w:rsidP="0098150C">
      <w:pPr>
        <w:spacing w:line="360" w:lineRule="auto"/>
        <w:rPr>
          <w:rFonts w:ascii="Times New Roman" w:hAnsi="Times New Roman" w:cs="Times New Roman"/>
        </w:rPr>
      </w:pPr>
    </w:p>
    <w:p w14:paraId="5B8679DB" w14:textId="6DB48B5F" w:rsidR="00D75ADF" w:rsidRPr="00872293" w:rsidRDefault="00973598" w:rsidP="0098150C">
      <w:pPr>
        <w:spacing w:line="360" w:lineRule="auto"/>
        <w:rPr>
          <w:rFonts w:ascii="Times New Roman" w:hAnsi="Times New Roman" w:cs="Times New Roman"/>
        </w:rPr>
      </w:pPr>
      <w:r w:rsidRPr="00872293">
        <w:rPr>
          <w:rFonts w:ascii="Times New Roman" w:hAnsi="Times New Roman" w:cs="Times New Roman"/>
        </w:rPr>
        <w:t>In the</w:t>
      </w:r>
      <w:r w:rsidR="00635F81" w:rsidRPr="00872293">
        <w:rPr>
          <w:rFonts w:ascii="Times New Roman" w:hAnsi="Times New Roman" w:cs="Times New Roman"/>
        </w:rPr>
        <w:t xml:space="preserve"> </w:t>
      </w:r>
      <w:r w:rsidR="003A01E8" w:rsidRPr="00872293">
        <w:rPr>
          <w:rFonts w:ascii="Times New Roman" w:hAnsi="Times New Roman" w:cs="Times New Roman"/>
        </w:rPr>
        <w:t>1990</w:t>
      </w:r>
      <w:r w:rsidRPr="00872293">
        <w:rPr>
          <w:rFonts w:ascii="Times New Roman" w:hAnsi="Times New Roman" w:cs="Times New Roman"/>
        </w:rPr>
        <w:t>’s</w:t>
      </w:r>
      <w:r w:rsidR="003A01E8" w:rsidRPr="00872293">
        <w:rPr>
          <w:rFonts w:ascii="Times New Roman" w:hAnsi="Times New Roman" w:cs="Times New Roman"/>
        </w:rPr>
        <w:t xml:space="preserve"> more studies began to consider fine roots </w:t>
      </w:r>
      <w:r w:rsidR="0011198B" w:rsidRPr="00872293">
        <w:rPr>
          <w:rFonts w:ascii="Times New Roman" w:hAnsi="Times New Roman" w:cs="Times New Roman"/>
        </w:rPr>
        <w:t xml:space="preserve">following the </w:t>
      </w:r>
      <w:r w:rsidR="003A01E8" w:rsidRPr="00872293">
        <w:rPr>
          <w:rFonts w:ascii="Times New Roman" w:hAnsi="Times New Roman" w:cs="Times New Roman"/>
        </w:rPr>
        <w:t xml:space="preserve">“less than 2 mm in diameter” </w:t>
      </w:r>
      <w:r w:rsidR="0011198B" w:rsidRPr="00872293">
        <w:rPr>
          <w:rFonts w:ascii="Times New Roman" w:hAnsi="Times New Roman" w:cs="Times New Roman"/>
        </w:rPr>
        <w:t>classification</w:t>
      </w:r>
      <w:r w:rsidR="00D75ADF" w:rsidRPr="00872293">
        <w:rPr>
          <w:rFonts w:ascii="Times New Roman" w:hAnsi="Times New Roman" w:cs="Times New Roman"/>
        </w:rPr>
        <w:t xml:space="preserve"> and using coring methods instead of total tree removal</w:t>
      </w:r>
      <w:r w:rsidR="003A01E8" w:rsidRPr="00872293">
        <w:rPr>
          <w:rFonts w:ascii="Times New Roman" w:hAnsi="Times New Roman" w:cs="Times New Roman"/>
        </w:rPr>
        <w:t>. Lugo (1992) reported 2.4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3A01E8" w:rsidRPr="00872293">
        <w:rPr>
          <w:rFonts w:ascii="Times New Roman" w:hAnsi="Times New Roman" w:cs="Times New Roman"/>
        </w:rPr>
        <w:t xml:space="preserve"> </w:t>
      </w:r>
      <w:r w:rsidR="00C52714" w:rsidRPr="00872293">
        <w:rPr>
          <w:rFonts w:ascii="Times New Roman" w:hAnsi="Times New Roman" w:cs="Times New Roman"/>
        </w:rPr>
        <w:t xml:space="preserve">of fine-roots biomass (&lt;1 mm dimeter) </w:t>
      </w:r>
      <w:r w:rsidR="003A01E8" w:rsidRPr="00872293">
        <w:rPr>
          <w:rFonts w:ascii="Times New Roman" w:hAnsi="Times New Roman" w:cs="Times New Roman"/>
        </w:rPr>
        <w:t>within 30 cm of depth in the tabonuco mature forest at LEF, which is around 10</w:t>
      </w:r>
      <w:r w:rsidR="008B48D5" w:rsidRPr="00872293">
        <w:rPr>
          <w:rFonts w:ascii="Times New Roman" w:hAnsi="Times New Roman" w:cs="Times New Roman"/>
        </w:rPr>
        <w:t>%</w:t>
      </w:r>
      <w:r w:rsidR="003A01E8" w:rsidRPr="00872293">
        <w:rPr>
          <w:rFonts w:ascii="Times New Roman" w:hAnsi="Times New Roman" w:cs="Times New Roman"/>
        </w:rPr>
        <w:t xml:space="preserve"> of what was reported by </w:t>
      </w:r>
      <w:proofErr w:type="spellStart"/>
      <w:r w:rsidR="003A01E8" w:rsidRPr="00872293">
        <w:rPr>
          <w:rFonts w:ascii="Times New Roman" w:hAnsi="Times New Roman" w:cs="Times New Roman"/>
        </w:rPr>
        <w:t>Frangi</w:t>
      </w:r>
      <w:proofErr w:type="spellEnd"/>
      <w:r w:rsidR="003A01E8" w:rsidRPr="00872293">
        <w:rPr>
          <w:rFonts w:ascii="Times New Roman" w:hAnsi="Times New Roman" w:cs="Times New Roman"/>
        </w:rPr>
        <w:t xml:space="preserve"> &amp; Lugo (1985). </w:t>
      </w:r>
      <w:proofErr w:type="spellStart"/>
      <w:r w:rsidR="002C38EC" w:rsidRPr="00872293">
        <w:rPr>
          <w:rFonts w:ascii="Times New Roman" w:hAnsi="Times New Roman" w:cs="Times New Roman"/>
        </w:rPr>
        <w:t>McGorddy</w:t>
      </w:r>
      <w:proofErr w:type="spellEnd"/>
      <w:r w:rsidR="002C38EC" w:rsidRPr="00872293">
        <w:rPr>
          <w:rFonts w:ascii="Times New Roman" w:hAnsi="Times New Roman" w:cs="Times New Roman"/>
        </w:rPr>
        <w:t xml:space="preserve"> &amp; Silver (2000) found that fine-root biomass decreased in an elevation gradient at LEF (from 4.7</w:t>
      </w:r>
      <w:r w:rsidR="00FE6641" w:rsidRPr="00872293">
        <w:rPr>
          <w:rFonts w:ascii="Times New Roman" w:hAnsi="Times New Roman" w:cs="Times New Roman"/>
        </w:rPr>
        <w:t xml:space="preserve">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2C38EC" w:rsidRPr="00872293">
        <w:rPr>
          <w:rFonts w:ascii="Times New Roman" w:hAnsi="Times New Roman" w:cs="Times New Roman"/>
        </w:rPr>
        <w:t xml:space="preserve"> at 1000 </w:t>
      </w:r>
      <w:proofErr w:type="spellStart"/>
      <w:r w:rsidR="002C38EC" w:rsidRPr="00872293">
        <w:rPr>
          <w:rFonts w:ascii="Times New Roman" w:hAnsi="Times New Roman" w:cs="Times New Roman"/>
        </w:rPr>
        <w:t>m.a.s.l</w:t>
      </w:r>
      <w:proofErr w:type="spellEnd"/>
      <w:r w:rsidR="002C38EC" w:rsidRPr="00872293">
        <w:rPr>
          <w:rFonts w:ascii="Times New Roman" w:hAnsi="Times New Roman" w:cs="Times New Roman"/>
        </w:rPr>
        <w:t xml:space="preserve"> to 1.5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2C38EC" w:rsidRPr="00872293">
        <w:rPr>
          <w:rFonts w:ascii="Times New Roman" w:hAnsi="Times New Roman" w:cs="Times New Roman"/>
        </w:rPr>
        <w:t xml:space="preserve"> at 180 </w:t>
      </w:r>
      <w:proofErr w:type="spellStart"/>
      <w:r w:rsidR="002C38EC" w:rsidRPr="00872293">
        <w:rPr>
          <w:rFonts w:ascii="Times New Roman" w:hAnsi="Times New Roman" w:cs="Times New Roman"/>
        </w:rPr>
        <w:t>m.a.s.l</w:t>
      </w:r>
      <w:proofErr w:type="spellEnd"/>
      <w:r w:rsidR="002C38EC" w:rsidRPr="00872293">
        <w:rPr>
          <w:rFonts w:ascii="Times New Roman" w:hAnsi="Times New Roman" w:cs="Times New Roman"/>
        </w:rPr>
        <w:t xml:space="preserve">, in 10 cm of depth). </w:t>
      </w:r>
      <w:r w:rsidR="003A01E8" w:rsidRPr="00872293">
        <w:rPr>
          <w:rFonts w:ascii="Times New Roman" w:hAnsi="Times New Roman" w:cs="Times New Roman"/>
        </w:rPr>
        <w:t xml:space="preserve">For a secondary forest in LEF, Cuevas </w:t>
      </w:r>
      <w:r w:rsidR="003506DE" w:rsidRPr="00872293">
        <w:rPr>
          <w:rFonts w:ascii="Times New Roman" w:hAnsi="Times New Roman" w:cs="Times New Roman"/>
          <w:i/>
          <w:noProof/>
        </w:rPr>
        <w:t>et al.</w:t>
      </w:r>
      <w:r w:rsidR="003506DE" w:rsidRPr="00872293">
        <w:rPr>
          <w:rFonts w:ascii="Times New Roman" w:eastAsia="Lato-Regular" w:hAnsi="Times New Roman" w:cs="Times New Roman"/>
        </w:rPr>
        <w:t xml:space="preserve"> </w:t>
      </w:r>
      <w:r w:rsidR="003A01E8" w:rsidRPr="00872293">
        <w:rPr>
          <w:rFonts w:ascii="Times New Roman" w:hAnsi="Times New Roman" w:cs="Times New Roman"/>
        </w:rPr>
        <w:t>(1991) and Lugo (1992) measured 3.6 Mg</w:t>
      </w:r>
      <w:r w:rsidR="00F51220">
        <w:rPr>
          <w:rFonts w:ascii="Times New Roman" w:hAnsi="Times New Roman" w:cs="Times New Roman"/>
        </w:rPr>
        <w:t xml:space="preserve"> </w:t>
      </w:r>
      <w:r w:rsidR="00F51220" w:rsidRPr="00872293">
        <w:rPr>
          <w:rFonts w:ascii="Times New Roman" w:hAnsi="Times New Roman" w:cs="Times New Roman"/>
        </w:rPr>
        <w:lastRenderedPageBreak/>
        <w:t>ha</w:t>
      </w:r>
      <w:r w:rsidR="00F51220" w:rsidRPr="00BD6642">
        <w:rPr>
          <w:rFonts w:ascii="Times New Roman" w:hAnsi="Times New Roman" w:cs="Times New Roman"/>
          <w:vertAlign w:val="superscript"/>
        </w:rPr>
        <w:t>-1</w:t>
      </w:r>
      <w:r w:rsidR="00D75ADF" w:rsidRPr="00872293">
        <w:rPr>
          <w:rFonts w:ascii="Times New Roman" w:hAnsi="Times New Roman" w:cs="Times New Roman"/>
        </w:rPr>
        <w:t xml:space="preserve"> of fine-root biomass</w:t>
      </w:r>
      <w:r w:rsidR="003A01E8" w:rsidRPr="00872293">
        <w:rPr>
          <w:rFonts w:ascii="Times New Roman" w:hAnsi="Times New Roman" w:cs="Times New Roman"/>
        </w:rPr>
        <w:t xml:space="preserve"> (&lt;2 mm di</w:t>
      </w:r>
      <w:r w:rsidR="00A47844" w:rsidRPr="00872293">
        <w:rPr>
          <w:rFonts w:ascii="Times New Roman" w:hAnsi="Times New Roman" w:cs="Times New Roman"/>
        </w:rPr>
        <w:t>a</w:t>
      </w:r>
      <w:r w:rsidR="003A01E8" w:rsidRPr="00872293">
        <w:rPr>
          <w:rFonts w:ascii="Times New Roman" w:hAnsi="Times New Roman" w:cs="Times New Roman"/>
        </w:rPr>
        <w:t>meter, to 30 cm depth) and 2.7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3A01E8" w:rsidRPr="00872293">
        <w:rPr>
          <w:rFonts w:ascii="Times New Roman" w:hAnsi="Times New Roman" w:cs="Times New Roman"/>
        </w:rPr>
        <w:t xml:space="preserve"> (&lt;1</w:t>
      </w:r>
      <w:r w:rsidR="003760FD" w:rsidRPr="00872293">
        <w:rPr>
          <w:rFonts w:ascii="Times New Roman" w:hAnsi="Times New Roman" w:cs="Times New Roman"/>
        </w:rPr>
        <w:t xml:space="preserve"> </w:t>
      </w:r>
      <w:r w:rsidR="003A01E8" w:rsidRPr="00872293">
        <w:rPr>
          <w:rFonts w:ascii="Times New Roman" w:hAnsi="Times New Roman" w:cs="Times New Roman"/>
        </w:rPr>
        <w:t>mm diameter, to 20 cm depth), respectively</w:t>
      </w:r>
      <w:r w:rsidR="00A47844" w:rsidRPr="00872293">
        <w:rPr>
          <w:rFonts w:ascii="Times New Roman" w:hAnsi="Times New Roman" w:cs="Times New Roman"/>
        </w:rPr>
        <w:t xml:space="preserve">, which are </w:t>
      </w:r>
      <w:r w:rsidR="003A01E8" w:rsidRPr="00872293">
        <w:rPr>
          <w:rFonts w:ascii="Times New Roman" w:hAnsi="Times New Roman" w:cs="Times New Roman"/>
        </w:rPr>
        <w:t>slightly greater than the reported for a mature forest (</w:t>
      </w:r>
      <w:r w:rsidR="005E0C75" w:rsidRPr="00872293">
        <w:rPr>
          <w:rFonts w:ascii="Times New Roman" w:hAnsi="Times New Roman" w:cs="Times New Roman"/>
        </w:rPr>
        <w:t>2.4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w:t>
      </w:r>
      <w:r w:rsidR="00F51220">
        <w:rPr>
          <w:rFonts w:ascii="Times New Roman" w:hAnsi="Times New Roman" w:cs="Times New Roman"/>
          <w:vertAlign w:val="superscript"/>
        </w:rPr>
        <w:t>1</w:t>
      </w:r>
      <w:r w:rsidR="005E0C75" w:rsidRPr="00872293">
        <w:rPr>
          <w:rFonts w:ascii="Times New Roman" w:hAnsi="Times New Roman" w:cs="Times New Roman"/>
        </w:rPr>
        <w:t xml:space="preserve">; </w:t>
      </w:r>
      <w:r w:rsidR="003A01E8" w:rsidRPr="00872293">
        <w:rPr>
          <w:rFonts w:ascii="Times New Roman" w:hAnsi="Times New Roman" w:cs="Times New Roman"/>
        </w:rPr>
        <w:t>Lugo</w:t>
      </w:r>
      <w:r w:rsidR="003A1396" w:rsidRPr="00872293">
        <w:rPr>
          <w:rFonts w:ascii="Times New Roman" w:hAnsi="Times New Roman" w:cs="Times New Roman"/>
        </w:rPr>
        <w:t>,</w:t>
      </w:r>
      <w:r w:rsidR="003A01E8" w:rsidRPr="00872293">
        <w:rPr>
          <w:rFonts w:ascii="Times New Roman" w:hAnsi="Times New Roman" w:cs="Times New Roman"/>
        </w:rPr>
        <w:t xml:space="preserve"> 1992). </w:t>
      </w:r>
    </w:p>
    <w:p w14:paraId="50FDBC92" w14:textId="77777777" w:rsidR="0098150C" w:rsidRPr="00872293" w:rsidRDefault="0098150C" w:rsidP="0098150C">
      <w:pPr>
        <w:spacing w:line="360" w:lineRule="auto"/>
        <w:rPr>
          <w:rFonts w:ascii="Times New Roman" w:hAnsi="Times New Roman" w:cs="Times New Roman"/>
        </w:rPr>
      </w:pPr>
    </w:p>
    <w:p w14:paraId="31380A1A" w14:textId="3F0ED26F" w:rsidR="003A01E8" w:rsidRPr="00872293" w:rsidRDefault="00CB23EB" w:rsidP="0098150C">
      <w:pPr>
        <w:spacing w:line="360" w:lineRule="auto"/>
        <w:rPr>
          <w:rFonts w:ascii="Times New Roman" w:hAnsi="Times New Roman" w:cs="Times New Roman"/>
        </w:rPr>
      </w:pPr>
      <w:r w:rsidRPr="00872293">
        <w:rPr>
          <w:rFonts w:ascii="Times New Roman" w:hAnsi="Times New Roman" w:cs="Times New Roman"/>
        </w:rPr>
        <w:t>Fine-root biomass</w:t>
      </w:r>
      <w:r w:rsidR="0081485A" w:rsidRPr="00872293">
        <w:rPr>
          <w:rFonts w:ascii="Times New Roman" w:hAnsi="Times New Roman" w:cs="Times New Roman"/>
        </w:rPr>
        <w:t xml:space="preserve"> i</w:t>
      </w:r>
      <w:r w:rsidR="00D75ADF" w:rsidRPr="00872293">
        <w:rPr>
          <w:rFonts w:ascii="Times New Roman" w:hAnsi="Times New Roman" w:cs="Times New Roman"/>
        </w:rPr>
        <w:t xml:space="preserve">n a </w:t>
      </w:r>
      <w:r w:rsidR="003A01E8" w:rsidRPr="00872293">
        <w:rPr>
          <w:rFonts w:ascii="Times New Roman" w:hAnsi="Times New Roman" w:cs="Times New Roman"/>
        </w:rPr>
        <w:t>pine plantation in LEF</w:t>
      </w:r>
      <w:r w:rsidR="00D75ADF" w:rsidRPr="00872293">
        <w:rPr>
          <w:rFonts w:ascii="Times New Roman" w:hAnsi="Times New Roman" w:cs="Times New Roman"/>
        </w:rPr>
        <w:t xml:space="preserve"> </w:t>
      </w:r>
      <w:r w:rsidRPr="00872293">
        <w:rPr>
          <w:rFonts w:ascii="Times New Roman" w:hAnsi="Times New Roman" w:cs="Times New Roman"/>
        </w:rPr>
        <w:t xml:space="preserve">was </w:t>
      </w:r>
      <w:r w:rsidR="003A01E8" w:rsidRPr="00872293">
        <w:rPr>
          <w:rFonts w:ascii="Times New Roman" w:hAnsi="Times New Roman" w:cs="Times New Roman"/>
        </w:rPr>
        <w:t>0.7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3A01E8" w:rsidRPr="00872293">
        <w:rPr>
          <w:rFonts w:ascii="Times New Roman" w:hAnsi="Times New Roman" w:cs="Times New Roman"/>
        </w:rPr>
        <w:t xml:space="preserve"> </w:t>
      </w:r>
      <w:r w:rsidRPr="00872293">
        <w:rPr>
          <w:rFonts w:ascii="Times New Roman" w:hAnsi="Times New Roman" w:cs="Times New Roman"/>
        </w:rPr>
        <w:t xml:space="preserve">(Cuevas </w:t>
      </w:r>
      <w:r w:rsidR="003506DE" w:rsidRPr="00872293">
        <w:rPr>
          <w:rFonts w:ascii="Times New Roman" w:hAnsi="Times New Roman" w:cs="Times New Roman"/>
          <w:i/>
          <w:noProof/>
        </w:rPr>
        <w:t>et al.,</w:t>
      </w:r>
      <w:r w:rsidR="003506DE" w:rsidRPr="00872293">
        <w:rPr>
          <w:rFonts w:ascii="Times New Roman" w:eastAsia="Lato-Regular" w:hAnsi="Times New Roman" w:cs="Times New Roman"/>
        </w:rPr>
        <w:t xml:space="preserve"> </w:t>
      </w:r>
      <w:r w:rsidRPr="00872293">
        <w:rPr>
          <w:rFonts w:ascii="Times New Roman" w:hAnsi="Times New Roman" w:cs="Times New Roman"/>
        </w:rPr>
        <w:t xml:space="preserve">1991) </w:t>
      </w:r>
      <w:r w:rsidR="003A01E8" w:rsidRPr="00872293">
        <w:rPr>
          <w:rFonts w:ascii="Times New Roman" w:hAnsi="Times New Roman" w:cs="Times New Roman"/>
        </w:rPr>
        <w:t>and 0.9 Mg</w:t>
      </w:r>
      <w:r w:rsidR="00B20734" w:rsidRPr="00B20734">
        <w:rPr>
          <w:rFonts w:ascii="Times New Roman" w:hAnsi="Times New Roman" w:cs="Times New Roman"/>
        </w:rPr>
        <w:t xml:space="preserve"> </w:t>
      </w:r>
      <w:r w:rsidR="00B20734" w:rsidRPr="00872293">
        <w:rPr>
          <w:rFonts w:ascii="Times New Roman" w:hAnsi="Times New Roman" w:cs="Times New Roman"/>
        </w:rPr>
        <w:t>ha</w:t>
      </w:r>
      <w:r w:rsidR="00B20734" w:rsidRPr="00BD6642">
        <w:rPr>
          <w:rFonts w:ascii="Times New Roman" w:hAnsi="Times New Roman" w:cs="Times New Roman"/>
          <w:vertAlign w:val="superscript"/>
        </w:rPr>
        <w:t>-1</w:t>
      </w:r>
      <w:r w:rsidR="00D75ADF" w:rsidRPr="00872293">
        <w:rPr>
          <w:rFonts w:ascii="Times New Roman" w:hAnsi="Times New Roman" w:cs="Times New Roman"/>
        </w:rPr>
        <w:t xml:space="preserve"> </w:t>
      </w:r>
      <w:r w:rsidRPr="00872293">
        <w:rPr>
          <w:rFonts w:ascii="Times New Roman" w:hAnsi="Times New Roman" w:cs="Times New Roman"/>
        </w:rPr>
        <w:t>(Lugo</w:t>
      </w:r>
      <w:r w:rsidR="00782BC1" w:rsidRPr="00872293">
        <w:rPr>
          <w:rFonts w:ascii="Times New Roman" w:hAnsi="Times New Roman" w:cs="Times New Roman"/>
        </w:rPr>
        <w:t xml:space="preserve">, </w:t>
      </w:r>
      <w:r w:rsidRPr="00872293">
        <w:rPr>
          <w:rFonts w:ascii="Times New Roman" w:hAnsi="Times New Roman" w:cs="Times New Roman"/>
        </w:rPr>
        <w:t>1992)</w:t>
      </w:r>
      <w:r w:rsidR="003A01E8" w:rsidRPr="00872293">
        <w:rPr>
          <w:rFonts w:ascii="Times New Roman" w:hAnsi="Times New Roman" w:cs="Times New Roman"/>
        </w:rPr>
        <w:t xml:space="preserve">. </w:t>
      </w:r>
      <w:r w:rsidR="001D08CB" w:rsidRPr="00872293">
        <w:rPr>
          <w:rFonts w:ascii="Times New Roman" w:hAnsi="Times New Roman" w:cs="Times New Roman"/>
        </w:rPr>
        <w:t>A</w:t>
      </w:r>
      <w:r w:rsidR="003A01E8" w:rsidRPr="00872293">
        <w:rPr>
          <w:rFonts w:ascii="Times New Roman" w:hAnsi="Times New Roman" w:cs="Times New Roman"/>
        </w:rPr>
        <w:t xml:space="preserve"> mahogany (</w:t>
      </w:r>
      <w:r w:rsidR="003A01E8" w:rsidRPr="00872293">
        <w:rPr>
          <w:rFonts w:ascii="Times New Roman" w:hAnsi="Times New Roman" w:cs="Times New Roman"/>
          <w:i/>
        </w:rPr>
        <w:t>Swietenia macrophylla</w:t>
      </w:r>
      <w:r w:rsidR="003A01E8" w:rsidRPr="00872293">
        <w:rPr>
          <w:rFonts w:ascii="Times New Roman" w:hAnsi="Times New Roman" w:cs="Times New Roman"/>
        </w:rPr>
        <w:t>) plantation in LEF ha</w:t>
      </w:r>
      <w:r w:rsidR="001D08CB" w:rsidRPr="00872293">
        <w:rPr>
          <w:rFonts w:ascii="Times New Roman" w:hAnsi="Times New Roman" w:cs="Times New Roman"/>
        </w:rPr>
        <w:t>d</w:t>
      </w:r>
      <w:r w:rsidR="003A01E8" w:rsidRPr="00872293">
        <w:rPr>
          <w:rFonts w:ascii="Times New Roman" w:hAnsi="Times New Roman" w:cs="Times New Roman"/>
        </w:rPr>
        <w:t xml:space="preserve"> an average fine-root biomass of 1.1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1D08CB" w:rsidRPr="00872293">
        <w:rPr>
          <w:rFonts w:ascii="Times New Roman" w:hAnsi="Times New Roman" w:cs="Times New Roman"/>
        </w:rPr>
        <w:t xml:space="preserve"> (Lugo</w:t>
      </w:r>
      <w:r w:rsidR="00F64B20" w:rsidRPr="00872293">
        <w:rPr>
          <w:rFonts w:ascii="Times New Roman" w:hAnsi="Times New Roman" w:cs="Times New Roman"/>
        </w:rPr>
        <w:t>,</w:t>
      </w:r>
      <w:r w:rsidR="001D08CB" w:rsidRPr="00872293">
        <w:rPr>
          <w:rFonts w:ascii="Times New Roman" w:hAnsi="Times New Roman" w:cs="Times New Roman"/>
        </w:rPr>
        <w:t xml:space="preserve"> 1991)</w:t>
      </w:r>
      <w:r w:rsidR="003A01E8" w:rsidRPr="00872293">
        <w:rPr>
          <w:rFonts w:ascii="Times New Roman" w:hAnsi="Times New Roman" w:cs="Times New Roman"/>
        </w:rPr>
        <w:t xml:space="preserve">, which is </w:t>
      </w:r>
      <w:proofErr w:type="gramStart"/>
      <w:r w:rsidR="003A01E8" w:rsidRPr="00872293">
        <w:rPr>
          <w:rFonts w:ascii="Times New Roman" w:hAnsi="Times New Roman" w:cs="Times New Roman"/>
        </w:rPr>
        <w:t>similar to</w:t>
      </w:r>
      <w:proofErr w:type="gramEnd"/>
      <w:r w:rsidR="003A01E8" w:rsidRPr="00872293">
        <w:rPr>
          <w:rFonts w:ascii="Times New Roman" w:hAnsi="Times New Roman" w:cs="Times New Roman"/>
        </w:rPr>
        <w:t xml:space="preserve"> the </w:t>
      </w:r>
      <w:r w:rsidR="00713C32" w:rsidRPr="00872293">
        <w:rPr>
          <w:rFonts w:ascii="Times New Roman" w:hAnsi="Times New Roman" w:cs="Times New Roman"/>
        </w:rPr>
        <w:t>pine plantation</w:t>
      </w:r>
      <w:r w:rsidR="003A01E8" w:rsidRPr="00872293">
        <w:rPr>
          <w:rFonts w:ascii="Times New Roman" w:hAnsi="Times New Roman" w:cs="Times New Roman"/>
        </w:rPr>
        <w:t xml:space="preserve"> and less than the </w:t>
      </w:r>
      <w:r w:rsidR="00713C32" w:rsidRPr="00872293">
        <w:rPr>
          <w:rFonts w:ascii="Times New Roman" w:hAnsi="Times New Roman" w:cs="Times New Roman"/>
        </w:rPr>
        <w:t>secondary forest</w:t>
      </w:r>
      <w:r w:rsidR="003A01E8" w:rsidRPr="00872293">
        <w:rPr>
          <w:rFonts w:ascii="Times New Roman" w:hAnsi="Times New Roman" w:cs="Times New Roman"/>
        </w:rPr>
        <w:t xml:space="preserve">. Fine-root biomass (&lt;1 mm) </w:t>
      </w:r>
      <w:r w:rsidR="0079090A" w:rsidRPr="00872293">
        <w:rPr>
          <w:rFonts w:ascii="Times New Roman" w:hAnsi="Times New Roman" w:cs="Times New Roman"/>
        </w:rPr>
        <w:t xml:space="preserve">in this same study </w:t>
      </w:r>
      <w:r w:rsidR="003A01E8" w:rsidRPr="00872293">
        <w:rPr>
          <w:rFonts w:ascii="Times New Roman" w:hAnsi="Times New Roman" w:cs="Times New Roman"/>
        </w:rPr>
        <w:t>represents on average around 20</w:t>
      </w:r>
      <w:r w:rsidR="008B48D5" w:rsidRPr="00872293">
        <w:rPr>
          <w:rFonts w:ascii="Times New Roman" w:hAnsi="Times New Roman" w:cs="Times New Roman"/>
        </w:rPr>
        <w:t xml:space="preserve">% </w:t>
      </w:r>
      <w:r w:rsidR="003A01E8" w:rsidRPr="00872293">
        <w:rPr>
          <w:rFonts w:ascii="Times New Roman" w:hAnsi="Times New Roman" w:cs="Times New Roman"/>
        </w:rPr>
        <w:t>of total root biomass, and total root biomass d</w:t>
      </w:r>
      <w:r w:rsidR="00D1090A" w:rsidRPr="00872293">
        <w:rPr>
          <w:rFonts w:ascii="Times New Roman" w:hAnsi="Times New Roman" w:cs="Times New Roman"/>
        </w:rPr>
        <w:t>id</w:t>
      </w:r>
      <w:r w:rsidR="003A01E8" w:rsidRPr="00872293">
        <w:rPr>
          <w:rFonts w:ascii="Times New Roman" w:hAnsi="Times New Roman" w:cs="Times New Roman"/>
        </w:rPr>
        <w:t xml:space="preserve"> not exceed 20.6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3A01E8" w:rsidRPr="00872293">
        <w:rPr>
          <w:rFonts w:ascii="Times New Roman" w:hAnsi="Times New Roman" w:cs="Times New Roman"/>
        </w:rPr>
        <w:t xml:space="preserve"> (Lugo</w:t>
      </w:r>
      <w:r w:rsidR="00DA7857" w:rsidRPr="00872293">
        <w:rPr>
          <w:rFonts w:ascii="Times New Roman" w:hAnsi="Times New Roman" w:cs="Times New Roman"/>
        </w:rPr>
        <w:t>,</w:t>
      </w:r>
      <w:r w:rsidR="003A01E8" w:rsidRPr="00872293">
        <w:rPr>
          <w:rFonts w:ascii="Times New Roman" w:hAnsi="Times New Roman" w:cs="Times New Roman"/>
        </w:rPr>
        <w:t xml:space="preserve"> 1992), which is a third of what Ovington and Olson (1970) reported.</w:t>
      </w:r>
    </w:p>
    <w:p w14:paraId="4DE851D9" w14:textId="77777777" w:rsidR="0098150C" w:rsidRPr="00872293" w:rsidRDefault="0098150C" w:rsidP="0098150C">
      <w:pPr>
        <w:spacing w:line="360" w:lineRule="auto"/>
        <w:rPr>
          <w:rFonts w:ascii="Times New Roman" w:hAnsi="Times New Roman" w:cs="Times New Roman"/>
        </w:rPr>
      </w:pPr>
    </w:p>
    <w:p w14:paraId="6498D9D5" w14:textId="6373AFD1" w:rsidR="003A01E8" w:rsidRPr="00872293" w:rsidRDefault="003A01E8" w:rsidP="0098150C">
      <w:pPr>
        <w:spacing w:line="360" w:lineRule="auto"/>
        <w:rPr>
          <w:rFonts w:ascii="Times New Roman" w:hAnsi="Times New Roman" w:cs="Times New Roman"/>
        </w:rPr>
      </w:pPr>
      <w:r w:rsidRPr="00872293">
        <w:rPr>
          <w:rFonts w:ascii="Times New Roman" w:hAnsi="Times New Roman" w:cs="Times New Roman"/>
        </w:rPr>
        <w:t>In a dry mature forest, Murphy and Lugo (1986</w:t>
      </w:r>
      <w:r w:rsidR="005D5F29" w:rsidRPr="00872293">
        <w:rPr>
          <w:rFonts w:ascii="Times New Roman" w:hAnsi="Times New Roman" w:cs="Times New Roman"/>
        </w:rPr>
        <w:t>a</w:t>
      </w:r>
      <w:r w:rsidRPr="00872293">
        <w:rPr>
          <w:rFonts w:ascii="Times New Roman" w:hAnsi="Times New Roman" w:cs="Times New Roman"/>
        </w:rPr>
        <w:t>) measured a total fine-root biomass (&lt;1 mm diameter) of 1.5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Pr="00872293">
        <w:rPr>
          <w:rFonts w:ascii="Times New Roman" w:hAnsi="Times New Roman" w:cs="Times New Roman"/>
        </w:rPr>
        <w:t xml:space="preserve"> up to a depth of 100</w:t>
      </w:r>
      <w:r w:rsidR="003760FD" w:rsidRPr="00872293">
        <w:rPr>
          <w:rFonts w:ascii="Times New Roman" w:hAnsi="Times New Roman" w:cs="Times New Roman"/>
        </w:rPr>
        <w:t xml:space="preserve"> </w:t>
      </w:r>
      <w:r w:rsidRPr="00872293">
        <w:rPr>
          <w:rFonts w:ascii="Times New Roman" w:hAnsi="Times New Roman" w:cs="Times New Roman"/>
        </w:rPr>
        <w:t>cm, and 1.25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Pr="00872293">
        <w:rPr>
          <w:rFonts w:ascii="Times New Roman" w:hAnsi="Times New Roman" w:cs="Times New Roman"/>
        </w:rPr>
        <w:t xml:space="preserve"> up to 30 cm of depth, which is less than in the wet mature forest (</w:t>
      </w:r>
      <w:proofErr w:type="spellStart"/>
      <w:r w:rsidRPr="00872293">
        <w:rPr>
          <w:rFonts w:ascii="Times New Roman" w:hAnsi="Times New Roman" w:cs="Times New Roman"/>
        </w:rPr>
        <w:t>Frangi</w:t>
      </w:r>
      <w:proofErr w:type="spellEnd"/>
      <w:r w:rsidRPr="00872293">
        <w:rPr>
          <w:rFonts w:ascii="Times New Roman" w:hAnsi="Times New Roman" w:cs="Times New Roman"/>
        </w:rPr>
        <w:t xml:space="preserve"> &amp; Lugo</w:t>
      </w:r>
      <w:r w:rsidR="00272C8C" w:rsidRPr="00872293">
        <w:rPr>
          <w:rFonts w:ascii="Times New Roman" w:hAnsi="Times New Roman" w:cs="Times New Roman"/>
        </w:rPr>
        <w:t>,</w:t>
      </w:r>
      <w:r w:rsidRPr="00872293">
        <w:rPr>
          <w:rFonts w:ascii="Times New Roman" w:hAnsi="Times New Roman" w:cs="Times New Roman"/>
        </w:rPr>
        <w:t xml:space="preserve"> 1985; Lugo</w:t>
      </w:r>
      <w:r w:rsidR="00272C8C" w:rsidRPr="00872293">
        <w:rPr>
          <w:rFonts w:ascii="Times New Roman" w:hAnsi="Times New Roman" w:cs="Times New Roman"/>
        </w:rPr>
        <w:t>,</w:t>
      </w:r>
      <w:r w:rsidRPr="00872293">
        <w:rPr>
          <w:rFonts w:ascii="Times New Roman" w:hAnsi="Times New Roman" w:cs="Times New Roman"/>
        </w:rPr>
        <w:t xml:space="preserve"> 1992). Total root biomass was also less than what Ovington &amp; Olson (1970)</w:t>
      </w:r>
      <w:r w:rsidR="00F64B20" w:rsidRPr="00872293">
        <w:rPr>
          <w:rFonts w:ascii="Times New Roman" w:hAnsi="Times New Roman" w:cs="Times New Roman"/>
        </w:rPr>
        <w:t>,</w:t>
      </w:r>
      <w:r w:rsidRPr="00872293">
        <w:rPr>
          <w:rFonts w:ascii="Times New Roman" w:hAnsi="Times New Roman" w:cs="Times New Roman"/>
        </w:rPr>
        <w:t xml:space="preserve"> and </w:t>
      </w:r>
      <w:proofErr w:type="spellStart"/>
      <w:r w:rsidRPr="00872293">
        <w:rPr>
          <w:rFonts w:ascii="Times New Roman" w:hAnsi="Times New Roman" w:cs="Times New Roman"/>
        </w:rPr>
        <w:t>Frangi</w:t>
      </w:r>
      <w:proofErr w:type="spellEnd"/>
      <w:r w:rsidRPr="00872293">
        <w:rPr>
          <w:rFonts w:ascii="Times New Roman" w:hAnsi="Times New Roman" w:cs="Times New Roman"/>
        </w:rPr>
        <w:t xml:space="preserve"> &amp; Lugo (1985) reported for the wet mature forest 45 Mg</w:t>
      </w:r>
      <w:r w:rsidR="00F51220">
        <w:rPr>
          <w:rFonts w:ascii="Times New Roman" w:hAnsi="Times New Roman" w:cs="Times New Roman"/>
        </w:rPr>
        <w:t xml:space="preserve"> </w:t>
      </w:r>
      <w:proofErr w:type="gramStart"/>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proofErr w:type="gramEnd"/>
      <w:r w:rsidRPr="00872293">
        <w:rPr>
          <w:rFonts w:ascii="Times New Roman" w:hAnsi="Times New Roman" w:cs="Times New Roman"/>
        </w:rPr>
        <w:t>, but higher than the secondary forests and plantations (Lugo</w:t>
      </w:r>
      <w:r w:rsidR="00272C8C" w:rsidRPr="00872293">
        <w:rPr>
          <w:rFonts w:ascii="Times New Roman" w:hAnsi="Times New Roman" w:cs="Times New Roman"/>
        </w:rPr>
        <w:t>,</w:t>
      </w:r>
      <w:r w:rsidRPr="00872293">
        <w:rPr>
          <w:rFonts w:ascii="Times New Roman" w:hAnsi="Times New Roman" w:cs="Times New Roman"/>
        </w:rPr>
        <w:t xml:space="preserve"> 1992). </w:t>
      </w:r>
    </w:p>
    <w:p w14:paraId="56E99EB6" w14:textId="77777777" w:rsidR="0098150C" w:rsidRPr="00872293" w:rsidRDefault="0098150C" w:rsidP="0098150C">
      <w:pPr>
        <w:spacing w:line="360" w:lineRule="auto"/>
        <w:rPr>
          <w:rFonts w:ascii="Times New Roman" w:hAnsi="Times New Roman" w:cs="Times New Roman"/>
        </w:rPr>
      </w:pPr>
    </w:p>
    <w:p w14:paraId="5B7AA041" w14:textId="0DB0293A" w:rsidR="003A01E8" w:rsidRPr="00872293" w:rsidRDefault="003A01E8" w:rsidP="0098150C">
      <w:pPr>
        <w:spacing w:line="360" w:lineRule="auto"/>
        <w:rPr>
          <w:rFonts w:ascii="Times New Roman" w:hAnsi="Times New Roman" w:cs="Times New Roman"/>
        </w:rPr>
      </w:pPr>
      <w:r w:rsidRPr="00872293">
        <w:rPr>
          <w:rFonts w:ascii="Times New Roman" w:hAnsi="Times New Roman" w:cs="Times New Roman"/>
        </w:rPr>
        <w:t xml:space="preserve">Colón &amp; Lugo (2006) reported </w:t>
      </w:r>
      <w:r w:rsidR="00E1524B" w:rsidRPr="00872293">
        <w:rPr>
          <w:rFonts w:ascii="Times New Roman" w:hAnsi="Times New Roman" w:cs="Times New Roman"/>
        </w:rPr>
        <w:t xml:space="preserve">a </w:t>
      </w:r>
      <w:r w:rsidRPr="00872293">
        <w:rPr>
          <w:rFonts w:ascii="Times New Roman" w:hAnsi="Times New Roman" w:cs="Times New Roman"/>
        </w:rPr>
        <w:t>fine-root biomass (&lt;2 mm diameter) of 5.39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Pr="00872293">
        <w:rPr>
          <w:rFonts w:ascii="Times New Roman" w:hAnsi="Times New Roman" w:cs="Times New Roman"/>
        </w:rPr>
        <w:t xml:space="preserve"> at only 10 cm of depth in a dry mature forest, which is more than three times higher than Murphy </w:t>
      </w:r>
      <w:r w:rsidR="00E81D3C" w:rsidRPr="00872293">
        <w:rPr>
          <w:rFonts w:ascii="Times New Roman" w:hAnsi="Times New Roman" w:cs="Times New Roman"/>
        </w:rPr>
        <w:t xml:space="preserve">&amp; </w:t>
      </w:r>
      <w:r w:rsidRPr="00872293">
        <w:rPr>
          <w:rFonts w:ascii="Times New Roman" w:hAnsi="Times New Roman" w:cs="Times New Roman"/>
        </w:rPr>
        <w:t>Lugo (1986</w:t>
      </w:r>
      <w:r w:rsidR="005D5F29" w:rsidRPr="00872293">
        <w:rPr>
          <w:rFonts w:ascii="Times New Roman" w:hAnsi="Times New Roman" w:cs="Times New Roman"/>
        </w:rPr>
        <w:t>a</w:t>
      </w:r>
      <w:r w:rsidRPr="00872293">
        <w:rPr>
          <w:rFonts w:ascii="Times New Roman" w:hAnsi="Times New Roman" w:cs="Times New Roman"/>
        </w:rPr>
        <w:t xml:space="preserve">). The difference in fine-root biomass between Murphy </w:t>
      </w:r>
      <w:r w:rsidR="00E81D3C" w:rsidRPr="00872293">
        <w:rPr>
          <w:rFonts w:ascii="Times New Roman" w:hAnsi="Times New Roman" w:cs="Times New Roman"/>
        </w:rPr>
        <w:t xml:space="preserve">&amp; </w:t>
      </w:r>
      <w:r w:rsidRPr="00872293">
        <w:rPr>
          <w:rFonts w:ascii="Times New Roman" w:hAnsi="Times New Roman" w:cs="Times New Roman"/>
        </w:rPr>
        <w:t>Lugo (1986</w:t>
      </w:r>
      <w:r w:rsidR="005D5F29" w:rsidRPr="00872293">
        <w:rPr>
          <w:rFonts w:ascii="Times New Roman" w:hAnsi="Times New Roman" w:cs="Times New Roman"/>
        </w:rPr>
        <w:t>a</w:t>
      </w:r>
      <w:r w:rsidRPr="00872293">
        <w:rPr>
          <w:rFonts w:ascii="Times New Roman" w:hAnsi="Times New Roman" w:cs="Times New Roman"/>
        </w:rPr>
        <w:t xml:space="preserve">) and Colón &amp; Lugo (2006) might be </w:t>
      </w:r>
      <w:r w:rsidR="009B23DA" w:rsidRPr="00872293">
        <w:rPr>
          <w:rFonts w:ascii="Times New Roman" w:hAnsi="Times New Roman" w:cs="Times New Roman"/>
        </w:rPr>
        <w:t>e</w:t>
      </w:r>
      <w:r w:rsidRPr="00872293">
        <w:rPr>
          <w:rFonts w:ascii="Times New Roman" w:hAnsi="Times New Roman" w:cs="Times New Roman"/>
        </w:rPr>
        <w:t>xplained by the root diameter size, and the depth of collection</w:t>
      </w:r>
      <w:r w:rsidR="009B23DA" w:rsidRPr="00872293">
        <w:rPr>
          <w:rFonts w:ascii="Times New Roman" w:hAnsi="Times New Roman" w:cs="Times New Roman"/>
        </w:rPr>
        <w:t>.</w:t>
      </w:r>
    </w:p>
    <w:p w14:paraId="0A62CC49" w14:textId="77777777" w:rsidR="0098150C" w:rsidRPr="00872293" w:rsidRDefault="0098150C" w:rsidP="0098150C">
      <w:pPr>
        <w:spacing w:line="360" w:lineRule="auto"/>
        <w:rPr>
          <w:rFonts w:ascii="Times New Roman" w:hAnsi="Times New Roman" w:cs="Times New Roman"/>
        </w:rPr>
      </w:pPr>
    </w:p>
    <w:p w14:paraId="0B43CADD" w14:textId="4C433875" w:rsidR="003A01E8" w:rsidRPr="00872293" w:rsidRDefault="003A01E8" w:rsidP="007A5B7C">
      <w:pPr>
        <w:spacing w:line="360" w:lineRule="auto"/>
        <w:rPr>
          <w:rFonts w:ascii="Times New Roman" w:hAnsi="Times New Roman" w:cs="Times New Roman"/>
        </w:rPr>
      </w:pPr>
      <w:r w:rsidRPr="00872293">
        <w:rPr>
          <w:rFonts w:ascii="Times New Roman" w:hAnsi="Times New Roman" w:cs="Times New Roman"/>
        </w:rPr>
        <w:t>Fine-root biomass from different land uses in the dry forest of Puerto Rio was also reported</w:t>
      </w:r>
      <w:r w:rsidR="004715D2" w:rsidRPr="00872293">
        <w:rPr>
          <w:rFonts w:ascii="Times New Roman" w:hAnsi="Times New Roman" w:cs="Times New Roman"/>
        </w:rPr>
        <w:t xml:space="preserve"> by Colón &amp; Lugo (2006)</w:t>
      </w:r>
      <w:r w:rsidRPr="00872293">
        <w:rPr>
          <w:rFonts w:ascii="Times New Roman" w:hAnsi="Times New Roman" w:cs="Times New Roman"/>
        </w:rPr>
        <w:t xml:space="preserve">. </w:t>
      </w:r>
      <w:r w:rsidR="00625549" w:rsidRPr="00872293">
        <w:rPr>
          <w:rFonts w:ascii="Times New Roman" w:hAnsi="Times New Roman" w:cs="Times New Roman"/>
        </w:rPr>
        <w:t>In the previous land-use types of former human settlements (houses), a baseball park, an agricultural field, and a charcoal production area, fine-root biomass was 0.2 Mg</w:t>
      </w:r>
      <w:r w:rsid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625549" w:rsidRPr="00872293">
        <w:rPr>
          <w:rFonts w:ascii="Times New Roman" w:hAnsi="Times New Roman" w:cs="Times New Roman"/>
        </w:rPr>
        <w:t>, 0.3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625549" w:rsidRPr="00872293">
        <w:rPr>
          <w:rFonts w:ascii="Times New Roman" w:hAnsi="Times New Roman" w:cs="Times New Roman"/>
        </w:rPr>
        <w:t>, 0.28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625549" w:rsidRPr="00872293">
        <w:rPr>
          <w:rFonts w:ascii="Times New Roman" w:hAnsi="Times New Roman" w:cs="Times New Roman"/>
        </w:rPr>
        <w:t xml:space="preserve"> and 0.47 Mg</w:t>
      </w:r>
      <w:r w:rsidR="00F51220" w:rsidRPr="00F51220">
        <w:rPr>
          <w:rFonts w:ascii="Times New Roman" w:hAnsi="Times New Roman" w:cs="Times New Roman"/>
        </w:rPr>
        <w:t xml:space="preserve"> </w:t>
      </w:r>
      <w:r w:rsidR="00F51220" w:rsidRPr="00872293">
        <w:rPr>
          <w:rFonts w:ascii="Times New Roman" w:hAnsi="Times New Roman" w:cs="Times New Roman"/>
        </w:rPr>
        <w:t>ha</w:t>
      </w:r>
      <w:r w:rsidR="00F51220" w:rsidRPr="00BD6642">
        <w:rPr>
          <w:rFonts w:ascii="Times New Roman" w:hAnsi="Times New Roman" w:cs="Times New Roman"/>
          <w:vertAlign w:val="superscript"/>
        </w:rPr>
        <w:t>-1</w:t>
      </w:r>
      <w:r w:rsidR="00F51220" w:rsidRPr="00872293">
        <w:rPr>
          <w:rFonts w:ascii="Times New Roman" w:hAnsi="Times New Roman" w:cs="Times New Roman"/>
        </w:rPr>
        <w:t xml:space="preserve"> </w:t>
      </w:r>
      <w:r w:rsidR="00625549" w:rsidRPr="00872293">
        <w:rPr>
          <w:rFonts w:ascii="Times New Roman" w:hAnsi="Times New Roman" w:cs="Times New Roman"/>
        </w:rPr>
        <w:t>of fine-roots, respectively. These urban forests had less root biomass in the top 10 cm than any other site of the island.</w:t>
      </w:r>
    </w:p>
    <w:p w14:paraId="4C12667A" w14:textId="77777777" w:rsidR="00F81F8D" w:rsidRPr="00872293" w:rsidRDefault="00F81F8D" w:rsidP="00C922E9">
      <w:pPr>
        <w:spacing w:line="360" w:lineRule="auto"/>
        <w:rPr>
          <w:rFonts w:ascii="Times New Roman" w:hAnsi="Times New Roman" w:cs="Times New Roman"/>
        </w:rPr>
      </w:pPr>
    </w:p>
    <w:p w14:paraId="42CA388E" w14:textId="77777777" w:rsidR="006C7BEA" w:rsidRPr="00872293" w:rsidRDefault="0027602A" w:rsidP="00C922E9">
      <w:pPr>
        <w:pStyle w:val="Heading3"/>
        <w:spacing w:before="0" w:after="0" w:line="360" w:lineRule="auto"/>
        <w:rPr>
          <w:rFonts w:cs="Times New Roman"/>
          <w:szCs w:val="24"/>
        </w:rPr>
      </w:pPr>
      <w:bookmarkStart w:id="20" w:name="_Toc53689059"/>
      <w:r w:rsidRPr="00872293">
        <w:rPr>
          <w:rFonts w:cs="Times New Roman"/>
          <w:szCs w:val="24"/>
        </w:rPr>
        <w:lastRenderedPageBreak/>
        <w:t>V</w:t>
      </w:r>
      <w:r w:rsidR="008B26E9" w:rsidRPr="00872293">
        <w:rPr>
          <w:rFonts w:cs="Times New Roman"/>
          <w:szCs w:val="24"/>
        </w:rPr>
        <w:t>ertical root distribution</w:t>
      </w:r>
      <w:bookmarkEnd w:id="20"/>
    </w:p>
    <w:p w14:paraId="62E8893C" w14:textId="77777777" w:rsidR="003A01E8" w:rsidRPr="00872293" w:rsidRDefault="003A01E8" w:rsidP="00CD08B7">
      <w:pPr>
        <w:spacing w:before="240" w:line="360" w:lineRule="auto"/>
        <w:rPr>
          <w:rFonts w:ascii="Times New Roman" w:hAnsi="Times New Roman" w:cs="Times New Roman"/>
        </w:rPr>
      </w:pPr>
      <w:r w:rsidRPr="00872293">
        <w:rPr>
          <w:rFonts w:ascii="Times New Roman" w:hAnsi="Times New Roman" w:cs="Times New Roman"/>
        </w:rPr>
        <w:t>Studies that have separated root data by different soil depth layers show a declining fine-root biomass with depth. This pattern is clear for both, wet and dry forests of Puerto Rico (Fig</w:t>
      </w:r>
      <w:r w:rsidR="00476986" w:rsidRPr="00872293">
        <w:rPr>
          <w:rFonts w:ascii="Times New Roman" w:hAnsi="Times New Roman" w:cs="Times New Roman"/>
        </w:rPr>
        <w:t>ure</w:t>
      </w:r>
      <w:r w:rsidRPr="00872293">
        <w:rPr>
          <w:rFonts w:ascii="Times New Roman" w:hAnsi="Times New Roman" w:cs="Times New Roman"/>
        </w:rPr>
        <w:t xml:space="preserve"> 2a and 2b). </w:t>
      </w:r>
      <w:r w:rsidR="00AD1E6C" w:rsidRPr="00872293">
        <w:rPr>
          <w:rFonts w:ascii="Times New Roman" w:hAnsi="Times New Roman" w:cs="Times New Roman"/>
        </w:rPr>
        <w:t>D</w:t>
      </w:r>
      <w:r w:rsidRPr="00872293">
        <w:rPr>
          <w:rFonts w:ascii="Times New Roman" w:hAnsi="Times New Roman" w:cs="Times New Roman"/>
        </w:rPr>
        <w:t xml:space="preserve">ata points taken by Colón &amp; Lugo (2006) and Murphy </w:t>
      </w:r>
      <w:r w:rsidR="00E81D3C" w:rsidRPr="00872293">
        <w:rPr>
          <w:rFonts w:ascii="Times New Roman" w:hAnsi="Times New Roman" w:cs="Times New Roman"/>
        </w:rPr>
        <w:t xml:space="preserve">&amp; </w:t>
      </w:r>
      <w:r w:rsidRPr="00872293">
        <w:rPr>
          <w:rFonts w:ascii="Times New Roman" w:hAnsi="Times New Roman" w:cs="Times New Roman"/>
        </w:rPr>
        <w:t>Lugo (1986</w:t>
      </w:r>
      <w:r w:rsidR="005D5F29" w:rsidRPr="00872293">
        <w:rPr>
          <w:rFonts w:ascii="Times New Roman" w:hAnsi="Times New Roman" w:cs="Times New Roman"/>
        </w:rPr>
        <w:t>a</w:t>
      </w:r>
      <w:r w:rsidRPr="00872293">
        <w:rPr>
          <w:rFonts w:ascii="Times New Roman" w:hAnsi="Times New Roman" w:cs="Times New Roman"/>
        </w:rPr>
        <w:t xml:space="preserve">) from the dry forest show less root biomass than in the rain forest. </w:t>
      </w:r>
    </w:p>
    <w:p w14:paraId="0DE5A0FC" w14:textId="77777777" w:rsidR="0098150C" w:rsidRPr="00872293" w:rsidRDefault="0098150C" w:rsidP="0098150C">
      <w:pPr>
        <w:autoSpaceDE w:val="0"/>
        <w:autoSpaceDN w:val="0"/>
        <w:adjustRightInd w:val="0"/>
        <w:spacing w:line="360" w:lineRule="auto"/>
        <w:rPr>
          <w:rFonts w:ascii="Times New Roman" w:hAnsi="Times New Roman" w:cs="Times New Roman"/>
        </w:rPr>
      </w:pPr>
    </w:p>
    <w:p w14:paraId="3D5DA363" w14:textId="49FDF2F0" w:rsidR="007A5B7C" w:rsidRPr="00872293" w:rsidRDefault="003A01E8" w:rsidP="00C922E9">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The vertical root distribution of the </w:t>
      </w:r>
      <w:r w:rsidR="00674CD5" w:rsidRPr="00872293">
        <w:rPr>
          <w:rFonts w:ascii="Times New Roman" w:hAnsi="Times New Roman" w:cs="Times New Roman"/>
        </w:rPr>
        <w:t>dry</w:t>
      </w:r>
      <w:r w:rsidRPr="00872293">
        <w:rPr>
          <w:rFonts w:ascii="Times New Roman" w:hAnsi="Times New Roman" w:cs="Times New Roman"/>
        </w:rPr>
        <w:t xml:space="preserve"> forest of Puerto Rico </w:t>
      </w:r>
      <w:r w:rsidR="00E11CF3" w:rsidRPr="00872293">
        <w:rPr>
          <w:rFonts w:ascii="Times New Roman" w:hAnsi="Times New Roman" w:cs="Times New Roman"/>
        </w:rPr>
        <w:t xml:space="preserve">is slightly deeper than the wet forest, based on </w:t>
      </w:r>
      <w:r w:rsidR="00DC632A" w:rsidRPr="00872293">
        <w:rPr>
          <w:rFonts w:ascii="Times New Roman" w:hAnsi="Times New Roman" w:cs="Times New Roman"/>
        </w:rPr>
        <w:t>the beta coefficient (</w:t>
      </w:r>
      <w:r w:rsidR="00E11CF3" w:rsidRPr="00872293">
        <w:rPr>
          <w:rFonts w:ascii="Times New Roman" w:hAnsi="Times New Roman" w:cs="Times New Roman"/>
        </w:rPr>
        <w:t xml:space="preserve">Gale &amp; </w:t>
      </w:r>
      <w:proofErr w:type="spellStart"/>
      <w:r w:rsidR="00E11CF3" w:rsidRPr="00872293">
        <w:rPr>
          <w:rFonts w:ascii="Times New Roman" w:hAnsi="Times New Roman" w:cs="Times New Roman"/>
        </w:rPr>
        <w:t>Grigal</w:t>
      </w:r>
      <w:proofErr w:type="spellEnd"/>
      <w:r w:rsidR="00F23528" w:rsidRPr="00872293">
        <w:rPr>
          <w:rFonts w:ascii="Times New Roman" w:hAnsi="Times New Roman" w:cs="Times New Roman"/>
        </w:rPr>
        <w:t>,</w:t>
      </w:r>
      <w:r w:rsidR="00DC632A" w:rsidRPr="00872293">
        <w:rPr>
          <w:rFonts w:ascii="Times New Roman" w:hAnsi="Times New Roman" w:cs="Times New Roman"/>
        </w:rPr>
        <w:t xml:space="preserve"> </w:t>
      </w:r>
      <w:r w:rsidR="00E11CF3" w:rsidRPr="00872293">
        <w:rPr>
          <w:rFonts w:ascii="Times New Roman" w:hAnsi="Times New Roman" w:cs="Times New Roman"/>
        </w:rPr>
        <w:t>1987</w:t>
      </w:r>
      <w:r w:rsidR="00F23528" w:rsidRPr="00872293">
        <w:rPr>
          <w:rFonts w:ascii="Times New Roman" w:hAnsi="Times New Roman" w:cs="Times New Roman"/>
        </w:rPr>
        <w:t xml:space="preserve">; </w:t>
      </w:r>
      <w:r w:rsidR="00DC632A" w:rsidRPr="00872293">
        <w:rPr>
          <w:rFonts w:ascii="Times New Roman" w:hAnsi="Times New Roman" w:cs="Times New Roman"/>
        </w:rPr>
        <w:t xml:space="preserve">Jackson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00DC632A" w:rsidRPr="00872293">
        <w:rPr>
          <w:rFonts w:ascii="Times New Roman" w:hAnsi="Times New Roman" w:cs="Times New Roman"/>
        </w:rPr>
        <w:t>1996</w:t>
      </w:r>
      <w:r w:rsidR="00E11CF3" w:rsidRPr="00872293">
        <w:rPr>
          <w:rFonts w:ascii="Times New Roman" w:hAnsi="Times New Roman" w:cs="Times New Roman"/>
        </w:rPr>
        <w:t>). However, Puerto Rico’s rooting distribution is shallower than</w:t>
      </w:r>
      <w:r w:rsidR="00202424" w:rsidRPr="00872293">
        <w:rPr>
          <w:rFonts w:ascii="Times New Roman" w:hAnsi="Times New Roman" w:cs="Times New Roman"/>
        </w:rPr>
        <w:t xml:space="preserve"> other</w:t>
      </w:r>
      <w:r w:rsidR="00E11CF3" w:rsidRPr="00872293">
        <w:rPr>
          <w:rFonts w:ascii="Times New Roman" w:hAnsi="Times New Roman" w:cs="Times New Roman"/>
        </w:rPr>
        <w:t xml:space="preserve"> </w:t>
      </w:r>
      <w:r w:rsidRPr="00872293">
        <w:rPr>
          <w:rFonts w:ascii="Times New Roman" w:hAnsi="Times New Roman" w:cs="Times New Roman"/>
        </w:rPr>
        <w:t>tropical evergreen forests globally. On average, a tropical evergreen for</w:t>
      </w:r>
      <w:r w:rsidR="00E11CF3" w:rsidRPr="00872293">
        <w:rPr>
          <w:rFonts w:ascii="Times New Roman" w:hAnsi="Times New Roman" w:cs="Times New Roman"/>
        </w:rPr>
        <w:t>e</w:t>
      </w:r>
      <w:r w:rsidRPr="00872293">
        <w:rPr>
          <w:rFonts w:ascii="Times New Roman" w:hAnsi="Times New Roman" w:cs="Times New Roman"/>
        </w:rPr>
        <w:t>st ha</w:t>
      </w:r>
      <w:r w:rsidR="00202424" w:rsidRPr="00872293">
        <w:rPr>
          <w:rFonts w:ascii="Times New Roman" w:hAnsi="Times New Roman" w:cs="Times New Roman"/>
        </w:rPr>
        <w:t>s</w:t>
      </w:r>
      <w:r w:rsidRPr="00872293">
        <w:rPr>
          <w:rFonts w:ascii="Times New Roman" w:hAnsi="Times New Roman" w:cs="Times New Roman"/>
        </w:rPr>
        <w:t xml:space="preserve"> a beta of 0.96</w:t>
      </w:r>
      <w:r w:rsidR="00F64B20" w:rsidRPr="00872293">
        <w:rPr>
          <w:rFonts w:ascii="Times New Roman" w:hAnsi="Times New Roman" w:cs="Times New Roman"/>
        </w:rPr>
        <w:t>–</w:t>
      </w:r>
      <w:r w:rsidR="006F6FB7" w:rsidRPr="00872293">
        <w:rPr>
          <w:rFonts w:ascii="Times New Roman" w:hAnsi="Times New Roman" w:cs="Times New Roman"/>
        </w:rPr>
        <w:t>0.97</w:t>
      </w:r>
      <w:r w:rsidRPr="00872293">
        <w:rPr>
          <w:rFonts w:ascii="Times New Roman" w:hAnsi="Times New Roman" w:cs="Times New Roman"/>
        </w:rPr>
        <w:t xml:space="preserve"> (Jackson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Pr="00872293">
        <w:rPr>
          <w:rFonts w:ascii="Times New Roman" w:hAnsi="Times New Roman" w:cs="Times New Roman"/>
        </w:rPr>
        <w:t>1996</w:t>
      </w:r>
      <w:r w:rsidR="006F6FB7" w:rsidRPr="00872293">
        <w:rPr>
          <w:rFonts w:ascii="Times New Roman" w:hAnsi="Times New Roman" w:cs="Times New Roman"/>
        </w:rPr>
        <w:t xml:space="preserve">; </w:t>
      </w:r>
      <w:r w:rsidR="00AB7F03" w:rsidRPr="00872293">
        <w:rPr>
          <w:rFonts w:ascii="Times New Roman" w:hAnsi="Times New Roman" w:cs="Times New Roman"/>
        </w:rPr>
        <w:t xml:space="preserve">Schenk &amp; </w:t>
      </w:r>
      <w:r w:rsidR="006F6FB7" w:rsidRPr="00872293">
        <w:rPr>
          <w:rFonts w:ascii="Times New Roman" w:hAnsi="Times New Roman" w:cs="Times New Roman"/>
        </w:rPr>
        <w:t>Jackson, 2002</w:t>
      </w:r>
      <w:r w:rsidRPr="00872293">
        <w:rPr>
          <w:rFonts w:ascii="Times New Roman" w:hAnsi="Times New Roman" w:cs="Times New Roman"/>
        </w:rPr>
        <w:t>), whereas beta in the wet tropical forest of Puerto Rico is 0.</w:t>
      </w:r>
      <w:r w:rsidR="00255418" w:rsidRPr="00872293">
        <w:rPr>
          <w:rFonts w:ascii="Times New Roman" w:hAnsi="Times New Roman" w:cs="Times New Roman"/>
        </w:rPr>
        <w:t xml:space="preserve">90 </w:t>
      </w:r>
      <w:r w:rsidR="00E11CF3" w:rsidRPr="00872293">
        <w:rPr>
          <w:rFonts w:ascii="Times New Roman" w:hAnsi="Times New Roman" w:cs="Times New Roman"/>
        </w:rPr>
        <w:t>and 0.9</w:t>
      </w:r>
      <w:r w:rsidR="00756B4C" w:rsidRPr="00872293">
        <w:rPr>
          <w:rFonts w:ascii="Times New Roman" w:hAnsi="Times New Roman" w:cs="Times New Roman"/>
        </w:rPr>
        <w:t>1</w:t>
      </w:r>
      <w:r w:rsidR="00E11CF3" w:rsidRPr="00872293">
        <w:rPr>
          <w:rFonts w:ascii="Times New Roman" w:hAnsi="Times New Roman" w:cs="Times New Roman"/>
        </w:rPr>
        <w:t xml:space="preserve"> in the dry forest </w:t>
      </w:r>
      <w:r w:rsidRPr="00872293">
        <w:rPr>
          <w:rFonts w:ascii="Times New Roman" w:hAnsi="Times New Roman" w:cs="Times New Roman"/>
        </w:rPr>
        <w:t>(Fig</w:t>
      </w:r>
      <w:r w:rsidR="00476986" w:rsidRPr="00872293">
        <w:rPr>
          <w:rFonts w:ascii="Times New Roman" w:hAnsi="Times New Roman" w:cs="Times New Roman"/>
        </w:rPr>
        <w:t>ure</w:t>
      </w:r>
      <w:r w:rsidRPr="00872293">
        <w:rPr>
          <w:rFonts w:ascii="Times New Roman" w:hAnsi="Times New Roman" w:cs="Times New Roman"/>
        </w:rPr>
        <w:t xml:space="preserve"> 3). </w:t>
      </w:r>
      <w:r w:rsidR="00202424" w:rsidRPr="00872293">
        <w:rPr>
          <w:rFonts w:ascii="Times New Roman" w:hAnsi="Times New Roman" w:cs="Times New Roman"/>
        </w:rPr>
        <w:t xml:space="preserve">A </w:t>
      </w:r>
      <w:r w:rsidRPr="00872293">
        <w:rPr>
          <w:rFonts w:ascii="Times New Roman" w:hAnsi="Times New Roman" w:cs="Times New Roman"/>
        </w:rPr>
        <w:t xml:space="preserve">smaller beta value describes a greater proportion of roots closer to the soil surface. </w:t>
      </w:r>
      <w:r w:rsidR="00202424" w:rsidRPr="00872293">
        <w:rPr>
          <w:rFonts w:ascii="Times New Roman" w:hAnsi="Times New Roman" w:cs="Times New Roman"/>
        </w:rPr>
        <w:t>We obtained similar beta</w:t>
      </w:r>
      <w:r w:rsidR="00873DD9" w:rsidRPr="00872293">
        <w:rPr>
          <w:rFonts w:ascii="Times New Roman" w:hAnsi="Times New Roman" w:cs="Times New Roman"/>
        </w:rPr>
        <w:t xml:space="preserve"> </w:t>
      </w:r>
      <w:r w:rsidR="00202424" w:rsidRPr="00872293">
        <w:rPr>
          <w:rFonts w:ascii="Times New Roman" w:hAnsi="Times New Roman" w:cs="Times New Roman"/>
        </w:rPr>
        <w:t xml:space="preserve">when we </w:t>
      </w:r>
      <w:r w:rsidRPr="00872293">
        <w:rPr>
          <w:rFonts w:ascii="Times New Roman" w:hAnsi="Times New Roman" w:cs="Times New Roman"/>
        </w:rPr>
        <w:t xml:space="preserve">only </w:t>
      </w:r>
      <w:r w:rsidR="00202424" w:rsidRPr="00872293">
        <w:rPr>
          <w:rFonts w:ascii="Times New Roman" w:hAnsi="Times New Roman" w:cs="Times New Roman"/>
        </w:rPr>
        <w:t xml:space="preserve">used </w:t>
      </w:r>
      <w:r w:rsidR="00097FAD" w:rsidRPr="00872293">
        <w:rPr>
          <w:rFonts w:ascii="Times New Roman" w:hAnsi="Times New Roman" w:cs="Times New Roman"/>
        </w:rPr>
        <w:t xml:space="preserve">studies </w:t>
      </w:r>
      <w:r w:rsidR="00D32F95" w:rsidRPr="00872293">
        <w:rPr>
          <w:rFonts w:ascii="Times New Roman" w:hAnsi="Times New Roman" w:cs="Times New Roman"/>
        </w:rPr>
        <w:t>with</w:t>
      </w:r>
      <w:r w:rsidR="00202424" w:rsidRPr="00872293">
        <w:rPr>
          <w:rFonts w:ascii="Times New Roman" w:hAnsi="Times New Roman" w:cs="Times New Roman"/>
        </w:rPr>
        <w:t xml:space="preserve"> </w:t>
      </w:r>
      <w:r w:rsidR="00097FAD" w:rsidRPr="00872293">
        <w:rPr>
          <w:rFonts w:ascii="Times New Roman" w:hAnsi="Times New Roman" w:cs="Times New Roman"/>
        </w:rPr>
        <w:t>depth</w:t>
      </w:r>
      <w:r w:rsidR="00202424" w:rsidRPr="00872293">
        <w:rPr>
          <w:rFonts w:ascii="Times New Roman" w:hAnsi="Times New Roman" w:cs="Times New Roman"/>
        </w:rPr>
        <w:t>s</w:t>
      </w:r>
      <w:r w:rsidR="00097FAD" w:rsidRPr="00872293">
        <w:rPr>
          <w:rFonts w:ascii="Times New Roman" w:hAnsi="Times New Roman" w:cs="Times New Roman"/>
        </w:rPr>
        <w:t xml:space="preserve"> greater than 70 cm (</w:t>
      </w:r>
      <w:proofErr w:type="spellStart"/>
      <w:r w:rsidR="00097FAD" w:rsidRPr="00872293">
        <w:rPr>
          <w:rFonts w:ascii="Times New Roman" w:hAnsi="Times New Roman" w:cs="Times New Roman"/>
        </w:rPr>
        <w:t>Frangi</w:t>
      </w:r>
      <w:proofErr w:type="spellEnd"/>
      <w:r w:rsidR="00097FAD" w:rsidRPr="00872293">
        <w:rPr>
          <w:rFonts w:ascii="Times New Roman" w:hAnsi="Times New Roman" w:cs="Times New Roman"/>
        </w:rPr>
        <w:t xml:space="preserve"> &amp; Lugo, </w:t>
      </w:r>
      <w:r w:rsidR="008502FD" w:rsidRPr="00872293">
        <w:rPr>
          <w:rFonts w:ascii="Times New Roman" w:hAnsi="Times New Roman" w:cs="Times New Roman"/>
        </w:rPr>
        <w:t>1985; Murphy &amp; Lugo, 1986</w:t>
      </w:r>
      <w:r w:rsidR="005D5F29" w:rsidRPr="00872293">
        <w:rPr>
          <w:rFonts w:ascii="Times New Roman" w:hAnsi="Times New Roman" w:cs="Times New Roman"/>
        </w:rPr>
        <w:t>a</w:t>
      </w:r>
      <w:r w:rsidR="00097FAD" w:rsidRPr="00872293">
        <w:rPr>
          <w:rFonts w:ascii="Times New Roman" w:hAnsi="Times New Roman" w:cs="Times New Roman"/>
        </w:rPr>
        <w:t>; Lugo, 1992)</w:t>
      </w:r>
      <w:r w:rsidR="00202424" w:rsidRPr="00872293">
        <w:rPr>
          <w:rFonts w:ascii="Times New Roman" w:hAnsi="Times New Roman" w:cs="Times New Roman"/>
        </w:rPr>
        <w:t xml:space="preserve">. Although we need more studies that consider deeper sampling, we can conclude that </w:t>
      </w:r>
      <w:r w:rsidR="00703BD9" w:rsidRPr="00872293">
        <w:rPr>
          <w:rFonts w:ascii="Times New Roman" w:hAnsi="Times New Roman" w:cs="Times New Roman"/>
        </w:rPr>
        <w:t>more than 80</w:t>
      </w:r>
      <w:r w:rsidR="008B48D5" w:rsidRPr="00872293">
        <w:rPr>
          <w:rFonts w:ascii="Times New Roman" w:hAnsi="Times New Roman" w:cs="Times New Roman"/>
        </w:rPr>
        <w:t xml:space="preserve">% </w:t>
      </w:r>
      <w:r w:rsidR="00703BD9" w:rsidRPr="00872293">
        <w:rPr>
          <w:rFonts w:ascii="Times New Roman" w:hAnsi="Times New Roman" w:cs="Times New Roman"/>
        </w:rPr>
        <w:t xml:space="preserve">of </w:t>
      </w:r>
      <w:r w:rsidR="007E2B5D" w:rsidRPr="00872293">
        <w:rPr>
          <w:rFonts w:ascii="Times New Roman" w:hAnsi="Times New Roman" w:cs="Times New Roman"/>
        </w:rPr>
        <w:t>root biomass in the island is in the first 20 cm of depth</w:t>
      </w:r>
      <w:r w:rsidR="008552B7" w:rsidRPr="00872293">
        <w:rPr>
          <w:rFonts w:ascii="Times New Roman" w:hAnsi="Times New Roman" w:cs="Times New Roman"/>
        </w:rPr>
        <w:t xml:space="preserve">. </w:t>
      </w:r>
      <w:bookmarkStart w:id="21" w:name="_Hlk21449860"/>
      <w:r w:rsidR="008552B7" w:rsidRPr="00872293">
        <w:rPr>
          <w:rFonts w:ascii="Times New Roman" w:hAnsi="Times New Roman" w:cs="Times New Roman"/>
        </w:rPr>
        <w:t xml:space="preserve">Further, </w:t>
      </w:r>
      <w:bookmarkStart w:id="22" w:name="_Hlk5474383"/>
      <w:proofErr w:type="spellStart"/>
      <w:r w:rsidR="008552B7" w:rsidRPr="00872293">
        <w:rPr>
          <w:rFonts w:ascii="Times New Roman" w:hAnsi="Times New Roman" w:cs="Times New Roman"/>
        </w:rPr>
        <w:t>Odum</w:t>
      </w:r>
      <w:proofErr w:type="spellEnd"/>
      <w:r w:rsidR="008552B7" w:rsidRPr="00872293">
        <w:rPr>
          <w:rFonts w:ascii="Times New Roman" w:hAnsi="Times New Roman" w:cs="Times New Roman"/>
        </w:rPr>
        <w:t xml:space="preserve"> (1970b) study showed </w:t>
      </w:r>
      <w:r w:rsidR="00780D7D" w:rsidRPr="00872293">
        <w:rPr>
          <w:rFonts w:ascii="Times New Roman" w:hAnsi="Times New Roman" w:cs="Times New Roman"/>
        </w:rPr>
        <w:t xml:space="preserve">that </w:t>
      </w:r>
      <w:r w:rsidR="00C34C1B" w:rsidRPr="00872293">
        <w:rPr>
          <w:rFonts w:ascii="Times New Roman" w:hAnsi="Times New Roman" w:cs="Times New Roman"/>
          <w:shd w:val="clear" w:color="auto" w:fill="FFFFFF"/>
        </w:rPr>
        <w:t xml:space="preserve">less than </w:t>
      </w:r>
      <w:r w:rsidR="00780D7D" w:rsidRPr="00872293">
        <w:rPr>
          <w:rFonts w:ascii="Times New Roman" w:hAnsi="Times New Roman" w:cs="Times New Roman"/>
          <w:shd w:val="clear" w:color="auto" w:fill="FFFFFF"/>
        </w:rPr>
        <w:t>1</w:t>
      </w:r>
      <w:r w:rsidR="008B48D5" w:rsidRPr="00872293">
        <w:rPr>
          <w:rFonts w:ascii="Times New Roman" w:hAnsi="Times New Roman" w:cs="Times New Roman"/>
          <w:shd w:val="clear" w:color="auto" w:fill="FFFFFF"/>
        </w:rPr>
        <w:t>%</w:t>
      </w:r>
      <w:r w:rsidR="003B630B" w:rsidRPr="00872293">
        <w:rPr>
          <w:rFonts w:ascii="Times New Roman" w:hAnsi="Times New Roman" w:cs="Times New Roman"/>
          <w:shd w:val="clear" w:color="auto" w:fill="FFFFFF"/>
        </w:rPr>
        <w:t xml:space="preserve"> </w:t>
      </w:r>
      <w:r w:rsidR="00780D7D" w:rsidRPr="00872293">
        <w:rPr>
          <w:rFonts w:ascii="Times New Roman" w:hAnsi="Times New Roman" w:cs="Times New Roman"/>
          <w:shd w:val="clear" w:color="auto" w:fill="FFFFFF"/>
        </w:rPr>
        <w:t xml:space="preserve">of roots were </w:t>
      </w:r>
      <w:r w:rsidR="006A25FF" w:rsidRPr="00872293">
        <w:rPr>
          <w:rFonts w:ascii="Times New Roman" w:hAnsi="Times New Roman" w:cs="Times New Roman"/>
          <w:shd w:val="clear" w:color="auto" w:fill="FFFFFF"/>
        </w:rPr>
        <w:t xml:space="preserve">found </w:t>
      </w:r>
      <w:r w:rsidR="00780D7D" w:rsidRPr="00872293">
        <w:rPr>
          <w:rFonts w:ascii="Times New Roman" w:hAnsi="Times New Roman" w:cs="Times New Roman"/>
          <w:shd w:val="clear" w:color="auto" w:fill="FFFFFF"/>
        </w:rPr>
        <w:t>deeper than 80 cm</w:t>
      </w:r>
      <w:r w:rsidR="004F1CF1" w:rsidRPr="00872293">
        <w:rPr>
          <w:rFonts w:ascii="Times New Roman" w:hAnsi="Times New Roman" w:cs="Times New Roman"/>
        </w:rPr>
        <w:t xml:space="preserve"> at LEF.</w:t>
      </w:r>
      <w:bookmarkEnd w:id="21"/>
      <w:bookmarkEnd w:id="22"/>
    </w:p>
    <w:p w14:paraId="2E5DB735" w14:textId="77777777" w:rsidR="00F81F8D" w:rsidRPr="00872293" w:rsidRDefault="00F81F8D" w:rsidP="00C922E9">
      <w:pPr>
        <w:autoSpaceDE w:val="0"/>
        <w:autoSpaceDN w:val="0"/>
        <w:adjustRightInd w:val="0"/>
        <w:spacing w:line="360" w:lineRule="auto"/>
        <w:rPr>
          <w:rFonts w:ascii="Times New Roman" w:hAnsi="Times New Roman" w:cs="Times New Roman"/>
        </w:rPr>
      </w:pPr>
    </w:p>
    <w:p w14:paraId="4C51DD83" w14:textId="77777777" w:rsidR="004A47D5" w:rsidRPr="00872293" w:rsidRDefault="0027602A" w:rsidP="00C922E9">
      <w:pPr>
        <w:pStyle w:val="Heading3"/>
        <w:spacing w:before="0" w:after="0" w:line="360" w:lineRule="auto"/>
      </w:pPr>
      <w:bookmarkStart w:id="23" w:name="_Toc53689060"/>
      <w:proofErr w:type="spellStart"/>
      <w:r w:rsidRPr="00872293">
        <w:t>R</w:t>
      </w:r>
      <w:r w:rsidR="008B26E9" w:rsidRPr="00872293">
        <w:t>oot:shoot</w:t>
      </w:r>
      <w:proofErr w:type="spellEnd"/>
      <w:r w:rsidR="008B26E9" w:rsidRPr="00872293">
        <w:t xml:space="preserve"> ratio</w:t>
      </w:r>
      <w:bookmarkEnd w:id="23"/>
    </w:p>
    <w:p w14:paraId="7BABCE8A" w14:textId="77777777" w:rsidR="003A01E8" w:rsidRPr="00872293" w:rsidRDefault="00E45CC5" w:rsidP="00C922E9">
      <w:pPr>
        <w:spacing w:before="240" w:line="360" w:lineRule="auto"/>
        <w:rPr>
          <w:rFonts w:ascii="Times New Roman" w:hAnsi="Times New Roman" w:cs="Times New Roman"/>
        </w:rPr>
      </w:pPr>
      <w:r w:rsidRPr="00872293">
        <w:rPr>
          <w:rFonts w:ascii="Times New Roman" w:hAnsi="Times New Roman" w:cs="Times New Roman"/>
        </w:rPr>
        <w:t xml:space="preserve">Some </w:t>
      </w:r>
      <w:r w:rsidR="003A01E8" w:rsidRPr="00872293">
        <w:rPr>
          <w:rFonts w:ascii="Times New Roman" w:hAnsi="Times New Roman" w:cs="Times New Roman"/>
        </w:rPr>
        <w:t>studies reported</w:t>
      </w:r>
      <w:r w:rsidR="00F97F29" w:rsidRPr="00872293">
        <w:rPr>
          <w:rFonts w:ascii="Times New Roman" w:hAnsi="Times New Roman" w:cs="Times New Roman"/>
        </w:rPr>
        <w:t xml:space="preserve"> on</w:t>
      </w:r>
      <w:r w:rsidR="003A01E8" w:rsidRPr="00872293">
        <w:rPr>
          <w:rFonts w:ascii="Times New Roman" w:hAnsi="Times New Roman" w:cs="Times New Roman"/>
        </w:rPr>
        <w:t xml:space="preserve"> belowground and aboveground biomass of common species </w:t>
      </w:r>
      <w:r w:rsidR="002A4AD5" w:rsidRPr="00872293">
        <w:rPr>
          <w:rFonts w:ascii="Times New Roman" w:hAnsi="Times New Roman" w:cs="Times New Roman"/>
        </w:rPr>
        <w:t>by removing whole tree</w:t>
      </w:r>
      <w:r w:rsidR="00D2072E" w:rsidRPr="00872293">
        <w:rPr>
          <w:rFonts w:ascii="Times New Roman" w:hAnsi="Times New Roman" w:cs="Times New Roman"/>
        </w:rPr>
        <w:t>s</w:t>
      </w:r>
      <w:r w:rsidR="002A4AD5" w:rsidRPr="00872293">
        <w:rPr>
          <w:rFonts w:ascii="Times New Roman" w:hAnsi="Times New Roman" w:cs="Times New Roman"/>
        </w:rPr>
        <w:t xml:space="preserve"> </w:t>
      </w:r>
      <w:r w:rsidR="00D2072E" w:rsidRPr="00872293">
        <w:rPr>
          <w:rFonts w:ascii="Times New Roman" w:hAnsi="Times New Roman" w:cs="Times New Roman"/>
        </w:rPr>
        <w:t>from seedlings to adult trees up to 35 cm in diameter</w:t>
      </w:r>
      <w:r w:rsidR="00186769" w:rsidRPr="00872293">
        <w:rPr>
          <w:rFonts w:ascii="Times New Roman" w:hAnsi="Times New Roman" w:cs="Times New Roman"/>
        </w:rPr>
        <w:t xml:space="preserve"> </w:t>
      </w:r>
      <w:r w:rsidR="003A01E8" w:rsidRPr="00872293">
        <w:rPr>
          <w:rFonts w:ascii="Times New Roman" w:hAnsi="Times New Roman" w:cs="Times New Roman"/>
        </w:rPr>
        <w:t>(Ovington &amp; Olson,</w:t>
      </w:r>
      <w:r w:rsidR="00E81D3C" w:rsidRPr="00872293">
        <w:rPr>
          <w:rFonts w:ascii="Times New Roman" w:hAnsi="Times New Roman" w:cs="Times New Roman"/>
        </w:rPr>
        <w:t xml:space="preserve"> </w:t>
      </w:r>
      <w:r w:rsidR="003A01E8" w:rsidRPr="00872293">
        <w:rPr>
          <w:rFonts w:ascii="Times New Roman" w:hAnsi="Times New Roman" w:cs="Times New Roman"/>
        </w:rPr>
        <w:t xml:space="preserve">1970; Fetcher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1996; </w:t>
      </w:r>
      <w:proofErr w:type="spellStart"/>
      <w:r w:rsidR="003A01E8" w:rsidRPr="00872293">
        <w:rPr>
          <w:rFonts w:ascii="Times New Roman" w:hAnsi="Times New Roman" w:cs="Times New Roman"/>
        </w:rPr>
        <w:t>Parrotta</w:t>
      </w:r>
      <w:proofErr w:type="spellEnd"/>
      <w:r w:rsidR="003A01E8" w:rsidRPr="00872293">
        <w:rPr>
          <w:rFonts w:ascii="Times New Roman" w:hAnsi="Times New Roman" w:cs="Times New Roman"/>
        </w:rPr>
        <w:t xml:space="preserve">, 1999; Cordero, 1999; Stone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003A01E8" w:rsidRPr="00872293">
        <w:rPr>
          <w:rFonts w:ascii="Times New Roman" w:hAnsi="Times New Roman" w:cs="Times New Roman"/>
        </w:rPr>
        <w:t>2013). Ovington &amp; Olson (1970) studied total below</w:t>
      </w:r>
      <w:r w:rsidR="00F64B20" w:rsidRPr="00872293">
        <w:rPr>
          <w:rFonts w:ascii="Times New Roman" w:hAnsi="Times New Roman" w:cs="Times New Roman"/>
        </w:rPr>
        <w:t>-</w:t>
      </w:r>
      <w:r w:rsidR="003A01E8" w:rsidRPr="00872293">
        <w:rPr>
          <w:rFonts w:ascii="Times New Roman" w:hAnsi="Times New Roman" w:cs="Times New Roman"/>
        </w:rPr>
        <w:t xml:space="preserve"> and aboveground biomass of 42 species in LEF. Fetcher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003A01E8" w:rsidRPr="00872293">
        <w:rPr>
          <w:rFonts w:ascii="Times New Roman" w:hAnsi="Times New Roman" w:cs="Times New Roman"/>
        </w:rPr>
        <w:t>(1996) measured below</w:t>
      </w:r>
      <w:r w:rsidR="00F64B20" w:rsidRPr="00872293">
        <w:rPr>
          <w:rFonts w:ascii="Times New Roman" w:hAnsi="Times New Roman" w:cs="Times New Roman"/>
        </w:rPr>
        <w:t>-</w:t>
      </w:r>
      <w:r w:rsidR="003A01E8" w:rsidRPr="00872293">
        <w:rPr>
          <w:rFonts w:ascii="Times New Roman" w:hAnsi="Times New Roman" w:cs="Times New Roman"/>
        </w:rPr>
        <w:t xml:space="preserve"> and aboveground biomass from two pioneer species (</w:t>
      </w:r>
      <w:r w:rsidR="003A01E8" w:rsidRPr="00872293">
        <w:rPr>
          <w:rFonts w:ascii="Times New Roman" w:hAnsi="Times New Roman" w:cs="Times New Roman"/>
          <w:i/>
        </w:rPr>
        <w:t xml:space="preserve">Phytolacca </w:t>
      </w:r>
      <w:proofErr w:type="spellStart"/>
      <w:r w:rsidR="003A01E8" w:rsidRPr="00872293">
        <w:rPr>
          <w:rFonts w:ascii="Times New Roman" w:hAnsi="Times New Roman" w:cs="Times New Roman"/>
          <w:i/>
        </w:rPr>
        <w:t>rivinoides</w:t>
      </w:r>
      <w:proofErr w:type="spellEnd"/>
      <w:r w:rsidR="003A01E8" w:rsidRPr="00872293">
        <w:rPr>
          <w:rFonts w:ascii="Times New Roman" w:hAnsi="Times New Roman" w:cs="Times New Roman"/>
          <w:i/>
        </w:rPr>
        <w:t>, C</w:t>
      </w:r>
      <w:r w:rsidR="003E1F38" w:rsidRPr="00872293">
        <w:rPr>
          <w:rFonts w:ascii="Times New Roman" w:hAnsi="Times New Roman" w:cs="Times New Roman"/>
          <w:i/>
        </w:rPr>
        <w:t>.</w:t>
      </w:r>
      <w:r w:rsidR="003A01E8" w:rsidRPr="00872293">
        <w:rPr>
          <w:rFonts w:ascii="Times New Roman" w:hAnsi="Times New Roman" w:cs="Times New Roman"/>
          <w:i/>
        </w:rPr>
        <w:t xml:space="preserve"> </w:t>
      </w:r>
      <w:proofErr w:type="spellStart"/>
      <w:r w:rsidR="003A01E8" w:rsidRPr="00872293">
        <w:rPr>
          <w:rFonts w:ascii="Times New Roman" w:hAnsi="Times New Roman" w:cs="Times New Roman"/>
          <w:i/>
        </w:rPr>
        <w:t>schreberiana</w:t>
      </w:r>
      <w:proofErr w:type="spellEnd"/>
      <w:r w:rsidR="003A01E8" w:rsidRPr="00872293">
        <w:rPr>
          <w:rFonts w:ascii="Times New Roman" w:hAnsi="Times New Roman" w:cs="Times New Roman"/>
        </w:rPr>
        <w:t>) and two non-pioneer species (</w:t>
      </w:r>
      <w:r w:rsidR="003A01E8" w:rsidRPr="00872293">
        <w:rPr>
          <w:rFonts w:ascii="Times New Roman" w:hAnsi="Times New Roman" w:cs="Times New Roman"/>
          <w:i/>
        </w:rPr>
        <w:t>P</w:t>
      </w:r>
      <w:r w:rsidR="003E1F38" w:rsidRPr="00872293">
        <w:rPr>
          <w:rFonts w:ascii="Times New Roman" w:hAnsi="Times New Roman" w:cs="Times New Roman"/>
          <w:i/>
        </w:rPr>
        <w:t>.</w:t>
      </w:r>
      <w:r w:rsidR="003A01E8" w:rsidRPr="00872293">
        <w:rPr>
          <w:rFonts w:ascii="Times New Roman" w:hAnsi="Times New Roman" w:cs="Times New Roman"/>
          <w:i/>
        </w:rPr>
        <w:t xml:space="preserve"> riparia, M</w:t>
      </w:r>
      <w:r w:rsidR="003E1F38" w:rsidRPr="00872293">
        <w:rPr>
          <w:rFonts w:ascii="Times New Roman" w:hAnsi="Times New Roman" w:cs="Times New Roman"/>
          <w:i/>
        </w:rPr>
        <w:t>.</w:t>
      </w:r>
      <w:r w:rsidR="003A01E8" w:rsidRPr="00872293">
        <w:rPr>
          <w:rFonts w:ascii="Times New Roman" w:hAnsi="Times New Roman" w:cs="Times New Roman"/>
          <w:i/>
        </w:rPr>
        <w:t xml:space="preserve"> bidentat</w:t>
      </w:r>
      <w:r w:rsidR="0045715E" w:rsidRPr="00872293">
        <w:rPr>
          <w:rFonts w:ascii="Times New Roman" w:hAnsi="Times New Roman" w:cs="Times New Roman"/>
          <w:i/>
        </w:rPr>
        <w:t>a</w:t>
      </w:r>
      <w:r w:rsidR="003A01E8" w:rsidRPr="00872293">
        <w:rPr>
          <w:rFonts w:ascii="Times New Roman" w:hAnsi="Times New Roman" w:cs="Times New Roman"/>
        </w:rPr>
        <w:t xml:space="preserve">) in LEF under fertilization treatments. Cordero (1999) reported root biomass of </w:t>
      </w:r>
      <w:r w:rsidR="003A01E8" w:rsidRPr="00872293">
        <w:rPr>
          <w:rFonts w:ascii="Times New Roman" w:hAnsi="Times New Roman" w:cs="Times New Roman"/>
          <w:i/>
        </w:rPr>
        <w:t xml:space="preserve">C. </w:t>
      </w:r>
      <w:proofErr w:type="spellStart"/>
      <w:r w:rsidR="003A01E8" w:rsidRPr="00872293">
        <w:rPr>
          <w:rFonts w:ascii="Times New Roman" w:hAnsi="Times New Roman" w:cs="Times New Roman"/>
          <w:i/>
        </w:rPr>
        <w:t>shcreberiana</w:t>
      </w:r>
      <w:proofErr w:type="spellEnd"/>
      <w:r w:rsidR="003A01E8" w:rsidRPr="00872293">
        <w:rPr>
          <w:rFonts w:ascii="Times New Roman" w:hAnsi="Times New Roman" w:cs="Times New Roman"/>
          <w:i/>
        </w:rPr>
        <w:t xml:space="preserve"> </w:t>
      </w:r>
      <w:r w:rsidR="003A01E8" w:rsidRPr="00872293">
        <w:rPr>
          <w:rFonts w:ascii="Times New Roman" w:hAnsi="Times New Roman" w:cs="Times New Roman"/>
        </w:rPr>
        <w:t xml:space="preserve">in the dwarf forest of LEF </w:t>
      </w:r>
      <w:r w:rsidR="0045715E" w:rsidRPr="00872293">
        <w:rPr>
          <w:rFonts w:ascii="Times New Roman" w:eastAsia="Times New Roman" w:hAnsi="Times New Roman" w:cs="Times New Roman"/>
          <w:shd w:val="clear" w:color="auto" w:fill="FFFFFF"/>
        </w:rPr>
        <w:t>from an experiment looking at wind exposure on plant form</w:t>
      </w:r>
      <w:r w:rsidR="003A01E8" w:rsidRPr="00872293">
        <w:rPr>
          <w:rFonts w:ascii="Times New Roman" w:hAnsi="Times New Roman" w:cs="Times New Roman"/>
        </w:rPr>
        <w:t xml:space="preserve">. </w:t>
      </w:r>
      <w:proofErr w:type="spellStart"/>
      <w:r w:rsidR="003A01E8" w:rsidRPr="00872293">
        <w:rPr>
          <w:rFonts w:ascii="Times New Roman" w:hAnsi="Times New Roman" w:cs="Times New Roman"/>
        </w:rPr>
        <w:t>Parrotta</w:t>
      </w:r>
      <w:proofErr w:type="spellEnd"/>
      <w:r w:rsidR="003A01E8" w:rsidRPr="00872293">
        <w:rPr>
          <w:rFonts w:ascii="Times New Roman" w:hAnsi="Times New Roman" w:cs="Times New Roman"/>
        </w:rPr>
        <w:t xml:space="preserve"> (1999) describes root biomass from </w:t>
      </w:r>
      <w:r w:rsidR="003A01E8" w:rsidRPr="00872293">
        <w:rPr>
          <w:rFonts w:ascii="Times New Roman" w:hAnsi="Times New Roman" w:cs="Times New Roman"/>
          <w:i/>
        </w:rPr>
        <w:t xml:space="preserve">Casuarina </w:t>
      </w:r>
      <w:proofErr w:type="spellStart"/>
      <w:r w:rsidR="003A01E8" w:rsidRPr="00872293">
        <w:rPr>
          <w:rFonts w:ascii="Times New Roman" w:hAnsi="Times New Roman" w:cs="Times New Roman"/>
          <w:i/>
        </w:rPr>
        <w:t>equisetifolia</w:t>
      </w:r>
      <w:proofErr w:type="spellEnd"/>
      <w:r w:rsidR="003A01E8" w:rsidRPr="00872293">
        <w:rPr>
          <w:rFonts w:ascii="Times New Roman" w:hAnsi="Times New Roman" w:cs="Times New Roman"/>
          <w:i/>
        </w:rPr>
        <w:t xml:space="preserve">, </w:t>
      </w:r>
      <w:proofErr w:type="spellStart"/>
      <w:r w:rsidR="003A01E8" w:rsidRPr="00872293">
        <w:rPr>
          <w:rFonts w:ascii="Times New Roman" w:hAnsi="Times New Roman" w:cs="Times New Roman"/>
          <w:i/>
        </w:rPr>
        <w:t>Eucaliptus</w:t>
      </w:r>
      <w:proofErr w:type="spellEnd"/>
      <w:r w:rsidR="003A01E8" w:rsidRPr="00872293">
        <w:rPr>
          <w:rFonts w:ascii="Times New Roman" w:hAnsi="Times New Roman" w:cs="Times New Roman"/>
          <w:i/>
        </w:rPr>
        <w:t xml:space="preserve"> </w:t>
      </w:r>
      <w:proofErr w:type="spellStart"/>
      <w:r w:rsidR="003A01E8" w:rsidRPr="00872293">
        <w:rPr>
          <w:rFonts w:ascii="Times New Roman" w:hAnsi="Times New Roman" w:cs="Times New Roman"/>
          <w:i/>
        </w:rPr>
        <w:t>robusta</w:t>
      </w:r>
      <w:proofErr w:type="spellEnd"/>
      <w:r w:rsidR="003A01E8" w:rsidRPr="00872293">
        <w:rPr>
          <w:rFonts w:ascii="Times New Roman" w:hAnsi="Times New Roman" w:cs="Times New Roman"/>
        </w:rPr>
        <w:t xml:space="preserve">, and </w:t>
      </w:r>
      <w:r w:rsidR="003A01E8" w:rsidRPr="00872293">
        <w:rPr>
          <w:rFonts w:ascii="Times New Roman" w:hAnsi="Times New Roman" w:cs="Times New Roman"/>
          <w:i/>
        </w:rPr>
        <w:t>L</w:t>
      </w:r>
      <w:r w:rsidR="00951BB0" w:rsidRPr="00872293">
        <w:rPr>
          <w:rFonts w:ascii="Times New Roman" w:hAnsi="Times New Roman" w:cs="Times New Roman"/>
          <w:i/>
        </w:rPr>
        <w:t>.</w:t>
      </w:r>
      <w:r w:rsidR="003A01E8" w:rsidRPr="00872293">
        <w:rPr>
          <w:rFonts w:ascii="Times New Roman" w:hAnsi="Times New Roman" w:cs="Times New Roman"/>
          <w:i/>
        </w:rPr>
        <w:t xml:space="preserve"> </w:t>
      </w:r>
      <w:proofErr w:type="spellStart"/>
      <w:r w:rsidR="003A01E8" w:rsidRPr="00872293">
        <w:rPr>
          <w:rFonts w:ascii="Times New Roman" w:hAnsi="Times New Roman" w:cs="Times New Roman"/>
          <w:i/>
        </w:rPr>
        <w:t>leucocephala</w:t>
      </w:r>
      <w:proofErr w:type="spellEnd"/>
      <w:r w:rsidR="003A01E8" w:rsidRPr="00872293">
        <w:rPr>
          <w:rFonts w:ascii="Times New Roman" w:hAnsi="Times New Roman" w:cs="Times New Roman"/>
        </w:rPr>
        <w:t xml:space="preserve"> from experimental plantations at Toa Baja.</w:t>
      </w:r>
      <w:r w:rsidR="00B740BF" w:rsidRPr="00872293">
        <w:rPr>
          <w:rFonts w:ascii="Times New Roman" w:hAnsi="Times New Roman" w:cs="Times New Roman"/>
        </w:rPr>
        <w:t xml:space="preserve"> </w:t>
      </w:r>
      <w:r w:rsidR="003A01E8" w:rsidRPr="00872293">
        <w:rPr>
          <w:rFonts w:ascii="Times New Roman" w:hAnsi="Times New Roman" w:cs="Times New Roman"/>
        </w:rPr>
        <w:t xml:space="preserve">Stone </w:t>
      </w:r>
      <w:r w:rsidR="00F23528" w:rsidRPr="00872293">
        <w:rPr>
          <w:rFonts w:ascii="Times New Roman" w:hAnsi="Times New Roman" w:cs="Times New Roman"/>
          <w:i/>
          <w:noProof/>
        </w:rPr>
        <w:t xml:space="preserve">et al. </w:t>
      </w:r>
      <w:r w:rsidR="003A01E8" w:rsidRPr="00872293">
        <w:rPr>
          <w:rFonts w:ascii="Times New Roman" w:hAnsi="Times New Roman" w:cs="Times New Roman"/>
        </w:rPr>
        <w:t xml:space="preserve">(2013) measured above and belowground biomass of </w:t>
      </w:r>
      <w:r w:rsidR="003A01E8" w:rsidRPr="00872293">
        <w:rPr>
          <w:rFonts w:ascii="Times New Roman" w:hAnsi="Times New Roman" w:cs="Times New Roman"/>
          <w:i/>
        </w:rPr>
        <w:t>Tabebu</w:t>
      </w:r>
      <w:r w:rsidR="008C4145" w:rsidRPr="00872293">
        <w:rPr>
          <w:rFonts w:ascii="Times New Roman" w:hAnsi="Times New Roman" w:cs="Times New Roman"/>
          <w:i/>
        </w:rPr>
        <w:t>i</w:t>
      </w:r>
      <w:r w:rsidR="003A01E8" w:rsidRPr="00872293">
        <w:rPr>
          <w:rFonts w:ascii="Times New Roman" w:hAnsi="Times New Roman" w:cs="Times New Roman"/>
          <w:i/>
        </w:rPr>
        <w:t xml:space="preserve">a </w:t>
      </w:r>
      <w:proofErr w:type="spellStart"/>
      <w:r w:rsidR="003A01E8" w:rsidRPr="00872293">
        <w:rPr>
          <w:rFonts w:ascii="Times New Roman" w:hAnsi="Times New Roman" w:cs="Times New Roman"/>
          <w:i/>
        </w:rPr>
        <w:t>heterophyla</w:t>
      </w:r>
      <w:proofErr w:type="spellEnd"/>
      <w:r w:rsidR="003A01E8" w:rsidRPr="00872293">
        <w:rPr>
          <w:rFonts w:ascii="Times New Roman" w:hAnsi="Times New Roman" w:cs="Times New Roman"/>
        </w:rPr>
        <w:t xml:space="preserve"> planted in a greenhouse with soil from LEF and diffe</w:t>
      </w:r>
      <w:r w:rsidR="00873DD9" w:rsidRPr="00872293">
        <w:rPr>
          <w:rFonts w:ascii="Times New Roman" w:hAnsi="Times New Roman" w:cs="Times New Roman"/>
        </w:rPr>
        <w:t xml:space="preserve">rent </w:t>
      </w:r>
      <w:r w:rsidR="00873DD9" w:rsidRPr="00872293">
        <w:rPr>
          <w:rFonts w:ascii="Times New Roman" w:hAnsi="Times New Roman" w:cs="Times New Roman"/>
        </w:rPr>
        <w:lastRenderedPageBreak/>
        <w:t>fertilization treatments. We</w:t>
      </w:r>
      <w:r w:rsidR="003A01E8" w:rsidRPr="00872293">
        <w:rPr>
          <w:rFonts w:ascii="Times New Roman" w:hAnsi="Times New Roman" w:cs="Times New Roman"/>
        </w:rPr>
        <w:t xml:space="preserve"> used these data (with no treatment) to compare </w:t>
      </w:r>
      <w:proofErr w:type="spellStart"/>
      <w:r w:rsidR="003A01E8" w:rsidRPr="00872293">
        <w:rPr>
          <w:rFonts w:ascii="Times New Roman" w:hAnsi="Times New Roman" w:cs="Times New Roman"/>
        </w:rPr>
        <w:t>root:shoot</w:t>
      </w:r>
      <w:proofErr w:type="spellEnd"/>
      <w:r w:rsidR="003A01E8" w:rsidRPr="00872293">
        <w:rPr>
          <w:rFonts w:ascii="Times New Roman" w:hAnsi="Times New Roman" w:cs="Times New Roman"/>
        </w:rPr>
        <w:t xml:space="preserve"> ratio among species.</w:t>
      </w:r>
    </w:p>
    <w:p w14:paraId="091F902D" w14:textId="77777777" w:rsidR="0098150C" w:rsidRPr="00872293" w:rsidRDefault="0098150C" w:rsidP="0098150C">
      <w:pPr>
        <w:spacing w:line="360" w:lineRule="auto"/>
        <w:rPr>
          <w:rFonts w:ascii="Times New Roman" w:hAnsi="Times New Roman" w:cs="Times New Roman"/>
        </w:rPr>
      </w:pPr>
    </w:p>
    <w:p w14:paraId="1AEAD48F" w14:textId="77777777" w:rsidR="003A01E8" w:rsidRPr="00872293" w:rsidRDefault="003A01E8" w:rsidP="0098150C">
      <w:pPr>
        <w:spacing w:line="360" w:lineRule="auto"/>
        <w:rPr>
          <w:rFonts w:ascii="Times New Roman" w:hAnsi="Times New Roman" w:cs="Times New Roman"/>
        </w:rPr>
      </w:pPr>
      <w:r w:rsidRPr="00872293">
        <w:rPr>
          <w:rFonts w:ascii="Times New Roman" w:hAnsi="Times New Roman" w:cs="Times New Roman"/>
        </w:rPr>
        <w:t xml:space="preserve">On average using all diameter roots, the </w:t>
      </w:r>
      <w:proofErr w:type="spellStart"/>
      <w:r w:rsidRPr="00872293">
        <w:rPr>
          <w:rFonts w:ascii="Times New Roman" w:hAnsi="Times New Roman" w:cs="Times New Roman"/>
        </w:rPr>
        <w:t>root:shoot</w:t>
      </w:r>
      <w:proofErr w:type="spellEnd"/>
      <w:r w:rsidRPr="00872293">
        <w:rPr>
          <w:rFonts w:ascii="Times New Roman" w:hAnsi="Times New Roman" w:cs="Times New Roman"/>
        </w:rPr>
        <w:t xml:space="preserve"> ratio </w:t>
      </w:r>
      <w:r w:rsidR="00E40D4B" w:rsidRPr="00872293">
        <w:rPr>
          <w:rFonts w:ascii="Times New Roman" w:hAnsi="Times New Roman" w:cs="Times New Roman"/>
        </w:rPr>
        <w:t xml:space="preserve">from these studies </w:t>
      </w:r>
      <w:r w:rsidRPr="00872293">
        <w:rPr>
          <w:rFonts w:ascii="Times New Roman" w:hAnsi="Times New Roman" w:cs="Times New Roman"/>
        </w:rPr>
        <w:t xml:space="preserve">is 0.45, ranging from 0.78 in </w:t>
      </w:r>
      <w:r w:rsidRPr="00872293">
        <w:rPr>
          <w:rFonts w:ascii="Times New Roman" w:hAnsi="Times New Roman" w:cs="Times New Roman"/>
          <w:i/>
        </w:rPr>
        <w:t xml:space="preserve">C. </w:t>
      </w:r>
      <w:proofErr w:type="spellStart"/>
      <w:r w:rsidRPr="00872293">
        <w:rPr>
          <w:rFonts w:ascii="Times New Roman" w:hAnsi="Times New Roman" w:cs="Times New Roman"/>
          <w:i/>
        </w:rPr>
        <w:t>shreberiana</w:t>
      </w:r>
      <w:proofErr w:type="spellEnd"/>
      <w:r w:rsidRPr="00872293">
        <w:rPr>
          <w:rFonts w:ascii="Times New Roman" w:hAnsi="Times New Roman" w:cs="Times New Roman"/>
        </w:rPr>
        <w:t xml:space="preserve"> to 0.19 in </w:t>
      </w:r>
      <w:r w:rsidRPr="00872293">
        <w:rPr>
          <w:rFonts w:ascii="Times New Roman" w:hAnsi="Times New Roman" w:cs="Times New Roman"/>
          <w:i/>
        </w:rPr>
        <w:t xml:space="preserve">Ocotea </w:t>
      </w:r>
      <w:proofErr w:type="spellStart"/>
      <w:r w:rsidRPr="00872293">
        <w:rPr>
          <w:rFonts w:ascii="Times New Roman" w:hAnsi="Times New Roman" w:cs="Times New Roman"/>
          <w:i/>
        </w:rPr>
        <w:t>leucoxylon</w:t>
      </w:r>
      <w:proofErr w:type="spellEnd"/>
      <w:r w:rsidRPr="00872293">
        <w:rPr>
          <w:rFonts w:ascii="Times New Roman" w:hAnsi="Times New Roman" w:cs="Times New Roman"/>
        </w:rPr>
        <w:t>, but variation within species was large, and there was no statistically significant difference among species</w:t>
      </w:r>
      <w:r w:rsidR="004C16FB" w:rsidRPr="00872293">
        <w:rPr>
          <w:rFonts w:ascii="Times New Roman" w:hAnsi="Times New Roman" w:cs="Times New Roman"/>
        </w:rPr>
        <w:t xml:space="preserve">. </w:t>
      </w:r>
      <w:proofErr w:type="spellStart"/>
      <w:r w:rsidR="00BB5CC3" w:rsidRPr="00872293">
        <w:rPr>
          <w:rFonts w:ascii="Times New Roman" w:hAnsi="Times New Roman" w:cs="Times New Roman"/>
        </w:rPr>
        <w:t>R</w:t>
      </w:r>
      <w:r w:rsidR="00360067" w:rsidRPr="00872293">
        <w:rPr>
          <w:rFonts w:ascii="Times New Roman" w:hAnsi="Times New Roman" w:cs="Times New Roman"/>
        </w:rPr>
        <w:t>oot</w:t>
      </w:r>
      <w:r w:rsidR="00CB376B" w:rsidRPr="00872293">
        <w:rPr>
          <w:rFonts w:ascii="Times New Roman" w:hAnsi="Times New Roman" w:cs="Times New Roman"/>
        </w:rPr>
        <w:t>:</w:t>
      </w:r>
      <w:r w:rsidR="00360067" w:rsidRPr="00872293">
        <w:rPr>
          <w:rFonts w:ascii="Times New Roman" w:hAnsi="Times New Roman" w:cs="Times New Roman"/>
        </w:rPr>
        <w:t>shoo</w:t>
      </w:r>
      <w:r w:rsidR="00CB376B" w:rsidRPr="00872293">
        <w:rPr>
          <w:rFonts w:ascii="Times New Roman" w:hAnsi="Times New Roman" w:cs="Times New Roman"/>
        </w:rPr>
        <w:t>t</w:t>
      </w:r>
      <w:proofErr w:type="spellEnd"/>
      <w:r w:rsidR="00CB376B" w:rsidRPr="00872293">
        <w:rPr>
          <w:rFonts w:ascii="Times New Roman" w:hAnsi="Times New Roman" w:cs="Times New Roman"/>
        </w:rPr>
        <w:t xml:space="preserve"> </w:t>
      </w:r>
      <w:r w:rsidR="00360067" w:rsidRPr="00872293">
        <w:rPr>
          <w:rFonts w:ascii="Times New Roman" w:hAnsi="Times New Roman" w:cs="Times New Roman"/>
        </w:rPr>
        <w:t xml:space="preserve">ratio is </w:t>
      </w:r>
      <w:r w:rsidR="00CB376B" w:rsidRPr="00872293">
        <w:rPr>
          <w:rFonts w:ascii="Times New Roman" w:hAnsi="Times New Roman" w:cs="Times New Roman"/>
        </w:rPr>
        <w:t xml:space="preserve">greater in trees with </w:t>
      </w:r>
      <w:r w:rsidR="00BB5CC3" w:rsidRPr="00872293">
        <w:rPr>
          <w:rFonts w:ascii="Times New Roman" w:hAnsi="Times New Roman" w:cs="Times New Roman"/>
        </w:rPr>
        <w:t xml:space="preserve">bole </w:t>
      </w:r>
      <w:r w:rsidR="00CB376B" w:rsidRPr="00872293">
        <w:rPr>
          <w:rFonts w:ascii="Times New Roman" w:hAnsi="Times New Roman" w:cs="Times New Roman"/>
        </w:rPr>
        <w:t xml:space="preserve">diameter </w:t>
      </w:r>
      <w:r w:rsidR="00E40D4B" w:rsidRPr="00872293">
        <w:rPr>
          <w:rFonts w:ascii="Times New Roman" w:hAnsi="Times New Roman" w:cs="Times New Roman"/>
        </w:rPr>
        <w:t>&gt;</w:t>
      </w:r>
      <w:r w:rsidR="00CB376B" w:rsidRPr="00872293">
        <w:rPr>
          <w:rFonts w:ascii="Times New Roman" w:hAnsi="Times New Roman" w:cs="Times New Roman"/>
        </w:rPr>
        <w:t xml:space="preserve"> 5 cm </w:t>
      </w:r>
      <w:r w:rsidR="00360067" w:rsidRPr="00872293">
        <w:rPr>
          <w:rFonts w:ascii="Times New Roman" w:hAnsi="Times New Roman" w:cs="Times New Roman"/>
        </w:rPr>
        <w:t>(</w:t>
      </w:r>
      <w:r w:rsidR="00235AB2" w:rsidRPr="00872293">
        <w:rPr>
          <w:rFonts w:ascii="Times New Roman" w:hAnsi="Times New Roman" w:cs="Times New Roman"/>
          <w:i/>
          <w:iCs/>
        </w:rPr>
        <w:t>P</w:t>
      </w:r>
      <w:r w:rsidR="00360067" w:rsidRPr="00872293">
        <w:rPr>
          <w:rFonts w:ascii="Times New Roman" w:hAnsi="Times New Roman" w:cs="Times New Roman"/>
        </w:rPr>
        <w:t>&lt;0.01)</w:t>
      </w:r>
      <w:r w:rsidR="00BB5CC3" w:rsidRPr="00872293">
        <w:rPr>
          <w:rFonts w:ascii="Times New Roman" w:hAnsi="Times New Roman" w:cs="Times New Roman"/>
        </w:rPr>
        <w:t xml:space="preserve"> compared to smaller trees</w:t>
      </w:r>
      <w:r w:rsidR="006426EC" w:rsidRPr="00872293">
        <w:rPr>
          <w:rFonts w:ascii="Times New Roman" w:hAnsi="Times New Roman" w:cs="Times New Roman"/>
        </w:rPr>
        <w:t xml:space="preserve"> (diameter </w:t>
      </w:r>
      <w:r w:rsidR="00E40D4B" w:rsidRPr="00872293">
        <w:rPr>
          <w:rFonts w:ascii="Times New Roman" w:hAnsi="Times New Roman" w:cs="Times New Roman"/>
        </w:rPr>
        <w:t xml:space="preserve">&lt; </w:t>
      </w:r>
      <w:r w:rsidR="006426EC" w:rsidRPr="00872293">
        <w:rPr>
          <w:rFonts w:ascii="Times New Roman" w:hAnsi="Times New Roman" w:cs="Times New Roman"/>
        </w:rPr>
        <w:t>than 5 cm)</w:t>
      </w:r>
      <w:r w:rsidR="00360067" w:rsidRPr="00872293">
        <w:rPr>
          <w:rFonts w:ascii="Times New Roman" w:hAnsi="Times New Roman" w:cs="Times New Roman"/>
        </w:rPr>
        <w:t>. However,</w:t>
      </w:r>
      <w:r w:rsidR="00F935B4" w:rsidRPr="00872293">
        <w:rPr>
          <w:rFonts w:ascii="Times New Roman" w:hAnsi="Times New Roman" w:cs="Times New Roman"/>
        </w:rPr>
        <w:t xml:space="preserve"> we </w:t>
      </w:r>
      <w:r w:rsidR="006520B7" w:rsidRPr="00872293">
        <w:rPr>
          <w:rFonts w:ascii="Times New Roman" w:hAnsi="Times New Roman" w:cs="Times New Roman"/>
        </w:rPr>
        <w:t xml:space="preserve">also </w:t>
      </w:r>
      <w:r w:rsidR="00F935B4" w:rsidRPr="00872293">
        <w:rPr>
          <w:rFonts w:ascii="Times New Roman" w:hAnsi="Times New Roman" w:cs="Times New Roman"/>
        </w:rPr>
        <w:t xml:space="preserve">found no differences </w:t>
      </w:r>
      <w:r w:rsidR="0078632D" w:rsidRPr="00872293">
        <w:rPr>
          <w:rFonts w:ascii="Times New Roman" w:hAnsi="Times New Roman" w:cs="Times New Roman"/>
        </w:rPr>
        <w:t>among species</w:t>
      </w:r>
      <w:r w:rsidR="00360067" w:rsidRPr="00872293">
        <w:rPr>
          <w:rFonts w:ascii="Times New Roman" w:hAnsi="Times New Roman" w:cs="Times New Roman"/>
        </w:rPr>
        <w:t xml:space="preserve"> within each </w:t>
      </w:r>
      <w:r w:rsidR="00BB5CC3" w:rsidRPr="00872293">
        <w:rPr>
          <w:rFonts w:ascii="Times New Roman" w:hAnsi="Times New Roman" w:cs="Times New Roman"/>
        </w:rPr>
        <w:t xml:space="preserve">size </w:t>
      </w:r>
      <w:r w:rsidR="00360067" w:rsidRPr="00872293">
        <w:rPr>
          <w:rFonts w:ascii="Times New Roman" w:hAnsi="Times New Roman" w:cs="Times New Roman"/>
        </w:rPr>
        <w:t>category.</w:t>
      </w:r>
      <w:r w:rsidR="0078632D" w:rsidRPr="00872293">
        <w:rPr>
          <w:rFonts w:ascii="Times New Roman" w:hAnsi="Times New Roman" w:cs="Times New Roman"/>
        </w:rPr>
        <w:t xml:space="preserve"> </w:t>
      </w:r>
      <w:r w:rsidR="002526F4" w:rsidRPr="00872293">
        <w:rPr>
          <w:rFonts w:ascii="Times New Roman" w:hAnsi="Times New Roman" w:cs="Times New Roman"/>
          <w:i/>
          <w:iCs/>
        </w:rPr>
        <w:t xml:space="preserve">C. </w:t>
      </w:r>
      <w:proofErr w:type="spellStart"/>
      <w:r w:rsidR="002526F4" w:rsidRPr="00872293">
        <w:rPr>
          <w:rFonts w:ascii="Times New Roman" w:hAnsi="Times New Roman" w:cs="Times New Roman"/>
          <w:i/>
          <w:iCs/>
        </w:rPr>
        <w:t>borinquensis</w:t>
      </w:r>
      <w:proofErr w:type="spellEnd"/>
      <w:r w:rsidR="002526F4" w:rsidRPr="00872293">
        <w:rPr>
          <w:rFonts w:ascii="Times New Roman" w:hAnsi="Times New Roman" w:cs="Times New Roman"/>
          <w:i/>
          <w:iCs/>
        </w:rPr>
        <w:t xml:space="preserve"> </w:t>
      </w:r>
      <w:r w:rsidR="002526F4" w:rsidRPr="00872293">
        <w:rPr>
          <w:rFonts w:ascii="Times New Roman" w:hAnsi="Times New Roman" w:cs="Times New Roman"/>
        </w:rPr>
        <w:t>and</w:t>
      </w:r>
      <w:r w:rsidR="002526F4" w:rsidRPr="00872293">
        <w:rPr>
          <w:rFonts w:ascii="Times New Roman" w:hAnsi="Times New Roman" w:cs="Times New Roman"/>
          <w:i/>
          <w:iCs/>
        </w:rPr>
        <w:t xml:space="preserve"> </w:t>
      </w:r>
      <w:proofErr w:type="gramStart"/>
      <w:r w:rsidR="002526F4" w:rsidRPr="00872293">
        <w:rPr>
          <w:rFonts w:ascii="Times New Roman" w:hAnsi="Times New Roman" w:cs="Times New Roman"/>
          <w:i/>
          <w:iCs/>
        </w:rPr>
        <w:t>C .</w:t>
      </w:r>
      <w:proofErr w:type="gramEnd"/>
      <w:r w:rsidR="002526F4" w:rsidRPr="00872293">
        <w:rPr>
          <w:rFonts w:ascii="Times New Roman" w:hAnsi="Times New Roman" w:cs="Times New Roman"/>
        </w:rPr>
        <w:t xml:space="preserve"> </w:t>
      </w:r>
      <w:proofErr w:type="spellStart"/>
      <w:r w:rsidR="002526F4" w:rsidRPr="00872293">
        <w:rPr>
          <w:rFonts w:ascii="Times New Roman" w:hAnsi="Times New Roman" w:cs="Times New Roman"/>
          <w:i/>
        </w:rPr>
        <w:t>shreberiana</w:t>
      </w:r>
      <w:proofErr w:type="spellEnd"/>
      <w:r w:rsidR="002526F4" w:rsidRPr="00872293">
        <w:rPr>
          <w:rFonts w:ascii="Times New Roman" w:hAnsi="Times New Roman" w:cs="Times New Roman"/>
        </w:rPr>
        <w:t xml:space="preserve"> have the highest root shoot ratio for the trees </w:t>
      </w:r>
      <w:r w:rsidR="00940A32" w:rsidRPr="00872293">
        <w:rPr>
          <w:rFonts w:ascii="Times New Roman" w:hAnsi="Times New Roman" w:cs="Times New Roman"/>
        </w:rPr>
        <w:t>&gt;</w:t>
      </w:r>
      <w:r w:rsidR="00EF0F0C" w:rsidRPr="00872293">
        <w:rPr>
          <w:rFonts w:ascii="Times New Roman" w:hAnsi="Times New Roman" w:cs="Times New Roman"/>
        </w:rPr>
        <w:t xml:space="preserve"> 5 cm in diameter</w:t>
      </w:r>
      <w:r w:rsidR="002526F4" w:rsidRPr="00872293">
        <w:rPr>
          <w:rFonts w:ascii="Times New Roman" w:hAnsi="Times New Roman" w:cs="Times New Roman"/>
        </w:rPr>
        <w:t xml:space="preserve">, and </w:t>
      </w:r>
      <w:r w:rsidR="002526F4" w:rsidRPr="00872293">
        <w:rPr>
          <w:rFonts w:ascii="Times New Roman" w:hAnsi="Times New Roman" w:cs="Times New Roman"/>
          <w:i/>
          <w:iCs/>
        </w:rPr>
        <w:t xml:space="preserve">S. </w:t>
      </w:r>
      <w:proofErr w:type="spellStart"/>
      <w:r w:rsidR="002526F4" w:rsidRPr="00872293">
        <w:rPr>
          <w:rFonts w:ascii="Times New Roman" w:hAnsi="Times New Roman" w:cs="Times New Roman"/>
          <w:i/>
          <w:iCs/>
        </w:rPr>
        <w:t>berter</w:t>
      </w:r>
      <w:r w:rsidR="007426F9" w:rsidRPr="00872293">
        <w:rPr>
          <w:rFonts w:ascii="Times New Roman" w:hAnsi="Times New Roman" w:cs="Times New Roman"/>
          <w:i/>
          <w:iCs/>
        </w:rPr>
        <w:t>o</w:t>
      </w:r>
      <w:r w:rsidR="002526F4" w:rsidRPr="00872293">
        <w:rPr>
          <w:rFonts w:ascii="Times New Roman" w:hAnsi="Times New Roman" w:cs="Times New Roman"/>
          <w:i/>
          <w:iCs/>
        </w:rPr>
        <w:t>ana</w:t>
      </w:r>
      <w:proofErr w:type="spellEnd"/>
      <w:r w:rsidR="007426F9" w:rsidRPr="00872293">
        <w:rPr>
          <w:rFonts w:ascii="Times New Roman" w:hAnsi="Times New Roman" w:cs="Times New Roman"/>
          <w:i/>
          <w:iCs/>
        </w:rPr>
        <w:t xml:space="preserve"> </w:t>
      </w:r>
      <w:r w:rsidR="002526F4" w:rsidRPr="00872293">
        <w:rPr>
          <w:rFonts w:ascii="Times New Roman" w:hAnsi="Times New Roman" w:cs="Times New Roman"/>
        </w:rPr>
        <w:t xml:space="preserve">has the lowest root shoot ratio in this size class. </w:t>
      </w:r>
      <w:r w:rsidR="00DB7753" w:rsidRPr="00872293">
        <w:rPr>
          <w:rFonts w:ascii="Times New Roman" w:hAnsi="Times New Roman" w:cs="Times New Roman"/>
        </w:rPr>
        <w:t xml:space="preserve">However, </w:t>
      </w:r>
      <w:r w:rsidR="00DB7753" w:rsidRPr="00872293">
        <w:rPr>
          <w:rFonts w:ascii="Times New Roman" w:hAnsi="Times New Roman" w:cs="Times New Roman"/>
          <w:i/>
          <w:iCs/>
        </w:rPr>
        <w:t xml:space="preserve">S. </w:t>
      </w:r>
      <w:proofErr w:type="spellStart"/>
      <w:r w:rsidR="00DB7753" w:rsidRPr="00872293">
        <w:rPr>
          <w:rFonts w:ascii="Times New Roman" w:hAnsi="Times New Roman" w:cs="Times New Roman"/>
          <w:i/>
          <w:iCs/>
        </w:rPr>
        <w:t>berter</w:t>
      </w:r>
      <w:r w:rsidR="007426F9" w:rsidRPr="00872293">
        <w:rPr>
          <w:rFonts w:ascii="Times New Roman" w:hAnsi="Times New Roman" w:cs="Times New Roman"/>
          <w:i/>
          <w:iCs/>
        </w:rPr>
        <w:t>o</w:t>
      </w:r>
      <w:r w:rsidR="00DB7753" w:rsidRPr="00872293">
        <w:rPr>
          <w:rFonts w:ascii="Times New Roman" w:hAnsi="Times New Roman" w:cs="Times New Roman"/>
          <w:i/>
          <w:iCs/>
        </w:rPr>
        <w:t>ana</w:t>
      </w:r>
      <w:proofErr w:type="spellEnd"/>
      <w:r w:rsidR="00DB7753" w:rsidRPr="00872293">
        <w:rPr>
          <w:rFonts w:ascii="Times New Roman" w:hAnsi="Times New Roman" w:cs="Times New Roman"/>
        </w:rPr>
        <w:t xml:space="preserve"> has the highest </w:t>
      </w:r>
      <w:proofErr w:type="spellStart"/>
      <w:r w:rsidR="00DB7753" w:rsidRPr="00872293">
        <w:rPr>
          <w:rFonts w:ascii="Times New Roman" w:hAnsi="Times New Roman" w:cs="Times New Roman"/>
        </w:rPr>
        <w:t>root</w:t>
      </w:r>
      <w:r w:rsidR="00CB376B" w:rsidRPr="00872293">
        <w:rPr>
          <w:rFonts w:ascii="Times New Roman" w:hAnsi="Times New Roman" w:cs="Times New Roman"/>
        </w:rPr>
        <w:t>:</w:t>
      </w:r>
      <w:r w:rsidR="00DB7753" w:rsidRPr="00872293">
        <w:rPr>
          <w:rFonts w:ascii="Times New Roman" w:hAnsi="Times New Roman" w:cs="Times New Roman"/>
        </w:rPr>
        <w:t>shoot</w:t>
      </w:r>
      <w:proofErr w:type="spellEnd"/>
      <w:r w:rsidR="00DB7753" w:rsidRPr="00872293">
        <w:rPr>
          <w:rFonts w:ascii="Times New Roman" w:hAnsi="Times New Roman" w:cs="Times New Roman"/>
        </w:rPr>
        <w:t xml:space="preserve"> ratio for trees</w:t>
      </w:r>
      <w:r w:rsidR="00EF0F0C" w:rsidRPr="00872293">
        <w:rPr>
          <w:rFonts w:ascii="Times New Roman" w:hAnsi="Times New Roman" w:cs="Times New Roman"/>
        </w:rPr>
        <w:t xml:space="preserve"> </w:t>
      </w:r>
      <w:r w:rsidR="00940A32" w:rsidRPr="00872293">
        <w:rPr>
          <w:rFonts w:ascii="Times New Roman" w:hAnsi="Times New Roman" w:cs="Times New Roman"/>
        </w:rPr>
        <w:t>&lt;</w:t>
      </w:r>
      <w:r w:rsidR="00EF0F0C" w:rsidRPr="00872293">
        <w:rPr>
          <w:rFonts w:ascii="Times New Roman" w:hAnsi="Times New Roman" w:cs="Times New Roman"/>
        </w:rPr>
        <w:t xml:space="preserve"> 5 cm in diameter</w:t>
      </w:r>
      <w:r w:rsidR="00DB7753" w:rsidRPr="00872293">
        <w:rPr>
          <w:rFonts w:ascii="Times New Roman" w:hAnsi="Times New Roman" w:cs="Times New Roman"/>
        </w:rPr>
        <w:t xml:space="preserve">, and </w:t>
      </w:r>
      <w:r w:rsidR="00DB7753" w:rsidRPr="00872293">
        <w:rPr>
          <w:rFonts w:ascii="Times New Roman" w:hAnsi="Times New Roman" w:cs="Times New Roman"/>
          <w:i/>
        </w:rPr>
        <w:t xml:space="preserve">O. </w:t>
      </w:r>
      <w:proofErr w:type="spellStart"/>
      <w:r w:rsidR="00DB7753" w:rsidRPr="00872293">
        <w:rPr>
          <w:rFonts w:ascii="Times New Roman" w:hAnsi="Times New Roman" w:cs="Times New Roman"/>
          <w:i/>
        </w:rPr>
        <w:t>leucoxylon</w:t>
      </w:r>
      <w:proofErr w:type="spellEnd"/>
      <w:r w:rsidR="00DB7753" w:rsidRPr="00872293">
        <w:rPr>
          <w:rFonts w:ascii="Times New Roman" w:hAnsi="Times New Roman" w:cs="Times New Roman"/>
        </w:rPr>
        <w:t xml:space="preserve"> has the lowest ratio. </w:t>
      </w:r>
      <w:r w:rsidR="00CD092D" w:rsidRPr="00872293">
        <w:rPr>
          <w:rFonts w:ascii="Times New Roman" w:hAnsi="Times New Roman" w:cs="Times New Roman"/>
        </w:rPr>
        <w:t xml:space="preserve">Thus, </w:t>
      </w:r>
      <w:r w:rsidR="006520B7" w:rsidRPr="00872293">
        <w:rPr>
          <w:rFonts w:ascii="Times New Roman" w:hAnsi="Times New Roman" w:cs="Times New Roman"/>
        </w:rPr>
        <w:t xml:space="preserve">we can conclude that </w:t>
      </w:r>
      <w:r w:rsidR="00CD092D" w:rsidRPr="00872293">
        <w:rPr>
          <w:rFonts w:ascii="Times New Roman" w:hAnsi="Times New Roman" w:cs="Times New Roman"/>
        </w:rPr>
        <w:t xml:space="preserve">tree diameter plays an important role in </w:t>
      </w:r>
      <w:proofErr w:type="spellStart"/>
      <w:r w:rsidR="00CD092D" w:rsidRPr="00872293">
        <w:rPr>
          <w:rFonts w:ascii="Times New Roman" w:hAnsi="Times New Roman" w:cs="Times New Roman"/>
        </w:rPr>
        <w:t>root:shoot</w:t>
      </w:r>
      <w:proofErr w:type="spellEnd"/>
      <w:r w:rsidR="00CD092D" w:rsidRPr="00872293">
        <w:rPr>
          <w:rFonts w:ascii="Times New Roman" w:hAnsi="Times New Roman" w:cs="Times New Roman"/>
        </w:rPr>
        <w:t xml:space="preserve"> ratio.</w:t>
      </w:r>
    </w:p>
    <w:p w14:paraId="3DE92CFE" w14:textId="77777777" w:rsidR="0098150C" w:rsidRPr="00872293" w:rsidRDefault="0098150C" w:rsidP="0098150C">
      <w:pPr>
        <w:spacing w:line="360" w:lineRule="auto"/>
        <w:rPr>
          <w:rFonts w:ascii="Times New Roman" w:hAnsi="Times New Roman" w:cs="Times New Roman"/>
          <w:shd w:val="clear" w:color="auto" w:fill="FFFFFF"/>
        </w:rPr>
      </w:pPr>
    </w:p>
    <w:p w14:paraId="356FEB35" w14:textId="42BB1AC6" w:rsidR="003A01E8" w:rsidRPr="00872293" w:rsidRDefault="00F64B20" w:rsidP="003C456F">
      <w:pPr>
        <w:spacing w:line="360" w:lineRule="auto"/>
        <w:rPr>
          <w:rFonts w:ascii="Times New Roman" w:hAnsi="Times New Roman" w:cs="Times New Roman"/>
        </w:rPr>
      </w:pPr>
      <w:r w:rsidRPr="00872293">
        <w:rPr>
          <w:rFonts w:ascii="Times New Roman" w:hAnsi="Times New Roman" w:cs="Times New Roman"/>
          <w:shd w:val="clear" w:color="auto" w:fill="FFFFFF"/>
        </w:rPr>
        <w:t xml:space="preserve">The </w:t>
      </w:r>
      <w:r w:rsidR="00AB2EEA" w:rsidRPr="00872293">
        <w:rPr>
          <w:rFonts w:ascii="Times New Roman" w:hAnsi="Times New Roman" w:cs="Times New Roman"/>
          <w:shd w:val="clear" w:color="auto" w:fill="FFFFFF"/>
        </w:rPr>
        <w:t>root vs shoot biomass regression for trees of all diameters</w:t>
      </w:r>
      <w:r w:rsidR="00AB2EEA" w:rsidRPr="00872293">
        <w:rPr>
          <w:rFonts w:ascii="Times New Roman" w:hAnsi="Times New Roman" w:cs="Times New Roman"/>
        </w:rPr>
        <w:t xml:space="preserve"> </w:t>
      </w:r>
      <w:r w:rsidR="00B44DE8" w:rsidRPr="00872293">
        <w:rPr>
          <w:rFonts w:ascii="Times New Roman" w:hAnsi="Times New Roman" w:cs="Times New Roman"/>
        </w:rPr>
        <w:t>sho</w:t>
      </w:r>
      <w:r w:rsidR="006D0AE2" w:rsidRPr="00872293">
        <w:rPr>
          <w:rFonts w:ascii="Times New Roman" w:hAnsi="Times New Roman" w:cs="Times New Roman"/>
        </w:rPr>
        <w:t>ws</w:t>
      </w:r>
      <w:r w:rsidR="00B44DE8" w:rsidRPr="00872293">
        <w:rPr>
          <w:rFonts w:ascii="Times New Roman" w:hAnsi="Times New Roman" w:cs="Times New Roman"/>
        </w:rPr>
        <w:t xml:space="preserve"> a significant difference (</w:t>
      </w:r>
      <w:r w:rsidR="00B44DE8" w:rsidRPr="00872293">
        <w:rPr>
          <w:rFonts w:ascii="Times New Roman" w:hAnsi="Times New Roman" w:cs="Times New Roman"/>
          <w:i/>
          <w:iCs/>
        </w:rPr>
        <w:t>P</w:t>
      </w:r>
      <w:r w:rsidR="00B44DE8" w:rsidRPr="00872293">
        <w:rPr>
          <w:rFonts w:ascii="Times New Roman" w:hAnsi="Times New Roman" w:cs="Times New Roman"/>
        </w:rPr>
        <w:t xml:space="preserve">&lt;0.05) </w:t>
      </w:r>
      <w:r w:rsidR="00801D3E" w:rsidRPr="00872293">
        <w:rPr>
          <w:rFonts w:ascii="Times New Roman" w:hAnsi="Times New Roman" w:cs="Times New Roman"/>
        </w:rPr>
        <w:t>of</w:t>
      </w:r>
      <w:r w:rsidR="00B44DE8" w:rsidRPr="00872293">
        <w:rPr>
          <w:rFonts w:ascii="Times New Roman" w:hAnsi="Times New Roman" w:cs="Times New Roman"/>
        </w:rPr>
        <w:t xml:space="preserve"> the slopes </w:t>
      </w:r>
      <w:r w:rsidR="00F46101" w:rsidRPr="00872293">
        <w:rPr>
          <w:rFonts w:ascii="Times New Roman" w:hAnsi="Times New Roman" w:cs="Times New Roman"/>
        </w:rPr>
        <w:t>between</w:t>
      </w:r>
      <w:r w:rsidR="00B44DE8" w:rsidRPr="00872293">
        <w:rPr>
          <w:rFonts w:ascii="Times New Roman" w:hAnsi="Times New Roman" w:cs="Times New Roman"/>
        </w:rPr>
        <w:t xml:space="preserve"> our model and the models reported in two meta</w:t>
      </w:r>
      <w:r w:rsidR="00A17B85" w:rsidRPr="00872293">
        <w:rPr>
          <w:rFonts w:ascii="Times New Roman" w:hAnsi="Times New Roman" w:cs="Times New Roman"/>
        </w:rPr>
        <w:t>-a</w:t>
      </w:r>
      <w:r w:rsidR="00B44DE8" w:rsidRPr="00872293">
        <w:rPr>
          <w:rFonts w:ascii="Times New Roman" w:hAnsi="Times New Roman" w:cs="Times New Roman"/>
        </w:rPr>
        <w:t>nalys</w:t>
      </w:r>
      <w:r w:rsidR="00A17B85" w:rsidRPr="00872293">
        <w:rPr>
          <w:rFonts w:ascii="Times New Roman" w:hAnsi="Times New Roman" w:cs="Times New Roman"/>
        </w:rPr>
        <w:t>e</w:t>
      </w:r>
      <w:r w:rsidR="00B44DE8" w:rsidRPr="00872293">
        <w:rPr>
          <w:rFonts w:ascii="Times New Roman" w:hAnsi="Times New Roman" w:cs="Times New Roman"/>
        </w:rPr>
        <w:t>s for tropical evergreen forests (</w:t>
      </w:r>
      <w:proofErr w:type="spellStart"/>
      <w:r w:rsidR="00B44DE8" w:rsidRPr="00872293">
        <w:rPr>
          <w:rFonts w:ascii="Times New Roman" w:hAnsi="Times New Roman" w:cs="Times New Roman"/>
        </w:rPr>
        <w:t>Crains</w:t>
      </w:r>
      <w:proofErr w:type="spellEnd"/>
      <w:r w:rsidR="00B44DE8" w:rsidRPr="00872293">
        <w:rPr>
          <w:rFonts w:ascii="Times New Roman" w:hAnsi="Times New Roman" w:cs="Times New Roman"/>
        </w:rPr>
        <w:t xml:space="preserve"> </w:t>
      </w:r>
      <w:r w:rsidR="00F23528" w:rsidRPr="00872293">
        <w:rPr>
          <w:rFonts w:ascii="Times New Roman" w:hAnsi="Times New Roman" w:cs="Times New Roman"/>
          <w:i/>
          <w:noProof/>
        </w:rPr>
        <w:t>et al.,</w:t>
      </w:r>
      <w:r w:rsidR="00F23528" w:rsidRPr="00872293">
        <w:rPr>
          <w:rFonts w:ascii="Times New Roman" w:eastAsia="Lato-Regular" w:hAnsi="Times New Roman" w:cs="Times New Roman"/>
        </w:rPr>
        <w:t xml:space="preserve"> </w:t>
      </w:r>
      <w:r w:rsidR="00B44DE8" w:rsidRPr="00872293">
        <w:rPr>
          <w:rFonts w:ascii="Times New Roman" w:hAnsi="Times New Roman" w:cs="Times New Roman"/>
        </w:rPr>
        <w:t xml:space="preserve">1997; </w:t>
      </w:r>
      <w:proofErr w:type="spellStart"/>
      <w:r w:rsidR="00B44DE8" w:rsidRPr="00872293">
        <w:rPr>
          <w:rFonts w:ascii="Times New Roman" w:hAnsi="Times New Roman" w:cs="Times New Roman"/>
        </w:rPr>
        <w:t>Mokany</w:t>
      </w:r>
      <w:proofErr w:type="spellEnd"/>
      <w:r w:rsidR="00B44DE8" w:rsidRPr="00872293">
        <w:rPr>
          <w:rFonts w:ascii="Times New Roman" w:hAnsi="Times New Roman" w:cs="Times New Roman"/>
        </w:rPr>
        <w:t xml:space="preserve">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00B44DE8" w:rsidRPr="00872293">
        <w:rPr>
          <w:rFonts w:ascii="Times New Roman" w:hAnsi="Times New Roman" w:cs="Times New Roman"/>
        </w:rPr>
        <w:t>2006</w:t>
      </w:r>
      <w:r w:rsidR="00360D4E" w:rsidRPr="00872293">
        <w:rPr>
          <w:rFonts w:ascii="Times New Roman" w:hAnsi="Times New Roman" w:cs="Times New Roman"/>
        </w:rPr>
        <w:t>; Fig</w:t>
      </w:r>
      <w:r w:rsidR="00476986" w:rsidRPr="00872293">
        <w:rPr>
          <w:rFonts w:ascii="Times New Roman" w:hAnsi="Times New Roman" w:cs="Times New Roman"/>
        </w:rPr>
        <w:t>ure</w:t>
      </w:r>
      <w:r w:rsidR="00360D4E" w:rsidRPr="00872293">
        <w:rPr>
          <w:rFonts w:ascii="Times New Roman" w:hAnsi="Times New Roman" w:cs="Times New Roman"/>
        </w:rPr>
        <w:t xml:space="preserve"> 4</w:t>
      </w:r>
      <w:r w:rsidR="00B44DE8" w:rsidRPr="00872293">
        <w:rPr>
          <w:rFonts w:ascii="Times New Roman" w:hAnsi="Times New Roman" w:cs="Times New Roman"/>
        </w:rPr>
        <w:t>)</w:t>
      </w:r>
      <w:r w:rsidR="00801D3E" w:rsidRPr="00872293">
        <w:rPr>
          <w:rFonts w:ascii="Times New Roman" w:hAnsi="Times New Roman" w:cs="Times New Roman"/>
        </w:rPr>
        <w:t>.</w:t>
      </w:r>
      <w:r w:rsidR="00B44DE8" w:rsidRPr="00872293">
        <w:rPr>
          <w:rFonts w:ascii="Times New Roman" w:hAnsi="Times New Roman" w:cs="Times New Roman"/>
        </w:rPr>
        <w:t xml:space="preserve"> </w:t>
      </w:r>
      <w:r w:rsidR="009B0F07" w:rsidRPr="00872293">
        <w:rPr>
          <w:rFonts w:ascii="Times New Roman" w:hAnsi="Times New Roman" w:cs="Times New Roman"/>
        </w:rPr>
        <w:t>T</w:t>
      </w:r>
      <w:r w:rsidR="000B1B47" w:rsidRPr="00872293">
        <w:rPr>
          <w:rFonts w:ascii="Times New Roman" w:hAnsi="Times New Roman" w:cs="Times New Roman"/>
        </w:rPr>
        <w:t xml:space="preserve">rees </w:t>
      </w:r>
      <w:r w:rsidR="00F46101" w:rsidRPr="00872293">
        <w:rPr>
          <w:rFonts w:ascii="Times New Roman" w:hAnsi="Times New Roman" w:cs="Times New Roman"/>
        </w:rPr>
        <w:t>&gt;</w:t>
      </w:r>
      <w:r w:rsidR="001E02A1" w:rsidRPr="00872293">
        <w:rPr>
          <w:rFonts w:ascii="Times New Roman" w:hAnsi="Times New Roman" w:cs="Times New Roman"/>
        </w:rPr>
        <w:t xml:space="preserve"> 5 cm</w:t>
      </w:r>
      <w:r w:rsidR="0078514F" w:rsidRPr="00872293">
        <w:rPr>
          <w:rFonts w:ascii="Times New Roman" w:hAnsi="Times New Roman" w:cs="Times New Roman"/>
        </w:rPr>
        <w:t xml:space="preserve"> </w:t>
      </w:r>
      <w:r w:rsidR="001E02A1" w:rsidRPr="00872293">
        <w:rPr>
          <w:rFonts w:ascii="Times New Roman" w:hAnsi="Times New Roman" w:cs="Times New Roman"/>
        </w:rPr>
        <w:t>diameter</w:t>
      </w:r>
      <w:r w:rsidR="003A01E8" w:rsidRPr="00872293">
        <w:rPr>
          <w:rFonts w:ascii="Times New Roman" w:hAnsi="Times New Roman" w:cs="Times New Roman"/>
        </w:rPr>
        <w:t xml:space="preserve"> </w:t>
      </w:r>
      <w:r w:rsidR="009B0F07" w:rsidRPr="00872293">
        <w:rPr>
          <w:rFonts w:ascii="Times New Roman" w:hAnsi="Times New Roman" w:cs="Times New Roman"/>
        </w:rPr>
        <w:t>have</w:t>
      </w:r>
      <w:r w:rsidR="003A01E8" w:rsidRPr="00872293">
        <w:rPr>
          <w:rFonts w:ascii="Times New Roman" w:hAnsi="Times New Roman" w:cs="Times New Roman"/>
        </w:rPr>
        <w:t xml:space="preserve"> </w:t>
      </w:r>
      <w:r w:rsidR="001E02A1" w:rsidRPr="00872293">
        <w:rPr>
          <w:rFonts w:ascii="Times New Roman" w:hAnsi="Times New Roman" w:cs="Times New Roman"/>
        </w:rPr>
        <w:t xml:space="preserve">greater </w:t>
      </w:r>
      <w:r w:rsidR="009B0F07" w:rsidRPr="00872293">
        <w:rPr>
          <w:rFonts w:ascii="Times New Roman" w:hAnsi="Times New Roman" w:cs="Times New Roman"/>
        </w:rPr>
        <w:t xml:space="preserve">root biomass </w:t>
      </w:r>
      <w:r w:rsidR="003A01E8" w:rsidRPr="00872293">
        <w:rPr>
          <w:rFonts w:ascii="Times New Roman" w:hAnsi="Times New Roman" w:cs="Times New Roman"/>
        </w:rPr>
        <w:t xml:space="preserve">than </w:t>
      </w:r>
      <w:r w:rsidR="00B33DEA" w:rsidRPr="00872293">
        <w:rPr>
          <w:rFonts w:ascii="Times New Roman" w:hAnsi="Times New Roman" w:cs="Times New Roman"/>
        </w:rPr>
        <w:t xml:space="preserve">predicted </w:t>
      </w:r>
      <w:r w:rsidR="00BD3303" w:rsidRPr="00872293">
        <w:rPr>
          <w:rFonts w:ascii="Times New Roman" w:hAnsi="Times New Roman" w:cs="Times New Roman"/>
        </w:rPr>
        <w:t xml:space="preserve">in </w:t>
      </w:r>
      <w:r w:rsidR="006408A9" w:rsidRPr="00872293">
        <w:rPr>
          <w:rFonts w:ascii="Times New Roman" w:hAnsi="Times New Roman" w:cs="Times New Roman"/>
        </w:rPr>
        <w:t xml:space="preserve">the </w:t>
      </w:r>
      <w:r w:rsidR="00BD3303" w:rsidRPr="00872293">
        <w:rPr>
          <w:rFonts w:ascii="Times New Roman" w:hAnsi="Times New Roman" w:cs="Times New Roman"/>
        </w:rPr>
        <w:t xml:space="preserve">two </w:t>
      </w:r>
      <w:r w:rsidR="003A01E8" w:rsidRPr="00872293">
        <w:rPr>
          <w:rFonts w:ascii="Times New Roman" w:hAnsi="Times New Roman" w:cs="Times New Roman"/>
        </w:rPr>
        <w:t>global meta</w:t>
      </w:r>
      <w:r w:rsidR="00A17B85" w:rsidRPr="00872293">
        <w:rPr>
          <w:rFonts w:ascii="Times New Roman" w:hAnsi="Times New Roman" w:cs="Times New Roman"/>
        </w:rPr>
        <w:t>-a</w:t>
      </w:r>
      <w:r w:rsidR="003A01E8" w:rsidRPr="00872293">
        <w:rPr>
          <w:rFonts w:ascii="Times New Roman" w:hAnsi="Times New Roman" w:cs="Times New Roman"/>
        </w:rPr>
        <w:t xml:space="preserve">nalyses (Cairns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1997; </w:t>
      </w:r>
      <w:proofErr w:type="spellStart"/>
      <w:r w:rsidR="003A01E8" w:rsidRPr="00872293">
        <w:rPr>
          <w:rFonts w:ascii="Times New Roman" w:hAnsi="Times New Roman" w:cs="Times New Roman"/>
        </w:rPr>
        <w:t>Mokany</w:t>
      </w:r>
      <w:proofErr w:type="spellEnd"/>
      <w:r w:rsidR="003A01E8" w:rsidRPr="00872293">
        <w:rPr>
          <w:rFonts w:ascii="Times New Roman" w:hAnsi="Times New Roman" w:cs="Times New Roman"/>
        </w:rPr>
        <w:t xml:space="preserve">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003A01E8" w:rsidRPr="00872293">
        <w:rPr>
          <w:rFonts w:ascii="Times New Roman" w:hAnsi="Times New Roman" w:cs="Times New Roman"/>
        </w:rPr>
        <w:t>200</w:t>
      </w:r>
      <w:r w:rsidR="00D6560D" w:rsidRPr="00872293">
        <w:rPr>
          <w:rFonts w:ascii="Times New Roman" w:hAnsi="Times New Roman" w:cs="Times New Roman"/>
        </w:rPr>
        <w:t>6</w:t>
      </w:r>
      <w:r w:rsidR="003A01E8" w:rsidRPr="00872293">
        <w:rPr>
          <w:rFonts w:ascii="Times New Roman" w:hAnsi="Times New Roman" w:cs="Times New Roman"/>
        </w:rPr>
        <w:t>)</w:t>
      </w:r>
      <w:r w:rsidR="00360D4E" w:rsidRPr="00872293">
        <w:rPr>
          <w:rFonts w:ascii="Times New Roman" w:hAnsi="Times New Roman" w:cs="Times New Roman"/>
        </w:rPr>
        <w:t xml:space="preserve">, </w:t>
      </w:r>
      <w:r w:rsidR="00B33DEA" w:rsidRPr="00872293">
        <w:rPr>
          <w:rFonts w:ascii="Times New Roman" w:hAnsi="Times New Roman" w:cs="Times New Roman"/>
        </w:rPr>
        <w:t>and t</w:t>
      </w:r>
      <w:r w:rsidR="00360D4E" w:rsidRPr="00872293">
        <w:rPr>
          <w:rFonts w:ascii="Times New Roman" w:hAnsi="Times New Roman" w:cs="Times New Roman"/>
        </w:rPr>
        <w:t xml:space="preserve">rees &lt;5 cm </w:t>
      </w:r>
      <w:r w:rsidR="00B33DEA" w:rsidRPr="00872293">
        <w:rPr>
          <w:rFonts w:ascii="Times New Roman" w:hAnsi="Times New Roman" w:cs="Times New Roman"/>
        </w:rPr>
        <w:t xml:space="preserve">diameter have a shallower slope than that of the larger trees </w:t>
      </w:r>
      <w:r w:rsidR="00360D4E" w:rsidRPr="00872293">
        <w:rPr>
          <w:rFonts w:ascii="Times New Roman" w:hAnsi="Times New Roman" w:cs="Times New Roman"/>
        </w:rPr>
        <w:t>(Fig</w:t>
      </w:r>
      <w:r w:rsidR="00476986" w:rsidRPr="00872293">
        <w:rPr>
          <w:rFonts w:ascii="Times New Roman" w:hAnsi="Times New Roman" w:cs="Times New Roman"/>
        </w:rPr>
        <w:t xml:space="preserve">ure </w:t>
      </w:r>
      <w:r w:rsidR="00360D4E" w:rsidRPr="00872293">
        <w:rPr>
          <w:rFonts w:ascii="Times New Roman" w:hAnsi="Times New Roman" w:cs="Times New Roman"/>
        </w:rPr>
        <w:t>4)</w:t>
      </w:r>
      <w:r w:rsidR="003A01E8" w:rsidRPr="00872293">
        <w:rPr>
          <w:rFonts w:ascii="Times New Roman" w:hAnsi="Times New Roman" w:cs="Times New Roman"/>
        </w:rPr>
        <w:t>.</w:t>
      </w:r>
      <w:r w:rsidR="000B1B47" w:rsidRPr="00872293">
        <w:rPr>
          <w:rFonts w:ascii="Times New Roman" w:hAnsi="Times New Roman" w:cs="Times New Roman"/>
        </w:rPr>
        <w:t xml:space="preserve"> </w:t>
      </w:r>
      <w:r w:rsidR="003A01E8" w:rsidRPr="00872293">
        <w:rPr>
          <w:rFonts w:ascii="Times New Roman" w:hAnsi="Times New Roman" w:cs="Times New Roman"/>
        </w:rPr>
        <w:t xml:space="preserve">These </w:t>
      </w:r>
      <w:r w:rsidR="00360D4E" w:rsidRPr="00872293">
        <w:rPr>
          <w:rFonts w:ascii="Times New Roman" w:hAnsi="Times New Roman" w:cs="Times New Roman"/>
        </w:rPr>
        <w:t>meta</w:t>
      </w:r>
      <w:r w:rsidR="00A17B85" w:rsidRPr="00872293">
        <w:rPr>
          <w:rFonts w:ascii="Times New Roman" w:hAnsi="Times New Roman" w:cs="Times New Roman"/>
        </w:rPr>
        <w:t>-a</w:t>
      </w:r>
      <w:r w:rsidR="00360D4E" w:rsidRPr="00872293">
        <w:rPr>
          <w:rFonts w:ascii="Times New Roman" w:hAnsi="Times New Roman" w:cs="Times New Roman"/>
        </w:rPr>
        <w:t>nalyses</w:t>
      </w:r>
      <w:r w:rsidR="003A01E8" w:rsidRPr="00872293">
        <w:rPr>
          <w:rFonts w:ascii="Times New Roman" w:hAnsi="Times New Roman" w:cs="Times New Roman"/>
        </w:rPr>
        <w:t xml:space="preserve"> considered more samples from around the world</w:t>
      </w:r>
      <w:r w:rsidR="00A874FC" w:rsidRPr="00872293">
        <w:rPr>
          <w:rFonts w:ascii="Times New Roman" w:hAnsi="Times New Roman" w:cs="Times New Roman"/>
        </w:rPr>
        <w:t xml:space="preserve"> </w:t>
      </w:r>
      <w:r w:rsidR="0097453E" w:rsidRPr="00872293">
        <w:rPr>
          <w:rFonts w:ascii="Times New Roman" w:hAnsi="Times New Roman" w:cs="Times New Roman"/>
        </w:rPr>
        <w:t>and a wider range of tree size class</w:t>
      </w:r>
      <w:r w:rsidR="003A01E8" w:rsidRPr="00872293">
        <w:rPr>
          <w:rFonts w:ascii="Times New Roman" w:hAnsi="Times New Roman" w:cs="Times New Roman"/>
        </w:rPr>
        <w:t xml:space="preserve">. However, these studies also used root data from different methods of collection, such as soil cores for fine roots, whole tree excavation (direct) and/or tree diameter (allometry: indirect), which could lead to </w:t>
      </w:r>
      <w:r w:rsidR="00DB2A4D" w:rsidRPr="00872293">
        <w:rPr>
          <w:rFonts w:ascii="Times New Roman" w:hAnsi="Times New Roman" w:cs="Times New Roman"/>
        </w:rPr>
        <w:t>the differences</w:t>
      </w:r>
      <w:r w:rsidR="003A01E8" w:rsidRPr="00872293">
        <w:rPr>
          <w:rFonts w:ascii="Times New Roman" w:hAnsi="Times New Roman" w:cs="Times New Roman"/>
        </w:rPr>
        <w:t xml:space="preserve"> of total root biomass compared to using whole </w:t>
      </w:r>
      <w:r w:rsidR="00E1061A" w:rsidRPr="00872293">
        <w:rPr>
          <w:rFonts w:ascii="Times New Roman" w:hAnsi="Times New Roman" w:cs="Times New Roman"/>
        </w:rPr>
        <w:t xml:space="preserve">large </w:t>
      </w:r>
      <w:r w:rsidR="003A01E8" w:rsidRPr="00872293">
        <w:rPr>
          <w:rFonts w:ascii="Times New Roman" w:hAnsi="Times New Roman" w:cs="Times New Roman"/>
        </w:rPr>
        <w:t>tree excavation only</w:t>
      </w:r>
      <w:r w:rsidR="00DB2A4D" w:rsidRPr="00872293">
        <w:rPr>
          <w:rFonts w:ascii="Times New Roman" w:hAnsi="Times New Roman" w:cs="Times New Roman"/>
        </w:rPr>
        <w:t xml:space="preserve"> (</w:t>
      </w:r>
      <w:r w:rsidR="00D4454E" w:rsidRPr="00872293">
        <w:rPr>
          <w:rFonts w:ascii="Times New Roman" w:hAnsi="Times New Roman" w:cs="Times New Roman"/>
        </w:rPr>
        <w:t>Waring &amp; Powers, 2017</w:t>
      </w:r>
      <w:r w:rsidR="00DB2A4D" w:rsidRPr="00872293">
        <w:rPr>
          <w:rFonts w:ascii="Times New Roman" w:hAnsi="Times New Roman" w:cs="Times New Roman"/>
        </w:rPr>
        <w:t>).</w:t>
      </w:r>
    </w:p>
    <w:p w14:paraId="1EFEEE08" w14:textId="77777777" w:rsidR="00F81F8D" w:rsidRPr="00872293" w:rsidRDefault="00F81F8D" w:rsidP="00C922E9">
      <w:pPr>
        <w:spacing w:line="360" w:lineRule="auto"/>
        <w:rPr>
          <w:rFonts w:ascii="Times New Roman" w:hAnsi="Times New Roman" w:cs="Times New Roman"/>
        </w:rPr>
      </w:pPr>
    </w:p>
    <w:p w14:paraId="219F2F6A" w14:textId="77777777" w:rsidR="009D2526" w:rsidRPr="00872293" w:rsidRDefault="00BF1AC0" w:rsidP="00C922E9">
      <w:pPr>
        <w:pStyle w:val="Heading2"/>
        <w:spacing w:before="0" w:after="0" w:line="360" w:lineRule="auto"/>
        <w:rPr>
          <w:rFonts w:cs="Times New Roman"/>
          <w:szCs w:val="24"/>
        </w:rPr>
      </w:pPr>
      <w:bookmarkStart w:id="24" w:name="_Toc53689061"/>
      <w:r w:rsidRPr="00872293">
        <w:rPr>
          <w:rFonts w:cs="Times New Roman"/>
          <w:szCs w:val="24"/>
        </w:rPr>
        <w:t>R</w:t>
      </w:r>
      <w:r w:rsidR="008B26E9" w:rsidRPr="00872293">
        <w:rPr>
          <w:rFonts w:cs="Times New Roman"/>
          <w:szCs w:val="24"/>
        </w:rPr>
        <w:t>oot chemistry</w:t>
      </w:r>
      <w:bookmarkEnd w:id="24"/>
    </w:p>
    <w:p w14:paraId="72EAC335" w14:textId="77777777" w:rsidR="006F181B" w:rsidRPr="00872293" w:rsidRDefault="003A01E8" w:rsidP="00C922E9">
      <w:pPr>
        <w:spacing w:before="240" w:line="360" w:lineRule="auto"/>
        <w:rPr>
          <w:rFonts w:ascii="Times New Roman" w:hAnsi="Times New Roman" w:cs="Times New Roman"/>
        </w:rPr>
      </w:pPr>
      <w:r w:rsidRPr="00872293">
        <w:rPr>
          <w:rFonts w:ascii="Times New Roman" w:hAnsi="Times New Roman" w:cs="Times New Roman"/>
        </w:rPr>
        <w:t>A few studies measured root nitrogen (N) and phosphorus (P) concentration</w:t>
      </w:r>
      <w:r w:rsidR="001368A2" w:rsidRPr="00872293">
        <w:rPr>
          <w:rFonts w:ascii="Times New Roman" w:hAnsi="Times New Roman" w:cs="Times New Roman"/>
        </w:rPr>
        <w:t>s</w:t>
      </w:r>
      <w:r w:rsidRPr="00872293">
        <w:rPr>
          <w:rFonts w:ascii="Times New Roman" w:hAnsi="Times New Roman" w:cs="Times New Roman"/>
        </w:rPr>
        <w:t xml:space="preserve"> in Puerto Rico</w:t>
      </w:r>
      <w:r w:rsidR="00C0737E" w:rsidRPr="00872293">
        <w:rPr>
          <w:rFonts w:ascii="Times New Roman" w:hAnsi="Times New Roman" w:cs="Times New Roman"/>
        </w:rPr>
        <w:t xml:space="preserve">, </w:t>
      </w:r>
      <w:r w:rsidR="000329CB" w:rsidRPr="00872293">
        <w:rPr>
          <w:rFonts w:ascii="Times New Roman" w:hAnsi="Times New Roman" w:cs="Times New Roman"/>
        </w:rPr>
        <w:t>one of which</w:t>
      </w:r>
      <w:r w:rsidR="003B2830" w:rsidRPr="00872293">
        <w:rPr>
          <w:rFonts w:ascii="Times New Roman" w:hAnsi="Times New Roman" w:cs="Times New Roman"/>
        </w:rPr>
        <w:t xml:space="preserve"> (</w:t>
      </w:r>
      <w:proofErr w:type="spellStart"/>
      <w:r w:rsidR="003B2830" w:rsidRPr="00872293">
        <w:rPr>
          <w:rFonts w:ascii="Times New Roman" w:hAnsi="Times New Roman" w:cs="Times New Roman"/>
        </w:rPr>
        <w:t>Pett</w:t>
      </w:r>
      <w:proofErr w:type="spellEnd"/>
      <w:r w:rsidR="00C0737E" w:rsidRPr="00872293">
        <w:rPr>
          <w:rFonts w:ascii="Times New Roman" w:hAnsi="Times New Roman" w:cs="Times New Roman"/>
        </w:rPr>
        <w:t>-</w:t>
      </w:r>
      <w:r w:rsidR="003B2830" w:rsidRPr="00872293">
        <w:rPr>
          <w:rFonts w:ascii="Times New Roman" w:hAnsi="Times New Roman" w:cs="Times New Roman"/>
        </w:rPr>
        <w:t xml:space="preserve">Ridge &amp; Silver, </w:t>
      </w:r>
      <w:r w:rsidR="00C0737E" w:rsidRPr="00872293">
        <w:rPr>
          <w:rFonts w:ascii="Times New Roman" w:hAnsi="Times New Roman" w:cs="Times New Roman"/>
        </w:rPr>
        <w:t>2002</w:t>
      </w:r>
      <w:r w:rsidR="003B2830" w:rsidRPr="00872293">
        <w:rPr>
          <w:rFonts w:ascii="Times New Roman" w:hAnsi="Times New Roman" w:cs="Times New Roman"/>
        </w:rPr>
        <w:t xml:space="preserve">) </w:t>
      </w:r>
      <w:r w:rsidR="000329CB" w:rsidRPr="00872293">
        <w:rPr>
          <w:rFonts w:ascii="Times New Roman" w:hAnsi="Times New Roman" w:cs="Times New Roman"/>
        </w:rPr>
        <w:t xml:space="preserve">did not </w:t>
      </w:r>
      <w:r w:rsidR="003B2830" w:rsidRPr="00872293">
        <w:rPr>
          <w:rFonts w:ascii="Times New Roman" w:hAnsi="Times New Roman" w:cs="Times New Roman"/>
        </w:rPr>
        <w:t>considered tree roots</w:t>
      </w:r>
      <w:r w:rsidR="000329CB" w:rsidRPr="00872293">
        <w:rPr>
          <w:rFonts w:ascii="Times New Roman" w:hAnsi="Times New Roman" w:cs="Times New Roman"/>
        </w:rPr>
        <w:t xml:space="preserve"> and was thus dropped </w:t>
      </w:r>
      <w:r w:rsidR="00515D4B" w:rsidRPr="00872293">
        <w:rPr>
          <w:rFonts w:ascii="Times New Roman" w:hAnsi="Times New Roman" w:cs="Times New Roman"/>
        </w:rPr>
        <w:t>from the analysis</w:t>
      </w:r>
      <w:r w:rsidR="003B2830" w:rsidRPr="00872293">
        <w:rPr>
          <w:rFonts w:ascii="Times New Roman" w:hAnsi="Times New Roman" w:cs="Times New Roman"/>
        </w:rPr>
        <w:t>.</w:t>
      </w:r>
      <w:r w:rsidR="00781F62" w:rsidRPr="00872293">
        <w:rPr>
          <w:rFonts w:ascii="Times New Roman" w:hAnsi="Times New Roman" w:cs="Times New Roman"/>
        </w:rPr>
        <w:t xml:space="preserve"> </w:t>
      </w:r>
      <w:r w:rsidR="003B2830" w:rsidRPr="00872293">
        <w:rPr>
          <w:rFonts w:ascii="Times New Roman" w:hAnsi="Times New Roman" w:cs="Times New Roman"/>
        </w:rPr>
        <w:t>Some</w:t>
      </w:r>
      <w:r w:rsidRPr="00872293">
        <w:rPr>
          <w:rFonts w:ascii="Times New Roman" w:hAnsi="Times New Roman" w:cs="Times New Roman"/>
        </w:rPr>
        <w:t xml:space="preserve"> authors reported N and P from only fine roots (Murphy &amp; Lugo, 1986</w:t>
      </w:r>
      <w:r w:rsidR="005D5F29" w:rsidRPr="00872293">
        <w:rPr>
          <w:rFonts w:ascii="Times New Roman" w:hAnsi="Times New Roman" w:cs="Times New Roman"/>
        </w:rPr>
        <w:t>a</w:t>
      </w:r>
      <w:r w:rsidRPr="00872293">
        <w:rPr>
          <w:rFonts w:ascii="Times New Roman" w:hAnsi="Times New Roman" w:cs="Times New Roman"/>
        </w:rPr>
        <w:t xml:space="preserve">; Cuevas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1991; Lugo, 1992</w:t>
      </w:r>
      <w:r w:rsidR="0097456B" w:rsidRPr="00872293">
        <w:rPr>
          <w:rFonts w:ascii="Times New Roman" w:hAnsi="Times New Roman" w:cs="Times New Roman"/>
        </w:rPr>
        <w:t>;</w:t>
      </w:r>
      <w:r w:rsidRPr="00872293">
        <w:rPr>
          <w:rFonts w:ascii="Times New Roman" w:hAnsi="Times New Roman" w:cs="Times New Roman"/>
        </w:rPr>
        <w:t xml:space="preserve"> </w:t>
      </w:r>
      <w:proofErr w:type="spellStart"/>
      <w:r w:rsidRPr="00872293">
        <w:rPr>
          <w:rFonts w:ascii="Times New Roman" w:hAnsi="Times New Roman" w:cs="Times New Roman"/>
        </w:rPr>
        <w:t>Parrotta</w:t>
      </w:r>
      <w:proofErr w:type="spellEnd"/>
      <w:r w:rsidR="008118A9" w:rsidRPr="00872293">
        <w:rPr>
          <w:rFonts w:ascii="Times New Roman" w:hAnsi="Times New Roman" w:cs="Times New Roman"/>
        </w:rPr>
        <w:t>,</w:t>
      </w:r>
      <w:r w:rsidRPr="00872293">
        <w:rPr>
          <w:rFonts w:ascii="Times New Roman" w:hAnsi="Times New Roman" w:cs="Times New Roman"/>
        </w:rPr>
        <w:t xml:space="preserve"> 1999; </w:t>
      </w:r>
      <w:proofErr w:type="spellStart"/>
      <w:r w:rsidRPr="00872293">
        <w:rPr>
          <w:rFonts w:ascii="Times New Roman" w:hAnsi="Times New Roman" w:cs="Times New Roman"/>
        </w:rPr>
        <w:t>Scatena</w:t>
      </w:r>
      <w:proofErr w:type="spellEnd"/>
      <w:r w:rsidRPr="00872293">
        <w:rPr>
          <w:rFonts w:ascii="Times New Roman" w:hAnsi="Times New Roman" w:cs="Times New Roman"/>
        </w:rPr>
        <w:t xml:space="preserve">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1993), whereas others reported from a mixed sample of fine and coarse roots (Ovington &amp; Olson, 1970</w:t>
      </w:r>
      <w:r w:rsidR="0097456B" w:rsidRPr="00872293">
        <w:rPr>
          <w:rFonts w:ascii="Times New Roman" w:hAnsi="Times New Roman" w:cs="Times New Roman"/>
        </w:rPr>
        <w:t>;</w:t>
      </w:r>
      <w:r w:rsidRPr="00872293">
        <w:rPr>
          <w:rFonts w:ascii="Times New Roman" w:hAnsi="Times New Roman" w:cs="Times New Roman"/>
        </w:rPr>
        <w:t xml:space="preserve"> Lugo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 xml:space="preserve">2011). Only </w:t>
      </w:r>
      <w:proofErr w:type="spellStart"/>
      <w:r w:rsidRPr="00872293">
        <w:rPr>
          <w:rFonts w:ascii="Times New Roman" w:hAnsi="Times New Roman" w:cs="Times New Roman"/>
        </w:rPr>
        <w:lastRenderedPageBreak/>
        <w:t>Parrotta</w:t>
      </w:r>
      <w:proofErr w:type="spellEnd"/>
      <w:r w:rsidRPr="00872293">
        <w:rPr>
          <w:rFonts w:ascii="Times New Roman" w:hAnsi="Times New Roman" w:cs="Times New Roman"/>
        </w:rPr>
        <w:t xml:space="preserve"> (1999), Lugo </w:t>
      </w:r>
      <w:r w:rsidR="00F273A3" w:rsidRPr="00872293">
        <w:rPr>
          <w:rFonts w:ascii="Times New Roman" w:hAnsi="Times New Roman" w:cs="Times New Roman"/>
          <w:i/>
          <w:noProof/>
        </w:rPr>
        <w:t xml:space="preserve">et al. </w:t>
      </w:r>
      <w:r w:rsidRPr="00872293">
        <w:rPr>
          <w:rFonts w:ascii="Times New Roman" w:hAnsi="Times New Roman" w:cs="Times New Roman"/>
        </w:rPr>
        <w:t xml:space="preserve">(2011), and Ovington &amp; </w:t>
      </w:r>
      <w:proofErr w:type="spellStart"/>
      <w:r w:rsidRPr="00872293">
        <w:rPr>
          <w:rFonts w:ascii="Times New Roman" w:hAnsi="Times New Roman" w:cs="Times New Roman"/>
        </w:rPr>
        <w:t>Oslon</w:t>
      </w:r>
      <w:proofErr w:type="spellEnd"/>
      <w:r w:rsidRPr="00872293">
        <w:rPr>
          <w:rFonts w:ascii="Times New Roman" w:hAnsi="Times New Roman" w:cs="Times New Roman"/>
        </w:rPr>
        <w:t xml:space="preserve"> (1970) reported root nutrient concentration by species. The rest of the studies used coring methods, and root nutrient concentration was not species-specific</w:t>
      </w:r>
      <w:r w:rsidR="00D646A0" w:rsidRPr="00872293">
        <w:rPr>
          <w:rFonts w:ascii="Times New Roman" w:hAnsi="Times New Roman" w:cs="Times New Roman"/>
        </w:rPr>
        <w:t xml:space="preserve"> (</w:t>
      </w:r>
      <w:r w:rsidR="00032208" w:rsidRPr="00872293">
        <w:rPr>
          <w:rFonts w:ascii="Times New Roman" w:hAnsi="Times New Roman" w:cs="Times New Roman"/>
        </w:rPr>
        <w:t xml:space="preserve">Table </w:t>
      </w:r>
      <w:r w:rsidR="0030004C" w:rsidRPr="00872293">
        <w:rPr>
          <w:rFonts w:ascii="Times New Roman" w:hAnsi="Times New Roman" w:cs="Times New Roman"/>
        </w:rPr>
        <w:t>2</w:t>
      </w:r>
      <w:r w:rsidR="00D646A0" w:rsidRPr="00872293">
        <w:rPr>
          <w:rFonts w:ascii="Times New Roman" w:hAnsi="Times New Roman" w:cs="Times New Roman"/>
        </w:rPr>
        <w:t>)</w:t>
      </w:r>
      <w:r w:rsidRPr="00872293">
        <w:rPr>
          <w:rFonts w:ascii="Times New Roman" w:hAnsi="Times New Roman" w:cs="Times New Roman"/>
        </w:rPr>
        <w:t xml:space="preserve">. </w:t>
      </w:r>
      <w:r w:rsidR="00873DD9" w:rsidRPr="00872293">
        <w:rPr>
          <w:rFonts w:ascii="Times New Roman" w:hAnsi="Times New Roman" w:cs="Times New Roman"/>
        </w:rPr>
        <w:t>We</w:t>
      </w:r>
      <w:r w:rsidR="003A4886" w:rsidRPr="00872293">
        <w:rPr>
          <w:rFonts w:ascii="Times New Roman" w:hAnsi="Times New Roman" w:cs="Times New Roman"/>
        </w:rPr>
        <w:t xml:space="preserve"> </w:t>
      </w:r>
      <w:r w:rsidRPr="00872293">
        <w:rPr>
          <w:rFonts w:ascii="Times New Roman" w:hAnsi="Times New Roman" w:cs="Times New Roman"/>
        </w:rPr>
        <w:t>compared these data separately based on the method of collection. Nevertheless, considering that root nutrient concentration changes with root diameter (</w:t>
      </w:r>
      <w:proofErr w:type="spellStart"/>
      <w:r w:rsidRPr="00872293">
        <w:rPr>
          <w:rFonts w:ascii="Times New Roman" w:hAnsi="Times New Roman" w:cs="Times New Roman"/>
        </w:rPr>
        <w:t>Luse</w:t>
      </w:r>
      <w:proofErr w:type="spellEnd"/>
      <w:r w:rsidRPr="00872293">
        <w:rPr>
          <w:rFonts w:ascii="Times New Roman" w:hAnsi="Times New Roman" w:cs="Times New Roman"/>
        </w:rPr>
        <w:t xml:space="preserve">, 1970; Iversen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 xml:space="preserve">2008; Xia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 xml:space="preserve">2010; Jia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 xml:space="preserve">2011), soil nutrient availability (Gower, 1987; Vogt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 xml:space="preserve">1995; Li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rPr>
        <w:t>2015), and whether the tree is an N-fixer (</w:t>
      </w:r>
      <w:r w:rsidRPr="00872293">
        <w:rPr>
          <w:rFonts w:ascii="Times New Roman" w:hAnsi="Times New Roman" w:cs="Times New Roman"/>
          <w:shd w:val="clear" w:color="auto" w:fill="FFFFFF" w:themeFill="background1"/>
        </w:rPr>
        <w:t>Valverde-</w:t>
      </w:r>
      <w:proofErr w:type="spellStart"/>
      <w:r w:rsidRPr="00872293">
        <w:rPr>
          <w:rFonts w:ascii="Times New Roman" w:hAnsi="Times New Roman" w:cs="Times New Roman"/>
          <w:shd w:val="clear" w:color="auto" w:fill="FFFFFF" w:themeFill="background1"/>
        </w:rPr>
        <w:t>Barrantes</w:t>
      </w:r>
      <w:proofErr w:type="spellEnd"/>
      <w:r w:rsidRPr="00872293">
        <w:rPr>
          <w:rFonts w:ascii="Times New Roman" w:hAnsi="Times New Roman" w:cs="Times New Roman"/>
          <w:shd w:val="clear" w:color="auto" w:fill="FFFFFF" w:themeFill="background1"/>
        </w:rPr>
        <w:t xml:space="preserve"> </w:t>
      </w:r>
      <w:r w:rsidR="00F273A3" w:rsidRPr="00872293">
        <w:rPr>
          <w:rFonts w:ascii="Times New Roman" w:hAnsi="Times New Roman" w:cs="Times New Roman"/>
          <w:i/>
          <w:noProof/>
        </w:rPr>
        <w:t>et al.,</w:t>
      </w:r>
      <w:r w:rsidR="00F273A3" w:rsidRPr="00872293">
        <w:rPr>
          <w:rFonts w:ascii="Times New Roman" w:eastAsia="Lato-Regular" w:hAnsi="Times New Roman" w:cs="Times New Roman"/>
        </w:rPr>
        <w:t xml:space="preserve"> </w:t>
      </w:r>
      <w:r w:rsidRPr="00872293">
        <w:rPr>
          <w:rFonts w:ascii="Times New Roman" w:hAnsi="Times New Roman" w:cs="Times New Roman"/>
          <w:shd w:val="clear" w:color="auto" w:fill="FFFFFF" w:themeFill="background1"/>
        </w:rPr>
        <w:t>2007</w:t>
      </w:r>
      <w:r w:rsidRPr="00872293">
        <w:rPr>
          <w:rFonts w:ascii="Times New Roman" w:hAnsi="Times New Roman" w:cs="Times New Roman"/>
        </w:rPr>
        <w:t xml:space="preserve">), </w:t>
      </w:r>
      <w:r w:rsidR="009E13DB" w:rsidRPr="00872293">
        <w:rPr>
          <w:rFonts w:ascii="Times New Roman" w:hAnsi="Times New Roman" w:cs="Times New Roman"/>
        </w:rPr>
        <w:t>this</w:t>
      </w:r>
      <w:r w:rsidRPr="00872293">
        <w:rPr>
          <w:rFonts w:ascii="Times New Roman" w:hAnsi="Times New Roman" w:cs="Times New Roman"/>
        </w:rPr>
        <w:t xml:space="preserve"> comparison can suggest </w:t>
      </w:r>
      <w:r w:rsidR="001368A2" w:rsidRPr="00872293">
        <w:rPr>
          <w:rFonts w:ascii="Times New Roman" w:hAnsi="Times New Roman" w:cs="Times New Roman"/>
        </w:rPr>
        <w:t xml:space="preserve">only </w:t>
      </w:r>
      <w:r w:rsidRPr="00872293">
        <w:rPr>
          <w:rFonts w:ascii="Times New Roman" w:hAnsi="Times New Roman" w:cs="Times New Roman"/>
        </w:rPr>
        <w:t>broad patterns.</w:t>
      </w:r>
    </w:p>
    <w:p w14:paraId="334FAFF5" w14:textId="77777777" w:rsidR="0098150C" w:rsidRPr="00872293" w:rsidRDefault="0098150C" w:rsidP="0098150C">
      <w:pPr>
        <w:spacing w:line="360" w:lineRule="auto"/>
        <w:rPr>
          <w:rFonts w:ascii="Times New Roman" w:hAnsi="Times New Roman" w:cs="Times New Roman"/>
        </w:rPr>
      </w:pPr>
    </w:p>
    <w:p w14:paraId="131E0C78" w14:textId="77777777" w:rsidR="003A01E8" w:rsidRPr="00872293" w:rsidRDefault="003A01E8" w:rsidP="0098150C">
      <w:pPr>
        <w:spacing w:line="360" w:lineRule="auto"/>
        <w:rPr>
          <w:rFonts w:ascii="Times New Roman" w:hAnsi="Times New Roman" w:cs="Times New Roman"/>
        </w:rPr>
      </w:pPr>
      <w:r w:rsidRPr="00872293">
        <w:rPr>
          <w:rFonts w:ascii="Times New Roman" w:hAnsi="Times New Roman" w:cs="Times New Roman"/>
        </w:rPr>
        <w:t xml:space="preserve">From the studies that used </w:t>
      </w:r>
      <w:r w:rsidR="005D4720" w:rsidRPr="00872293">
        <w:rPr>
          <w:rFonts w:ascii="Times New Roman" w:hAnsi="Times New Roman" w:cs="Times New Roman"/>
        </w:rPr>
        <w:t xml:space="preserve">the </w:t>
      </w:r>
      <w:r w:rsidRPr="00872293">
        <w:rPr>
          <w:rFonts w:ascii="Times New Roman" w:hAnsi="Times New Roman" w:cs="Times New Roman"/>
        </w:rPr>
        <w:t>coring method</w:t>
      </w:r>
      <w:r w:rsidR="0010409D" w:rsidRPr="00872293">
        <w:rPr>
          <w:rFonts w:ascii="Times New Roman" w:hAnsi="Times New Roman" w:cs="Times New Roman"/>
        </w:rPr>
        <w:t xml:space="preserve">s, </w:t>
      </w:r>
      <w:r w:rsidRPr="00872293">
        <w:rPr>
          <w:rFonts w:ascii="Times New Roman" w:hAnsi="Times New Roman" w:cs="Times New Roman"/>
        </w:rPr>
        <w:t xml:space="preserve">Cuevas </w:t>
      </w:r>
      <w:r w:rsidR="009B371F" w:rsidRPr="00872293">
        <w:rPr>
          <w:rFonts w:ascii="Times New Roman" w:hAnsi="Times New Roman" w:cs="Times New Roman"/>
          <w:i/>
          <w:noProof/>
        </w:rPr>
        <w:t xml:space="preserve">et al. </w:t>
      </w:r>
      <w:r w:rsidRPr="00872293">
        <w:rPr>
          <w:rFonts w:ascii="Times New Roman" w:hAnsi="Times New Roman" w:cs="Times New Roman"/>
        </w:rPr>
        <w:t>(1991) and Lugo (1992) reported very similar P (0.03</w:t>
      </w:r>
      <w:r w:rsidR="001368A2" w:rsidRPr="00872293">
        <w:rPr>
          <w:rFonts w:ascii="Times New Roman" w:hAnsi="Times New Roman" w:cs="Times New Roman"/>
        </w:rPr>
        <w:t>%</w:t>
      </w:r>
      <w:r w:rsidRPr="00872293">
        <w:rPr>
          <w:rFonts w:ascii="Times New Roman" w:hAnsi="Times New Roman" w:cs="Times New Roman"/>
        </w:rPr>
        <w:t>) and N (0.6</w:t>
      </w:r>
      <w:r w:rsidR="001368A2" w:rsidRPr="00872293">
        <w:rPr>
          <w:rFonts w:ascii="Times New Roman" w:hAnsi="Times New Roman" w:cs="Times New Roman"/>
        </w:rPr>
        <w:t>–</w:t>
      </w:r>
      <w:r w:rsidRPr="00872293">
        <w:rPr>
          <w:rFonts w:ascii="Times New Roman" w:hAnsi="Times New Roman" w:cs="Times New Roman"/>
        </w:rPr>
        <w:t>0.8</w:t>
      </w:r>
      <w:r w:rsidR="001368A2" w:rsidRPr="00872293">
        <w:rPr>
          <w:rFonts w:ascii="Times New Roman" w:hAnsi="Times New Roman" w:cs="Times New Roman"/>
        </w:rPr>
        <w:t>%</w:t>
      </w:r>
      <w:r w:rsidRPr="00872293">
        <w:rPr>
          <w:rFonts w:ascii="Times New Roman" w:hAnsi="Times New Roman" w:cs="Times New Roman"/>
        </w:rPr>
        <w:t>) concentration</w:t>
      </w:r>
      <w:r w:rsidR="001368A2" w:rsidRPr="00872293">
        <w:rPr>
          <w:rFonts w:ascii="Times New Roman" w:hAnsi="Times New Roman" w:cs="Times New Roman"/>
        </w:rPr>
        <w:t>s</w:t>
      </w:r>
      <w:r w:rsidRPr="00872293">
        <w:rPr>
          <w:rFonts w:ascii="Times New Roman" w:hAnsi="Times New Roman" w:cs="Times New Roman"/>
        </w:rPr>
        <w:t xml:space="preserve"> </w:t>
      </w:r>
      <w:r w:rsidR="001368A2" w:rsidRPr="00872293">
        <w:rPr>
          <w:rFonts w:ascii="Times New Roman" w:hAnsi="Times New Roman" w:cs="Times New Roman"/>
        </w:rPr>
        <w:t xml:space="preserve">in </w:t>
      </w:r>
      <w:r w:rsidRPr="00872293">
        <w:rPr>
          <w:rFonts w:ascii="Times New Roman" w:hAnsi="Times New Roman" w:cs="Times New Roman"/>
        </w:rPr>
        <w:t>fine</w:t>
      </w:r>
      <w:r w:rsidR="001368A2" w:rsidRPr="00872293">
        <w:rPr>
          <w:rFonts w:ascii="Times New Roman" w:hAnsi="Times New Roman" w:cs="Times New Roman"/>
        </w:rPr>
        <w:t xml:space="preserve"> </w:t>
      </w:r>
      <w:r w:rsidRPr="00872293">
        <w:rPr>
          <w:rFonts w:ascii="Times New Roman" w:hAnsi="Times New Roman" w:cs="Times New Roman"/>
        </w:rPr>
        <w:t>root</w:t>
      </w:r>
      <w:r w:rsidR="001368A2" w:rsidRPr="00872293">
        <w:rPr>
          <w:rFonts w:ascii="Times New Roman" w:hAnsi="Times New Roman" w:cs="Times New Roman"/>
        </w:rPr>
        <w:t>s</w:t>
      </w:r>
      <w:r w:rsidRPr="00872293">
        <w:rPr>
          <w:rFonts w:ascii="Times New Roman" w:hAnsi="Times New Roman" w:cs="Times New Roman"/>
        </w:rPr>
        <w:t xml:space="preserve"> (&lt;2</w:t>
      </w:r>
      <w:r w:rsidR="00BB5CC3" w:rsidRPr="00872293">
        <w:rPr>
          <w:rFonts w:ascii="Times New Roman" w:hAnsi="Times New Roman" w:cs="Times New Roman"/>
        </w:rPr>
        <w:t xml:space="preserve"> </w:t>
      </w:r>
      <w:r w:rsidRPr="00872293">
        <w:rPr>
          <w:rFonts w:ascii="Times New Roman" w:hAnsi="Times New Roman" w:cs="Times New Roman"/>
        </w:rPr>
        <w:t xml:space="preserve">mm) from a </w:t>
      </w:r>
      <w:r w:rsidR="00713C32" w:rsidRPr="00872293">
        <w:rPr>
          <w:rFonts w:ascii="Times New Roman" w:hAnsi="Times New Roman" w:cs="Times New Roman"/>
        </w:rPr>
        <w:t>pine plantation</w:t>
      </w:r>
      <w:r w:rsidRPr="00872293">
        <w:rPr>
          <w:rFonts w:ascii="Times New Roman" w:hAnsi="Times New Roman" w:cs="Times New Roman"/>
        </w:rPr>
        <w:t xml:space="preserve"> and its adjacent </w:t>
      </w:r>
      <w:r w:rsidR="00713C32" w:rsidRPr="00872293">
        <w:rPr>
          <w:rFonts w:ascii="Times New Roman" w:hAnsi="Times New Roman" w:cs="Times New Roman"/>
        </w:rPr>
        <w:t>secondary forest</w:t>
      </w:r>
      <w:r w:rsidRPr="00872293">
        <w:rPr>
          <w:rFonts w:ascii="Times New Roman" w:hAnsi="Times New Roman" w:cs="Times New Roman"/>
        </w:rPr>
        <w:t xml:space="preserve"> (</w:t>
      </w:r>
      <w:r w:rsidR="00A62398" w:rsidRPr="00872293">
        <w:rPr>
          <w:rFonts w:ascii="Times New Roman" w:hAnsi="Times New Roman" w:cs="Times New Roman"/>
        </w:rPr>
        <w:t xml:space="preserve">Table </w:t>
      </w:r>
      <w:r w:rsidR="0030004C" w:rsidRPr="00872293">
        <w:rPr>
          <w:rFonts w:ascii="Times New Roman" w:hAnsi="Times New Roman" w:cs="Times New Roman"/>
        </w:rPr>
        <w:t>2</w:t>
      </w:r>
      <w:r w:rsidRPr="00872293">
        <w:rPr>
          <w:rFonts w:ascii="Times New Roman" w:hAnsi="Times New Roman" w:cs="Times New Roman"/>
        </w:rPr>
        <w:t>). However, fine-root N and P concentration</w:t>
      </w:r>
      <w:r w:rsidR="001368A2" w:rsidRPr="00872293">
        <w:rPr>
          <w:rFonts w:ascii="Times New Roman" w:hAnsi="Times New Roman" w:cs="Times New Roman"/>
        </w:rPr>
        <w:t>s</w:t>
      </w:r>
      <w:r w:rsidRPr="00872293">
        <w:rPr>
          <w:rFonts w:ascii="Times New Roman" w:hAnsi="Times New Roman" w:cs="Times New Roman"/>
        </w:rPr>
        <w:t xml:space="preserve"> were higher in the </w:t>
      </w:r>
      <w:r w:rsidR="00CE6389" w:rsidRPr="00872293">
        <w:rPr>
          <w:rFonts w:ascii="Times New Roman" w:hAnsi="Times New Roman" w:cs="Times New Roman"/>
        </w:rPr>
        <w:t>mahogany plantation</w:t>
      </w:r>
      <w:r w:rsidRPr="00872293">
        <w:rPr>
          <w:rFonts w:ascii="Times New Roman" w:hAnsi="Times New Roman" w:cs="Times New Roman"/>
        </w:rPr>
        <w:t xml:space="preserve"> (0.06% P, 1</w:t>
      </w:r>
      <w:r w:rsidR="00BC5061" w:rsidRPr="00872293">
        <w:rPr>
          <w:rFonts w:ascii="Times New Roman" w:hAnsi="Times New Roman" w:cs="Times New Roman"/>
        </w:rPr>
        <w:t>.0</w:t>
      </w:r>
      <w:r w:rsidRPr="00872293">
        <w:rPr>
          <w:rFonts w:ascii="Times New Roman" w:hAnsi="Times New Roman" w:cs="Times New Roman"/>
        </w:rPr>
        <w:t xml:space="preserve">% N) and its adjacent </w:t>
      </w:r>
      <w:r w:rsidR="00713C32" w:rsidRPr="00872293">
        <w:rPr>
          <w:rFonts w:ascii="Times New Roman" w:hAnsi="Times New Roman" w:cs="Times New Roman"/>
        </w:rPr>
        <w:t xml:space="preserve">secondary forest </w:t>
      </w:r>
      <w:r w:rsidRPr="00872293">
        <w:rPr>
          <w:rFonts w:ascii="Times New Roman" w:hAnsi="Times New Roman" w:cs="Times New Roman"/>
        </w:rPr>
        <w:t>(0.06% P, 1.3% N; Lugo, 1992</w:t>
      </w:r>
      <w:r w:rsidR="00842EEA" w:rsidRPr="00872293">
        <w:rPr>
          <w:rFonts w:ascii="Times New Roman" w:hAnsi="Times New Roman" w:cs="Times New Roman"/>
        </w:rPr>
        <w:t>;</w:t>
      </w:r>
      <w:r w:rsidR="00C13628" w:rsidRPr="00872293">
        <w:rPr>
          <w:rFonts w:ascii="Times New Roman" w:hAnsi="Times New Roman" w:cs="Times New Roman"/>
        </w:rPr>
        <w:t xml:space="preserve"> </w:t>
      </w:r>
      <w:r w:rsidR="00225DFC" w:rsidRPr="00872293">
        <w:rPr>
          <w:rFonts w:ascii="Times New Roman" w:hAnsi="Times New Roman" w:cs="Times New Roman"/>
        </w:rPr>
        <w:t xml:space="preserve">Table </w:t>
      </w:r>
      <w:r w:rsidR="0030004C" w:rsidRPr="00872293">
        <w:rPr>
          <w:rFonts w:ascii="Times New Roman" w:hAnsi="Times New Roman" w:cs="Times New Roman"/>
        </w:rPr>
        <w:t>2</w:t>
      </w:r>
      <w:r w:rsidRPr="00872293">
        <w:rPr>
          <w:rFonts w:ascii="Times New Roman" w:hAnsi="Times New Roman" w:cs="Times New Roman"/>
        </w:rPr>
        <w:t xml:space="preserve">). </w:t>
      </w:r>
      <w:proofErr w:type="spellStart"/>
      <w:r w:rsidRPr="00872293">
        <w:rPr>
          <w:rFonts w:ascii="Times New Roman" w:hAnsi="Times New Roman" w:cs="Times New Roman"/>
        </w:rPr>
        <w:t>Scatena</w:t>
      </w:r>
      <w:proofErr w:type="spellEnd"/>
      <w:r w:rsidRPr="00872293">
        <w:rPr>
          <w:rFonts w:ascii="Times New Roman" w:hAnsi="Times New Roman" w:cs="Times New Roman"/>
        </w:rPr>
        <w:t xml:space="preserve">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Pr="00872293">
        <w:rPr>
          <w:rFonts w:ascii="Times New Roman" w:hAnsi="Times New Roman" w:cs="Times New Roman"/>
        </w:rPr>
        <w:t>(1993) showed similar P concentration (0.05</w:t>
      </w:r>
      <w:r w:rsidR="00AA4A4A" w:rsidRPr="00872293">
        <w:rPr>
          <w:rFonts w:ascii="Times New Roman" w:hAnsi="Times New Roman" w:cs="Times New Roman"/>
        </w:rPr>
        <w:t>%</w:t>
      </w:r>
      <w:r w:rsidRPr="00872293">
        <w:rPr>
          <w:rFonts w:ascii="Times New Roman" w:hAnsi="Times New Roman" w:cs="Times New Roman"/>
        </w:rPr>
        <w:t>) but higher N concentration (1.57</w:t>
      </w:r>
      <w:r w:rsidR="00AA4A4A" w:rsidRPr="00872293">
        <w:rPr>
          <w:rFonts w:ascii="Times New Roman" w:hAnsi="Times New Roman" w:cs="Times New Roman"/>
        </w:rPr>
        <w:t>%</w:t>
      </w:r>
      <w:r w:rsidRPr="00872293">
        <w:rPr>
          <w:rFonts w:ascii="Times New Roman" w:hAnsi="Times New Roman" w:cs="Times New Roman"/>
        </w:rPr>
        <w:t>) for fine roots (&lt;5 mm in diameter) in a mature forest of Bisley, LEF</w:t>
      </w:r>
      <w:r w:rsidR="00842EEA" w:rsidRPr="00872293">
        <w:rPr>
          <w:rFonts w:ascii="Times New Roman" w:hAnsi="Times New Roman" w:cs="Times New Roman"/>
        </w:rPr>
        <w:t xml:space="preserve"> (</w:t>
      </w:r>
      <w:r w:rsidR="00225DFC" w:rsidRPr="00872293">
        <w:rPr>
          <w:rFonts w:ascii="Times New Roman" w:hAnsi="Times New Roman" w:cs="Times New Roman"/>
        </w:rPr>
        <w:t>Table</w:t>
      </w:r>
      <w:r w:rsidR="00C13628" w:rsidRPr="00872293">
        <w:rPr>
          <w:rFonts w:ascii="Times New Roman" w:hAnsi="Times New Roman" w:cs="Times New Roman"/>
        </w:rPr>
        <w:t xml:space="preserve"> </w:t>
      </w:r>
      <w:r w:rsidR="0030004C" w:rsidRPr="00872293">
        <w:rPr>
          <w:rFonts w:ascii="Times New Roman" w:hAnsi="Times New Roman" w:cs="Times New Roman"/>
        </w:rPr>
        <w:t>2</w:t>
      </w:r>
      <w:r w:rsidR="00842EEA" w:rsidRPr="00872293">
        <w:rPr>
          <w:rFonts w:ascii="Times New Roman" w:hAnsi="Times New Roman" w:cs="Times New Roman"/>
        </w:rPr>
        <w:t>)</w:t>
      </w:r>
      <w:r w:rsidRPr="00872293">
        <w:rPr>
          <w:rFonts w:ascii="Times New Roman" w:hAnsi="Times New Roman" w:cs="Times New Roman"/>
        </w:rPr>
        <w:t>. Sliver &amp; Vogt (1993) found even higher fine root N concentration (1.8</w:t>
      </w:r>
      <w:r w:rsidR="00AA4A4A" w:rsidRPr="00872293">
        <w:rPr>
          <w:rFonts w:ascii="Times New Roman" w:hAnsi="Times New Roman" w:cs="Times New Roman"/>
        </w:rPr>
        <w:t>%</w:t>
      </w:r>
      <w:r w:rsidRPr="00872293">
        <w:rPr>
          <w:rFonts w:ascii="Times New Roman" w:hAnsi="Times New Roman" w:cs="Times New Roman"/>
        </w:rPr>
        <w:t>) in the same forest of Bisley, but still similar P concentration (0.05</w:t>
      </w:r>
      <w:r w:rsidR="00AA4A4A" w:rsidRPr="00872293">
        <w:rPr>
          <w:rFonts w:ascii="Times New Roman" w:hAnsi="Times New Roman" w:cs="Times New Roman"/>
        </w:rPr>
        <w:t>%</w:t>
      </w:r>
      <w:r w:rsidR="00842EEA" w:rsidRPr="00872293">
        <w:rPr>
          <w:rFonts w:ascii="Times New Roman" w:hAnsi="Times New Roman" w:cs="Times New Roman"/>
        </w:rPr>
        <w:t xml:space="preserve">; </w:t>
      </w:r>
      <w:r w:rsidR="00800F0A" w:rsidRPr="00872293">
        <w:rPr>
          <w:rFonts w:ascii="Times New Roman" w:hAnsi="Times New Roman" w:cs="Times New Roman"/>
        </w:rPr>
        <w:t xml:space="preserve">Table </w:t>
      </w:r>
      <w:r w:rsidR="00842EEA" w:rsidRPr="00872293">
        <w:rPr>
          <w:rFonts w:ascii="Times New Roman" w:hAnsi="Times New Roman" w:cs="Times New Roman"/>
        </w:rPr>
        <w:t>2</w:t>
      </w:r>
      <w:r w:rsidRPr="00872293">
        <w:rPr>
          <w:rFonts w:ascii="Times New Roman" w:hAnsi="Times New Roman" w:cs="Times New Roman"/>
        </w:rPr>
        <w:t>). In the dry forest, Murphy &amp; Lugo (1986</w:t>
      </w:r>
      <w:r w:rsidR="005D5F29" w:rsidRPr="00872293">
        <w:rPr>
          <w:rFonts w:ascii="Times New Roman" w:hAnsi="Times New Roman" w:cs="Times New Roman"/>
        </w:rPr>
        <w:t>a</w:t>
      </w:r>
      <w:r w:rsidRPr="00872293">
        <w:rPr>
          <w:rFonts w:ascii="Times New Roman" w:hAnsi="Times New Roman" w:cs="Times New Roman"/>
        </w:rPr>
        <w:t>) reported</w:t>
      </w:r>
      <w:r w:rsidR="008D3743" w:rsidRPr="00872293">
        <w:rPr>
          <w:rFonts w:ascii="Times New Roman" w:hAnsi="Times New Roman" w:cs="Times New Roman"/>
        </w:rPr>
        <w:t xml:space="preserve"> similar P and N concentrations </w:t>
      </w:r>
      <w:r w:rsidR="00476A9E" w:rsidRPr="00872293">
        <w:rPr>
          <w:rFonts w:ascii="Times New Roman" w:hAnsi="Times New Roman" w:cs="Times New Roman"/>
        </w:rPr>
        <w:t xml:space="preserve">to </w:t>
      </w:r>
      <w:r w:rsidR="008D3743" w:rsidRPr="00872293">
        <w:rPr>
          <w:rFonts w:ascii="Times New Roman" w:hAnsi="Times New Roman" w:cs="Times New Roman"/>
        </w:rPr>
        <w:t>what was found for Bisley</w:t>
      </w:r>
      <w:r w:rsidRPr="00872293">
        <w:rPr>
          <w:rFonts w:ascii="Times New Roman" w:hAnsi="Times New Roman" w:cs="Times New Roman"/>
        </w:rPr>
        <w:t xml:space="preserve"> </w:t>
      </w:r>
      <w:r w:rsidR="008D3743" w:rsidRPr="00872293">
        <w:rPr>
          <w:rFonts w:ascii="Times New Roman" w:hAnsi="Times New Roman" w:cs="Times New Roman"/>
        </w:rPr>
        <w:t>(</w:t>
      </w:r>
      <w:r w:rsidRPr="00872293">
        <w:rPr>
          <w:rFonts w:ascii="Times New Roman" w:hAnsi="Times New Roman" w:cs="Times New Roman"/>
        </w:rPr>
        <w:t>0.06</w:t>
      </w:r>
      <w:r w:rsidR="008D3743" w:rsidRPr="00872293">
        <w:rPr>
          <w:rFonts w:ascii="Times New Roman" w:hAnsi="Times New Roman" w:cs="Times New Roman"/>
        </w:rPr>
        <w:t xml:space="preserve">% </w:t>
      </w:r>
      <w:r w:rsidRPr="00872293">
        <w:rPr>
          <w:rFonts w:ascii="Times New Roman" w:hAnsi="Times New Roman" w:cs="Times New Roman"/>
        </w:rPr>
        <w:t>and 1.4</w:t>
      </w:r>
      <w:r w:rsidR="008D3743" w:rsidRPr="00872293">
        <w:rPr>
          <w:rFonts w:ascii="Times New Roman" w:hAnsi="Times New Roman" w:cs="Times New Roman"/>
        </w:rPr>
        <w:t>%, respectively</w:t>
      </w:r>
      <w:r w:rsidR="00842EEA" w:rsidRPr="00872293">
        <w:rPr>
          <w:rFonts w:ascii="Times New Roman" w:hAnsi="Times New Roman" w:cs="Times New Roman"/>
        </w:rPr>
        <w:t xml:space="preserve">; </w:t>
      </w:r>
      <w:r w:rsidR="0010409D" w:rsidRPr="00872293">
        <w:rPr>
          <w:rFonts w:ascii="Times New Roman" w:hAnsi="Times New Roman" w:cs="Times New Roman"/>
        </w:rPr>
        <w:t>root diameter &lt;</w:t>
      </w:r>
      <w:r w:rsidR="0030004C" w:rsidRPr="00872293">
        <w:rPr>
          <w:rFonts w:ascii="Times New Roman" w:hAnsi="Times New Roman" w:cs="Times New Roman"/>
        </w:rPr>
        <w:t>\</w:t>
      </w:r>
      <w:r w:rsidR="0010409D" w:rsidRPr="00872293">
        <w:rPr>
          <w:rFonts w:ascii="Times New Roman" w:hAnsi="Times New Roman" w:cs="Times New Roman"/>
        </w:rPr>
        <w:t xml:space="preserve">1 mm; </w:t>
      </w:r>
      <w:r w:rsidR="00451344" w:rsidRPr="00872293">
        <w:rPr>
          <w:rFonts w:ascii="Times New Roman" w:hAnsi="Times New Roman" w:cs="Times New Roman"/>
        </w:rPr>
        <w:t>Table</w:t>
      </w:r>
      <w:r w:rsidR="00C13628" w:rsidRPr="00872293">
        <w:rPr>
          <w:rFonts w:ascii="Times New Roman" w:hAnsi="Times New Roman" w:cs="Times New Roman"/>
        </w:rPr>
        <w:t xml:space="preserve"> </w:t>
      </w:r>
      <w:r w:rsidR="0030004C" w:rsidRPr="00872293">
        <w:rPr>
          <w:rFonts w:ascii="Times New Roman" w:hAnsi="Times New Roman" w:cs="Times New Roman"/>
        </w:rPr>
        <w:t>2</w:t>
      </w:r>
      <w:r w:rsidRPr="00872293">
        <w:rPr>
          <w:rFonts w:ascii="Times New Roman" w:hAnsi="Times New Roman" w:cs="Times New Roman"/>
        </w:rPr>
        <w:t xml:space="preserve">). </w:t>
      </w:r>
      <w:r w:rsidR="00075B21" w:rsidRPr="00872293">
        <w:rPr>
          <w:rFonts w:ascii="Times New Roman" w:hAnsi="Times New Roman" w:cs="Times New Roman"/>
        </w:rPr>
        <w:t>B</w:t>
      </w:r>
      <w:r w:rsidRPr="00872293">
        <w:rPr>
          <w:rFonts w:ascii="Times New Roman" w:hAnsi="Times New Roman" w:cs="Times New Roman"/>
        </w:rPr>
        <w:t>oth fine-root N (Fig</w:t>
      </w:r>
      <w:r w:rsidR="00476986" w:rsidRPr="00872293">
        <w:rPr>
          <w:rFonts w:ascii="Times New Roman" w:hAnsi="Times New Roman" w:cs="Times New Roman"/>
        </w:rPr>
        <w:t>ure</w:t>
      </w:r>
      <w:r w:rsidRPr="00872293">
        <w:rPr>
          <w:rFonts w:ascii="Times New Roman" w:hAnsi="Times New Roman" w:cs="Times New Roman"/>
        </w:rPr>
        <w:t xml:space="preserve"> 5a) and fine-root P (Fig</w:t>
      </w:r>
      <w:r w:rsidR="00476986" w:rsidRPr="00872293">
        <w:rPr>
          <w:rFonts w:ascii="Times New Roman" w:hAnsi="Times New Roman" w:cs="Times New Roman"/>
        </w:rPr>
        <w:t>ure</w:t>
      </w:r>
      <w:r w:rsidRPr="00872293">
        <w:rPr>
          <w:rFonts w:ascii="Times New Roman" w:hAnsi="Times New Roman" w:cs="Times New Roman"/>
        </w:rPr>
        <w:t xml:space="preserve"> 5b) concentration</w:t>
      </w:r>
      <w:r w:rsidR="001368A2" w:rsidRPr="00872293">
        <w:rPr>
          <w:rFonts w:ascii="Times New Roman" w:hAnsi="Times New Roman" w:cs="Times New Roman"/>
        </w:rPr>
        <w:t>s</w:t>
      </w:r>
      <w:r w:rsidRPr="00872293">
        <w:rPr>
          <w:rFonts w:ascii="Times New Roman" w:hAnsi="Times New Roman" w:cs="Times New Roman"/>
        </w:rPr>
        <w:t xml:space="preserve"> decrease exponentially with depth.</w:t>
      </w:r>
    </w:p>
    <w:p w14:paraId="02D10F7F" w14:textId="77777777" w:rsidR="0098150C" w:rsidRPr="00872293" w:rsidRDefault="0098150C" w:rsidP="0098150C">
      <w:pPr>
        <w:spacing w:line="360" w:lineRule="auto"/>
        <w:rPr>
          <w:rFonts w:ascii="Times New Roman" w:hAnsi="Times New Roman" w:cs="Times New Roman"/>
        </w:rPr>
      </w:pPr>
    </w:p>
    <w:p w14:paraId="294C1B95" w14:textId="77777777" w:rsidR="003A01E8" w:rsidRPr="00872293" w:rsidRDefault="003A01E8" w:rsidP="0098150C">
      <w:pPr>
        <w:spacing w:line="360" w:lineRule="auto"/>
        <w:rPr>
          <w:rFonts w:ascii="Times New Roman" w:hAnsi="Times New Roman" w:cs="Times New Roman"/>
        </w:rPr>
      </w:pPr>
      <w:r w:rsidRPr="00872293">
        <w:rPr>
          <w:rFonts w:ascii="Times New Roman" w:hAnsi="Times New Roman" w:cs="Times New Roman"/>
        </w:rPr>
        <w:t>Fine roots reported in Puerto Rico have a similar</w:t>
      </w:r>
      <w:r w:rsidR="00075B21" w:rsidRPr="00872293">
        <w:rPr>
          <w:rFonts w:ascii="Times New Roman" w:hAnsi="Times New Roman" w:cs="Times New Roman"/>
        </w:rPr>
        <w:t xml:space="preserve"> range in</w:t>
      </w:r>
      <w:r w:rsidRPr="00872293">
        <w:rPr>
          <w:rFonts w:ascii="Times New Roman" w:hAnsi="Times New Roman" w:cs="Times New Roman"/>
        </w:rPr>
        <w:t xml:space="preserve"> root N concentration compared to other species from the tropics, ranging from 0.</w:t>
      </w:r>
      <w:r w:rsidR="002F7D3B" w:rsidRPr="00872293">
        <w:rPr>
          <w:rFonts w:ascii="Times New Roman" w:hAnsi="Times New Roman" w:cs="Times New Roman"/>
        </w:rPr>
        <w:t>3</w:t>
      </w:r>
      <w:r w:rsidR="008B48D5" w:rsidRPr="00872293">
        <w:rPr>
          <w:rFonts w:ascii="Times New Roman" w:hAnsi="Times New Roman" w:cs="Times New Roman"/>
        </w:rPr>
        <w:t>%</w:t>
      </w:r>
      <w:r w:rsidRPr="00872293">
        <w:rPr>
          <w:rFonts w:ascii="Times New Roman" w:hAnsi="Times New Roman" w:cs="Times New Roman"/>
        </w:rPr>
        <w:t xml:space="preserve"> to 1.</w:t>
      </w:r>
      <w:r w:rsidR="002F7D3B" w:rsidRPr="00872293">
        <w:rPr>
          <w:rFonts w:ascii="Times New Roman" w:hAnsi="Times New Roman" w:cs="Times New Roman"/>
        </w:rPr>
        <w:t>9</w:t>
      </w:r>
      <w:r w:rsidR="008B48D5" w:rsidRPr="00872293">
        <w:rPr>
          <w:rFonts w:ascii="Times New Roman" w:hAnsi="Times New Roman" w:cs="Times New Roman"/>
        </w:rPr>
        <w:t>%</w:t>
      </w:r>
      <w:r w:rsidRPr="00872293">
        <w:rPr>
          <w:rFonts w:ascii="Times New Roman" w:hAnsi="Times New Roman" w:cs="Times New Roman"/>
        </w:rPr>
        <w:t xml:space="preserve"> (</w:t>
      </w:r>
      <w:proofErr w:type="spellStart"/>
      <w:r w:rsidRPr="00872293">
        <w:rPr>
          <w:rFonts w:ascii="Times New Roman" w:hAnsi="Times New Roman" w:cs="Times New Roman"/>
        </w:rPr>
        <w:t>Gijsman</w:t>
      </w:r>
      <w:proofErr w:type="spellEnd"/>
      <w:r w:rsidRPr="00872293">
        <w:rPr>
          <w:rFonts w:ascii="Times New Roman" w:hAnsi="Times New Roman" w:cs="Times New Roman"/>
        </w:rPr>
        <w:t xml:space="preserve">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Pr="00872293">
        <w:rPr>
          <w:rFonts w:ascii="Times New Roman" w:hAnsi="Times New Roman" w:cs="Times New Roman"/>
        </w:rPr>
        <w:t xml:space="preserve">1997; Collins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Pr="00872293">
        <w:rPr>
          <w:rFonts w:ascii="Times New Roman" w:hAnsi="Times New Roman" w:cs="Times New Roman"/>
        </w:rPr>
        <w:t xml:space="preserve">2016).  </w:t>
      </w:r>
      <w:proofErr w:type="spellStart"/>
      <w:r w:rsidRPr="00872293">
        <w:rPr>
          <w:rFonts w:ascii="Times New Roman" w:hAnsi="Times New Roman" w:cs="Times New Roman"/>
        </w:rPr>
        <w:t>Gijsman</w:t>
      </w:r>
      <w:proofErr w:type="spellEnd"/>
      <w:r w:rsidRPr="00872293">
        <w:rPr>
          <w:rFonts w:ascii="Times New Roman" w:hAnsi="Times New Roman" w:cs="Times New Roman"/>
        </w:rPr>
        <w:t xml:space="preserve"> </w:t>
      </w:r>
      <w:r w:rsidR="009B371F" w:rsidRPr="00872293">
        <w:rPr>
          <w:rFonts w:ascii="Times New Roman" w:hAnsi="Times New Roman" w:cs="Times New Roman"/>
          <w:i/>
          <w:noProof/>
        </w:rPr>
        <w:t xml:space="preserve">et al. </w:t>
      </w:r>
      <w:r w:rsidRPr="00872293">
        <w:rPr>
          <w:rFonts w:ascii="Times New Roman" w:hAnsi="Times New Roman" w:cs="Times New Roman"/>
        </w:rPr>
        <w:t xml:space="preserve">(1997) reported N concentration in fine roots (&lt;2 mm) from </w:t>
      </w:r>
      <w:r w:rsidR="00BC5061" w:rsidRPr="00872293">
        <w:rPr>
          <w:rFonts w:ascii="Times New Roman" w:hAnsi="Times New Roman" w:cs="Times New Roman"/>
        </w:rPr>
        <w:t>Panamá</w:t>
      </w:r>
      <w:r w:rsidR="00BC5061" w:rsidRPr="00872293" w:rsidDel="00BC5061">
        <w:rPr>
          <w:rFonts w:ascii="Times New Roman" w:hAnsi="Times New Roman" w:cs="Times New Roman"/>
        </w:rPr>
        <w:t xml:space="preserve"> </w:t>
      </w:r>
      <w:r w:rsidRPr="00872293">
        <w:rPr>
          <w:rFonts w:ascii="Times New Roman" w:hAnsi="Times New Roman" w:cs="Times New Roman"/>
        </w:rPr>
        <w:t>(1.25%)</w:t>
      </w:r>
      <w:r w:rsidR="00CF438F" w:rsidRPr="00872293">
        <w:rPr>
          <w:rFonts w:ascii="Times New Roman" w:hAnsi="Times New Roman" w:cs="Times New Roman"/>
        </w:rPr>
        <w:t>,</w:t>
      </w:r>
      <w:r w:rsidRPr="00872293">
        <w:rPr>
          <w:rFonts w:ascii="Times New Roman" w:hAnsi="Times New Roman" w:cs="Times New Roman"/>
        </w:rPr>
        <w:t xml:space="preserve"> </w:t>
      </w:r>
      <w:r w:rsidR="00CF438F" w:rsidRPr="00872293">
        <w:rPr>
          <w:rFonts w:ascii="Times New Roman" w:hAnsi="Times New Roman" w:cs="Times New Roman"/>
        </w:rPr>
        <w:t>which is higher than the average for roots less than 2</w:t>
      </w:r>
      <w:r w:rsidR="00BC5061" w:rsidRPr="00872293">
        <w:rPr>
          <w:rFonts w:ascii="Times New Roman" w:hAnsi="Times New Roman" w:cs="Times New Roman"/>
        </w:rPr>
        <w:t xml:space="preserve"> </w:t>
      </w:r>
      <w:r w:rsidR="00CF438F" w:rsidRPr="00872293">
        <w:rPr>
          <w:rFonts w:ascii="Times New Roman" w:hAnsi="Times New Roman" w:cs="Times New Roman"/>
        </w:rPr>
        <w:t xml:space="preserve">mm in Puerto Rico (0.9% N). </w:t>
      </w:r>
      <w:r w:rsidR="002F7D3B" w:rsidRPr="00872293">
        <w:rPr>
          <w:rFonts w:ascii="Times New Roman" w:hAnsi="Times New Roman" w:cs="Times New Roman"/>
        </w:rPr>
        <w:t>The lowest root N concentration is from the pine plantation and secondary forest of Guzm</w:t>
      </w:r>
      <w:r w:rsidR="00090AF7" w:rsidRPr="00872293">
        <w:rPr>
          <w:rFonts w:ascii="Times New Roman" w:hAnsi="Times New Roman" w:cs="Times New Roman"/>
        </w:rPr>
        <w:t>á</w:t>
      </w:r>
      <w:r w:rsidR="002F7D3B" w:rsidRPr="00872293">
        <w:rPr>
          <w:rFonts w:ascii="Times New Roman" w:hAnsi="Times New Roman" w:cs="Times New Roman"/>
        </w:rPr>
        <w:t xml:space="preserve">n, which skewed the total root N average. </w:t>
      </w:r>
      <w:r w:rsidRPr="00872293">
        <w:rPr>
          <w:rFonts w:ascii="Times New Roman" w:hAnsi="Times New Roman" w:cs="Times New Roman"/>
        </w:rPr>
        <w:t xml:space="preserve">Puerto Rico has a </w:t>
      </w:r>
      <w:r w:rsidR="006047E8" w:rsidRPr="00872293">
        <w:rPr>
          <w:rFonts w:ascii="Times New Roman" w:hAnsi="Times New Roman" w:cs="Times New Roman"/>
        </w:rPr>
        <w:t xml:space="preserve">slightly </w:t>
      </w:r>
      <w:r w:rsidRPr="00872293">
        <w:rPr>
          <w:rFonts w:ascii="Times New Roman" w:hAnsi="Times New Roman" w:cs="Times New Roman"/>
        </w:rPr>
        <w:t>lower</w:t>
      </w:r>
      <w:r w:rsidR="009E13DB" w:rsidRPr="00872293">
        <w:rPr>
          <w:rFonts w:ascii="Times New Roman" w:hAnsi="Times New Roman" w:cs="Times New Roman"/>
        </w:rPr>
        <w:t xml:space="preserve"> mean</w:t>
      </w:r>
      <w:r w:rsidRPr="00872293">
        <w:rPr>
          <w:rFonts w:ascii="Times New Roman" w:hAnsi="Times New Roman" w:cs="Times New Roman"/>
        </w:rPr>
        <w:t xml:space="preserve"> P concentration (0.04%)</w:t>
      </w:r>
      <w:r w:rsidR="006A5EE7" w:rsidRPr="00872293">
        <w:rPr>
          <w:rFonts w:ascii="Times New Roman" w:hAnsi="Times New Roman" w:cs="Times New Roman"/>
        </w:rPr>
        <w:t xml:space="preserve"> compared to other studies</w:t>
      </w:r>
      <w:r w:rsidRPr="00872293">
        <w:rPr>
          <w:rFonts w:ascii="Times New Roman" w:hAnsi="Times New Roman" w:cs="Times New Roman"/>
        </w:rPr>
        <w:t xml:space="preserve">. </w:t>
      </w:r>
      <w:r w:rsidR="0044533C" w:rsidRPr="00872293">
        <w:rPr>
          <w:rFonts w:ascii="Times New Roman" w:hAnsi="Times New Roman" w:cs="Times New Roman"/>
        </w:rPr>
        <w:t xml:space="preserve">A study in Barro Colorado, Panamá (Collins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2016) and a study in Maui-Hawaii</w:t>
      </w:r>
      <w:r w:rsidR="00D825B3" w:rsidRPr="00872293">
        <w:rPr>
          <w:rFonts w:ascii="Times New Roman" w:hAnsi="Times New Roman" w:cs="Times New Roman"/>
        </w:rPr>
        <w:t xml:space="preserve"> (Schuur</w:t>
      </w:r>
      <w:r w:rsidR="00C86BEE" w:rsidRPr="00872293">
        <w:rPr>
          <w:rFonts w:ascii="Times New Roman" w:hAnsi="Times New Roman" w:cs="Times New Roman"/>
        </w:rPr>
        <w:t xml:space="preserve">, </w:t>
      </w:r>
      <w:r w:rsidR="00D825B3" w:rsidRPr="00872293">
        <w:rPr>
          <w:rFonts w:ascii="Times New Roman" w:hAnsi="Times New Roman" w:cs="Times New Roman"/>
        </w:rPr>
        <w:t>2001)</w:t>
      </w:r>
      <w:r w:rsidR="0044533C" w:rsidRPr="00872293">
        <w:rPr>
          <w:rFonts w:ascii="Times New Roman" w:hAnsi="Times New Roman" w:cs="Times New Roman"/>
        </w:rPr>
        <w:t>, reported a P average</w:t>
      </w:r>
      <w:r w:rsidR="001368A2" w:rsidRPr="00872293">
        <w:rPr>
          <w:rFonts w:ascii="Times New Roman" w:hAnsi="Times New Roman" w:cs="Times New Roman"/>
        </w:rPr>
        <w:t xml:space="preserve"> for roots less than 2 mm in diameter</w:t>
      </w:r>
      <w:r w:rsidR="0044533C" w:rsidRPr="00872293">
        <w:rPr>
          <w:rFonts w:ascii="Times New Roman" w:hAnsi="Times New Roman" w:cs="Times New Roman"/>
        </w:rPr>
        <w:t xml:space="preserve"> of </w:t>
      </w:r>
      <w:r w:rsidR="000C081B" w:rsidRPr="00872293">
        <w:rPr>
          <w:rFonts w:ascii="Times New Roman" w:hAnsi="Times New Roman" w:cs="Times New Roman"/>
        </w:rPr>
        <w:t xml:space="preserve">0.06 and </w:t>
      </w:r>
      <w:r w:rsidR="0044533C" w:rsidRPr="00872293">
        <w:rPr>
          <w:rFonts w:ascii="Times New Roman" w:hAnsi="Times New Roman" w:cs="Times New Roman"/>
        </w:rPr>
        <w:t>0.05</w:t>
      </w:r>
      <w:r w:rsidR="008B48D5" w:rsidRPr="00872293">
        <w:rPr>
          <w:rFonts w:ascii="Times New Roman" w:hAnsi="Times New Roman" w:cs="Times New Roman"/>
        </w:rPr>
        <w:t>%</w:t>
      </w:r>
      <w:r w:rsidR="000C081B" w:rsidRPr="00872293">
        <w:rPr>
          <w:rFonts w:ascii="Times New Roman" w:hAnsi="Times New Roman" w:cs="Times New Roman"/>
        </w:rPr>
        <w:t>,</w:t>
      </w:r>
      <w:r w:rsidR="0044533C" w:rsidRPr="00872293">
        <w:rPr>
          <w:rFonts w:ascii="Times New Roman" w:hAnsi="Times New Roman" w:cs="Times New Roman"/>
        </w:rPr>
        <w:t xml:space="preserve"> </w:t>
      </w:r>
      <w:r w:rsidR="000C081B" w:rsidRPr="00872293">
        <w:rPr>
          <w:rFonts w:ascii="Times New Roman" w:hAnsi="Times New Roman" w:cs="Times New Roman"/>
        </w:rPr>
        <w:t>respectively</w:t>
      </w:r>
      <w:r w:rsidR="00A912A9" w:rsidRPr="00872293">
        <w:rPr>
          <w:rFonts w:ascii="Times New Roman" w:hAnsi="Times New Roman" w:cs="Times New Roman"/>
        </w:rPr>
        <w:t>.</w:t>
      </w:r>
      <w:r w:rsidR="0044533C" w:rsidRPr="00872293">
        <w:rPr>
          <w:rFonts w:ascii="Times New Roman" w:hAnsi="Times New Roman" w:cs="Times New Roman"/>
        </w:rPr>
        <w:t xml:space="preserve"> </w:t>
      </w:r>
      <w:r w:rsidRPr="00872293">
        <w:rPr>
          <w:rFonts w:ascii="Times New Roman" w:hAnsi="Times New Roman" w:cs="Times New Roman"/>
        </w:rPr>
        <w:t xml:space="preserve">However, </w:t>
      </w:r>
      <w:r w:rsidR="00C71184" w:rsidRPr="00872293">
        <w:rPr>
          <w:rFonts w:ascii="Times New Roman" w:hAnsi="Times New Roman" w:cs="Times New Roman"/>
        </w:rPr>
        <w:t xml:space="preserve">the </w:t>
      </w:r>
      <w:r w:rsidRPr="00872293">
        <w:rPr>
          <w:rFonts w:ascii="Times New Roman" w:hAnsi="Times New Roman" w:cs="Times New Roman"/>
        </w:rPr>
        <w:t xml:space="preserve">average </w:t>
      </w:r>
      <w:r w:rsidR="00C71184" w:rsidRPr="00872293">
        <w:rPr>
          <w:rFonts w:ascii="Times New Roman" w:hAnsi="Times New Roman" w:cs="Times New Roman"/>
        </w:rPr>
        <w:t xml:space="preserve">root P concentration </w:t>
      </w:r>
      <w:r w:rsidR="0044533C" w:rsidRPr="00872293">
        <w:rPr>
          <w:rFonts w:ascii="Times New Roman" w:hAnsi="Times New Roman" w:cs="Times New Roman"/>
        </w:rPr>
        <w:t xml:space="preserve">in Puerto Rico </w:t>
      </w:r>
      <w:r w:rsidRPr="00872293">
        <w:rPr>
          <w:rFonts w:ascii="Times New Roman" w:hAnsi="Times New Roman" w:cs="Times New Roman"/>
        </w:rPr>
        <w:t xml:space="preserve">is highly influenced by the low P concentration in the </w:t>
      </w:r>
      <w:r w:rsidR="00713C32" w:rsidRPr="00872293">
        <w:rPr>
          <w:rFonts w:ascii="Times New Roman" w:hAnsi="Times New Roman" w:cs="Times New Roman"/>
        </w:rPr>
        <w:t>pine plantation</w:t>
      </w:r>
      <w:r w:rsidRPr="00872293">
        <w:rPr>
          <w:rFonts w:ascii="Times New Roman" w:hAnsi="Times New Roman" w:cs="Times New Roman"/>
        </w:rPr>
        <w:t xml:space="preserve">. </w:t>
      </w:r>
      <w:r w:rsidR="0044533C" w:rsidRPr="00872293">
        <w:rPr>
          <w:rFonts w:ascii="Times New Roman" w:hAnsi="Times New Roman" w:cs="Times New Roman"/>
        </w:rPr>
        <w:t>Further, species composition</w:t>
      </w:r>
      <w:r w:rsidR="00D540A9" w:rsidRPr="00872293">
        <w:rPr>
          <w:rFonts w:ascii="Times New Roman" w:hAnsi="Times New Roman" w:cs="Times New Roman"/>
        </w:rPr>
        <w:t xml:space="preserve"> </w:t>
      </w:r>
      <w:r w:rsidR="0044533C" w:rsidRPr="00872293">
        <w:rPr>
          <w:rFonts w:ascii="Times New Roman" w:hAnsi="Times New Roman" w:cs="Times New Roman"/>
        </w:rPr>
        <w:t>play</w:t>
      </w:r>
      <w:r w:rsidR="00C71184" w:rsidRPr="00872293">
        <w:rPr>
          <w:rFonts w:ascii="Times New Roman" w:hAnsi="Times New Roman" w:cs="Times New Roman"/>
        </w:rPr>
        <w:t>s</w:t>
      </w:r>
      <w:r w:rsidR="0044533C" w:rsidRPr="00872293">
        <w:rPr>
          <w:rFonts w:ascii="Times New Roman" w:hAnsi="Times New Roman" w:cs="Times New Roman"/>
        </w:rPr>
        <w:t xml:space="preserve"> an important role in fine-root nutrient concentrations</w:t>
      </w:r>
      <w:r w:rsidR="00E55842" w:rsidRPr="00872293">
        <w:rPr>
          <w:rFonts w:ascii="Times New Roman" w:hAnsi="Times New Roman" w:cs="Times New Roman"/>
        </w:rPr>
        <w:t xml:space="preserve">, as well as root diameter, and soil nutrient </w:t>
      </w:r>
      <w:r w:rsidR="00E55842" w:rsidRPr="00872293">
        <w:rPr>
          <w:rFonts w:ascii="Times New Roman" w:hAnsi="Times New Roman" w:cs="Times New Roman"/>
        </w:rPr>
        <w:lastRenderedPageBreak/>
        <w:t>availability as reported in other studies</w:t>
      </w:r>
      <w:r w:rsidR="0044533C" w:rsidRPr="00872293">
        <w:rPr>
          <w:rFonts w:ascii="Times New Roman" w:hAnsi="Times New Roman" w:cs="Times New Roman"/>
        </w:rPr>
        <w:t xml:space="preserve"> (</w:t>
      </w:r>
      <w:proofErr w:type="spellStart"/>
      <w:r w:rsidR="0044533C" w:rsidRPr="00872293">
        <w:rPr>
          <w:rFonts w:ascii="Times New Roman" w:hAnsi="Times New Roman" w:cs="Times New Roman"/>
        </w:rPr>
        <w:t>Luse</w:t>
      </w:r>
      <w:proofErr w:type="spellEnd"/>
      <w:r w:rsidR="0044533C" w:rsidRPr="00872293">
        <w:rPr>
          <w:rFonts w:ascii="Times New Roman" w:hAnsi="Times New Roman" w:cs="Times New Roman"/>
        </w:rPr>
        <w:t>, 1970; Gordon &amp; Jackson, 2000; Valverde-</w:t>
      </w:r>
      <w:proofErr w:type="spellStart"/>
      <w:r w:rsidR="0044533C" w:rsidRPr="00872293">
        <w:rPr>
          <w:rFonts w:ascii="Times New Roman" w:hAnsi="Times New Roman" w:cs="Times New Roman"/>
        </w:rPr>
        <w:t>Barrantes</w:t>
      </w:r>
      <w:proofErr w:type="spellEnd"/>
      <w:r w:rsidR="0044533C" w:rsidRPr="00872293">
        <w:rPr>
          <w:rFonts w:ascii="Times New Roman" w:hAnsi="Times New Roman" w:cs="Times New Roman"/>
        </w:rPr>
        <w:t xml:space="preserve">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 xml:space="preserve">2007; Iversen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 xml:space="preserve">2008; Xia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 xml:space="preserve">2010; Jia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 xml:space="preserve">2011 Li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0044533C" w:rsidRPr="00872293">
        <w:rPr>
          <w:rFonts w:ascii="Times New Roman" w:hAnsi="Times New Roman" w:cs="Times New Roman"/>
        </w:rPr>
        <w:t xml:space="preserve">2015). </w:t>
      </w:r>
    </w:p>
    <w:p w14:paraId="67CAEF8E" w14:textId="77777777" w:rsidR="0098150C" w:rsidRPr="00872293" w:rsidRDefault="0098150C" w:rsidP="0098150C">
      <w:pPr>
        <w:spacing w:line="360" w:lineRule="auto"/>
        <w:rPr>
          <w:rFonts w:ascii="Times New Roman" w:hAnsi="Times New Roman" w:cs="Times New Roman"/>
        </w:rPr>
      </w:pPr>
      <w:bookmarkStart w:id="25" w:name="_Hlk20929560"/>
    </w:p>
    <w:p w14:paraId="6F5515EA" w14:textId="77777777" w:rsidR="00E1327B" w:rsidRPr="00872293" w:rsidRDefault="003A01E8" w:rsidP="0098150C">
      <w:pPr>
        <w:spacing w:line="360" w:lineRule="auto"/>
        <w:rPr>
          <w:rFonts w:ascii="Times New Roman" w:hAnsi="Times New Roman" w:cs="Times New Roman"/>
          <w:highlight w:val="yellow"/>
        </w:rPr>
      </w:pPr>
      <w:r w:rsidRPr="00872293">
        <w:rPr>
          <w:rFonts w:ascii="Times New Roman" w:hAnsi="Times New Roman" w:cs="Times New Roman"/>
        </w:rPr>
        <w:t xml:space="preserve">Using </w:t>
      </w:r>
      <w:r w:rsidR="007A3EB8" w:rsidRPr="00872293">
        <w:rPr>
          <w:rFonts w:ascii="Times New Roman" w:hAnsi="Times New Roman" w:cs="Times New Roman"/>
        </w:rPr>
        <w:t>available</w:t>
      </w:r>
      <w:r w:rsidR="00020898" w:rsidRPr="00872293">
        <w:rPr>
          <w:rFonts w:ascii="Times New Roman" w:hAnsi="Times New Roman" w:cs="Times New Roman"/>
        </w:rPr>
        <w:t xml:space="preserve"> data</w:t>
      </w:r>
      <w:r w:rsidR="007A3EB8" w:rsidRPr="00872293">
        <w:rPr>
          <w:rFonts w:ascii="Times New Roman" w:hAnsi="Times New Roman" w:cs="Times New Roman"/>
        </w:rPr>
        <w:t xml:space="preserve"> for root nutrient concentration </w:t>
      </w:r>
      <w:r w:rsidR="00020898" w:rsidRPr="00872293">
        <w:rPr>
          <w:rFonts w:ascii="Times New Roman" w:hAnsi="Times New Roman" w:cs="Times New Roman"/>
        </w:rPr>
        <w:t>where species identity w</w:t>
      </w:r>
      <w:r w:rsidR="00C41F10" w:rsidRPr="00872293">
        <w:rPr>
          <w:rFonts w:ascii="Times New Roman" w:hAnsi="Times New Roman" w:cs="Times New Roman"/>
        </w:rPr>
        <w:t>as</w:t>
      </w:r>
      <w:r w:rsidR="00020898" w:rsidRPr="00872293">
        <w:rPr>
          <w:rFonts w:ascii="Times New Roman" w:hAnsi="Times New Roman" w:cs="Times New Roman"/>
        </w:rPr>
        <w:t xml:space="preserve"> known </w:t>
      </w:r>
      <w:bookmarkEnd w:id="25"/>
      <w:r w:rsidR="00050001" w:rsidRPr="00872293">
        <w:rPr>
          <w:rFonts w:ascii="Times New Roman" w:hAnsi="Times New Roman" w:cs="Times New Roman"/>
        </w:rPr>
        <w:t xml:space="preserve">and tree diameters varied </w:t>
      </w:r>
      <w:r w:rsidRPr="00872293">
        <w:rPr>
          <w:rFonts w:ascii="Times New Roman" w:hAnsi="Times New Roman" w:cs="Times New Roman"/>
        </w:rPr>
        <w:t xml:space="preserve">(Ovington &amp; Olson, 1970; </w:t>
      </w:r>
      <w:proofErr w:type="spellStart"/>
      <w:r w:rsidRPr="00872293">
        <w:rPr>
          <w:rFonts w:ascii="Times New Roman" w:hAnsi="Times New Roman" w:cs="Times New Roman"/>
        </w:rPr>
        <w:t>Parrotta</w:t>
      </w:r>
      <w:proofErr w:type="spellEnd"/>
      <w:r w:rsidRPr="00872293">
        <w:rPr>
          <w:rFonts w:ascii="Times New Roman" w:hAnsi="Times New Roman" w:cs="Times New Roman"/>
        </w:rPr>
        <w:t xml:space="preserve">, 1999; Lugo </w:t>
      </w:r>
      <w:r w:rsidR="009B371F" w:rsidRPr="00872293">
        <w:rPr>
          <w:rFonts w:ascii="Times New Roman" w:hAnsi="Times New Roman" w:cs="Times New Roman"/>
          <w:i/>
          <w:noProof/>
        </w:rPr>
        <w:t>et al.,</w:t>
      </w:r>
      <w:r w:rsidR="009B371F" w:rsidRPr="00872293">
        <w:rPr>
          <w:rFonts w:ascii="Times New Roman" w:eastAsia="Lato-Regular" w:hAnsi="Times New Roman" w:cs="Times New Roman"/>
        </w:rPr>
        <w:t xml:space="preserve"> </w:t>
      </w:r>
      <w:r w:rsidRPr="00872293">
        <w:rPr>
          <w:rFonts w:ascii="Times New Roman" w:hAnsi="Times New Roman" w:cs="Times New Roman"/>
        </w:rPr>
        <w:t xml:space="preserve">2011), </w:t>
      </w:r>
      <w:r w:rsidR="00873DD9" w:rsidRPr="00872293">
        <w:rPr>
          <w:rFonts w:ascii="Times New Roman" w:hAnsi="Times New Roman" w:cs="Times New Roman"/>
        </w:rPr>
        <w:t>we</w:t>
      </w:r>
      <w:r w:rsidRPr="00872293">
        <w:rPr>
          <w:rFonts w:ascii="Times New Roman" w:hAnsi="Times New Roman" w:cs="Times New Roman"/>
        </w:rPr>
        <w:t xml:space="preserve"> found that there is </w:t>
      </w:r>
      <w:r w:rsidR="006A5EE7" w:rsidRPr="00872293">
        <w:rPr>
          <w:rFonts w:ascii="Times New Roman" w:hAnsi="Times New Roman" w:cs="Times New Roman"/>
        </w:rPr>
        <w:t>a significant difference in N concentration (</w:t>
      </w:r>
      <w:r w:rsidR="006A5EE7" w:rsidRPr="00872293">
        <w:rPr>
          <w:rFonts w:ascii="Times New Roman" w:hAnsi="Times New Roman" w:cs="Times New Roman"/>
          <w:i/>
          <w:iCs/>
        </w:rPr>
        <w:t>P</w:t>
      </w:r>
      <w:r w:rsidR="006A5EE7" w:rsidRPr="00872293">
        <w:rPr>
          <w:rFonts w:ascii="Times New Roman" w:hAnsi="Times New Roman" w:cs="Times New Roman"/>
        </w:rPr>
        <w:t xml:space="preserve">&lt;0.01) </w:t>
      </w:r>
      <w:r w:rsidRPr="00872293">
        <w:rPr>
          <w:rFonts w:ascii="Times New Roman" w:hAnsi="Times New Roman" w:cs="Times New Roman"/>
        </w:rPr>
        <w:t>among the 38 studied species (</w:t>
      </w:r>
      <w:r w:rsidR="00800F0A" w:rsidRPr="00872293">
        <w:rPr>
          <w:rFonts w:ascii="Times New Roman" w:hAnsi="Times New Roman" w:cs="Times New Roman"/>
        </w:rPr>
        <w:t>Fig</w:t>
      </w:r>
      <w:r w:rsidR="00476986" w:rsidRPr="00872293">
        <w:rPr>
          <w:rFonts w:ascii="Times New Roman" w:hAnsi="Times New Roman" w:cs="Times New Roman"/>
        </w:rPr>
        <w:t>ure</w:t>
      </w:r>
      <w:r w:rsidR="00800F0A" w:rsidRPr="00872293">
        <w:rPr>
          <w:rFonts w:ascii="Times New Roman" w:hAnsi="Times New Roman" w:cs="Times New Roman"/>
        </w:rPr>
        <w:t xml:space="preserve"> </w:t>
      </w:r>
      <w:r w:rsidR="005A2220" w:rsidRPr="00872293">
        <w:rPr>
          <w:rFonts w:ascii="Times New Roman" w:hAnsi="Times New Roman" w:cs="Times New Roman"/>
        </w:rPr>
        <w:t>6a</w:t>
      </w:r>
      <w:r w:rsidRPr="00872293">
        <w:rPr>
          <w:rFonts w:ascii="Times New Roman" w:hAnsi="Times New Roman" w:cs="Times New Roman"/>
        </w:rPr>
        <w:t xml:space="preserve">), </w:t>
      </w:r>
      <w:r w:rsidR="006A5EE7" w:rsidRPr="00872293">
        <w:rPr>
          <w:rFonts w:ascii="Times New Roman" w:hAnsi="Times New Roman" w:cs="Times New Roman"/>
        </w:rPr>
        <w:t>but no statistically significant difference in P concentration</w:t>
      </w:r>
      <w:r w:rsidRPr="00872293">
        <w:rPr>
          <w:rFonts w:ascii="Times New Roman" w:hAnsi="Times New Roman" w:cs="Times New Roman"/>
        </w:rPr>
        <w:t xml:space="preserve">. The legumes </w:t>
      </w:r>
      <w:proofErr w:type="spellStart"/>
      <w:r w:rsidRPr="00872293">
        <w:rPr>
          <w:rFonts w:ascii="Times New Roman" w:hAnsi="Times New Roman" w:cs="Times New Roman"/>
          <w:i/>
        </w:rPr>
        <w:t>Ormosia</w:t>
      </w:r>
      <w:proofErr w:type="spellEnd"/>
      <w:r w:rsidRPr="00872293">
        <w:rPr>
          <w:rFonts w:ascii="Times New Roman" w:hAnsi="Times New Roman" w:cs="Times New Roman"/>
          <w:i/>
        </w:rPr>
        <w:t xml:space="preserve"> </w:t>
      </w:r>
      <w:proofErr w:type="spellStart"/>
      <w:r w:rsidRPr="00872293">
        <w:rPr>
          <w:rFonts w:ascii="Times New Roman" w:hAnsi="Times New Roman" w:cs="Times New Roman"/>
          <w:i/>
        </w:rPr>
        <w:t>rugii</w:t>
      </w:r>
      <w:proofErr w:type="spellEnd"/>
      <w:r w:rsidRPr="00872293">
        <w:rPr>
          <w:rFonts w:ascii="Times New Roman" w:hAnsi="Times New Roman" w:cs="Times New Roman"/>
          <w:i/>
        </w:rPr>
        <w:t xml:space="preserve"> </w:t>
      </w:r>
      <w:r w:rsidRPr="00872293">
        <w:rPr>
          <w:rFonts w:ascii="Times New Roman" w:hAnsi="Times New Roman" w:cs="Times New Roman"/>
        </w:rPr>
        <w:t>and</w:t>
      </w:r>
      <w:r w:rsidRPr="00872293">
        <w:rPr>
          <w:rFonts w:ascii="Times New Roman" w:hAnsi="Times New Roman" w:cs="Times New Roman"/>
          <w:i/>
        </w:rPr>
        <w:t xml:space="preserve"> Inga vera </w:t>
      </w:r>
      <w:r w:rsidRPr="00872293">
        <w:rPr>
          <w:rFonts w:ascii="Times New Roman" w:hAnsi="Times New Roman" w:cs="Times New Roman"/>
        </w:rPr>
        <w:t xml:space="preserve">had higher N (1.32% and 1.07%, respectively), and </w:t>
      </w:r>
      <w:r w:rsidRPr="00872293">
        <w:rPr>
          <w:rFonts w:ascii="Times New Roman" w:hAnsi="Times New Roman" w:cs="Times New Roman"/>
          <w:i/>
        </w:rPr>
        <w:t>L</w:t>
      </w:r>
      <w:r w:rsidR="00951BB0" w:rsidRPr="00872293">
        <w:rPr>
          <w:rFonts w:ascii="Times New Roman" w:hAnsi="Times New Roman" w:cs="Times New Roman"/>
          <w:i/>
        </w:rPr>
        <w:t>.</w:t>
      </w:r>
      <w:r w:rsidRPr="00872293">
        <w:rPr>
          <w:rFonts w:ascii="Times New Roman" w:hAnsi="Times New Roman" w:cs="Times New Roman"/>
          <w:i/>
        </w:rPr>
        <w:t xml:space="preserve"> </w:t>
      </w:r>
      <w:proofErr w:type="spellStart"/>
      <w:r w:rsidRPr="00872293">
        <w:rPr>
          <w:rFonts w:ascii="Times New Roman" w:hAnsi="Times New Roman" w:cs="Times New Roman"/>
          <w:i/>
        </w:rPr>
        <w:t>leucocephala</w:t>
      </w:r>
      <w:proofErr w:type="spellEnd"/>
      <w:r w:rsidRPr="00872293">
        <w:rPr>
          <w:rFonts w:ascii="Times New Roman" w:hAnsi="Times New Roman" w:cs="Times New Roman"/>
          <w:i/>
        </w:rPr>
        <w:t xml:space="preserve"> </w:t>
      </w:r>
      <w:r w:rsidRPr="00872293">
        <w:rPr>
          <w:rFonts w:ascii="Times New Roman" w:hAnsi="Times New Roman" w:cs="Times New Roman"/>
        </w:rPr>
        <w:t>had the lowest N concentration (0.13%) (</w:t>
      </w:r>
      <w:r w:rsidR="00910F18" w:rsidRPr="00872293">
        <w:rPr>
          <w:rFonts w:ascii="Times New Roman" w:hAnsi="Times New Roman" w:cs="Times New Roman"/>
        </w:rPr>
        <w:t>Fig</w:t>
      </w:r>
      <w:r w:rsidR="00476986" w:rsidRPr="00872293">
        <w:rPr>
          <w:rFonts w:ascii="Times New Roman" w:hAnsi="Times New Roman" w:cs="Times New Roman"/>
        </w:rPr>
        <w:t>ure</w:t>
      </w:r>
      <w:r w:rsidR="00910F18" w:rsidRPr="00872293">
        <w:rPr>
          <w:rFonts w:ascii="Times New Roman" w:hAnsi="Times New Roman" w:cs="Times New Roman"/>
        </w:rPr>
        <w:t xml:space="preserve"> </w:t>
      </w:r>
      <w:r w:rsidR="005A2220" w:rsidRPr="00872293">
        <w:rPr>
          <w:rFonts w:ascii="Times New Roman" w:hAnsi="Times New Roman" w:cs="Times New Roman"/>
        </w:rPr>
        <w:t>6b</w:t>
      </w:r>
      <w:r w:rsidRPr="00872293">
        <w:rPr>
          <w:rFonts w:ascii="Times New Roman" w:hAnsi="Times New Roman" w:cs="Times New Roman"/>
        </w:rPr>
        <w:t xml:space="preserve">). </w:t>
      </w:r>
    </w:p>
    <w:p w14:paraId="2E36B176" w14:textId="77777777" w:rsidR="0098150C" w:rsidRPr="00872293" w:rsidRDefault="0098150C" w:rsidP="0098150C">
      <w:pPr>
        <w:widowControl w:val="0"/>
        <w:autoSpaceDE w:val="0"/>
        <w:autoSpaceDN w:val="0"/>
        <w:adjustRightInd w:val="0"/>
        <w:spacing w:line="360" w:lineRule="auto"/>
        <w:rPr>
          <w:rFonts w:ascii="Times New Roman" w:hAnsi="Times New Roman" w:cs="Times New Roman"/>
        </w:rPr>
      </w:pPr>
    </w:p>
    <w:p w14:paraId="0342D4A9" w14:textId="2FB82A43" w:rsidR="003A01E8" w:rsidRPr="00872293" w:rsidRDefault="00873DD9" w:rsidP="00C922E9">
      <w:pPr>
        <w:widowControl w:val="0"/>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We </w:t>
      </w:r>
      <w:r w:rsidR="003A01E8" w:rsidRPr="00872293">
        <w:rPr>
          <w:rFonts w:ascii="Times New Roman" w:hAnsi="Times New Roman" w:cs="Times New Roman"/>
        </w:rPr>
        <w:t xml:space="preserve">correlated fine-root nutrient concentration to soil nutrient concentration using raw data from Lugo (1992) and Cuevas </w:t>
      </w:r>
      <w:r w:rsidR="00A039DA" w:rsidRPr="00872293">
        <w:rPr>
          <w:rFonts w:ascii="Times New Roman" w:hAnsi="Times New Roman" w:cs="Times New Roman"/>
          <w:i/>
          <w:noProof/>
        </w:rPr>
        <w:t xml:space="preserve">et al. </w:t>
      </w:r>
      <w:r w:rsidR="003A01E8" w:rsidRPr="00872293">
        <w:rPr>
          <w:rFonts w:ascii="Times New Roman" w:hAnsi="Times New Roman" w:cs="Times New Roman"/>
        </w:rPr>
        <w:t>(1991). There is a positive linear correlation between soil N and fine-root N (Fig</w:t>
      </w:r>
      <w:r w:rsidR="00476986" w:rsidRPr="00872293">
        <w:rPr>
          <w:rFonts w:ascii="Times New Roman" w:hAnsi="Times New Roman" w:cs="Times New Roman"/>
        </w:rPr>
        <w:t xml:space="preserve">ure </w:t>
      </w:r>
      <w:r w:rsidR="005A2220" w:rsidRPr="00872293">
        <w:rPr>
          <w:rFonts w:ascii="Times New Roman" w:hAnsi="Times New Roman" w:cs="Times New Roman"/>
        </w:rPr>
        <w:t>7</w:t>
      </w:r>
      <w:r w:rsidR="00B23C79" w:rsidRPr="00872293">
        <w:rPr>
          <w:rFonts w:ascii="Times New Roman" w:hAnsi="Times New Roman" w:cs="Times New Roman"/>
        </w:rPr>
        <w:t>a</w:t>
      </w:r>
      <w:r w:rsidR="003A01E8" w:rsidRPr="00872293">
        <w:rPr>
          <w:rFonts w:ascii="Times New Roman" w:hAnsi="Times New Roman" w:cs="Times New Roman"/>
        </w:rPr>
        <w:t>). The same pattern is shown for fine-root P and soil P, although there is an outlier that driv</w:t>
      </w:r>
      <w:r w:rsidR="009E13DB" w:rsidRPr="00872293">
        <w:rPr>
          <w:rFonts w:ascii="Times New Roman" w:hAnsi="Times New Roman" w:cs="Times New Roman"/>
        </w:rPr>
        <w:t>es much of</w:t>
      </w:r>
      <w:r w:rsidR="003A01E8" w:rsidRPr="00872293">
        <w:rPr>
          <w:rFonts w:ascii="Times New Roman" w:hAnsi="Times New Roman" w:cs="Times New Roman"/>
        </w:rPr>
        <w:t xml:space="preserve"> th</w:t>
      </w:r>
      <w:r w:rsidR="00706BAE" w:rsidRPr="00872293">
        <w:rPr>
          <w:rFonts w:ascii="Times New Roman" w:hAnsi="Times New Roman" w:cs="Times New Roman"/>
        </w:rPr>
        <w:t>e</w:t>
      </w:r>
      <w:r w:rsidR="003A01E8" w:rsidRPr="00872293">
        <w:rPr>
          <w:rFonts w:ascii="Times New Roman" w:hAnsi="Times New Roman" w:cs="Times New Roman"/>
        </w:rPr>
        <w:t xml:space="preserve"> regression</w:t>
      </w:r>
      <w:r w:rsidR="00706BAE" w:rsidRPr="00872293">
        <w:rPr>
          <w:rFonts w:ascii="Times New Roman" w:hAnsi="Times New Roman" w:cs="Times New Roman"/>
        </w:rPr>
        <w:t xml:space="preserve"> (</w:t>
      </w:r>
      <w:r w:rsidR="009611CC" w:rsidRPr="00872293">
        <w:rPr>
          <w:rFonts w:ascii="Times New Roman" w:hAnsi="Times New Roman" w:cs="Times New Roman"/>
        </w:rPr>
        <w:t>Fig</w:t>
      </w:r>
      <w:r w:rsidR="00476986" w:rsidRPr="00872293">
        <w:rPr>
          <w:rFonts w:ascii="Times New Roman" w:hAnsi="Times New Roman" w:cs="Times New Roman"/>
        </w:rPr>
        <w:t>ure</w:t>
      </w:r>
      <w:r w:rsidR="009611CC" w:rsidRPr="00872293">
        <w:rPr>
          <w:rFonts w:ascii="Times New Roman" w:hAnsi="Times New Roman" w:cs="Times New Roman"/>
        </w:rPr>
        <w:t xml:space="preserve"> </w:t>
      </w:r>
      <w:r w:rsidR="005A2220" w:rsidRPr="00872293">
        <w:rPr>
          <w:rFonts w:ascii="Times New Roman" w:hAnsi="Times New Roman" w:cs="Times New Roman"/>
        </w:rPr>
        <w:t>8</w:t>
      </w:r>
      <w:r w:rsidR="00706BAE" w:rsidRPr="00872293">
        <w:rPr>
          <w:rFonts w:ascii="Times New Roman" w:hAnsi="Times New Roman" w:cs="Times New Roman"/>
        </w:rPr>
        <w:t>)</w:t>
      </w:r>
      <w:r w:rsidR="003A01E8" w:rsidRPr="00872293">
        <w:rPr>
          <w:rFonts w:ascii="Times New Roman" w:hAnsi="Times New Roman" w:cs="Times New Roman"/>
        </w:rPr>
        <w:t>. Using only Lugo (1992) data, fine-root biomass is also positively correlated to soil N (Fig</w:t>
      </w:r>
      <w:r w:rsidR="00476986" w:rsidRPr="00872293">
        <w:rPr>
          <w:rFonts w:ascii="Times New Roman" w:hAnsi="Times New Roman" w:cs="Times New Roman"/>
        </w:rPr>
        <w:t>ure</w:t>
      </w:r>
      <w:r w:rsidR="003A01E8" w:rsidRPr="00872293">
        <w:rPr>
          <w:rFonts w:ascii="Times New Roman" w:hAnsi="Times New Roman" w:cs="Times New Roman"/>
        </w:rPr>
        <w:t xml:space="preserve"> </w:t>
      </w:r>
      <w:r w:rsidR="005A2220" w:rsidRPr="00872293">
        <w:rPr>
          <w:rFonts w:ascii="Times New Roman" w:hAnsi="Times New Roman" w:cs="Times New Roman"/>
        </w:rPr>
        <w:t>7</w:t>
      </w:r>
      <w:r w:rsidR="00B23C79" w:rsidRPr="00872293">
        <w:rPr>
          <w:rFonts w:ascii="Times New Roman" w:hAnsi="Times New Roman" w:cs="Times New Roman"/>
        </w:rPr>
        <w:t>b</w:t>
      </w:r>
      <w:r w:rsidR="003A01E8" w:rsidRPr="00872293">
        <w:rPr>
          <w:rFonts w:ascii="Times New Roman" w:hAnsi="Times New Roman" w:cs="Times New Roman"/>
        </w:rPr>
        <w:t xml:space="preserve">), but not with soil P. </w:t>
      </w:r>
    </w:p>
    <w:p w14:paraId="473A27D4" w14:textId="77777777" w:rsidR="00F81F8D" w:rsidRPr="00872293" w:rsidRDefault="00F81F8D" w:rsidP="00C922E9">
      <w:pPr>
        <w:widowControl w:val="0"/>
        <w:autoSpaceDE w:val="0"/>
        <w:autoSpaceDN w:val="0"/>
        <w:adjustRightInd w:val="0"/>
        <w:spacing w:line="360" w:lineRule="auto"/>
        <w:rPr>
          <w:rFonts w:ascii="Times New Roman" w:hAnsi="Times New Roman" w:cs="Times New Roman"/>
        </w:rPr>
      </w:pPr>
    </w:p>
    <w:p w14:paraId="35E5143D" w14:textId="77777777" w:rsidR="009D2526" w:rsidRPr="00872293" w:rsidRDefault="00BF1AC0" w:rsidP="00C922E9">
      <w:pPr>
        <w:pStyle w:val="Heading2"/>
        <w:spacing w:before="0" w:after="0" w:line="360" w:lineRule="auto"/>
        <w:rPr>
          <w:rFonts w:cs="Times New Roman"/>
          <w:szCs w:val="24"/>
        </w:rPr>
      </w:pPr>
      <w:bookmarkStart w:id="26" w:name="_Toc53689062"/>
      <w:r w:rsidRPr="00872293">
        <w:rPr>
          <w:rFonts w:cs="Times New Roman"/>
          <w:szCs w:val="24"/>
        </w:rPr>
        <w:t>R</w:t>
      </w:r>
      <w:r w:rsidR="008B26E9" w:rsidRPr="00872293">
        <w:rPr>
          <w:rFonts w:cs="Times New Roman"/>
          <w:szCs w:val="24"/>
        </w:rPr>
        <w:t>oot dynamics</w:t>
      </w:r>
      <w:bookmarkEnd w:id="26"/>
    </w:p>
    <w:p w14:paraId="30462E85" w14:textId="77777777" w:rsidR="00814E2F" w:rsidRPr="00872293" w:rsidRDefault="002C4178" w:rsidP="00C922E9">
      <w:pPr>
        <w:pStyle w:val="Heading3"/>
        <w:spacing w:before="0" w:after="0" w:line="360" w:lineRule="auto"/>
      </w:pPr>
      <w:bookmarkStart w:id="27" w:name="_Toc53689063"/>
      <w:r w:rsidRPr="00872293">
        <w:t>R</w:t>
      </w:r>
      <w:r w:rsidR="008B26E9" w:rsidRPr="00872293">
        <w:t>oot production</w:t>
      </w:r>
      <w:bookmarkEnd w:id="27"/>
    </w:p>
    <w:p w14:paraId="0F73844E" w14:textId="3831EAA0" w:rsidR="00114432" w:rsidRPr="00872293" w:rsidRDefault="0095391B" w:rsidP="00C922E9">
      <w:pPr>
        <w:spacing w:before="240" w:line="360" w:lineRule="auto"/>
        <w:rPr>
          <w:rFonts w:ascii="Times New Roman" w:hAnsi="Times New Roman" w:cs="Times New Roman"/>
        </w:rPr>
      </w:pPr>
      <w:r w:rsidRPr="00872293">
        <w:rPr>
          <w:rFonts w:ascii="Times New Roman" w:hAnsi="Times New Roman" w:cs="Times New Roman"/>
        </w:rPr>
        <w:t>T</w:t>
      </w:r>
      <w:r w:rsidR="00EC6AF1" w:rsidRPr="00872293">
        <w:rPr>
          <w:rFonts w:ascii="Times New Roman" w:hAnsi="Times New Roman" w:cs="Times New Roman"/>
        </w:rPr>
        <w:t>wo</w:t>
      </w:r>
      <w:r w:rsidR="003A01E8" w:rsidRPr="00872293">
        <w:rPr>
          <w:rFonts w:ascii="Times New Roman" w:hAnsi="Times New Roman" w:cs="Times New Roman"/>
        </w:rPr>
        <w:t xml:space="preserve"> </w:t>
      </w:r>
      <w:r w:rsidR="00FA5948" w:rsidRPr="00872293">
        <w:rPr>
          <w:rFonts w:ascii="Times New Roman" w:hAnsi="Times New Roman" w:cs="Times New Roman"/>
        </w:rPr>
        <w:t xml:space="preserve">studies </w:t>
      </w:r>
      <w:r w:rsidR="003A01E8" w:rsidRPr="00872293">
        <w:rPr>
          <w:rFonts w:ascii="Times New Roman" w:hAnsi="Times New Roman" w:cs="Times New Roman"/>
        </w:rPr>
        <w:t xml:space="preserve">analyzed root production among Puerto Rico’s forests (Cuevas </w:t>
      </w:r>
      <w:r w:rsidR="00A039DA" w:rsidRPr="00872293">
        <w:rPr>
          <w:rFonts w:ascii="Times New Roman" w:hAnsi="Times New Roman" w:cs="Times New Roman"/>
          <w:i/>
          <w:noProof/>
        </w:rPr>
        <w:t>et al.,</w:t>
      </w:r>
      <w:r w:rsidR="00A039DA" w:rsidRPr="00872293">
        <w:rPr>
          <w:rFonts w:ascii="Times New Roman" w:eastAsia="Lato-Regular" w:hAnsi="Times New Roman" w:cs="Times New Roman"/>
        </w:rPr>
        <w:t xml:space="preserve"> </w:t>
      </w:r>
      <w:r w:rsidR="003A01E8" w:rsidRPr="00872293">
        <w:rPr>
          <w:rFonts w:ascii="Times New Roman" w:hAnsi="Times New Roman" w:cs="Times New Roman"/>
        </w:rPr>
        <w:t>1991)</w:t>
      </w:r>
      <w:r w:rsidR="001368A2" w:rsidRPr="00872293">
        <w:rPr>
          <w:rFonts w:ascii="Times New Roman" w:hAnsi="Times New Roman" w:cs="Times New Roman"/>
        </w:rPr>
        <w:t>,</w:t>
      </w:r>
      <w:r w:rsidR="00D00C3B" w:rsidRPr="00872293">
        <w:rPr>
          <w:rFonts w:ascii="Times New Roman" w:hAnsi="Times New Roman" w:cs="Times New Roman"/>
        </w:rPr>
        <w:t xml:space="preserve"> and </w:t>
      </w:r>
      <w:r w:rsidR="003D2855" w:rsidRPr="00872293">
        <w:rPr>
          <w:rFonts w:ascii="Times New Roman" w:hAnsi="Times New Roman" w:cs="Times New Roman"/>
        </w:rPr>
        <w:t>o</w:t>
      </w:r>
      <w:r w:rsidRPr="00872293">
        <w:rPr>
          <w:rFonts w:ascii="Times New Roman" w:hAnsi="Times New Roman" w:cs="Times New Roman"/>
        </w:rPr>
        <w:t xml:space="preserve">ne </w:t>
      </w:r>
      <w:r w:rsidR="00D00C3B" w:rsidRPr="00872293">
        <w:rPr>
          <w:rFonts w:ascii="Times New Roman" w:hAnsi="Times New Roman" w:cs="Times New Roman"/>
        </w:rPr>
        <w:t>measured root regrowth</w:t>
      </w:r>
      <w:r w:rsidR="00212AEA" w:rsidRPr="00872293">
        <w:rPr>
          <w:rFonts w:ascii="Times New Roman" w:hAnsi="Times New Roman" w:cs="Times New Roman"/>
        </w:rPr>
        <w:t xml:space="preserve"> </w:t>
      </w:r>
      <w:r w:rsidR="001C2C81" w:rsidRPr="00872293">
        <w:rPr>
          <w:rFonts w:ascii="Times New Roman" w:hAnsi="Times New Roman" w:cs="Times New Roman"/>
        </w:rPr>
        <w:t>(Kangas, 1992)</w:t>
      </w:r>
      <w:r w:rsidR="003A01E8" w:rsidRPr="00872293">
        <w:rPr>
          <w:rFonts w:ascii="Times New Roman" w:hAnsi="Times New Roman" w:cs="Times New Roman"/>
        </w:rPr>
        <w:t xml:space="preserve">. </w:t>
      </w:r>
      <w:r w:rsidR="001C2C81" w:rsidRPr="00872293">
        <w:rPr>
          <w:rFonts w:ascii="Times New Roman" w:hAnsi="Times New Roman" w:cs="Times New Roman"/>
        </w:rPr>
        <w:t xml:space="preserve">Cuevas </w:t>
      </w:r>
      <w:r w:rsidR="00A039DA" w:rsidRPr="00872293">
        <w:rPr>
          <w:rFonts w:ascii="Times New Roman" w:hAnsi="Times New Roman" w:cs="Times New Roman"/>
          <w:i/>
          <w:noProof/>
        </w:rPr>
        <w:t xml:space="preserve">et al. </w:t>
      </w:r>
      <w:r w:rsidR="001C2C81" w:rsidRPr="00872293">
        <w:rPr>
          <w:rFonts w:ascii="Times New Roman" w:hAnsi="Times New Roman" w:cs="Times New Roman"/>
        </w:rPr>
        <w:t>(1991)</w:t>
      </w:r>
      <w:r w:rsidR="003A01E8" w:rsidRPr="00872293">
        <w:rPr>
          <w:rFonts w:ascii="Times New Roman" w:hAnsi="Times New Roman" w:cs="Times New Roman"/>
        </w:rPr>
        <w:t xml:space="preserve"> used in-growth cores to measure root production</w:t>
      </w:r>
      <w:r w:rsidR="003D2855" w:rsidRPr="00872293">
        <w:rPr>
          <w:rFonts w:ascii="Times New Roman" w:hAnsi="Times New Roman" w:cs="Times New Roman"/>
        </w:rPr>
        <w:t xml:space="preserve"> </w:t>
      </w:r>
      <w:r w:rsidRPr="00872293">
        <w:rPr>
          <w:rFonts w:ascii="Times New Roman" w:hAnsi="Times New Roman" w:cs="Times New Roman"/>
        </w:rPr>
        <w:t>(</w:t>
      </w:r>
      <w:r w:rsidR="00DA0742" w:rsidRPr="00872293">
        <w:rPr>
          <w:rFonts w:ascii="Times New Roman" w:hAnsi="Times New Roman" w:cs="Times New Roman"/>
        </w:rPr>
        <w:t>&lt;</w:t>
      </w:r>
      <w:r w:rsidR="006839F7" w:rsidRPr="00872293">
        <w:rPr>
          <w:rFonts w:ascii="Times New Roman" w:hAnsi="Times New Roman" w:cs="Times New Roman"/>
        </w:rPr>
        <w:t>2 mm in diameter</w:t>
      </w:r>
      <w:r w:rsidRPr="00872293">
        <w:rPr>
          <w:rFonts w:ascii="Times New Roman" w:hAnsi="Times New Roman" w:cs="Times New Roman"/>
        </w:rPr>
        <w:t>)</w:t>
      </w:r>
      <w:r w:rsidR="006839F7" w:rsidRPr="00872293">
        <w:rPr>
          <w:rFonts w:ascii="Times New Roman" w:hAnsi="Times New Roman" w:cs="Times New Roman"/>
        </w:rPr>
        <w:t xml:space="preserve"> collected every 6 months</w:t>
      </w:r>
      <w:r w:rsidR="003A01E8" w:rsidRPr="00872293">
        <w:rPr>
          <w:rFonts w:ascii="Times New Roman" w:hAnsi="Times New Roman" w:cs="Times New Roman"/>
        </w:rPr>
        <w:t xml:space="preserve"> in plantation plots and a paired secondary forest plot at LEF. They found that a secondary forest produce</w:t>
      </w:r>
      <w:r w:rsidR="006E3651" w:rsidRPr="00872293">
        <w:rPr>
          <w:rFonts w:ascii="Times New Roman" w:hAnsi="Times New Roman" w:cs="Times New Roman"/>
        </w:rPr>
        <w:t>d</w:t>
      </w:r>
      <w:r w:rsidR="003A01E8" w:rsidRPr="00872293">
        <w:rPr>
          <w:rFonts w:ascii="Times New Roman" w:hAnsi="Times New Roman" w:cs="Times New Roman"/>
        </w:rPr>
        <w:t xml:space="preserve"> on average 8.54 </w:t>
      </w:r>
      <w:r w:rsidR="001158B5" w:rsidRPr="00872293">
        <w:rPr>
          <w:rFonts w:ascii="Times New Roman" w:hAnsi="Times New Roman" w:cs="Times New Roman"/>
        </w:rPr>
        <w:t>Mg ha</w:t>
      </w:r>
      <w:r w:rsidR="001158B5" w:rsidRPr="00872293">
        <w:rPr>
          <w:rFonts w:ascii="Times New Roman" w:hAnsi="Times New Roman" w:cs="Times New Roman"/>
          <w:vertAlign w:val="superscript"/>
        </w:rPr>
        <w:t>-1</w:t>
      </w:r>
      <w:r w:rsidR="001158B5" w:rsidRPr="00872293">
        <w:rPr>
          <w:rFonts w:ascii="Times New Roman" w:hAnsi="Times New Roman" w:cs="Times New Roman"/>
        </w:rPr>
        <w:t xml:space="preserve"> year</w:t>
      </w:r>
      <w:r w:rsidR="001158B5" w:rsidRPr="00872293">
        <w:rPr>
          <w:rFonts w:ascii="Times New Roman" w:hAnsi="Times New Roman" w:cs="Times New Roman"/>
          <w:vertAlign w:val="superscript"/>
        </w:rPr>
        <w:t xml:space="preserve">-1 </w:t>
      </w:r>
      <w:r w:rsidR="003A01E8" w:rsidRPr="00872293">
        <w:rPr>
          <w:rFonts w:ascii="Times New Roman" w:hAnsi="Times New Roman" w:cs="Times New Roman"/>
        </w:rPr>
        <w:t>of fine roots</w:t>
      </w:r>
      <w:r w:rsidR="00EC6AF1" w:rsidRPr="00872293">
        <w:rPr>
          <w:rFonts w:ascii="Times New Roman" w:hAnsi="Times New Roman" w:cs="Times New Roman"/>
        </w:rPr>
        <w:t xml:space="preserve"> in the first 30 cm of soil depth</w:t>
      </w:r>
      <w:r w:rsidR="003A01E8" w:rsidRPr="00872293">
        <w:rPr>
          <w:rFonts w:ascii="Times New Roman" w:hAnsi="Times New Roman" w:cs="Times New Roman"/>
        </w:rPr>
        <w:t xml:space="preserve">, while that of a pine plantation </w:t>
      </w:r>
      <w:r w:rsidR="006E3651" w:rsidRPr="00872293">
        <w:rPr>
          <w:rFonts w:ascii="Times New Roman" w:hAnsi="Times New Roman" w:cs="Times New Roman"/>
        </w:rPr>
        <w:t>was</w:t>
      </w:r>
      <w:r w:rsidR="003A01E8" w:rsidRPr="00872293">
        <w:rPr>
          <w:rFonts w:ascii="Times New Roman" w:hAnsi="Times New Roman" w:cs="Times New Roman"/>
        </w:rPr>
        <w:t xml:space="preserve"> 1.15 </w:t>
      </w:r>
      <w:r w:rsidR="001158B5" w:rsidRPr="00872293">
        <w:rPr>
          <w:rFonts w:ascii="Times New Roman" w:hAnsi="Times New Roman" w:cs="Times New Roman"/>
        </w:rPr>
        <w:t>Mg ha</w:t>
      </w:r>
      <w:r w:rsidR="001158B5" w:rsidRPr="00872293">
        <w:rPr>
          <w:rFonts w:ascii="Times New Roman" w:hAnsi="Times New Roman" w:cs="Times New Roman"/>
          <w:vertAlign w:val="superscript"/>
        </w:rPr>
        <w:t>-1</w:t>
      </w:r>
      <w:r w:rsidR="001158B5" w:rsidRPr="00872293">
        <w:rPr>
          <w:rFonts w:ascii="Times New Roman" w:hAnsi="Times New Roman" w:cs="Times New Roman"/>
        </w:rPr>
        <w:t xml:space="preserve"> year</w:t>
      </w:r>
      <w:r w:rsidR="001158B5" w:rsidRPr="00872293">
        <w:rPr>
          <w:rFonts w:ascii="Times New Roman" w:hAnsi="Times New Roman" w:cs="Times New Roman"/>
          <w:vertAlign w:val="superscript"/>
        </w:rPr>
        <w:t>-1</w:t>
      </w:r>
      <w:r w:rsidR="003A01E8" w:rsidRPr="00872293">
        <w:rPr>
          <w:rFonts w:ascii="Times New Roman" w:hAnsi="Times New Roman" w:cs="Times New Roman"/>
        </w:rPr>
        <w:t xml:space="preserve">. The differences were explained by species richness, litterfall decomposition rate, and a combination of conditions that promote root production. </w:t>
      </w:r>
      <w:proofErr w:type="spellStart"/>
      <w:r w:rsidR="00EC6AF1" w:rsidRPr="00872293">
        <w:rPr>
          <w:rFonts w:ascii="Times New Roman" w:hAnsi="Times New Roman" w:cs="Times New Roman"/>
        </w:rPr>
        <w:t>Templer</w:t>
      </w:r>
      <w:proofErr w:type="spellEnd"/>
      <w:r w:rsidR="00EC6AF1" w:rsidRPr="00872293">
        <w:rPr>
          <w:rFonts w:ascii="Times New Roman" w:hAnsi="Times New Roman" w:cs="Times New Roman"/>
        </w:rPr>
        <w:t xml:space="preserve"> </w:t>
      </w:r>
      <w:r w:rsidR="00A039DA" w:rsidRPr="00872293">
        <w:rPr>
          <w:rFonts w:ascii="Times New Roman" w:hAnsi="Times New Roman" w:cs="Times New Roman"/>
          <w:i/>
          <w:noProof/>
        </w:rPr>
        <w:t xml:space="preserve">et al. </w:t>
      </w:r>
      <w:r w:rsidR="00EC6AF1" w:rsidRPr="00872293">
        <w:rPr>
          <w:rFonts w:ascii="Times New Roman" w:hAnsi="Times New Roman" w:cs="Times New Roman"/>
        </w:rPr>
        <w:t xml:space="preserve">(2008) reported a root production </w:t>
      </w:r>
      <w:r w:rsidR="00DA0742" w:rsidRPr="00872293">
        <w:rPr>
          <w:rFonts w:ascii="Times New Roman" w:hAnsi="Times New Roman" w:cs="Times New Roman"/>
        </w:rPr>
        <w:t xml:space="preserve">(&lt;2 mm in diameter) </w:t>
      </w:r>
      <w:r w:rsidR="00EC6AF1" w:rsidRPr="00872293">
        <w:rPr>
          <w:rFonts w:ascii="Times New Roman" w:hAnsi="Times New Roman" w:cs="Times New Roman"/>
        </w:rPr>
        <w:t>of 1.6 Mg</w:t>
      </w:r>
      <w:r w:rsidR="007231C1" w:rsidRPr="007231C1">
        <w:rPr>
          <w:rFonts w:ascii="Times New Roman" w:hAnsi="Times New Roman" w:cs="Times New Roman"/>
        </w:rPr>
        <w:t xml:space="preserve"> </w:t>
      </w:r>
      <w:r w:rsidR="007231C1" w:rsidRPr="00872293">
        <w:rPr>
          <w:rFonts w:ascii="Times New Roman" w:hAnsi="Times New Roman" w:cs="Times New Roman"/>
        </w:rPr>
        <w:t>ha</w:t>
      </w:r>
      <w:r w:rsidR="007231C1" w:rsidRPr="00BD6642">
        <w:rPr>
          <w:rFonts w:ascii="Times New Roman" w:hAnsi="Times New Roman" w:cs="Times New Roman"/>
          <w:vertAlign w:val="superscript"/>
        </w:rPr>
        <w:t>-1</w:t>
      </w:r>
      <w:r w:rsidR="007231C1" w:rsidRPr="00872293">
        <w:rPr>
          <w:rFonts w:ascii="Times New Roman" w:hAnsi="Times New Roman" w:cs="Times New Roman"/>
        </w:rPr>
        <w:t xml:space="preserve"> </w:t>
      </w:r>
      <w:r w:rsidR="00863080" w:rsidRPr="00872293">
        <w:rPr>
          <w:rFonts w:ascii="Times New Roman" w:hAnsi="Times New Roman" w:cs="Times New Roman"/>
        </w:rPr>
        <w:t xml:space="preserve">over </w:t>
      </w:r>
      <w:r w:rsidR="00EC6AF1" w:rsidRPr="00872293">
        <w:rPr>
          <w:rFonts w:ascii="Times New Roman" w:hAnsi="Times New Roman" w:cs="Times New Roman"/>
        </w:rPr>
        <w:t>11 months</w:t>
      </w:r>
      <w:r w:rsidR="00863080" w:rsidRPr="00872293">
        <w:rPr>
          <w:rFonts w:ascii="Times New Roman" w:hAnsi="Times New Roman" w:cs="Times New Roman"/>
        </w:rPr>
        <w:t xml:space="preserve"> </w:t>
      </w:r>
      <w:r w:rsidR="00EC6AF1" w:rsidRPr="00872293">
        <w:rPr>
          <w:rFonts w:ascii="Times New Roman" w:hAnsi="Times New Roman" w:cs="Times New Roman"/>
        </w:rPr>
        <w:t>in 10 cm of soil depth</w:t>
      </w:r>
      <w:r w:rsidR="009C7B3D" w:rsidRPr="00872293">
        <w:rPr>
          <w:rFonts w:ascii="Times New Roman" w:hAnsi="Times New Roman" w:cs="Times New Roman"/>
        </w:rPr>
        <w:t xml:space="preserve"> </w:t>
      </w:r>
      <w:r w:rsidR="00114432" w:rsidRPr="00872293">
        <w:rPr>
          <w:rFonts w:ascii="Times New Roman" w:hAnsi="Times New Roman" w:cs="Times New Roman"/>
        </w:rPr>
        <w:t>in a</w:t>
      </w:r>
      <w:r w:rsidR="009C7B3D" w:rsidRPr="00872293">
        <w:rPr>
          <w:rFonts w:ascii="Times New Roman" w:hAnsi="Times New Roman" w:cs="Times New Roman"/>
        </w:rPr>
        <w:t xml:space="preserve"> mature forest of LEF.</w:t>
      </w:r>
      <w:r w:rsidR="00EC6AF1" w:rsidRPr="00872293">
        <w:rPr>
          <w:rFonts w:ascii="Times New Roman" w:hAnsi="Times New Roman" w:cs="Times New Roman"/>
        </w:rPr>
        <w:t xml:space="preserve"> </w:t>
      </w:r>
      <w:r w:rsidR="009C7B3D" w:rsidRPr="00872293">
        <w:rPr>
          <w:rFonts w:ascii="Times New Roman" w:hAnsi="Times New Roman" w:cs="Times New Roman"/>
        </w:rPr>
        <w:t xml:space="preserve">If this production is maintained constant </w:t>
      </w:r>
      <w:r w:rsidR="006E3651" w:rsidRPr="00872293">
        <w:rPr>
          <w:rFonts w:ascii="Times New Roman" w:hAnsi="Times New Roman" w:cs="Times New Roman"/>
        </w:rPr>
        <w:t xml:space="preserve">over </w:t>
      </w:r>
      <w:r w:rsidR="009C7B3D" w:rsidRPr="00872293">
        <w:rPr>
          <w:rFonts w:ascii="Times New Roman" w:hAnsi="Times New Roman" w:cs="Times New Roman"/>
        </w:rPr>
        <w:t xml:space="preserve">a year, root production would be 1.74 </w:t>
      </w:r>
      <w:r w:rsidR="001158B5" w:rsidRPr="00872293">
        <w:rPr>
          <w:rFonts w:ascii="Times New Roman" w:hAnsi="Times New Roman" w:cs="Times New Roman"/>
        </w:rPr>
        <w:t>Mg ha</w:t>
      </w:r>
      <w:r w:rsidR="001158B5" w:rsidRPr="00872293">
        <w:rPr>
          <w:rFonts w:ascii="Times New Roman" w:hAnsi="Times New Roman" w:cs="Times New Roman"/>
          <w:vertAlign w:val="superscript"/>
        </w:rPr>
        <w:t>-1</w:t>
      </w:r>
      <w:r w:rsidR="001158B5" w:rsidRPr="00872293">
        <w:rPr>
          <w:rFonts w:ascii="Times New Roman" w:hAnsi="Times New Roman" w:cs="Times New Roman"/>
        </w:rPr>
        <w:t xml:space="preserve"> year</w:t>
      </w:r>
      <w:r w:rsidR="001158B5" w:rsidRPr="00872293">
        <w:rPr>
          <w:rFonts w:ascii="Times New Roman" w:hAnsi="Times New Roman" w:cs="Times New Roman"/>
          <w:vertAlign w:val="superscript"/>
        </w:rPr>
        <w:t>-1</w:t>
      </w:r>
      <w:r w:rsidR="007231C1">
        <w:rPr>
          <w:rFonts w:ascii="Times New Roman" w:hAnsi="Times New Roman" w:cs="Times New Roman"/>
          <w:vertAlign w:val="superscript"/>
        </w:rPr>
        <w:t xml:space="preserve"> </w:t>
      </w:r>
      <w:r w:rsidR="009C7B3D" w:rsidRPr="00872293">
        <w:rPr>
          <w:rFonts w:ascii="Times New Roman" w:hAnsi="Times New Roman" w:cs="Times New Roman"/>
        </w:rPr>
        <w:t>which</w:t>
      </w:r>
      <w:r w:rsidR="00114432" w:rsidRPr="00872293">
        <w:rPr>
          <w:rFonts w:ascii="Times New Roman" w:hAnsi="Times New Roman" w:cs="Times New Roman"/>
        </w:rPr>
        <w:t xml:space="preserve">, despite the soil depth differences, is </w:t>
      </w:r>
      <w:r w:rsidR="00113887" w:rsidRPr="00872293">
        <w:rPr>
          <w:rFonts w:ascii="Times New Roman" w:hAnsi="Times New Roman" w:cs="Times New Roman"/>
        </w:rPr>
        <w:t xml:space="preserve">five times </w:t>
      </w:r>
      <w:r w:rsidR="00114432" w:rsidRPr="00872293">
        <w:rPr>
          <w:rFonts w:ascii="Times New Roman" w:hAnsi="Times New Roman" w:cs="Times New Roman"/>
        </w:rPr>
        <w:t xml:space="preserve">less than the one reported by Cuevas </w:t>
      </w:r>
      <w:r w:rsidR="00A039DA" w:rsidRPr="00872293">
        <w:rPr>
          <w:rFonts w:ascii="Times New Roman" w:hAnsi="Times New Roman" w:cs="Times New Roman"/>
          <w:i/>
          <w:noProof/>
        </w:rPr>
        <w:t xml:space="preserve">et al. </w:t>
      </w:r>
      <w:r w:rsidR="00114432" w:rsidRPr="00872293">
        <w:rPr>
          <w:rFonts w:ascii="Times New Roman" w:hAnsi="Times New Roman" w:cs="Times New Roman"/>
        </w:rPr>
        <w:t>(1991) for a secondary forest.</w:t>
      </w:r>
    </w:p>
    <w:p w14:paraId="5DA74B99" w14:textId="77777777" w:rsidR="00F4721F" w:rsidRPr="00872293" w:rsidRDefault="00F4721F" w:rsidP="00CD08B7">
      <w:pPr>
        <w:spacing w:line="360" w:lineRule="auto"/>
        <w:rPr>
          <w:rFonts w:ascii="Times New Roman" w:hAnsi="Times New Roman" w:cs="Times New Roman"/>
        </w:rPr>
      </w:pPr>
    </w:p>
    <w:p w14:paraId="760C0D50" w14:textId="41D0881E" w:rsidR="003A01E8" w:rsidRPr="00872293" w:rsidRDefault="003A01E8" w:rsidP="00CD08B7">
      <w:pPr>
        <w:spacing w:line="360" w:lineRule="auto"/>
        <w:rPr>
          <w:rFonts w:ascii="Times New Roman" w:hAnsi="Times New Roman" w:cs="Times New Roman"/>
        </w:rPr>
      </w:pPr>
      <w:r w:rsidRPr="00872293">
        <w:rPr>
          <w:rFonts w:ascii="Times New Roman" w:hAnsi="Times New Roman" w:cs="Times New Roman"/>
        </w:rPr>
        <w:lastRenderedPageBreak/>
        <w:t xml:space="preserve">Kangas (1992) measured </w:t>
      </w:r>
      <w:r w:rsidR="00FA5948" w:rsidRPr="00872293">
        <w:rPr>
          <w:rFonts w:ascii="Times New Roman" w:hAnsi="Times New Roman" w:cs="Times New Roman"/>
        </w:rPr>
        <w:t>fine-</w:t>
      </w:r>
      <w:r w:rsidRPr="00872293">
        <w:rPr>
          <w:rFonts w:ascii="Times New Roman" w:hAnsi="Times New Roman" w:cs="Times New Roman"/>
        </w:rPr>
        <w:t xml:space="preserve">root regrowth using pit excavation and re-excavation in 10 sites of a mature forest at LEF after 1 year and 4 years. However, due to the long </w:t>
      </w:r>
      <w:r w:rsidR="00AA354D" w:rsidRPr="00872293">
        <w:rPr>
          <w:rFonts w:ascii="Times New Roman" w:hAnsi="Times New Roman" w:cs="Times New Roman"/>
        </w:rPr>
        <w:t>inter-collection</w:t>
      </w:r>
      <w:r w:rsidRPr="00872293">
        <w:rPr>
          <w:rFonts w:ascii="Times New Roman" w:hAnsi="Times New Roman" w:cs="Times New Roman"/>
        </w:rPr>
        <w:t xml:space="preserve"> </w:t>
      </w:r>
      <w:r w:rsidR="00AA354D" w:rsidRPr="00872293">
        <w:rPr>
          <w:rFonts w:ascii="Times New Roman" w:hAnsi="Times New Roman" w:cs="Times New Roman"/>
        </w:rPr>
        <w:t>intervals</w:t>
      </w:r>
      <w:r w:rsidRPr="00872293">
        <w:rPr>
          <w:rFonts w:ascii="Times New Roman" w:hAnsi="Times New Roman" w:cs="Times New Roman"/>
        </w:rPr>
        <w:t>, only the biomass accumulation</w:t>
      </w:r>
      <w:r w:rsidR="00AA354D" w:rsidRPr="00872293">
        <w:rPr>
          <w:rFonts w:ascii="Times New Roman" w:hAnsi="Times New Roman" w:cs="Times New Roman"/>
        </w:rPr>
        <w:t xml:space="preserve"> was measured, not production</w:t>
      </w:r>
      <w:r w:rsidRPr="00872293">
        <w:rPr>
          <w:rFonts w:ascii="Times New Roman" w:hAnsi="Times New Roman" w:cs="Times New Roman"/>
        </w:rPr>
        <w:t xml:space="preserve">. Kangas (1992) showed </w:t>
      </w:r>
      <w:r w:rsidR="00AA354D" w:rsidRPr="00872293">
        <w:rPr>
          <w:rFonts w:ascii="Times New Roman" w:hAnsi="Times New Roman" w:cs="Times New Roman"/>
        </w:rPr>
        <w:t xml:space="preserve">a </w:t>
      </w:r>
      <w:r w:rsidRPr="00872293">
        <w:rPr>
          <w:rFonts w:ascii="Times New Roman" w:hAnsi="Times New Roman" w:cs="Times New Roman"/>
        </w:rPr>
        <w:t xml:space="preserve">root </w:t>
      </w:r>
      <w:r w:rsidR="00AA354D" w:rsidRPr="00872293">
        <w:rPr>
          <w:rFonts w:ascii="Times New Roman" w:hAnsi="Times New Roman" w:cs="Times New Roman"/>
        </w:rPr>
        <w:t xml:space="preserve">accumulation </w:t>
      </w:r>
      <w:r w:rsidRPr="00872293">
        <w:rPr>
          <w:rFonts w:ascii="Times New Roman" w:hAnsi="Times New Roman" w:cs="Times New Roman"/>
        </w:rPr>
        <w:t xml:space="preserve">of 2.89 </w:t>
      </w:r>
      <w:r w:rsidR="001158B5" w:rsidRPr="00872293">
        <w:rPr>
          <w:rFonts w:ascii="Times New Roman" w:hAnsi="Times New Roman" w:cs="Times New Roman"/>
        </w:rPr>
        <w:t>Mg ha</w:t>
      </w:r>
      <w:r w:rsidR="001158B5" w:rsidRPr="00872293">
        <w:rPr>
          <w:rFonts w:ascii="Times New Roman" w:hAnsi="Times New Roman" w:cs="Times New Roman"/>
          <w:vertAlign w:val="superscript"/>
        </w:rPr>
        <w:t>-1</w:t>
      </w:r>
      <w:r w:rsidR="001158B5" w:rsidRPr="00872293">
        <w:rPr>
          <w:rFonts w:ascii="Times New Roman" w:hAnsi="Times New Roman" w:cs="Times New Roman"/>
        </w:rPr>
        <w:t xml:space="preserve"> year</w:t>
      </w:r>
      <w:r w:rsidR="001158B5" w:rsidRPr="00872293">
        <w:rPr>
          <w:rFonts w:ascii="Times New Roman" w:hAnsi="Times New Roman" w:cs="Times New Roman"/>
          <w:vertAlign w:val="superscript"/>
        </w:rPr>
        <w:t>-1</w:t>
      </w:r>
      <w:r w:rsidR="0092326D" w:rsidRPr="00872293">
        <w:rPr>
          <w:rFonts w:ascii="Times New Roman" w:hAnsi="Times New Roman" w:cs="Times New Roman"/>
        </w:rPr>
        <w:t>after a</w:t>
      </w:r>
      <w:r w:rsidRPr="00872293">
        <w:rPr>
          <w:rFonts w:ascii="Times New Roman" w:hAnsi="Times New Roman" w:cs="Times New Roman"/>
        </w:rPr>
        <w:t xml:space="preserve"> year, and 4.77 Mg</w:t>
      </w:r>
      <w:r w:rsidR="007231C1" w:rsidRPr="007231C1">
        <w:rPr>
          <w:rFonts w:ascii="Times New Roman" w:hAnsi="Times New Roman" w:cs="Times New Roman"/>
        </w:rPr>
        <w:t xml:space="preserve"> </w:t>
      </w:r>
      <w:r w:rsidR="007231C1" w:rsidRPr="00872293">
        <w:rPr>
          <w:rFonts w:ascii="Times New Roman" w:hAnsi="Times New Roman" w:cs="Times New Roman"/>
        </w:rPr>
        <w:t>ha</w:t>
      </w:r>
      <w:r w:rsidR="007231C1" w:rsidRPr="00BD6642">
        <w:rPr>
          <w:rFonts w:ascii="Times New Roman" w:hAnsi="Times New Roman" w:cs="Times New Roman"/>
          <w:vertAlign w:val="superscript"/>
        </w:rPr>
        <w:t>-1</w:t>
      </w:r>
      <w:r w:rsidR="0092326D" w:rsidRPr="00872293">
        <w:rPr>
          <w:rFonts w:ascii="Times New Roman" w:hAnsi="Times New Roman" w:cs="Times New Roman"/>
        </w:rPr>
        <w:t xml:space="preserve"> after 3 years.</w:t>
      </w:r>
    </w:p>
    <w:p w14:paraId="051452A7" w14:textId="77777777" w:rsidR="00F81F8D" w:rsidRPr="00872293" w:rsidRDefault="00F81F8D" w:rsidP="00CD08B7">
      <w:pPr>
        <w:spacing w:line="360" w:lineRule="auto"/>
        <w:rPr>
          <w:rFonts w:ascii="Times New Roman" w:hAnsi="Times New Roman" w:cs="Times New Roman"/>
        </w:rPr>
      </w:pPr>
    </w:p>
    <w:p w14:paraId="4767A302" w14:textId="77777777" w:rsidR="00814E2F" w:rsidRPr="00872293" w:rsidRDefault="003A7BB4" w:rsidP="00F81F8D">
      <w:pPr>
        <w:pStyle w:val="Heading3"/>
        <w:spacing w:before="0" w:after="0" w:line="360" w:lineRule="auto"/>
      </w:pPr>
      <w:bookmarkStart w:id="28" w:name="_Toc53689064"/>
      <w:r w:rsidRPr="00872293">
        <w:t>R</w:t>
      </w:r>
      <w:r w:rsidR="008B26E9" w:rsidRPr="00872293">
        <w:t>oot decomposition</w:t>
      </w:r>
      <w:bookmarkEnd w:id="28"/>
    </w:p>
    <w:p w14:paraId="6DE561C2" w14:textId="77777777" w:rsidR="003A01E8" w:rsidRPr="00872293" w:rsidRDefault="003A01E8" w:rsidP="00CD08B7">
      <w:pPr>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Six studies measured root decomposition in Puerto Rico, most of them in the wet forest of LEF</w:t>
      </w:r>
      <w:r w:rsidR="002F0B9B" w:rsidRPr="00872293">
        <w:rPr>
          <w:rFonts w:ascii="Times New Roman" w:hAnsi="Times New Roman" w:cs="Times New Roman"/>
        </w:rPr>
        <w:t xml:space="preserve"> </w:t>
      </w:r>
      <w:r w:rsidRPr="00872293">
        <w:rPr>
          <w:rFonts w:ascii="Times New Roman" w:hAnsi="Times New Roman" w:cs="Times New Roman"/>
        </w:rPr>
        <w:t xml:space="preserve">and some in the dry forest (Table </w:t>
      </w:r>
      <w:r w:rsidR="0030004C" w:rsidRPr="00872293">
        <w:rPr>
          <w:rFonts w:ascii="Times New Roman" w:hAnsi="Times New Roman" w:cs="Times New Roman"/>
        </w:rPr>
        <w:t>3</w:t>
      </w:r>
      <w:r w:rsidRPr="00872293">
        <w:rPr>
          <w:rFonts w:ascii="Times New Roman" w:hAnsi="Times New Roman" w:cs="Times New Roman"/>
        </w:rPr>
        <w:t>). Silver &amp; Vogt (1993) used trench plots to measure fine</w:t>
      </w:r>
      <w:r w:rsidR="001368A2" w:rsidRPr="00872293">
        <w:rPr>
          <w:rFonts w:ascii="Times New Roman" w:hAnsi="Times New Roman" w:cs="Times New Roman"/>
        </w:rPr>
        <w:t>-</w:t>
      </w:r>
      <w:r w:rsidRPr="00872293">
        <w:rPr>
          <w:rFonts w:ascii="Times New Roman" w:hAnsi="Times New Roman" w:cs="Times New Roman"/>
        </w:rPr>
        <w:t>root decomposition in LEF (tabonuco forest). They found that 65</w:t>
      </w:r>
      <w:r w:rsidR="008B48D5" w:rsidRPr="00872293">
        <w:rPr>
          <w:rFonts w:ascii="Times New Roman" w:hAnsi="Times New Roman" w:cs="Times New Roman"/>
        </w:rPr>
        <w:t xml:space="preserve">% </w:t>
      </w:r>
      <w:r w:rsidRPr="00872293">
        <w:rPr>
          <w:rFonts w:ascii="Times New Roman" w:hAnsi="Times New Roman" w:cs="Times New Roman"/>
        </w:rPr>
        <w:t xml:space="preserve">of fine root biomass remained </w:t>
      </w:r>
      <w:r w:rsidR="00A64A2F" w:rsidRPr="00872293">
        <w:rPr>
          <w:rFonts w:ascii="Times New Roman" w:hAnsi="Times New Roman" w:cs="Times New Roman"/>
        </w:rPr>
        <w:t xml:space="preserve">after a year </w:t>
      </w:r>
      <w:r w:rsidRPr="00872293">
        <w:rPr>
          <w:rFonts w:ascii="Times New Roman" w:hAnsi="Times New Roman" w:cs="Times New Roman"/>
        </w:rPr>
        <w:t xml:space="preserve">(decay constant </w:t>
      </w:r>
      <w:r w:rsidR="001368A2" w:rsidRPr="00872293">
        <w:rPr>
          <w:rFonts w:ascii="Times New Roman" w:hAnsi="Times New Roman" w:cs="Times New Roman"/>
          <w:i/>
          <w:iCs/>
        </w:rPr>
        <w:t>k</w:t>
      </w:r>
      <w:r w:rsidR="001368A2" w:rsidRPr="00872293">
        <w:rPr>
          <w:rFonts w:ascii="Times New Roman" w:hAnsi="Times New Roman" w:cs="Times New Roman"/>
        </w:rPr>
        <w:t xml:space="preserve"> of</w:t>
      </w:r>
      <w:r w:rsidRPr="00872293">
        <w:rPr>
          <w:rFonts w:ascii="Times New Roman" w:hAnsi="Times New Roman" w:cs="Times New Roman"/>
        </w:rPr>
        <w:t xml:space="preserve"> 0.4</w:t>
      </w:r>
      <w:r w:rsidR="001368A2" w:rsidRPr="00872293">
        <w:rPr>
          <w:rFonts w:ascii="Times New Roman" w:hAnsi="Times New Roman" w:cs="Times New Roman"/>
        </w:rPr>
        <w:t xml:space="preserve"> per year</w:t>
      </w:r>
      <w:r w:rsidRPr="00872293">
        <w:rPr>
          <w:rFonts w:ascii="Times New Roman" w:hAnsi="Times New Roman" w:cs="Times New Roman"/>
        </w:rPr>
        <w:t xml:space="preserve">), which resembles the global pattern of root decomposition for broadleaf trees (Silver &amp; Miya, 2001; Table </w:t>
      </w:r>
      <w:r w:rsidR="0030004C" w:rsidRPr="00872293">
        <w:rPr>
          <w:rFonts w:ascii="Times New Roman" w:hAnsi="Times New Roman" w:cs="Times New Roman"/>
        </w:rPr>
        <w:t>3</w:t>
      </w:r>
      <w:r w:rsidRPr="00872293">
        <w:rPr>
          <w:rFonts w:ascii="Times New Roman" w:hAnsi="Times New Roman" w:cs="Times New Roman"/>
        </w:rPr>
        <w:t xml:space="preserve">).  In the same forest, Bloomfield </w:t>
      </w:r>
      <w:r w:rsidR="00A039DA" w:rsidRPr="00872293">
        <w:rPr>
          <w:rFonts w:ascii="Times New Roman" w:hAnsi="Times New Roman" w:cs="Times New Roman"/>
          <w:i/>
          <w:noProof/>
        </w:rPr>
        <w:t xml:space="preserve">et al. </w:t>
      </w:r>
      <w:r w:rsidRPr="00872293">
        <w:rPr>
          <w:rFonts w:ascii="Times New Roman" w:hAnsi="Times New Roman" w:cs="Times New Roman"/>
        </w:rPr>
        <w:t xml:space="preserve">(1993) used litterbags to compare root and leaf decay. They found no difference in root decay between riparian and upper-slope sites, which means that moisture was not as important as substrate quality for decay rate. In this same study, they found that root decay was slower for roots than for leaves in </w:t>
      </w:r>
      <w:r w:rsidRPr="00872293">
        <w:rPr>
          <w:rFonts w:ascii="Times New Roman" w:hAnsi="Times New Roman" w:cs="Times New Roman"/>
          <w:i/>
        </w:rPr>
        <w:t xml:space="preserve">D. </w:t>
      </w:r>
      <w:proofErr w:type="spellStart"/>
      <w:r w:rsidRPr="00872293">
        <w:rPr>
          <w:rFonts w:ascii="Times New Roman" w:hAnsi="Times New Roman" w:cs="Times New Roman"/>
          <w:i/>
        </w:rPr>
        <w:t>excelsa</w:t>
      </w:r>
      <w:proofErr w:type="spellEnd"/>
      <w:r w:rsidRPr="00872293">
        <w:rPr>
          <w:rFonts w:ascii="Times New Roman" w:hAnsi="Times New Roman" w:cs="Times New Roman"/>
          <w:i/>
        </w:rPr>
        <w:t xml:space="preserve"> </w:t>
      </w:r>
      <w:r w:rsidRPr="00872293">
        <w:rPr>
          <w:rFonts w:ascii="Times New Roman" w:hAnsi="Times New Roman" w:cs="Times New Roman"/>
        </w:rPr>
        <w:t>and</w:t>
      </w:r>
      <w:r w:rsidRPr="00872293">
        <w:rPr>
          <w:rFonts w:ascii="Times New Roman" w:hAnsi="Times New Roman" w:cs="Times New Roman"/>
          <w:i/>
        </w:rPr>
        <w:t xml:space="preserve"> P. </w:t>
      </w:r>
      <w:proofErr w:type="spellStart"/>
      <w:r w:rsidRPr="00872293">
        <w:rPr>
          <w:rFonts w:ascii="Times New Roman" w:hAnsi="Times New Roman" w:cs="Times New Roman"/>
          <w:i/>
        </w:rPr>
        <w:t>montana</w:t>
      </w:r>
      <w:proofErr w:type="spellEnd"/>
      <w:r w:rsidRPr="00872293">
        <w:rPr>
          <w:rFonts w:ascii="Times New Roman" w:hAnsi="Times New Roman" w:cs="Times New Roman"/>
          <w:i/>
        </w:rPr>
        <w:t>.</w:t>
      </w:r>
      <w:r w:rsidRPr="00872293">
        <w:rPr>
          <w:rFonts w:ascii="Times New Roman" w:hAnsi="Times New Roman" w:cs="Times New Roman"/>
        </w:rPr>
        <w:t xml:space="preserve"> Leaves had more Ca than roots, whereas Al and Fe were higher in roots than in leaves. Further</w:t>
      </w:r>
      <w:r w:rsidRPr="00872293">
        <w:rPr>
          <w:rFonts w:ascii="Times New Roman" w:hAnsi="Times New Roman" w:cs="Times New Roman"/>
          <w:i/>
        </w:rPr>
        <w:t xml:space="preserve">, </w:t>
      </w:r>
      <w:r w:rsidRPr="00872293">
        <w:rPr>
          <w:rFonts w:ascii="Times New Roman" w:hAnsi="Times New Roman" w:cs="Times New Roman"/>
        </w:rPr>
        <w:t xml:space="preserve">they found that root decay for </w:t>
      </w:r>
      <w:r w:rsidRPr="00872293">
        <w:rPr>
          <w:rFonts w:ascii="Times New Roman" w:hAnsi="Times New Roman" w:cs="Times New Roman"/>
          <w:i/>
        </w:rPr>
        <w:t xml:space="preserve">D. </w:t>
      </w:r>
      <w:proofErr w:type="spellStart"/>
      <w:r w:rsidRPr="00872293">
        <w:rPr>
          <w:rFonts w:ascii="Times New Roman" w:hAnsi="Times New Roman" w:cs="Times New Roman"/>
          <w:i/>
        </w:rPr>
        <w:t>excelsa</w:t>
      </w:r>
      <w:proofErr w:type="spellEnd"/>
      <w:r w:rsidRPr="00872293">
        <w:rPr>
          <w:rFonts w:ascii="Times New Roman" w:hAnsi="Times New Roman" w:cs="Times New Roman"/>
          <w:i/>
        </w:rPr>
        <w:t xml:space="preserve"> </w:t>
      </w:r>
      <w:r w:rsidRPr="00872293">
        <w:rPr>
          <w:rFonts w:ascii="Times New Roman" w:hAnsi="Times New Roman" w:cs="Times New Roman"/>
        </w:rPr>
        <w:t xml:space="preserve">had a slower rate than roots of </w:t>
      </w:r>
      <w:r w:rsidRPr="00872293">
        <w:rPr>
          <w:rFonts w:ascii="Times New Roman" w:hAnsi="Times New Roman" w:cs="Times New Roman"/>
          <w:i/>
        </w:rPr>
        <w:t xml:space="preserve">P. </w:t>
      </w:r>
      <w:proofErr w:type="spellStart"/>
      <w:r w:rsidRPr="00872293">
        <w:rPr>
          <w:rFonts w:ascii="Times New Roman" w:hAnsi="Times New Roman" w:cs="Times New Roman"/>
          <w:i/>
        </w:rPr>
        <w:t>montana</w:t>
      </w:r>
      <w:proofErr w:type="spellEnd"/>
      <w:r w:rsidRPr="00872293">
        <w:rPr>
          <w:rFonts w:ascii="Times New Roman" w:hAnsi="Times New Roman" w:cs="Times New Roman"/>
        </w:rPr>
        <w:t xml:space="preserve">. This was explained by the </w:t>
      </w:r>
      <w:r w:rsidR="009534EC" w:rsidRPr="00872293">
        <w:rPr>
          <w:rFonts w:ascii="Times New Roman" w:hAnsi="Times New Roman" w:cs="Times New Roman"/>
        </w:rPr>
        <w:t>N</w:t>
      </w:r>
      <w:r w:rsidRPr="00872293">
        <w:rPr>
          <w:rFonts w:ascii="Times New Roman" w:hAnsi="Times New Roman" w:cs="Times New Roman"/>
        </w:rPr>
        <w:t xml:space="preserve"> found within its roots</w:t>
      </w:r>
      <w:r w:rsidR="009732B0" w:rsidRPr="00872293">
        <w:rPr>
          <w:rFonts w:ascii="Times New Roman" w:hAnsi="Times New Roman" w:cs="Times New Roman"/>
        </w:rPr>
        <w:t xml:space="preserve"> </w:t>
      </w:r>
      <w:r w:rsidRPr="00872293">
        <w:rPr>
          <w:rFonts w:ascii="Times New Roman" w:hAnsi="Times New Roman" w:cs="Times New Roman"/>
        </w:rPr>
        <w:t>for microbial decomposition</w:t>
      </w:r>
      <w:r w:rsidR="009732B0" w:rsidRPr="00872293">
        <w:rPr>
          <w:rFonts w:ascii="Times New Roman" w:hAnsi="Times New Roman" w:cs="Times New Roman"/>
        </w:rPr>
        <w:t>.</w:t>
      </w:r>
    </w:p>
    <w:p w14:paraId="13E44E1C"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38953AC0" w14:textId="5CB33465" w:rsidR="003A01E8" w:rsidRPr="00872293"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lang w:val="es-BO"/>
        </w:rPr>
        <w:t xml:space="preserve">In </w:t>
      </w:r>
      <w:proofErr w:type="spellStart"/>
      <w:r w:rsidRPr="00872293">
        <w:rPr>
          <w:rFonts w:ascii="Times New Roman" w:hAnsi="Times New Roman" w:cs="Times New Roman"/>
          <w:lang w:val="es-BO"/>
        </w:rPr>
        <w:t>southeast</w:t>
      </w:r>
      <w:r w:rsidR="0023277D" w:rsidRPr="00872293">
        <w:rPr>
          <w:rFonts w:ascii="Times New Roman" w:hAnsi="Times New Roman" w:cs="Times New Roman"/>
          <w:lang w:val="es-BO"/>
        </w:rPr>
        <w:t>ern</w:t>
      </w:r>
      <w:proofErr w:type="spellEnd"/>
      <w:r w:rsidRPr="00872293">
        <w:rPr>
          <w:rFonts w:ascii="Times New Roman" w:hAnsi="Times New Roman" w:cs="Times New Roman"/>
          <w:lang w:val="es-BO"/>
        </w:rPr>
        <w:t xml:space="preserve"> Puerto Rico</w:t>
      </w:r>
      <w:r w:rsidR="009732B0" w:rsidRPr="00872293">
        <w:rPr>
          <w:rFonts w:ascii="Times New Roman" w:hAnsi="Times New Roman" w:cs="Times New Roman"/>
          <w:lang w:val="es-BO"/>
        </w:rPr>
        <w:t xml:space="preserve"> (</w:t>
      </w:r>
      <w:r w:rsidRPr="00872293">
        <w:rPr>
          <w:rFonts w:ascii="Times New Roman" w:hAnsi="Times New Roman" w:cs="Times New Roman"/>
          <w:lang w:val="es-BO"/>
        </w:rPr>
        <w:t>Sierra de Cayey</w:t>
      </w:r>
      <w:r w:rsidR="009732B0" w:rsidRPr="00872293">
        <w:rPr>
          <w:rFonts w:ascii="Times New Roman" w:hAnsi="Times New Roman" w:cs="Times New Roman"/>
          <w:lang w:val="es-BO"/>
        </w:rPr>
        <w:t>)</w:t>
      </w:r>
      <w:r w:rsidRPr="00872293">
        <w:rPr>
          <w:rFonts w:ascii="Times New Roman" w:hAnsi="Times New Roman" w:cs="Times New Roman"/>
          <w:lang w:val="es-BO"/>
        </w:rPr>
        <w:t xml:space="preserve">, </w:t>
      </w:r>
      <w:proofErr w:type="spellStart"/>
      <w:r w:rsidRPr="00872293">
        <w:rPr>
          <w:rFonts w:ascii="Times New Roman" w:hAnsi="Times New Roman" w:cs="Times New Roman"/>
          <w:lang w:val="es-BO"/>
        </w:rPr>
        <w:t>Ostertag</w:t>
      </w:r>
      <w:proofErr w:type="spellEnd"/>
      <w:r w:rsidRPr="00872293">
        <w:rPr>
          <w:rFonts w:ascii="Times New Roman" w:hAnsi="Times New Roman" w:cs="Times New Roman"/>
          <w:lang w:val="es-BO"/>
        </w:rPr>
        <w:t xml:space="preserve"> </w:t>
      </w:r>
      <w:r w:rsidR="00A039DA" w:rsidRPr="00872293">
        <w:rPr>
          <w:rFonts w:ascii="Times New Roman" w:hAnsi="Times New Roman" w:cs="Times New Roman"/>
          <w:i/>
          <w:noProof/>
          <w:lang w:val="es-BO"/>
        </w:rPr>
        <w:t xml:space="preserve">et al. </w:t>
      </w:r>
      <w:r w:rsidRPr="00872293">
        <w:rPr>
          <w:rFonts w:ascii="Times New Roman" w:hAnsi="Times New Roman" w:cs="Times New Roman"/>
        </w:rPr>
        <w:t xml:space="preserve">(2008) measured root decomposition </w:t>
      </w:r>
      <w:r w:rsidR="00D46958" w:rsidRPr="00872293">
        <w:rPr>
          <w:rFonts w:ascii="Times New Roman" w:hAnsi="Times New Roman" w:cs="Times New Roman"/>
        </w:rPr>
        <w:t>for</w:t>
      </w:r>
      <w:r w:rsidRPr="00872293">
        <w:rPr>
          <w:rFonts w:ascii="Times New Roman" w:hAnsi="Times New Roman" w:cs="Times New Roman"/>
        </w:rPr>
        <w:t xml:space="preserve"> a forest </w:t>
      </w:r>
      <w:proofErr w:type="spellStart"/>
      <w:r w:rsidRPr="00872293">
        <w:rPr>
          <w:rFonts w:ascii="Times New Roman" w:hAnsi="Times New Roman" w:cs="Times New Roman"/>
        </w:rPr>
        <w:t>chronosequence</w:t>
      </w:r>
      <w:proofErr w:type="spellEnd"/>
      <w:r w:rsidRPr="00872293">
        <w:rPr>
          <w:rFonts w:ascii="Times New Roman" w:hAnsi="Times New Roman" w:cs="Times New Roman"/>
        </w:rPr>
        <w:t xml:space="preserve">. </w:t>
      </w:r>
      <w:r w:rsidR="00127325" w:rsidRPr="00872293">
        <w:rPr>
          <w:rFonts w:ascii="Times New Roman" w:hAnsi="Times New Roman" w:cs="Times New Roman"/>
        </w:rPr>
        <w:t>R</w:t>
      </w:r>
      <w:r w:rsidRPr="00872293">
        <w:rPr>
          <w:rFonts w:ascii="Times New Roman" w:hAnsi="Times New Roman" w:cs="Times New Roman"/>
        </w:rPr>
        <w:t xml:space="preserve">oot decomposition was fastest in the 60-year-old </w:t>
      </w:r>
      <w:r w:rsidR="009732B0" w:rsidRPr="00872293">
        <w:rPr>
          <w:rFonts w:ascii="Times New Roman" w:hAnsi="Times New Roman" w:cs="Times New Roman"/>
        </w:rPr>
        <w:t>sites</w:t>
      </w:r>
      <w:r w:rsidRPr="00872293">
        <w:rPr>
          <w:rFonts w:ascii="Times New Roman" w:hAnsi="Times New Roman" w:cs="Times New Roman"/>
        </w:rPr>
        <w:t xml:space="preserve"> and slower in the 10- and 30-year-old sites</w:t>
      </w:r>
      <w:r w:rsidR="009732B0" w:rsidRPr="00872293">
        <w:rPr>
          <w:rFonts w:ascii="Times New Roman" w:hAnsi="Times New Roman" w:cs="Times New Roman"/>
        </w:rPr>
        <w:t xml:space="preserve"> (</w:t>
      </w:r>
      <w:r w:rsidR="008577D9" w:rsidRPr="00872293">
        <w:rPr>
          <w:rFonts w:ascii="Times New Roman" w:hAnsi="Times New Roman" w:cs="Times New Roman"/>
          <w:i/>
          <w:iCs/>
        </w:rPr>
        <w:t>k</w:t>
      </w:r>
      <w:r w:rsidR="009732B0" w:rsidRPr="00872293">
        <w:rPr>
          <w:rFonts w:ascii="Times New Roman" w:hAnsi="Times New Roman" w:cs="Times New Roman"/>
        </w:rPr>
        <w:t xml:space="preserve"> </w:t>
      </w:r>
      <w:r w:rsidR="008577D9" w:rsidRPr="00872293">
        <w:rPr>
          <w:rFonts w:ascii="Times New Roman" w:hAnsi="Times New Roman" w:cs="Times New Roman"/>
        </w:rPr>
        <w:t>constant</w:t>
      </w:r>
      <w:r w:rsidR="009732B0" w:rsidRPr="00872293">
        <w:rPr>
          <w:rFonts w:ascii="Times New Roman" w:hAnsi="Times New Roman" w:cs="Times New Roman"/>
        </w:rPr>
        <w:t xml:space="preserve">: 0.76, </w:t>
      </w:r>
      <w:r w:rsidRPr="00872293">
        <w:rPr>
          <w:rFonts w:ascii="Times New Roman" w:hAnsi="Times New Roman" w:cs="Times New Roman"/>
        </w:rPr>
        <w:t>0.48</w:t>
      </w:r>
      <w:r w:rsidR="009732B0" w:rsidRPr="00872293">
        <w:rPr>
          <w:rFonts w:ascii="Times New Roman" w:hAnsi="Times New Roman" w:cs="Times New Roman"/>
        </w:rPr>
        <w:t>,</w:t>
      </w:r>
      <w:r w:rsidRPr="00872293">
        <w:rPr>
          <w:rFonts w:ascii="Times New Roman" w:hAnsi="Times New Roman" w:cs="Times New Roman"/>
        </w:rPr>
        <w:t xml:space="preserve"> and 0.46</w:t>
      </w:r>
      <w:r w:rsidR="001368A2" w:rsidRPr="00872293">
        <w:rPr>
          <w:rFonts w:ascii="Times New Roman" w:hAnsi="Times New Roman" w:cs="Times New Roman"/>
        </w:rPr>
        <w:t xml:space="preserve"> per year</w:t>
      </w:r>
      <w:r w:rsidR="009732B0" w:rsidRPr="00872293">
        <w:rPr>
          <w:rFonts w:ascii="Times New Roman" w:hAnsi="Times New Roman" w:cs="Times New Roman"/>
        </w:rPr>
        <w:t>,</w:t>
      </w:r>
      <w:r w:rsidRPr="00872293">
        <w:rPr>
          <w:rFonts w:ascii="Times New Roman" w:hAnsi="Times New Roman" w:cs="Times New Roman"/>
        </w:rPr>
        <w:t xml:space="preserve"> respectively</w:t>
      </w:r>
      <w:r w:rsidR="009732B0" w:rsidRPr="00872293">
        <w:rPr>
          <w:rFonts w:ascii="Times New Roman" w:hAnsi="Times New Roman" w:cs="Times New Roman"/>
        </w:rPr>
        <w:t>)</w:t>
      </w:r>
      <w:r w:rsidRPr="00872293">
        <w:rPr>
          <w:rFonts w:ascii="Times New Roman" w:hAnsi="Times New Roman" w:cs="Times New Roman"/>
        </w:rPr>
        <w:t>. The total final mass remaining ranged from 26</w:t>
      </w:r>
      <w:r w:rsidR="0028439F" w:rsidRPr="00872293">
        <w:rPr>
          <w:rFonts w:ascii="Times New Roman" w:hAnsi="Times New Roman" w:cs="Times New Roman"/>
        </w:rPr>
        <w:t xml:space="preserve">% </w:t>
      </w:r>
      <w:r w:rsidRPr="00872293">
        <w:rPr>
          <w:rFonts w:ascii="Times New Roman" w:hAnsi="Times New Roman" w:cs="Times New Roman"/>
        </w:rPr>
        <w:t>to 39</w:t>
      </w:r>
      <w:r w:rsidR="0028439F" w:rsidRPr="00872293">
        <w:rPr>
          <w:rFonts w:ascii="Times New Roman" w:hAnsi="Times New Roman" w:cs="Times New Roman"/>
        </w:rPr>
        <w:t>%</w:t>
      </w:r>
      <w:r w:rsidRPr="00872293">
        <w:rPr>
          <w:rFonts w:ascii="Times New Roman" w:hAnsi="Times New Roman" w:cs="Times New Roman"/>
        </w:rPr>
        <w:t xml:space="preserve"> after 22 months. Similar patterns in decomposition with forest age were reported by Silver &amp; Miya (2001); thus, older forests seem to have faster fine-root decomposition.</w:t>
      </w:r>
    </w:p>
    <w:p w14:paraId="4FFBA287"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0396F987" w14:textId="2A48D7FB" w:rsidR="00FF159B" w:rsidRPr="00872293" w:rsidRDefault="003A01E8" w:rsidP="00BC3464">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Cusack </w:t>
      </w:r>
      <w:r w:rsidR="00A039DA" w:rsidRPr="00872293">
        <w:rPr>
          <w:rFonts w:ascii="Times New Roman" w:hAnsi="Times New Roman" w:cs="Times New Roman"/>
          <w:i/>
          <w:noProof/>
        </w:rPr>
        <w:t xml:space="preserve">et al. </w:t>
      </w:r>
      <w:r w:rsidRPr="00872293">
        <w:rPr>
          <w:rFonts w:ascii="Times New Roman" w:hAnsi="Times New Roman" w:cs="Times New Roman"/>
        </w:rPr>
        <w:t>(2009) analyzed root and leaf decomposition of</w:t>
      </w:r>
      <w:r w:rsidRPr="00872293">
        <w:rPr>
          <w:rFonts w:ascii="Times New Roman" w:hAnsi="Times New Roman" w:cs="Times New Roman"/>
          <w:i/>
        </w:rPr>
        <w:t xml:space="preserve"> Andropogon gerardii, </w:t>
      </w:r>
      <w:proofErr w:type="spellStart"/>
      <w:r w:rsidRPr="00872293">
        <w:rPr>
          <w:rFonts w:ascii="Times New Roman" w:hAnsi="Times New Roman" w:cs="Times New Roman"/>
          <w:i/>
        </w:rPr>
        <w:t>Drypetes</w:t>
      </w:r>
      <w:proofErr w:type="spellEnd"/>
      <w:r w:rsidRPr="00872293">
        <w:rPr>
          <w:rFonts w:ascii="Times New Roman" w:hAnsi="Times New Roman" w:cs="Times New Roman"/>
          <w:i/>
        </w:rPr>
        <w:t xml:space="preserve"> glauca, </w:t>
      </w:r>
      <w:r w:rsidRPr="00872293">
        <w:rPr>
          <w:rFonts w:ascii="Times New Roman" w:hAnsi="Times New Roman" w:cs="Times New Roman"/>
        </w:rPr>
        <w:t>and</w:t>
      </w:r>
      <w:r w:rsidRPr="00872293">
        <w:rPr>
          <w:rFonts w:ascii="Times New Roman" w:hAnsi="Times New Roman" w:cs="Times New Roman"/>
          <w:i/>
        </w:rPr>
        <w:t xml:space="preserve"> Pinus </w:t>
      </w:r>
      <w:proofErr w:type="spellStart"/>
      <w:r w:rsidRPr="00872293">
        <w:rPr>
          <w:rFonts w:ascii="Times New Roman" w:hAnsi="Times New Roman" w:cs="Times New Roman"/>
          <w:i/>
        </w:rPr>
        <w:t>elliotti</w:t>
      </w:r>
      <w:proofErr w:type="spellEnd"/>
      <w:r w:rsidRPr="00872293">
        <w:rPr>
          <w:rFonts w:ascii="Times New Roman" w:hAnsi="Times New Roman" w:cs="Times New Roman"/>
          <w:i/>
        </w:rPr>
        <w:t xml:space="preserve"> </w:t>
      </w:r>
      <w:r w:rsidRPr="00872293">
        <w:rPr>
          <w:rFonts w:ascii="Times New Roman" w:hAnsi="Times New Roman" w:cs="Times New Roman"/>
        </w:rPr>
        <w:t>from</w:t>
      </w:r>
      <w:r w:rsidRPr="00872293">
        <w:rPr>
          <w:rFonts w:ascii="Times New Roman" w:hAnsi="Times New Roman" w:cs="Times New Roman"/>
          <w:i/>
        </w:rPr>
        <w:t xml:space="preserve"> </w:t>
      </w:r>
      <w:r w:rsidRPr="00872293">
        <w:rPr>
          <w:rFonts w:ascii="Times New Roman" w:hAnsi="Times New Roman" w:cs="Times New Roman"/>
        </w:rPr>
        <w:t xml:space="preserve">LIDET (Long-term </w:t>
      </w:r>
      <w:proofErr w:type="spellStart"/>
      <w:r w:rsidRPr="00872293">
        <w:rPr>
          <w:rFonts w:ascii="Times New Roman" w:hAnsi="Times New Roman" w:cs="Times New Roman"/>
        </w:rPr>
        <w:t>Intersite</w:t>
      </w:r>
      <w:proofErr w:type="spellEnd"/>
      <w:r w:rsidRPr="00872293">
        <w:rPr>
          <w:rFonts w:ascii="Times New Roman" w:hAnsi="Times New Roman" w:cs="Times New Roman"/>
        </w:rPr>
        <w:t xml:space="preserve"> Decomposition Experiment Team) data, which included Luquillo wet forest and Guánica dry forest, Puerto Rico. </w:t>
      </w:r>
      <w:r w:rsidR="000F69CE" w:rsidRPr="00872293">
        <w:rPr>
          <w:rFonts w:ascii="Times New Roman" w:hAnsi="Times New Roman" w:cs="Times New Roman"/>
          <w:shd w:val="clear" w:color="auto" w:fill="FFFFFF"/>
        </w:rPr>
        <w:t>Fastest decomposition of</w:t>
      </w:r>
      <w:r w:rsidR="00F0453D" w:rsidRPr="00872293">
        <w:rPr>
          <w:rFonts w:ascii="Times New Roman" w:hAnsi="Times New Roman" w:cs="Times New Roman"/>
          <w:shd w:val="clear" w:color="auto" w:fill="FFFFFF"/>
        </w:rPr>
        <w:t xml:space="preserve"> root biomass</w:t>
      </w:r>
      <w:r w:rsidR="00F0453D" w:rsidRPr="00872293">
        <w:rPr>
          <w:rFonts w:ascii="Times New Roman" w:hAnsi="Times New Roman" w:cs="Times New Roman"/>
        </w:rPr>
        <w:t xml:space="preserve"> was found in</w:t>
      </w:r>
      <w:r w:rsidRPr="00872293">
        <w:rPr>
          <w:rFonts w:ascii="Times New Roman" w:hAnsi="Times New Roman" w:cs="Times New Roman"/>
        </w:rPr>
        <w:t xml:space="preserve"> Luquillo </w:t>
      </w:r>
      <w:r w:rsidR="00E729C3" w:rsidRPr="00872293">
        <w:rPr>
          <w:rFonts w:ascii="Times New Roman" w:hAnsi="Times New Roman" w:cs="Times New Roman"/>
        </w:rPr>
        <w:t>compared to</w:t>
      </w:r>
      <w:r w:rsidRPr="00872293">
        <w:rPr>
          <w:rFonts w:ascii="Times New Roman" w:hAnsi="Times New Roman" w:cs="Times New Roman"/>
        </w:rPr>
        <w:t xml:space="preserve"> </w:t>
      </w:r>
      <w:r w:rsidR="00F0453D" w:rsidRPr="00872293">
        <w:rPr>
          <w:rFonts w:ascii="Times New Roman" w:hAnsi="Times New Roman" w:cs="Times New Roman"/>
        </w:rPr>
        <w:t>Guánica</w:t>
      </w:r>
      <w:r w:rsidRPr="00872293">
        <w:rPr>
          <w:rFonts w:ascii="Times New Roman" w:hAnsi="Times New Roman" w:cs="Times New Roman"/>
        </w:rPr>
        <w:t xml:space="preserve"> </w:t>
      </w:r>
      <w:r w:rsidR="008577D9" w:rsidRPr="00872293">
        <w:rPr>
          <w:rFonts w:ascii="Times New Roman" w:hAnsi="Times New Roman" w:cs="Times New Roman"/>
        </w:rPr>
        <w:t>(k constant:</w:t>
      </w:r>
      <w:r w:rsidRPr="00872293">
        <w:rPr>
          <w:rFonts w:ascii="Times New Roman" w:hAnsi="Times New Roman" w:cs="Times New Roman"/>
        </w:rPr>
        <w:t xml:space="preserve"> 1.06</w:t>
      </w:r>
      <w:r w:rsidR="00F0453D" w:rsidRPr="00872293">
        <w:rPr>
          <w:rFonts w:ascii="Times New Roman" w:hAnsi="Times New Roman" w:cs="Times New Roman"/>
        </w:rPr>
        <w:t xml:space="preserve"> and </w:t>
      </w:r>
      <w:r w:rsidR="00F0453D" w:rsidRPr="00872293">
        <w:rPr>
          <w:rFonts w:ascii="Times New Roman" w:hAnsi="Times New Roman" w:cs="Times New Roman"/>
        </w:rPr>
        <w:lastRenderedPageBreak/>
        <w:t>0.26</w:t>
      </w:r>
      <w:r w:rsidR="001368A2" w:rsidRPr="00872293">
        <w:rPr>
          <w:rFonts w:ascii="Times New Roman" w:hAnsi="Times New Roman" w:cs="Times New Roman"/>
        </w:rPr>
        <w:t xml:space="preserve"> per year</w:t>
      </w:r>
      <w:r w:rsidR="00F0453D" w:rsidRPr="00872293">
        <w:rPr>
          <w:rFonts w:ascii="Times New Roman" w:hAnsi="Times New Roman" w:cs="Times New Roman"/>
        </w:rPr>
        <w:t xml:space="preserve">, </w:t>
      </w:r>
      <w:r w:rsidRPr="00872293">
        <w:rPr>
          <w:rFonts w:ascii="Times New Roman" w:hAnsi="Times New Roman" w:cs="Times New Roman"/>
        </w:rPr>
        <w:t>respectively</w:t>
      </w:r>
      <w:r w:rsidR="008577D9" w:rsidRPr="00872293">
        <w:rPr>
          <w:rFonts w:ascii="Times New Roman" w:hAnsi="Times New Roman" w:cs="Times New Roman"/>
        </w:rPr>
        <w:t>)</w:t>
      </w:r>
      <w:r w:rsidRPr="00872293">
        <w:rPr>
          <w:rFonts w:ascii="Times New Roman" w:hAnsi="Times New Roman" w:cs="Times New Roman"/>
        </w:rPr>
        <w:t xml:space="preserve">. From the three species, </w:t>
      </w:r>
      <w:r w:rsidRPr="00872293">
        <w:rPr>
          <w:rFonts w:ascii="Times New Roman" w:hAnsi="Times New Roman" w:cs="Times New Roman"/>
          <w:i/>
        </w:rPr>
        <w:t xml:space="preserve">A. </w:t>
      </w:r>
      <w:proofErr w:type="spellStart"/>
      <w:r w:rsidRPr="00872293">
        <w:rPr>
          <w:rFonts w:ascii="Times New Roman" w:hAnsi="Times New Roman" w:cs="Times New Roman"/>
          <w:i/>
        </w:rPr>
        <w:t>gerardi</w:t>
      </w:r>
      <w:proofErr w:type="spellEnd"/>
      <w:r w:rsidRPr="00872293">
        <w:rPr>
          <w:rFonts w:ascii="Times New Roman" w:hAnsi="Times New Roman" w:cs="Times New Roman"/>
        </w:rPr>
        <w:t xml:space="preserve"> had the fastest root decomposition, and </w:t>
      </w:r>
      <w:r w:rsidRPr="00872293">
        <w:rPr>
          <w:rFonts w:ascii="Times New Roman" w:hAnsi="Times New Roman" w:cs="Times New Roman"/>
          <w:i/>
        </w:rPr>
        <w:t xml:space="preserve">P. </w:t>
      </w:r>
      <w:proofErr w:type="spellStart"/>
      <w:r w:rsidRPr="00872293">
        <w:rPr>
          <w:rFonts w:ascii="Times New Roman" w:hAnsi="Times New Roman" w:cs="Times New Roman"/>
          <w:i/>
        </w:rPr>
        <w:t>elliotti</w:t>
      </w:r>
      <w:proofErr w:type="spellEnd"/>
      <w:r w:rsidRPr="00872293">
        <w:rPr>
          <w:rFonts w:ascii="Times New Roman" w:hAnsi="Times New Roman" w:cs="Times New Roman"/>
        </w:rPr>
        <w:t xml:space="preserve"> had the slowest. Corroborating this, Harmon </w:t>
      </w:r>
      <w:r w:rsidR="00A039DA" w:rsidRPr="00872293">
        <w:rPr>
          <w:rFonts w:ascii="Times New Roman" w:hAnsi="Times New Roman" w:cs="Times New Roman"/>
          <w:i/>
          <w:noProof/>
        </w:rPr>
        <w:t xml:space="preserve">et al. </w:t>
      </w:r>
      <w:r w:rsidRPr="00872293">
        <w:rPr>
          <w:rFonts w:ascii="Times New Roman" w:hAnsi="Times New Roman" w:cs="Times New Roman"/>
        </w:rPr>
        <w:t xml:space="preserve">(2009) reported, based on the same database from LIDET, that </w:t>
      </w:r>
      <w:r w:rsidRPr="00872293">
        <w:rPr>
          <w:rFonts w:ascii="Times New Roman" w:hAnsi="Times New Roman" w:cs="Times New Roman"/>
          <w:i/>
        </w:rPr>
        <w:t xml:space="preserve">P. </w:t>
      </w:r>
      <w:proofErr w:type="spellStart"/>
      <w:r w:rsidRPr="00872293">
        <w:rPr>
          <w:rFonts w:ascii="Times New Roman" w:hAnsi="Times New Roman" w:cs="Times New Roman"/>
          <w:i/>
        </w:rPr>
        <w:t>elliotti</w:t>
      </w:r>
      <w:proofErr w:type="spellEnd"/>
      <w:r w:rsidRPr="00872293">
        <w:rPr>
          <w:rFonts w:ascii="Times New Roman" w:hAnsi="Times New Roman" w:cs="Times New Roman"/>
        </w:rPr>
        <w:t>, had the largest root remaining of all the studied species (40.28%).</w:t>
      </w:r>
    </w:p>
    <w:p w14:paraId="47927181" w14:textId="77777777" w:rsidR="00395D1A" w:rsidRPr="00872293" w:rsidRDefault="00395D1A" w:rsidP="00BC3464">
      <w:pPr>
        <w:autoSpaceDE w:val="0"/>
        <w:autoSpaceDN w:val="0"/>
        <w:adjustRightInd w:val="0"/>
        <w:spacing w:line="360" w:lineRule="auto"/>
        <w:rPr>
          <w:rFonts w:ascii="Times New Roman" w:hAnsi="Times New Roman" w:cs="Times New Roman"/>
        </w:rPr>
      </w:pPr>
    </w:p>
    <w:p w14:paraId="51EF5369" w14:textId="77777777" w:rsidR="00FF159B" w:rsidRPr="00872293" w:rsidRDefault="00F432A8" w:rsidP="00BC3464">
      <w:pPr>
        <w:pStyle w:val="Heading2"/>
        <w:spacing w:before="0" w:after="0" w:line="360" w:lineRule="auto"/>
        <w:rPr>
          <w:rFonts w:cs="Times New Roman"/>
          <w:szCs w:val="24"/>
        </w:rPr>
      </w:pPr>
      <w:bookmarkStart w:id="29" w:name="_Toc53689065"/>
      <w:r w:rsidRPr="00872293">
        <w:rPr>
          <w:rFonts w:cs="Times New Roman"/>
          <w:szCs w:val="24"/>
        </w:rPr>
        <w:t>R</w:t>
      </w:r>
      <w:r w:rsidR="00606E40" w:rsidRPr="00872293">
        <w:rPr>
          <w:rFonts w:cs="Times New Roman"/>
          <w:szCs w:val="24"/>
        </w:rPr>
        <w:t>oot physiology</w:t>
      </w:r>
      <w:bookmarkEnd w:id="29"/>
    </w:p>
    <w:p w14:paraId="655FB2CB" w14:textId="77777777" w:rsidR="00837474" w:rsidRPr="00872293" w:rsidRDefault="00C1752F" w:rsidP="00BC3464">
      <w:pPr>
        <w:spacing w:before="240" w:line="360" w:lineRule="auto"/>
        <w:rPr>
          <w:rFonts w:ascii="Times New Roman" w:hAnsi="Times New Roman" w:cs="Times New Roman"/>
        </w:rPr>
      </w:pPr>
      <w:proofErr w:type="spellStart"/>
      <w:r w:rsidRPr="00872293">
        <w:rPr>
          <w:rFonts w:ascii="Times New Roman" w:hAnsi="Times New Roman" w:cs="Times New Roman"/>
        </w:rPr>
        <w:t>Templer</w:t>
      </w:r>
      <w:proofErr w:type="spellEnd"/>
      <w:r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Pr="00872293">
        <w:rPr>
          <w:rFonts w:ascii="Times New Roman" w:hAnsi="Times New Roman" w:cs="Times New Roman"/>
        </w:rPr>
        <w:t>(2008) measured fine-root n</w:t>
      </w:r>
      <w:r w:rsidR="00D02A1A" w:rsidRPr="00872293">
        <w:rPr>
          <w:rFonts w:ascii="Times New Roman" w:hAnsi="Times New Roman" w:cs="Times New Roman"/>
        </w:rPr>
        <w:t xml:space="preserve">itrogen uptake in a </w:t>
      </w:r>
      <w:r w:rsidR="00D02A1A" w:rsidRPr="00872293">
        <w:rPr>
          <w:rFonts w:ascii="Times New Roman" w:hAnsi="Times New Roman" w:cs="Times New Roman"/>
          <w:vertAlign w:val="superscript"/>
        </w:rPr>
        <w:t>15</w:t>
      </w:r>
      <w:r w:rsidR="00D02A1A" w:rsidRPr="00872293">
        <w:rPr>
          <w:rFonts w:ascii="Times New Roman" w:hAnsi="Times New Roman" w:cs="Times New Roman"/>
        </w:rPr>
        <w:t>NH</w:t>
      </w:r>
      <w:r w:rsidR="00F27D02" w:rsidRPr="00872293">
        <w:rPr>
          <w:rFonts w:ascii="Times New Roman" w:hAnsi="Times New Roman" w:cs="Times New Roman"/>
          <w:vertAlign w:val="subscript"/>
        </w:rPr>
        <w:t>4</w:t>
      </w:r>
      <w:r w:rsidR="00153044" w:rsidRPr="00872293">
        <w:rPr>
          <w:rFonts w:ascii="Times New Roman" w:hAnsi="Times New Roman" w:cs="Times New Roman"/>
          <w:vertAlign w:val="superscript"/>
        </w:rPr>
        <w:t>+</w:t>
      </w:r>
      <w:r w:rsidR="00D02A1A" w:rsidRPr="00872293">
        <w:rPr>
          <w:rFonts w:ascii="Times New Roman" w:hAnsi="Times New Roman" w:cs="Times New Roman"/>
          <w:vertAlign w:val="subscript"/>
        </w:rPr>
        <w:t xml:space="preserve"> </w:t>
      </w:r>
      <w:r w:rsidR="00D02A1A" w:rsidRPr="00872293">
        <w:rPr>
          <w:rFonts w:ascii="Times New Roman" w:hAnsi="Times New Roman" w:cs="Times New Roman"/>
        </w:rPr>
        <w:t xml:space="preserve">and </w:t>
      </w:r>
      <w:r w:rsidR="00D02A1A" w:rsidRPr="00872293">
        <w:rPr>
          <w:rFonts w:ascii="Times New Roman" w:hAnsi="Times New Roman" w:cs="Times New Roman"/>
          <w:vertAlign w:val="superscript"/>
        </w:rPr>
        <w:t>15</w:t>
      </w:r>
      <w:r w:rsidR="00D02A1A" w:rsidRPr="00872293">
        <w:rPr>
          <w:rFonts w:ascii="Times New Roman" w:hAnsi="Times New Roman" w:cs="Times New Roman"/>
        </w:rPr>
        <w:t>NO</w:t>
      </w:r>
      <w:r w:rsidR="00F27D02" w:rsidRPr="00872293">
        <w:rPr>
          <w:rFonts w:ascii="Times New Roman" w:hAnsi="Times New Roman" w:cs="Times New Roman"/>
          <w:vertAlign w:val="subscript"/>
        </w:rPr>
        <w:t>3</w:t>
      </w:r>
      <w:r w:rsidR="00153044" w:rsidRPr="00872293">
        <w:rPr>
          <w:rFonts w:ascii="Times New Roman" w:hAnsi="Times New Roman" w:cs="Times New Roman"/>
          <w:vertAlign w:val="superscript"/>
        </w:rPr>
        <w:t>-</w:t>
      </w:r>
      <w:r w:rsidR="00D02A1A" w:rsidRPr="00872293">
        <w:rPr>
          <w:rFonts w:ascii="Times New Roman" w:hAnsi="Times New Roman" w:cs="Times New Roman"/>
        </w:rPr>
        <w:t xml:space="preserve"> addition experiment</w:t>
      </w:r>
      <w:r w:rsidRPr="00872293">
        <w:rPr>
          <w:rFonts w:ascii="Times New Roman" w:hAnsi="Times New Roman" w:cs="Times New Roman"/>
        </w:rPr>
        <w:t xml:space="preserve"> at LEF</w:t>
      </w:r>
      <w:r w:rsidR="00D02A1A" w:rsidRPr="00872293">
        <w:rPr>
          <w:rFonts w:ascii="Times New Roman" w:hAnsi="Times New Roman" w:cs="Times New Roman"/>
        </w:rPr>
        <w:t xml:space="preserve">. </w:t>
      </w:r>
      <w:r w:rsidR="004431BA" w:rsidRPr="00872293">
        <w:rPr>
          <w:rFonts w:ascii="Times New Roman" w:hAnsi="Times New Roman" w:cs="Times New Roman"/>
        </w:rPr>
        <w:t>T</w:t>
      </w:r>
      <w:r w:rsidR="001A4CCD" w:rsidRPr="00872293">
        <w:rPr>
          <w:rFonts w:ascii="Times New Roman" w:hAnsi="Times New Roman" w:cs="Times New Roman"/>
        </w:rPr>
        <w:t xml:space="preserve">hey used ingrowth cores which were </w:t>
      </w:r>
      <w:r w:rsidR="003E7D10" w:rsidRPr="00872293">
        <w:rPr>
          <w:rFonts w:ascii="Times New Roman" w:hAnsi="Times New Roman" w:cs="Times New Roman"/>
        </w:rPr>
        <w:t xml:space="preserve">harvested sequentially up to 7 days. </w:t>
      </w:r>
      <w:r w:rsidR="001219DA" w:rsidRPr="00872293">
        <w:rPr>
          <w:rFonts w:ascii="Times New Roman" w:hAnsi="Times New Roman" w:cs="Times New Roman"/>
        </w:rPr>
        <w:t xml:space="preserve">Fine roots took up 28% of the inorganic N during the first 24 hours, especially from </w:t>
      </w:r>
      <w:r w:rsidR="00153044" w:rsidRPr="00872293">
        <w:rPr>
          <w:rFonts w:ascii="Times New Roman" w:hAnsi="Times New Roman" w:cs="Times New Roman"/>
          <w:vertAlign w:val="superscript"/>
        </w:rPr>
        <w:t>15</w:t>
      </w:r>
      <w:r w:rsidR="001219DA" w:rsidRPr="00872293">
        <w:rPr>
          <w:rFonts w:ascii="Times New Roman" w:hAnsi="Times New Roman" w:cs="Times New Roman"/>
        </w:rPr>
        <w:t>NH</w:t>
      </w:r>
      <w:r w:rsidR="00153044" w:rsidRPr="00872293">
        <w:rPr>
          <w:rFonts w:ascii="Times New Roman" w:hAnsi="Times New Roman" w:cs="Times New Roman"/>
          <w:vertAlign w:val="superscript"/>
        </w:rPr>
        <w:t>+</w:t>
      </w:r>
      <w:r w:rsidR="001219DA" w:rsidRPr="00872293">
        <w:rPr>
          <w:rFonts w:ascii="Times New Roman" w:hAnsi="Times New Roman" w:cs="Times New Roman"/>
          <w:vertAlign w:val="subscript"/>
        </w:rPr>
        <w:t>4</w:t>
      </w:r>
      <w:r w:rsidR="001A4CCD" w:rsidRPr="00872293">
        <w:rPr>
          <w:rFonts w:ascii="Times New Roman" w:hAnsi="Times New Roman" w:cs="Times New Roman"/>
          <w:vertAlign w:val="subscript"/>
        </w:rPr>
        <w:t xml:space="preserve"> </w:t>
      </w:r>
      <w:r w:rsidR="001A4CCD" w:rsidRPr="00872293">
        <w:rPr>
          <w:rFonts w:ascii="Times New Roman" w:hAnsi="Times New Roman" w:cs="Times New Roman"/>
        </w:rPr>
        <w:t xml:space="preserve">(~80%). </w:t>
      </w:r>
      <w:r w:rsidR="00153044" w:rsidRPr="00872293">
        <w:rPr>
          <w:rFonts w:ascii="Times New Roman" w:hAnsi="Times New Roman" w:cs="Times New Roman"/>
        </w:rPr>
        <w:t>Roots represented a significant</w:t>
      </w:r>
      <w:r w:rsidR="00CA5299" w:rsidRPr="00872293">
        <w:rPr>
          <w:rFonts w:ascii="Times New Roman" w:hAnsi="Times New Roman" w:cs="Times New Roman"/>
        </w:rPr>
        <w:t>ly</w:t>
      </w:r>
      <w:r w:rsidR="00FB793B" w:rsidRPr="00872293">
        <w:rPr>
          <w:rFonts w:ascii="Times New Roman" w:hAnsi="Times New Roman" w:cs="Times New Roman"/>
        </w:rPr>
        <w:t xml:space="preserve"> gre</w:t>
      </w:r>
      <w:r w:rsidR="00837474" w:rsidRPr="00872293">
        <w:rPr>
          <w:rFonts w:ascii="Times New Roman" w:hAnsi="Times New Roman" w:cs="Times New Roman"/>
        </w:rPr>
        <w:t>a</w:t>
      </w:r>
      <w:r w:rsidR="00FB793B" w:rsidRPr="00872293">
        <w:rPr>
          <w:rFonts w:ascii="Times New Roman" w:hAnsi="Times New Roman" w:cs="Times New Roman"/>
        </w:rPr>
        <w:t>ter</w:t>
      </w:r>
      <w:r w:rsidR="00153044" w:rsidRPr="00872293">
        <w:rPr>
          <w:rFonts w:ascii="Times New Roman" w:hAnsi="Times New Roman" w:cs="Times New Roman"/>
        </w:rPr>
        <w:t xml:space="preserve"> sink for N from </w:t>
      </w:r>
      <w:r w:rsidR="00153044" w:rsidRPr="00872293">
        <w:rPr>
          <w:rFonts w:ascii="Times New Roman" w:hAnsi="Times New Roman" w:cs="Times New Roman"/>
          <w:vertAlign w:val="superscript"/>
        </w:rPr>
        <w:t>15</w:t>
      </w:r>
      <w:r w:rsidR="00153044" w:rsidRPr="00872293">
        <w:rPr>
          <w:rFonts w:ascii="Times New Roman" w:hAnsi="Times New Roman" w:cs="Times New Roman"/>
        </w:rPr>
        <w:t>NH</w:t>
      </w:r>
      <w:r w:rsidR="00355E60" w:rsidRPr="00872293">
        <w:rPr>
          <w:rFonts w:ascii="Times New Roman" w:hAnsi="Times New Roman" w:cs="Times New Roman"/>
          <w:vertAlign w:val="subscript"/>
        </w:rPr>
        <w:t>4</w:t>
      </w:r>
      <w:r w:rsidR="00153044" w:rsidRPr="00872293">
        <w:rPr>
          <w:rFonts w:ascii="Times New Roman" w:hAnsi="Times New Roman" w:cs="Times New Roman"/>
          <w:vertAlign w:val="superscript"/>
        </w:rPr>
        <w:t>+</w:t>
      </w:r>
      <w:r w:rsidR="00153044" w:rsidRPr="00872293">
        <w:rPr>
          <w:rFonts w:ascii="Times New Roman" w:hAnsi="Times New Roman" w:cs="Times New Roman"/>
          <w:vertAlign w:val="subscript"/>
        </w:rPr>
        <w:t xml:space="preserve"> </w:t>
      </w:r>
      <w:r w:rsidR="006C28D9" w:rsidRPr="00872293">
        <w:rPr>
          <w:rFonts w:ascii="Times New Roman" w:hAnsi="Times New Roman" w:cs="Times New Roman"/>
        </w:rPr>
        <w:t>compared to microb</w:t>
      </w:r>
      <w:r w:rsidR="00FB793B" w:rsidRPr="00872293">
        <w:rPr>
          <w:rFonts w:ascii="Times New Roman" w:hAnsi="Times New Roman" w:cs="Times New Roman"/>
        </w:rPr>
        <w:t>ial biomass</w:t>
      </w:r>
      <w:r w:rsidR="006C28D9" w:rsidRPr="00872293">
        <w:rPr>
          <w:rFonts w:ascii="Times New Roman" w:hAnsi="Times New Roman" w:cs="Times New Roman"/>
        </w:rPr>
        <w:t xml:space="preserve">, </w:t>
      </w:r>
      <w:r w:rsidR="00FB793B" w:rsidRPr="00872293">
        <w:rPr>
          <w:rFonts w:ascii="Times New Roman" w:hAnsi="Times New Roman" w:cs="Times New Roman"/>
        </w:rPr>
        <w:t>but</w:t>
      </w:r>
      <w:r w:rsidR="00153044" w:rsidRPr="00872293">
        <w:rPr>
          <w:rFonts w:ascii="Times New Roman" w:hAnsi="Times New Roman" w:cs="Times New Roman"/>
        </w:rPr>
        <w:t xml:space="preserve"> not</w:t>
      </w:r>
      <w:r w:rsidR="00FB793B" w:rsidRPr="00872293">
        <w:rPr>
          <w:rFonts w:ascii="Times New Roman" w:hAnsi="Times New Roman" w:cs="Times New Roman"/>
        </w:rPr>
        <w:t xml:space="preserve"> for</w:t>
      </w:r>
      <w:r w:rsidR="00153044" w:rsidRPr="00872293">
        <w:rPr>
          <w:rFonts w:ascii="Times New Roman" w:hAnsi="Times New Roman" w:cs="Times New Roman"/>
        </w:rPr>
        <w:t xml:space="preserve"> </w:t>
      </w:r>
      <w:r w:rsidR="00153044" w:rsidRPr="00872293">
        <w:rPr>
          <w:rFonts w:ascii="Times New Roman" w:hAnsi="Times New Roman" w:cs="Times New Roman"/>
          <w:vertAlign w:val="superscript"/>
        </w:rPr>
        <w:t>15</w:t>
      </w:r>
      <w:r w:rsidR="00153044" w:rsidRPr="00872293">
        <w:rPr>
          <w:rFonts w:ascii="Times New Roman" w:hAnsi="Times New Roman" w:cs="Times New Roman"/>
        </w:rPr>
        <w:t>NO</w:t>
      </w:r>
      <w:r w:rsidR="00355E60" w:rsidRPr="00872293">
        <w:rPr>
          <w:rFonts w:ascii="Times New Roman" w:hAnsi="Times New Roman" w:cs="Times New Roman"/>
          <w:vertAlign w:val="subscript"/>
        </w:rPr>
        <w:t>3</w:t>
      </w:r>
      <w:r w:rsidR="00153044" w:rsidRPr="00872293">
        <w:rPr>
          <w:rFonts w:ascii="Times New Roman" w:hAnsi="Times New Roman" w:cs="Times New Roman"/>
          <w:vertAlign w:val="superscript"/>
        </w:rPr>
        <w:t>-</w:t>
      </w:r>
      <w:r w:rsidR="00153044" w:rsidRPr="00872293">
        <w:rPr>
          <w:rFonts w:ascii="Times New Roman" w:hAnsi="Times New Roman" w:cs="Times New Roman"/>
          <w:vertAlign w:val="subscript"/>
        </w:rPr>
        <w:t>.</w:t>
      </w:r>
      <w:r w:rsidR="006C28D9" w:rsidRPr="00872293">
        <w:rPr>
          <w:rFonts w:ascii="Times New Roman" w:hAnsi="Times New Roman" w:cs="Times New Roman"/>
          <w:vertAlign w:val="subscript"/>
        </w:rPr>
        <w:t xml:space="preserve"> </w:t>
      </w:r>
    </w:p>
    <w:p w14:paraId="235AF2CF" w14:textId="77777777" w:rsidR="00F4721F" w:rsidRPr="00872293" w:rsidRDefault="00F4721F" w:rsidP="00CD08B7">
      <w:pPr>
        <w:spacing w:line="360" w:lineRule="auto"/>
        <w:rPr>
          <w:rFonts w:ascii="Times New Roman" w:hAnsi="Times New Roman" w:cs="Times New Roman"/>
        </w:rPr>
      </w:pPr>
    </w:p>
    <w:p w14:paraId="7321B99A" w14:textId="0BEBA49A" w:rsidR="009D2526" w:rsidRPr="00872293" w:rsidRDefault="00D02A1A" w:rsidP="00CD08B7">
      <w:pPr>
        <w:spacing w:line="360" w:lineRule="auto"/>
        <w:rPr>
          <w:rFonts w:ascii="Times New Roman" w:hAnsi="Times New Roman" w:cs="Times New Roman"/>
        </w:rPr>
      </w:pPr>
      <w:r w:rsidRPr="00872293">
        <w:rPr>
          <w:rFonts w:ascii="Times New Roman" w:hAnsi="Times New Roman" w:cs="Times New Roman"/>
        </w:rPr>
        <w:t>Another</w:t>
      </w:r>
      <w:r w:rsidR="009D2526" w:rsidRPr="00872293">
        <w:rPr>
          <w:rFonts w:ascii="Times New Roman" w:hAnsi="Times New Roman" w:cs="Times New Roman"/>
        </w:rPr>
        <w:t xml:space="preserve"> physiological trait measured in Puerto Rico </w:t>
      </w:r>
      <w:r w:rsidR="009C5EE4" w:rsidRPr="00872293">
        <w:rPr>
          <w:rFonts w:ascii="Times New Roman" w:hAnsi="Times New Roman" w:cs="Times New Roman"/>
        </w:rPr>
        <w:t xml:space="preserve">is </w:t>
      </w:r>
      <w:r w:rsidR="00C91A18" w:rsidRPr="00872293">
        <w:rPr>
          <w:rFonts w:ascii="Times New Roman" w:hAnsi="Times New Roman" w:cs="Times New Roman"/>
        </w:rPr>
        <w:t xml:space="preserve">root </w:t>
      </w:r>
      <w:r w:rsidR="009C5EE4" w:rsidRPr="00872293">
        <w:rPr>
          <w:rFonts w:ascii="Times New Roman" w:hAnsi="Times New Roman" w:cs="Times New Roman"/>
        </w:rPr>
        <w:t>phosphatase activity.</w:t>
      </w:r>
      <w:r w:rsidR="00C91A18" w:rsidRPr="00872293">
        <w:rPr>
          <w:rFonts w:ascii="Times New Roman" w:hAnsi="Times New Roman" w:cs="Times New Roman"/>
        </w:rPr>
        <w:t xml:space="preserve"> </w:t>
      </w:r>
      <w:proofErr w:type="spellStart"/>
      <w:r w:rsidR="005F5798" w:rsidRPr="00872293">
        <w:rPr>
          <w:rFonts w:ascii="Times New Roman" w:hAnsi="Times New Roman" w:cs="Times New Roman"/>
        </w:rPr>
        <w:t>Luse</w:t>
      </w:r>
      <w:proofErr w:type="spellEnd"/>
      <w:r w:rsidR="005F5798" w:rsidRPr="00872293">
        <w:rPr>
          <w:rFonts w:ascii="Times New Roman" w:hAnsi="Times New Roman" w:cs="Times New Roman"/>
        </w:rPr>
        <w:t xml:space="preserve"> (1970) found that when applying </w:t>
      </w:r>
      <w:r w:rsidR="005F5798" w:rsidRPr="00872293">
        <w:rPr>
          <w:rFonts w:ascii="Times New Roman" w:hAnsi="Times New Roman" w:cs="Times New Roman"/>
          <w:vertAlign w:val="superscript"/>
        </w:rPr>
        <w:t>32</w:t>
      </w:r>
      <w:r w:rsidR="005F5798" w:rsidRPr="00872293">
        <w:rPr>
          <w:rFonts w:ascii="Times New Roman" w:hAnsi="Times New Roman" w:cs="Times New Roman"/>
        </w:rPr>
        <w:t xml:space="preserve">P in the litter layer of a plot in LEF, fine roots </w:t>
      </w:r>
      <w:r w:rsidR="008F3BCC" w:rsidRPr="00872293">
        <w:rPr>
          <w:rFonts w:ascii="Times New Roman" w:hAnsi="Times New Roman" w:cs="Times New Roman"/>
        </w:rPr>
        <w:t>from saplings</w:t>
      </w:r>
      <w:r w:rsidR="009917D3" w:rsidRPr="00872293">
        <w:rPr>
          <w:rFonts w:ascii="Times New Roman" w:hAnsi="Times New Roman" w:cs="Times New Roman"/>
        </w:rPr>
        <w:t xml:space="preserve"> </w:t>
      </w:r>
      <w:r w:rsidR="005F5798" w:rsidRPr="00872293">
        <w:rPr>
          <w:rFonts w:ascii="Times New Roman" w:hAnsi="Times New Roman" w:cs="Times New Roman"/>
        </w:rPr>
        <w:t xml:space="preserve">had higher amounts of </w:t>
      </w:r>
      <w:r w:rsidR="005F5798" w:rsidRPr="00872293">
        <w:rPr>
          <w:rFonts w:ascii="Times New Roman" w:hAnsi="Times New Roman" w:cs="Times New Roman"/>
          <w:vertAlign w:val="superscript"/>
        </w:rPr>
        <w:t>32</w:t>
      </w:r>
      <w:r w:rsidR="005F5798" w:rsidRPr="00872293">
        <w:rPr>
          <w:rFonts w:ascii="Times New Roman" w:hAnsi="Times New Roman" w:cs="Times New Roman"/>
        </w:rPr>
        <w:t xml:space="preserve">P (20 times higher) than soils, and he attributed this to phosphatase activity and fungal diversity. </w:t>
      </w:r>
      <w:r w:rsidR="009D2526" w:rsidRPr="00872293">
        <w:rPr>
          <w:rFonts w:ascii="Times New Roman" w:hAnsi="Times New Roman" w:cs="Times New Roman"/>
        </w:rPr>
        <w:t xml:space="preserve">Stone </w:t>
      </w:r>
      <w:r w:rsidR="009B3C36" w:rsidRPr="00872293">
        <w:rPr>
          <w:rFonts w:ascii="Times New Roman" w:hAnsi="Times New Roman" w:cs="Times New Roman"/>
          <w:i/>
          <w:noProof/>
        </w:rPr>
        <w:t xml:space="preserve">et al. </w:t>
      </w:r>
      <w:r w:rsidR="009D2526" w:rsidRPr="00872293">
        <w:rPr>
          <w:rFonts w:ascii="Times New Roman" w:hAnsi="Times New Roman" w:cs="Times New Roman"/>
        </w:rPr>
        <w:t xml:space="preserve">(2013) used </w:t>
      </w:r>
      <w:r w:rsidR="005A13E8" w:rsidRPr="00872293">
        <w:rPr>
          <w:rFonts w:ascii="Times New Roman" w:hAnsi="Times New Roman" w:cs="Times New Roman"/>
        </w:rPr>
        <w:t xml:space="preserve">seedlings of </w:t>
      </w:r>
      <w:r w:rsidR="009D2526" w:rsidRPr="00872293">
        <w:rPr>
          <w:rFonts w:ascii="Times New Roman" w:hAnsi="Times New Roman" w:cs="Times New Roman"/>
          <w:i/>
        </w:rPr>
        <w:t xml:space="preserve">T. heterophylla </w:t>
      </w:r>
      <w:r w:rsidR="009D2526" w:rsidRPr="00872293">
        <w:rPr>
          <w:rFonts w:ascii="Times New Roman" w:hAnsi="Times New Roman" w:cs="Times New Roman"/>
        </w:rPr>
        <w:t xml:space="preserve">in a fertilization experiment and showed that, when adding P in the soil, phosphatase activity decreased significantly. </w:t>
      </w:r>
      <w:proofErr w:type="spellStart"/>
      <w:r w:rsidR="009D2526" w:rsidRPr="00872293">
        <w:rPr>
          <w:rFonts w:ascii="Times New Roman" w:hAnsi="Times New Roman" w:cs="Times New Roman"/>
        </w:rPr>
        <w:t>Cabugao</w:t>
      </w:r>
      <w:proofErr w:type="spellEnd"/>
      <w:r w:rsidR="009D2526"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009D2526" w:rsidRPr="00872293">
        <w:rPr>
          <w:rFonts w:ascii="Times New Roman" w:hAnsi="Times New Roman" w:cs="Times New Roman"/>
        </w:rPr>
        <w:t xml:space="preserve">(2017) corroborated this when they found a negative correlation of root </w:t>
      </w:r>
      <w:proofErr w:type="spellStart"/>
      <w:r w:rsidR="009D2526" w:rsidRPr="00872293">
        <w:rPr>
          <w:rFonts w:ascii="Times New Roman" w:hAnsi="Times New Roman" w:cs="Times New Roman"/>
        </w:rPr>
        <w:t>phosphomonoesterase</w:t>
      </w:r>
      <w:proofErr w:type="spellEnd"/>
      <w:r w:rsidR="009D2526" w:rsidRPr="00872293">
        <w:rPr>
          <w:rFonts w:ascii="Times New Roman" w:hAnsi="Times New Roman" w:cs="Times New Roman"/>
        </w:rPr>
        <w:t xml:space="preserve"> </w:t>
      </w:r>
      <w:r w:rsidR="00125864" w:rsidRPr="00872293">
        <w:rPr>
          <w:rFonts w:ascii="Times New Roman" w:hAnsi="Times New Roman" w:cs="Times New Roman"/>
        </w:rPr>
        <w:t xml:space="preserve">(PME) </w:t>
      </w:r>
      <w:r w:rsidR="009D2526" w:rsidRPr="00872293">
        <w:rPr>
          <w:rFonts w:ascii="Times New Roman" w:hAnsi="Times New Roman" w:cs="Times New Roman"/>
        </w:rPr>
        <w:t>activity with P availability increase</w:t>
      </w:r>
      <w:r w:rsidR="00B2192C" w:rsidRPr="00872293">
        <w:rPr>
          <w:rFonts w:ascii="Times New Roman" w:hAnsi="Times New Roman" w:cs="Times New Roman"/>
        </w:rPr>
        <w:t xml:space="preserve"> on adult trees up to </w:t>
      </w:r>
      <w:r w:rsidR="00373002" w:rsidRPr="00872293">
        <w:rPr>
          <w:rFonts w:ascii="Times New Roman" w:hAnsi="Times New Roman" w:cs="Times New Roman"/>
        </w:rPr>
        <w:t>2</w:t>
      </w:r>
      <w:r w:rsidR="00AC445F" w:rsidRPr="00872293">
        <w:rPr>
          <w:rFonts w:ascii="Times New Roman" w:hAnsi="Times New Roman" w:cs="Times New Roman"/>
        </w:rPr>
        <w:t>0 cm in diameter</w:t>
      </w:r>
      <w:r w:rsidR="009D2526" w:rsidRPr="00872293">
        <w:rPr>
          <w:rFonts w:ascii="Times New Roman" w:hAnsi="Times New Roman" w:cs="Times New Roman"/>
        </w:rPr>
        <w:t xml:space="preserve">. However, </w:t>
      </w:r>
      <w:proofErr w:type="spellStart"/>
      <w:r w:rsidR="009D2526" w:rsidRPr="00872293">
        <w:rPr>
          <w:rFonts w:ascii="Times New Roman" w:hAnsi="Times New Roman" w:cs="Times New Roman"/>
        </w:rPr>
        <w:t>Cabugao</w:t>
      </w:r>
      <w:proofErr w:type="spellEnd"/>
      <w:r w:rsidR="009D2526"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009D2526" w:rsidRPr="00872293">
        <w:rPr>
          <w:rFonts w:ascii="Times New Roman" w:hAnsi="Times New Roman" w:cs="Times New Roman"/>
        </w:rPr>
        <w:t>(2017) also found that tree species play an important role in modulating root and bacterial PME activity even in the same P conditions. Both studies support the negative correlation pattern between phosphatase activity and soil P availability (</w:t>
      </w:r>
      <w:proofErr w:type="spellStart"/>
      <w:r w:rsidR="009D2526" w:rsidRPr="00872293">
        <w:rPr>
          <w:rFonts w:ascii="Times New Roman" w:hAnsi="Times New Roman" w:cs="Times New Roman"/>
        </w:rPr>
        <w:t>Treseder</w:t>
      </w:r>
      <w:proofErr w:type="spellEnd"/>
      <w:r w:rsidR="009D2526" w:rsidRPr="00872293">
        <w:rPr>
          <w:rFonts w:ascii="Times New Roman" w:hAnsi="Times New Roman" w:cs="Times New Roman"/>
        </w:rPr>
        <w:t xml:space="preserve"> &amp; </w:t>
      </w:r>
      <w:proofErr w:type="spellStart"/>
      <w:r w:rsidR="009D2526" w:rsidRPr="00872293">
        <w:rPr>
          <w:rFonts w:ascii="Times New Roman" w:hAnsi="Times New Roman" w:cs="Times New Roman"/>
        </w:rPr>
        <w:t>Vitousek</w:t>
      </w:r>
      <w:proofErr w:type="spellEnd"/>
      <w:r w:rsidR="009D2526" w:rsidRPr="00872293">
        <w:rPr>
          <w:rFonts w:ascii="Times New Roman" w:hAnsi="Times New Roman" w:cs="Times New Roman"/>
        </w:rPr>
        <w:t>, 2001).</w:t>
      </w:r>
    </w:p>
    <w:p w14:paraId="6A1661F0" w14:textId="77777777" w:rsidR="00395D1A" w:rsidRPr="00872293" w:rsidRDefault="00395D1A" w:rsidP="00CD08B7">
      <w:pPr>
        <w:spacing w:line="360" w:lineRule="auto"/>
        <w:rPr>
          <w:rFonts w:ascii="Times New Roman" w:hAnsi="Times New Roman" w:cs="Times New Roman"/>
          <w:b/>
        </w:rPr>
      </w:pPr>
    </w:p>
    <w:p w14:paraId="6FDA30F1" w14:textId="77777777" w:rsidR="0044746D" w:rsidRPr="00872293" w:rsidRDefault="00271F25" w:rsidP="00BC3464">
      <w:pPr>
        <w:pStyle w:val="Heading2"/>
        <w:spacing w:before="0" w:after="0" w:line="360" w:lineRule="auto"/>
        <w:rPr>
          <w:rFonts w:cs="Times New Roman"/>
          <w:szCs w:val="24"/>
        </w:rPr>
      </w:pPr>
      <w:bookmarkStart w:id="30" w:name="_Toc53689066"/>
      <w:r w:rsidRPr="00872293">
        <w:rPr>
          <w:rFonts w:cs="Times New Roman"/>
          <w:szCs w:val="24"/>
        </w:rPr>
        <w:t>M</w:t>
      </w:r>
      <w:r w:rsidR="00606E40" w:rsidRPr="00872293">
        <w:rPr>
          <w:rFonts w:cs="Times New Roman"/>
          <w:szCs w:val="24"/>
        </w:rPr>
        <w:t>icrobial association</w:t>
      </w:r>
      <w:bookmarkEnd w:id="30"/>
    </w:p>
    <w:p w14:paraId="20949240" w14:textId="77777777" w:rsidR="003A01E8" w:rsidRPr="00872293" w:rsidRDefault="003A01E8" w:rsidP="00BC3464">
      <w:pPr>
        <w:spacing w:before="240" w:line="360" w:lineRule="auto"/>
        <w:rPr>
          <w:rFonts w:ascii="Times New Roman" w:hAnsi="Times New Roman" w:cs="Times New Roman"/>
        </w:rPr>
      </w:pPr>
      <w:r w:rsidRPr="00872293">
        <w:rPr>
          <w:rFonts w:ascii="Times New Roman" w:hAnsi="Times New Roman" w:cs="Times New Roman"/>
        </w:rPr>
        <w:t>Root microbial associations have rarely been studied in Puerto Rico but have become more common in the past 5 years. The first time that root mycorrhizal colonization was mentioned in a Puerto Rico study was in 1950 by the Puerto Rican Forest Service (Briscoe, 1959)</w:t>
      </w:r>
      <w:r w:rsidR="00D148FE" w:rsidRPr="00872293">
        <w:rPr>
          <w:rFonts w:ascii="Times New Roman" w:hAnsi="Times New Roman" w:cs="Times New Roman"/>
        </w:rPr>
        <w:t>, whe</w:t>
      </w:r>
      <w:r w:rsidR="001C73F4" w:rsidRPr="00872293">
        <w:rPr>
          <w:rFonts w:ascii="Times New Roman" w:hAnsi="Times New Roman" w:cs="Times New Roman"/>
        </w:rPr>
        <w:t>n</w:t>
      </w:r>
      <w:r w:rsidR="006B5EDE" w:rsidRPr="00872293">
        <w:rPr>
          <w:rFonts w:ascii="Times New Roman" w:hAnsi="Times New Roman" w:cs="Times New Roman"/>
          <w:shd w:val="clear" w:color="auto" w:fill="FFFFFF"/>
        </w:rPr>
        <w:t xml:space="preserve"> </w:t>
      </w:r>
      <w:r w:rsidR="006B5EDE" w:rsidRPr="00872293">
        <w:rPr>
          <w:rFonts w:ascii="Times New Roman" w:hAnsi="Times New Roman" w:cs="Times New Roman"/>
          <w:i/>
          <w:iCs/>
          <w:shd w:val="clear" w:color="auto" w:fill="FFFFFF"/>
        </w:rPr>
        <w:t>Pinus</w:t>
      </w:r>
      <w:r w:rsidR="006B5EDE" w:rsidRPr="00872293">
        <w:rPr>
          <w:rFonts w:ascii="Times New Roman" w:hAnsi="Times New Roman" w:cs="Times New Roman"/>
          <w:shd w:val="clear" w:color="auto" w:fill="FFFFFF"/>
        </w:rPr>
        <w:t xml:space="preserve"> </w:t>
      </w:r>
      <w:r w:rsidR="006B5EDE" w:rsidRPr="00872293">
        <w:rPr>
          <w:rFonts w:ascii="Times New Roman" w:hAnsi="Times New Roman" w:cs="Times New Roman"/>
          <w:shd w:val="clear" w:color="auto" w:fill="FFFFFF"/>
        </w:rPr>
        <w:lastRenderedPageBreak/>
        <w:t xml:space="preserve">species </w:t>
      </w:r>
      <w:r w:rsidR="001C73F4" w:rsidRPr="00872293">
        <w:rPr>
          <w:rFonts w:ascii="Times New Roman" w:hAnsi="Times New Roman" w:cs="Times New Roman"/>
          <w:shd w:val="clear" w:color="auto" w:fill="FFFFFF"/>
        </w:rPr>
        <w:t>(</w:t>
      </w:r>
      <w:r w:rsidR="001C73F4" w:rsidRPr="00872293">
        <w:rPr>
          <w:rFonts w:ascii="Times New Roman" w:hAnsi="Times New Roman" w:cs="Times New Roman"/>
          <w:i/>
        </w:rPr>
        <w:t xml:space="preserve">P. </w:t>
      </w:r>
      <w:proofErr w:type="spellStart"/>
      <w:r w:rsidR="001C73F4" w:rsidRPr="00872293">
        <w:rPr>
          <w:rFonts w:ascii="Times New Roman" w:hAnsi="Times New Roman" w:cs="Times New Roman"/>
          <w:i/>
        </w:rPr>
        <w:t>elliottii</w:t>
      </w:r>
      <w:proofErr w:type="spellEnd"/>
      <w:r w:rsidR="001C73F4" w:rsidRPr="00872293">
        <w:rPr>
          <w:rFonts w:ascii="Times New Roman" w:hAnsi="Times New Roman" w:cs="Times New Roman"/>
        </w:rPr>
        <w:t xml:space="preserve"> and </w:t>
      </w:r>
      <w:r w:rsidR="001C73F4" w:rsidRPr="00872293">
        <w:rPr>
          <w:rFonts w:ascii="Times New Roman" w:hAnsi="Times New Roman" w:cs="Times New Roman"/>
          <w:i/>
        </w:rPr>
        <w:t xml:space="preserve">P. </w:t>
      </w:r>
      <w:proofErr w:type="spellStart"/>
      <w:r w:rsidR="001C73F4" w:rsidRPr="00872293">
        <w:rPr>
          <w:rFonts w:ascii="Times New Roman" w:hAnsi="Times New Roman" w:cs="Times New Roman"/>
          <w:i/>
        </w:rPr>
        <w:t>caribaea</w:t>
      </w:r>
      <w:proofErr w:type="spellEnd"/>
      <w:r w:rsidR="001C73F4" w:rsidRPr="00872293">
        <w:rPr>
          <w:rFonts w:ascii="Times New Roman" w:hAnsi="Times New Roman" w:cs="Times New Roman"/>
          <w:shd w:val="clear" w:color="auto" w:fill="FFFFFF"/>
        </w:rPr>
        <w:t xml:space="preserve">) </w:t>
      </w:r>
      <w:r w:rsidR="006B5EDE" w:rsidRPr="00872293">
        <w:rPr>
          <w:rFonts w:ascii="Times New Roman" w:hAnsi="Times New Roman" w:cs="Times New Roman"/>
          <w:shd w:val="clear" w:color="auto" w:fill="FFFFFF"/>
        </w:rPr>
        <w:t xml:space="preserve">were </w:t>
      </w:r>
      <w:r w:rsidR="00D148FE" w:rsidRPr="00872293">
        <w:rPr>
          <w:rFonts w:ascii="Times New Roman" w:hAnsi="Times New Roman" w:cs="Times New Roman"/>
          <w:shd w:val="clear" w:color="auto" w:fill="FFFFFF"/>
        </w:rPr>
        <w:t>successfully stablished only after been inoculated</w:t>
      </w:r>
      <w:r w:rsidR="006B5EDE" w:rsidRPr="00872293">
        <w:rPr>
          <w:rFonts w:ascii="Times New Roman" w:hAnsi="Times New Roman" w:cs="Times New Roman"/>
          <w:shd w:val="clear" w:color="auto" w:fill="FFFFFF"/>
        </w:rPr>
        <w:t xml:space="preserve"> with </w:t>
      </w:r>
      <w:r w:rsidR="00D148FE" w:rsidRPr="00872293">
        <w:rPr>
          <w:rFonts w:ascii="Times New Roman" w:hAnsi="Times New Roman" w:cs="Times New Roman"/>
          <w:shd w:val="clear" w:color="auto" w:fill="FFFFFF"/>
        </w:rPr>
        <w:t>mycorrhizal fungi</w:t>
      </w:r>
      <w:r w:rsidR="0065722B" w:rsidRPr="00872293">
        <w:rPr>
          <w:rFonts w:ascii="Times New Roman" w:hAnsi="Times New Roman" w:cs="Times New Roman"/>
          <w:shd w:val="clear" w:color="auto" w:fill="FFFFFF"/>
        </w:rPr>
        <w:t>.</w:t>
      </w:r>
    </w:p>
    <w:p w14:paraId="7EBB6F19"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77A207B7" w14:textId="77777777" w:rsidR="003A01E8" w:rsidRPr="00872293"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Due to Puerto Rico’s large diversity in endemic orchids and their mycorrhizae specificity, fungal mycorrhizae and endophytes in these plants were also studied on the island. Bayman </w:t>
      </w:r>
      <w:r w:rsidR="009B3C36" w:rsidRPr="00872293">
        <w:rPr>
          <w:rFonts w:ascii="Times New Roman" w:hAnsi="Times New Roman" w:cs="Times New Roman"/>
          <w:i/>
          <w:noProof/>
        </w:rPr>
        <w:t>et al.</w:t>
      </w:r>
      <w:r w:rsidR="009B3C36" w:rsidRPr="00872293">
        <w:rPr>
          <w:rFonts w:ascii="Times New Roman" w:eastAsia="Lato-Regular" w:hAnsi="Times New Roman" w:cs="Times New Roman"/>
        </w:rPr>
        <w:t xml:space="preserve"> </w:t>
      </w:r>
      <w:r w:rsidRPr="00872293">
        <w:rPr>
          <w:rFonts w:ascii="Times New Roman" w:hAnsi="Times New Roman" w:cs="Times New Roman"/>
        </w:rPr>
        <w:t xml:space="preserve">(1997) described fungal endophytes from seven species of orchid roots and leaves from </w:t>
      </w:r>
      <w:proofErr w:type="spellStart"/>
      <w:r w:rsidRPr="00872293">
        <w:rPr>
          <w:rFonts w:ascii="Times New Roman" w:hAnsi="Times New Roman" w:cs="Times New Roman"/>
        </w:rPr>
        <w:t>Carite</w:t>
      </w:r>
      <w:proofErr w:type="spellEnd"/>
      <w:r w:rsidRPr="00872293">
        <w:rPr>
          <w:rFonts w:ascii="Times New Roman" w:hAnsi="Times New Roman" w:cs="Times New Roman"/>
        </w:rPr>
        <w:t xml:space="preserve"> State Forest. </w:t>
      </w:r>
      <w:r w:rsidR="001368A2" w:rsidRPr="00872293">
        <w:rPr>
          <w:rFonts w:ascii="Times New Roman" w:hAnsi="Times New Roman" w:cs="Times New Roman"/>
        </w:rPr>
        <w:t xml:space="preserve">They </w:t>
      </w:r>
      <w:r w:rsidRPr="00872293">
        <w:rPr>
          <w:rFonts w:ascii="Times New Roman" w:hAnsi="Times New Roman" w:cs="Times New Roman"/>
        </w:rPr>
        <w:t xml:space="preserve">found that root endophytes </w:t>
      </w:r>
      <w:proofErr w:type="spellStart"/>
      <w:r w:rsidRPr="00872293">
        <w:rPr>
          <w:rFonts w:ascii="Times New Roman" w:hAnsi="Times New Roman" w:cs="Times New Roman"/>
          <w:i/>
          <w:iCs/>
        </w:rPr>
        <w:t>Xylaria</w:t>
      </w:r>
      <w:proofErr w:type="spellEnd"/>
      <w:r w:rsidRPr="00872293">
        <w:rPr>
          <w:rFonts w:ascii="Times New Roman" w:hAnsi="Times New Roman" w:cs="Times New Roman"/>
          <w:i/>
          <w:iCs/>
        </w:rPr>
        <w:t xml:space="preserve"> </w:t>
      </w:r>
      <w:r w:rsidRPr="00872293">
        <w:rPr>
          <w:rFonts w:ascii="Times New Roman" w:hAnsi="Times New Roman" w:cs="Times New Roman"/>
        </w:rPr>
        <w:t xml:space="preserve">and </w:t>
      </w:r>
      <w:r w:rsidRPr="00872293">
        <w:rPr>
          <w:rFonts w:ascii="Times New Roman" w:hAnsi="Times New Roman" w:cs="Times New Roman"/>
          <w:i/>
          <w:iCs/>
        </w:rPr>
        <w:t xml:space="preserve">Rhizoctonia </w:t>
      </w:r>
      <w:r w:rsidRPr="00872293">
        <w:rPr>
          <w:rFonts w:ascii="Times New Roman" w:hAnsi="Times New Roman" w:cs="Times New Roman"/>
        </w:rPr>
        <w:t>were more commonly found in roots (29 % and 45%, respectively). Further, the same author</w:t>
      </w:r>
      <w:r w:rsidR="001368A2" w:rsidRPr="00872293">
        <w:rPr>
          <w:rFonts w:ascii="Times New Roman" w:hAnsi="Times New Roman" w:cs="Times New Roman"/>
        </w:rPr>
        <w:t>s</w:t>
      </w:r>
      <w:r w:rsidRPr="00872293">
        <w:rPr>
          <w:rFonts w:ascii="Times New Roman" w:hAnsi="Times New Roman" w:cs="Times New Roman"/>
        </w:rPr>
        <w:t xml:space="preserve"> found that the naturalized orchid </w:t>
      </w:r>
      <w:proofErr w:type="spellStart"/>
      <w:r w:rsidR="00583EC6" w:rsidRPr="00872293">
        <w:rPr>
          <w:rFonts w:ascii="Times New Roman" w:hAnsi="Times New Roman" w:cs="Times New Roman"/>
          <w:i/>
          <w:iCs/>
        </w:rPr>
        <w:t>Oeceoclades</w:t>
      </w:r>
      <w:proofErr w:type="spellEnd"/>
      <w:r w:rsidR="00583EC6" w:rsidRPr="00872293">
        <w:rPr>
          <w:rFonts w:ascii="Times New Roman" w:hAnsi="Times New Roman" w:cs="Times New Roman"/>
          <w:i/>
          <w:iCs/>
        </w:rPr>
        <w:t xml:space="preserve"> </w:t>
      </w:r>
      <w:proofErr w:type="spellStart"/>
      <w:r w:rsidRPr="00872293">
        <w:rPr>
          <w:rFonts w:ascii="Times New Roman" w:hAnsi="Times New Roman" w:cs="Times New Roman"/>
          <w:i/>
          <w:iCs/>
        </w:rPr>
        <w:t>maculata</w:t>
      </w:r>
      <w:proofErr w:type="spellEnd"/>
      <w:r w:rsidRPr="00872293">
        <w:rPr>
          <w:rFonts w:ascii="Times New Roman" w:hAnsi="Times New Roman" w:cs="Times New Roman"/>
          <w:i/>
          <w:iCs/>
        </w:rPr>
        <w:t xml:space="preserve"> </w:t>
      </w:r>
      <w:r w:rsidRPr="00872293">
        <w:rPr>
          <w:rFonts w:ascii="Times New Roman" w:hAnsi="Times New Roman" w:cs="Times New Roman"/>
        </w:rPr>
        <w:t xml:space="preserve">is highly specific to the mycorrhizae fungi </w:t>
      </w:r>
      <w:proofErr w:type="spellStart"/>
      <w:r w:rsidRPr="00872293">
        <w:rPr>
          <w:rFonts w:ascii="Times New Roman" w:hAnsi="Times New Roman" w:cs="Times New Roman"/>
          <w:i/>
          <w:iCs/>
        </w:rPr>
        <w:t>Psathyrella</w:t>
      </w:r>
      <w:proofErr w:type="spellEnd"/>
      <w:r w:rsidRPr="00872293">
        <w:rPr>
          <w:rFonts w:ascii="Times New Roman" w:hAnsi="Times New Roman" w:cs="Times New Roman"/>
          <w:i/>
          <w:iCs/>
        </w:rPr>
        <w:t xml:space="preserve"> </w:t>
      </w:r>
      <w:r w:rsidRPr="00872293">
        <w:rPr>
          <w:rFonts w:ascii="Times New Roman" w:hAnsi="Times New Roman" w:cs="Times New Roman"/>
        </w:rPr>
        <w:t xml:space="preserve">cf. </w:t>
      </w:r>
      <w:proofErr w:type="spellStart"/>
      <w:r w:rsidRPr="00872293">
        <w:rPr>
          <w:rFonts w:ascii="Times New Roman" w:hAnsi="Times New Roman" w:cs="Times New Roman"/>
          <w:i/>
          <w:iCs/>
        </w:rPr>
        <w:t>candolleana</w:t>
      </w:r>
      <w:proofErr w:type="spellEnd"/>
      <w:r w:rsidRPr="00872293">
        <w:rPr>
          <w:rFonts w:ascii="Times New Roman" w:hAnsi="Times New Roman" w:cs="Times New Roman"/>
        </w:rPr>
        <w:t xml:space="preserve"> during seed germination, but promiscuous as an adult (Bayman </w:t>
      </w:r>
      <w:r w:rsidR="009B3C36" w:rsidRPr="00872293">
        <w:rPr>
          <w:rFonts w:ascii="Times New Roman" w:hAnsi="Times New Roman" w:cs="Times New Roman"/>
          <w:i/>
          <w:noProof/>
        </w:rPr>
        <w:t>et al.,</w:t>
      </w:r>
      <w:r w:rsidR="009B3C36" w:rsidRPr="00872293">
        <w:rPr>
          <w:rFonts w:ascii="Times New Roman" w:eastAsia="Lato-Regular" w:hAnsi="Times New Roman" w:cs="Times New Roman"/>
        </w:rPr>
        <w:t xml:space="preserve"> </w:t>
      </w:r>
      <w:r w:rsidRPr="00872293">
        <w:rPr>
          <w:rFonts w:ascii="Times New Roman" w:hAnsi="Times New Roman" w:cs="Times New Roman"/>
        </w:rPr>
        <w:t>2016).</w:t>
      </w:r>
    </w:p>
    <w:p w14:paraId="1E0EFE94"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40493A6C" w14:textId="77777777" w:rsidR="003A01E8" w:rsidRPr="00872293" w:rsidRDefault="003A01E8" w:rsidP="00CD08B7">
      <w:pPr>
        <w:autoSpaceDE w:val="0"/>
        <w:autoSpaceDN w:val="0"/>
        <w:adjustRightInd w:val="0"/>
        <w:spacing w:line="360" w:lineRule="auto"/>
        <w:rPr>
          <w:rFonts w:ascii="Times New Roman" w:hAnsi="Times New Roman" w:cs="Times New Roman"/>
        </w:rPr>
      </w:pPr>
      <w:proofErr w:type="spellStart"/>
      <w:r w:rsidRPr="00872293">
        <w:rPr>
          <w:rFonts w:ascii="Times New Roman" w:hAnsi="Times New Roman" w:cs="Times New Roman"/>
        </w:rPr>
        <w:t>Bachelot</w:t>
      </w:r>
      <w:proofErr w:type="spellEnd"/>
      <w:r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Pr="00872293">
        <w:rPr>
          <w:rFonts w:ascii="Times New Roman" w:hAnsi="Times New Roman" w:cs="Times New Roman"/>
        </w:rPr>
        <w:t xml:space="preserve">(2017) and </w:t>
      </w:r>
      <w:proofErr w:type="spellStart"/>
      <w:r w:rsidRPr="00872293">
        <w:rPr>
          <w:rFonts w:ascii="Times New Roman" w:hAnsi="Times New Roman" w:cs="Times New Roman"/>
        </w:rPr>
        <w:t>Bachelot</w:t>
      </w:r>
      <w:proofErr w:type="spellEnd"/>
      <w:r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Pr="00872293">
        <w:rPr>
          <w:rFonts w:ascii="Times New Roman" w:hAnsi="Times New Roman" w:cs="Times New Roman"/>
        </w:rPr>
        <w:t>(2018) studied</w:t>
      </w:r>
      <w:r w:rsidR="00896F5D" w:rsidRPr="00872293">
        <w:rPr>
          <w:rFonts w:ascii="Times New Roman" w:hAnsi="Times New Roman" w:cs="Times New Roman"/>
        </w:rPr>
        <w:t xml:space="preserve"> the diversity of</w:t>
      </w:r>
      <w:r w:rsidRPr="00872293">
        <w:rPr>
          <w:rFonts w:ascii="Times New Roman" w:hAnsi="Times New Roman" w:cs="Times New Roman"/>
        </w:rPr>
        <w:t xml:space="preserve"> mycorrhizal fungi in the wet forest of Puerto Rico. </w:t>
      </w:r>
      <w:proofErr w:type="spellStart"/>
      <w:r w:rsidRPr="00872293">
        <w:rPr>
          <w:rFonts w:ascii="Times New Roman" w:hAnsi="Times New Roman" w:cs="Times New Roman"/>
        </w:rPr>
        <w:t>Bachelot</w:t>
      </w:r>
      <w:proofErr w:type="spellEnd"/>
      <w:r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Pr="00872293">
        <w:rPr>
          <w:rFonts w:ascii="Times New Roman" w:hAnsi="Times New Roman" w:cs="Times New Roman"/>
        </w:rPr>
        <w:t xml:space="preserve">(2017) found that at the local scale, arbuscular mycorrhizae fungi (AMF) diversity in soil counteracted negative effects of leaf damage on seedling mortality. At the community scale, only rare tree species </w:t>
      </w:r>
      <w:r w:rsidR="00E72459" w:rsidRPr="00872293">
        <w:rPr>
          <w:rFonts w:ascii="Times New Roman" w:hAnsi="Times New Roman" w:cs="Times New Roman"/>
        </w:rPr>
        <w:t xml:space="preserve">seedlings </w:t>
      </w:r>
      <w:r w:rsidRPr="00872293">
        <w:rPr>
          <w:rFonts w:ascii="Times New Roman" w:hAnsi="Times New Roman" w:cs="Times New Roman"/>
        </w:rPr>
        <w:t xml:space="preserve">benefited from soil AMF diversity. </w:t>
      </w:r>
      <w:proofErr w:type="spellStart"/>
      <w:r w:rsidRPr="00872293">
        <w:rPr>
          <w:rFonts w:ascii="Times New Roman" w:hAnsi="Times New Roman" w:cs="Times New Roman"/>
        </w:rPr>
        <w:t>Bachelot</w:t>
      </w:r>
      <w:proofErr w:type="spellEnd"/>
      <w:r w:rsidRPr="00872293">
        <w:rPr>
          <w:rFonts w:ascii="Times New Roman" w:hAnsi="Times New Roman" w:cs="Times New Roman"/>
        </w:rPr>
        <w:t xml:space="preserve"> </w:t>
      </w:r>
      <w:r w:rsidR="009B3C36" w:rsidRPr="00872293">
        <w:rPr>
          <w:rFonts w:ascii="Times New Roman" w:hAnsi="Times New Roman" w:cs="Times New Roman"/>
          <w:i/>
          <w:noProof/>
        </w:rPr>
        <w:t xml:space="preserve">et al. </w:t>
      </w:r>
      <w:r w:rsidRPr="00872293">
        <w:rPr>
          <w:rFonts w:ascii="Times New Roman" w:hAnsi="Times New Roman" w:cs="Times New Roman"/>
        </w:rPr>
        <w:t xml:space="preserve">(2018) showed that early-successional plant species are less dependent on </w:t>
      </w:r>
      <w:r w:rsidR="00320B70" w:rsidRPr="00872293">
        <w:rPr>
          <w:rFonts w:ascii="Times New Roman" w:hAnsi="Times New Roman" w:cs="Times New Roman"/>
        </w:rPr>
        <w:t xml:space="preserve">the diversity of </w:t>
      </w:r>
      <w:r w:rsidRPr="00872293">
        <w:rPr>
          <w:rFonts w:ascii="Times New Roman" w:hAnsi="Times New Roman" w:cs="Times New Roman"/>
        </w:rPr>
        <w:t xml:space="preserve">AMF </w:t>
      </w:r>
      <w:r w:rsidR="00A74992" w:rsidRPr="00872293">
        <w:rPr>
          <w:rFonts w:ascii="Times New Roman" w:hAnsi="Times New Roman" w:cs="Times New Roman"/>
        </w:rPr>
        <w:t>than mid- and late-successional plant species</w:t>
      </w:r>
      <w:r w:rsidRPr="00872293">
        <w:rPr>
          <w:rFonts w:ascii="Times New Roman" w:hAnsi="Times New Roman" w:cs="Times New Roman"/>
        </w:rPr>
        <w:t xml:space="preserve">, which contradicts other findings in tropical studies (Fischer </w:t>
      </w:r>
      <w:r w:rsidR="009B3C36" w:rsidRPr="00872293">
        <w:rPr>
          <w:rFonts w:ascii="Times New Roman" w:hAnsi="Times New Roman" w:cs="Times New Roman"/>
          <w:i/>
          <w:noProof/>
        </w:rPr>
        <w:t>et al.,</w:t>
      </w:r>
      <w:r w:rsidR="009B3C36" w:rsidRPr="00872293">
        <w:rPr>
          <w:rFonts w:ascii="Times New Roman" w:eastAsia="Lato-Regular" w:hAnsi="Times New Roman" w:cs="Times New Roman"/>
        </w:rPr>
        <w:t xml:space="preserve"> </w:t>
      </w:r>
      <w:r w:rsidRPr="00872293">
        <w:rPr>
          <w:rFonts w:ascii="Times New Roman" w:hAnsi="Times New Roman" w:cs="Times New Roman"/>
        </w:rPr>
        <w:t>1994</w:t>
      </w:r>
      <w:r w:rsidR="00A20B82" w:rsidRPr="00872293">
        <w:rPr>
          <w:rFonts w:ascii="Times New Roman" w:hAnsi="Times New Roman" w:cs="Times New Roman"/>
        </w:rPr>
        <w:t>;</w:t>
      </w:r>
      <w:r w:rsidRPr="00872293">
        <w:rPr>
          <w:rFonts w:ascii="Times New Roman" w:hAnsi="Times New Roman" w:cs="Times New Roman"/>
        </w:rPr>
        <w:t xml:space="preserve"> Kiers </w:t>
      </w:r>
      <w:r w:rsidR="009B3C36" w:rsidRPr="00872293">
        <w:rPr>
          <w:rFonts w:ascii="Times New Roman" w:hAnsi="Times New Roman" w:cs="Times New Roman"/>
          <w:i/>
          <w:noProof/>
        </w:rPr>
        <w:t>et al.,</w:t>
      </w:r>
      <w:r w:rsidR="009B3C36" w:rsidRPr="00872293">
        <w:rPr>
          <w:rFonts w:ascii="Times New Roman" w:eastAsia="Lato-Regular" w:hAnsi="Times New Roman" w:cs="Times New Roman"/>
        </w:rPr>
        <w:t xml:space="preserve"> </w:t>
      </w:r>
      <w:r w:rsidRPr="00872293">
        <w:rPr>
          <w:rFonts w:ascii="Times New Roman" w:hAnsi="Times New Roman" w:cs="Times New Roman"/>
        </w:rPr>
        <w:t>2000</w:t>
      </w:r>
      <w:r w:rsidR="00A20B82" w:rsidRPr="00872293">
        <w:rPr>
          <w:rFonts w:ascii="Times New Roman" w:hAnsi="Times New Roman" w:cs="Times New Roman"/>
        </w:rPr>
        <w:t>;</w:t>
      </w:r>
      <w:r w:rsidRPr="00872293">
        <w:rPr>
          <w:rFonts w:ascii="Times New Roman" w:hAnsi="Times New Roman" w:cs="Times New Roman"/>
        </w:rPr>
        <w:t xml:space="preserve"> Matsumoto </w:t>
      </w:r>
      <w:r w:rsidR="009B3C36" w:rsidRPr="00872293">
        <w:rPr>
          <w:rFonts w:ascii="Times New Roman" w:hAnsi="Times New Roman" w:cs="Times New Roman"/>
          <w:i/>
          <w:noProof/>
        </w:rPr>
        <w:t>et al.,</w:t>
      </w:r>
      <w:r w:rsidR="009B3C36" w:rsidRPr="00872293">
        <w:rPr>
          <w:rFonts w:ascii="Times New Roman" w:eastAsia="Lato-Regular" w:hAnsi="Times New Roman" w:cs="Times New Roman"/>
        </w:rPr>
        <w:t xml:space="preserve"> </w:t>
      </w:r>
      <w:r w:rsidRPr="00872293">
        <w:rPr>
          <w:rFonts w:ascii="Times New Roman" w:hAnsi="Times New Roman" w:cs="Times New Roman"/>
        </w:rPr>
        <w:t>2005).</w:t>
      </w:r>
    </w:p>
    <w:p w14:paraId="54532616"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14E90691" w14:textId="3DF0BB7F" w:rsidR="003A01E8" w:rsidRPr="00872293"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The only study that has related the microbiota with root architecture and morphology is described in Iriza</w:t>
      </w:r>
      <w:r w:rsidR="00DF399C" w:rsidRPr="00872293">
        <w:rPr>
          <w:rFonts w:ascii="Times New Roman" w:hAnsi="Times New Roman" w:cs="Times New Roman"/>
        </w:rPr>
        <w:t>r</w:t>
      </w:r>
      <w:r w:rsidRPr="00872293">
        <w:rPr>
          <w:rFonts w:ascii="Times New Roman" w:hAnsi="Times New Roman" w:cs="Times New Roman"/>
        </w:rPr>
        <w:t xml:space="preserve">ry </w:t>
      </w:r>
      <w:r w:rsidR="00224585" w:rsidRPr="00872293">
        <w:rPr>
          <w:rFonts w:ascii="Times New Roman" w:hAnsi="Times New Roman" w:cs="Times New Roman"/>
        </w:rPr>
        <w:t xml:space="preserve">&amp; </w:t>
      </w:r>
      <w:r w:rsidRPr="00872293">
        <w:rPr>
          <w:rFonts w:ascii="Times New Roman" w:hAnsi="Times New Roman" w:cs="Times New Roman"/>
        </w:rPr>
        <w:t>White (2017). They germinated wild cotton (</w:t>
      </w:r>
      <w:r w:rsidRPr="00872293">
        <w:rPr>
          <w:rFonts w:ascii="Times New Roman" w:hAnsi="Times New Roman" w:cs="Times New Roman"/>
          <w:i/>
          <w:iCs/>
        </w:rPr>
        <w:t xml:space="preserve">Gossypium </w:t>
      </w:r>
      <w:proofErr w:type="spellStart"/>
      <w:r w:rsidRPr="00872293">
        <w:rPr>
          <w:rFonts w:ascii="Times New Roman" w:hAnsi="Times New Roman" w:cs="Times New Roman"/>
          <w:i/>
          <w:iCs/>
        </w:rPr>
        <w:t>hirsutum</w:t>
      </w:r>
      <w:proofErr w:type="spellEnd"/>
      <w:r w:rsidRPr="00872293">
        <w:rPr>
          <w:rFonts w:ascii="Times New Roman" w:hAnsi="Times New Roman" w:cs="Times New Roman"/>
        </w:rPr>
        <w:t xml:space="preserve">) seeds that were inoculated with bacteria isolated from non-cultivated </w:t>
      </w:r>
      <w:proofErr w:type="spellStart"/>
      <w:r w:rsidRPr="00872293">
        <w:rPr>
          <w:rFonts w:ascii="Times New Roman" w:hAnsi="Times New Roman" w:cs="Times New Roman"/>
        </w:rPr>
        <w:t>Malvaceae</w:t>
      </w:r>
      <w:proofErr w:type="spellEnd"/>
      <w:r w:rsidRPr="00872293">
        <w:rPr>
          <w:rFonts w:ascii="Times New Roman" w:hAnsi="Times New Roman" w:cs="Times New Roman"/>
        </w:rPr>
        <w:t xml:space="preserve"> plants from various parts of </w:t>
      </w:r>
      <w:r w:rsidR="004259BB" w:rsidRPr="00872293">
        <w:rPr>
          <w:rFonts w:ascii="Times New Roman" w:hAnsi="Times New Roman" w:cs="Times New Roman"/>
        </w:rPr>
        <w:t>Puerto Rico</w:t>
      </w:r>
      <w:r w:rsidRPr="00872293">
        <w:rPr>
          <w:rFonts w:ascii="Times New Roman" w:hAnsi="Times New Roman" w:cs="Times New Roman"/>
        </w:rPr>
        <w:t xml:space="preserve">, including </w:t>
      </w:r>
      <w:proofErr w:type="spellStart"/>
      <w:r w:rsidRPr="00872293">
        <w:rPr>
          <w:rFonts w:ascii="Times New Roman" w:hAnsi="Times New Roman" w:cs="Times New Roman"/>
        </w:rPr>
        <w:t>Rincón</w:t>
      </w:r>
      <w:proofErr w:type="spellEnd"/>
      <w:r w:rsidRPr="00872293">
        <w:rPr>
          <w:rFonts w:ascii="Times New Roman" w:hAnsi="Times New Roman" w:cs="Times New Roman"/>
        </w:rPr>
        <w:t xml:space="preserve">, </w:t>
      </w:r>
      <w:proofErr w:type="spellStart"/>
      <w:r w:rsidRPr="00872293">
        <w:rPr>
          <w:rFonts w:ascii="Times New Roman" w:hAnsi="Times New Roman" w:cs="Times New Roman"/>
        </w:rPr>
        <w:t>Guayama</w:t>
      </w:r>
      <w:proofErr w:type="spellEnd"/>
      <w:r w:rsidRPr="00872293">
        <w:rPr>
          <w:rFonts w:ascii="Times New Roman" w:hAnsi="Times New Roman" w:cs="Times New Roman"/>
        </w:rPr>
        <w:t xml:space="preserve">, and LEF. They found that the bacteria </w:t>
      </w:r>
      <w:proofErr w:type="spellStart"/>
      <w:r w:rsidRPr="00872293">
        <w:rPr>
          <w:rFonts w:ascii="Times New Roman" w:hAnsi="Times New Roman" w:cs="Times New Roman"/>
          <w:i/>
        </w:rPr>
        <w:t>Bacilus</w:t>
      </w:r>
      <w:proofErr w:type="spellEnd"/>
      <w:r w:rsidRPr="00872293">
        <w:rPr>
          <w:rFonts w:ascii="Times New Roman" w:hAnsi="Times New Roman" w:cs="Times New Roman"/>
          <w:i/>
        </w:rPr>
        <w:t xml:space="preserve"> </w:t>
      </w:r>
      <w:proofErr w:type="spellStart"/>
      <w:r w:rsidRPr="00872293">
        <w:rPr>
          <w:rFonts w:ascii="Times New Roman" w:hAnsi="Times New Roman" w:cs="Times New Roman"/>
          <w:i/>
        </w:rPr>
        <w:t>amyloliquefaciens</w:t>
      </w:r>
      <w:proofErr w:type="spellEnd"/>
      <w:r w:rsidRPr="00872293">
        <w:rPr>
          <w:rFonts w:ascii="Times New Roman" w:hAnsi="Times New Roman" w:cs="Times New Roman"/>
        </w:rPr>
        <w:t xml:space="preserve"> enhanced primary and lateral root growth by three times in comparison to those without the bacteria. Further, roots from an inoculated seed had thinner roots and higher root branching ratio than with no inoculation.</w:t>
      </w:r>
    </w:p>
    <w:p w14:paraId="5755BB3F" w14:textId="77777777" w:rsidR="00AE6E69" w:rsidRPr="00872293" w:rsidRDefault="00AE6E69" w:rsidP="00CD08B7">
      <w:pPr>
        <w:autoSpaceDE w:val="0"/>
        <w:autoSpaceDN w:val="0"/>
        <w:adjustRightInd w:val="0"/>
        <w:spacing w:line="360" w:lineRule="auto"/>
        <w:rPr>
          <w:rFonts w:ascii="Times New Roman" w:hAnsi="Times New Roman" w:cs="Times New Roman"/>
        </w:rPr>
      </w:pPr>
    </w:p>
    <w:p w14:paraId="4AADA3B8" w14:textId="77777777" w:rsidR="009D2526" w:rsidRPr="00872293" w:rsidRDefault="00711B56" w:rsidP="00BC3464">
      <w:pPr>
        <w:pStyle w:val="Heading2"/>
        <w:spacing w:before="0" w:after="0" w:line="360" w:lineRule="auto"/>
        <w:rPr>
          <w:rFonts w:cs="Times New Roman"/>
          <w:szCs w:val="24"/>
        </w:rPr>
      </w:pPr>
      <w:bookmarkStart w:id="31" w:name="_Toc53689067"/>
      <w:r w:rsidRPr="00872293">
        <w:rPr>
          <w:rFonts w:cs="Times New Roman"/>
          <w:szCs w:val="24"/>
        </w:rPr>
        <w:lastRenderedPageBreak/>
        <w:t>R</w:t>
      </w:r>
      <w:r w:rsidR="00606E40" w:rsidRPr="00872293">
        <w:rPr>
          <w:rFonts w:cs="Times New Roman"/>
          <w:szCs w:val="24"/>
        </w:rPr>
        <w:t>oot response to environmental changes</w:t>
      </w:r>
      <w:bookmarkEnd w:id="31"/>
    </w:p>
    <w:p w14:paraId="026EA8C8" w14:textId="25997BFD" w:rsidR="003A01E8" w:rsidRPr="00872293" w:rsidRDefault="003A01E8" w:rsidP="005B500A">
      <w:pPr>
        <w:spacing w:before="240" w:line="360" w:lineRule="auto"/>
        <w:rPr>
          <w:rFonts w:ascii="Times New Roman" w:hAnsi="Times New Roman" w:cs="Times New Roman"/>
        </w:rPr>
      </w:pPr>
      <w:r w:rsidRPr="00872293">
        <w:rPr>
          <w:rFonts w:ascii="Times New Roman" w:hAnsi="Times New Roman" w:cs="Times New Roman"/>
        </w:rPr>
        <w:t>Fine</w:t>
      </w:r>
      <w:r w:rsidR="001368A2" w:rsidRPr="00872293">
        <w:rPr>
          <w:rFonts w:ascii="Times New Roman" w:hAnsi="Times New Roman" w:cs="Times New Roman"/>
        </w:rPr>
        <w:t>-</w:t>
      </w:r>
      <w:r w:rsidRPr="00872293">
        <w:rPr>
          <w:rFonts w:ascii="Times New Roman" w:hAnsi="Times New Roman" w:cs="Times New Roman"/>
        </w:rPr>
        <w:t xml:space="preserve">root responses to environmental changes have </w:t>
      </w:r>
      <w:r w:rsidR="00CB297D" w:rsidRPr="00872293">
        <w:rPr>
          <w:rFonts w:ascii="Times New Roman" w:hAnsi="Times New Roman" w:cs="Times New Roman"/>
        </w:rPr>
        <w:t xml:space="preserve">not </w:t>
      </w:r>
      <w:r w:rsidRPr="00872293">
        <w:rPr>
          <w:rFonts w:ascii="Times New Roman" w:hAnsi="Times New Roman" w:cs="Times New Roman"/>
        </w:rPr>
        <w:t xml:space="preserve">been </w:t>
      </w:r>
      <w:r w:rsidR="00CB297D" w:rsidRPr="00872293">
        <w:rPr>
          <w:rFonts w:ascii="Times New Roman" w:hAnsi="Times New Roman" w:cs="Times New Roman"/>
        </w:rPr>
        <w:t xml:space="preserve">well </w:t>
      </w:r>
      <w:r w:rsidRPr="00872293">
        <w:rPr>
          <w:rFonts w:ascii="Times New Roman" w:hAnsi="Times New Roman" w:cs="Times New Roman"/>
        </w:rPr>
        <w:t>documented in the tropics compared to temperate forests (Cuevas &amp; Medina, 1988; Silver &amp; Vogt, 199</w:t>
      </w:r>
      <w:r w:rsidR="00AF0AB0" w:rsidRPr="00872293">
        <w:rPr>
          <w:rFonts w:ascii="Times New Roman" w:hAnsi="Times New Roman" w:cs="Times New Roman"/>
        </w:rPr>
        <w:t>3</w:t>
      </w:r>
      <w:r w:rsidRPr="00872293">
        <w:rPr>
          <w:rFonts w:ascii="Times New Roman" w:hAnsi="Times New Roman" w:cs="Times New Roman"/>
        </w:rPr>
        <w:t xml:space="preserve">; Fetcher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Pr="00872293">
        <w:rPr>
          <w:rFonts w:ascii="Times New Roman" w:hAnsi="Times New Roman" w:cs="Times New Roman"/>
        </w:rPr>
        <w:t xml:space="preserve">1996; Wright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Pr="00872293">
        <w:rPr>
          <w:rFonts w:ascii="Times New Roman" w:hAnsi="Times New Roman" w:cs="Times New Roman"/>
        </w:rPr>
        <w:t>2011). However, since hurricanes are the major non-anthropogenic disturbance in Puerto Rico, a few studies measure</w:t>
      </w:r>
      <w:r w:rsidR="008D2B8B" w:rsidRPr="00872293">
        <w:rPr>
          <w:rFonts w:ascii="Times New Roman" w:hAnsi="Times New Roman" w:cs="Times New Roman"/>
        </w:rPr>
        <w:t>d</w:t>
      </w:r>
      <w:r w:rsidRPr="00872293">
        <w:rPr>
          <w:rFonts w:ascii="Times New Roman" w:hAnsi="Times New Roman" w:cs="Times New Roman"/>
        </w:rPr>
        <w:t xml:space="preserve"> root response to hurricanes. Soil fertilization, and drought are other environmental changes that </w:t>
      </w:r>
      <w:r w:rsidR="008D2B8B" w:rsidRPr="00872293">
        <w:rPr>
          <w:rFonts w:ascii="Times New Roman" w:hAnsi="Times New Roman" w:cs="Times New Roman"/>
        </w:rPr>
        <w:t>were</w:t>
      </w:r>
      <w:r w:rsidRPr="00872293">
        <w:rPr>
          <w:rFonts w:ascii="Times New Roman" w:hAnsi="Times New Roman" w:cs="Times New Roman"/>
        </w:rPr>
        <w:t xml:space="preserve"> less studied in the island. Human disturbance, specifically soil compaction, was also measured in Puerto Rico.</w:t>
      </w:r>
    </w:p>
    <w:p w14:paraId="0C3665F1" w14:textId="77777777" w:rsidR="00D24CBD" w:rsidRPr="00872293" w:rsidRDefault="00D24CBD" w:rsidP="00BC3464">
      <w:pPr>
        <w:spacing w:line="360" w:lineRule="auto"/>
        <w:rPr>
          <w:rFonts w:ascii="Times New Roman" w:hAnsi="Times New Roman" w:cs="Times New Roman"/>
        </w:rPr>
      </w:pPr>
    </w:p>
    <w:p w14:paraId="6A4DB973" w14:textId="77777777" w:rsidR="00814E2F" w:rsidRPr="00872293" w:rsidRDefault="00330FF3" w:rsidP="00BC3464">
      <w:pPr>
        <w:pStyle w:val="Heading3"/>
        <w:spacing w:before="0" w:after="0" w:line="360" w:lineRule="auto"/>
      </w:pPr>
      <w:bookmarkStart w:id="32" w:name="_Toc53689068"/>
      <w:r w:rsidRPr="00872293">
        <w:t>R</w:t>
      </w:r>
      <w:r w:rsidR="00606E40" w:rsidRPr="00872293">
        <w:t>oot response to hurricanes</w:t>
      </w:r>
      <w:bookmarkEnd w:id="32"/>
    </w:p>
    <w:p w14:paraId="42D064D8" w14:textId="044F2AB2" w:rsidR="003A01E8" w:rsidRPr="00872293" w:rsidRDefault="006B00EC" w:rsidP="00BC3464">
      <w:pPr>
        <w:spacing w:before="240" w:line="360" w:lineRule="auto"/>
        <w:rPr>
          <w:rFonts w:ascii="Times New Roman" w:hAnsi="Times New Roman" w:cs="Times New Roman"/>
        </w:rPr>
      </w:pPr>
      <w:r w:rsidRPr="00872293">
        <w:rPr>
          <w:rFonts w:ascii="Times New Roman" w:hAnsi="Times New Roman" w:cs="Times New Roman"/>
        </w:rPr>
        <w:t>R</w:t>
      </w:r>
      <w:r w:rsidR="003A01E8" w:rsidRPr="00872293">
        <w:rPr>
          <w:rFonts w:ascii="Times New Roman" w:hAnsi="Times New Roman" w:cs="Times New Roman"/>
        </w:rPr>
        <w:t xml:space="preserve">oot grafting is a common morphological root trait in hurricane </w:t>
      </w:r>
      <w:r w:rsidR="00F96698" w:rsidRPr="00872293">
        <w:rPr>
          <w:rFonts w:ascii="Times New Roman" w:hAnsi="Times New Roman" w:cs="Times New Roman"/>
        </w:rPr>
        <w:t>prone areas</w:t>
      </w:r>
      <w:r w:rsidR="003A01E8" w:rsidRPr="00872293">
        <w:rPr>
          <w:rFonts w:ascii="Times New Roman" w:hAnsi="Times New Roman" w:cs="Times New Roman"/>
        </w:rPr>
        <w:t xml:space="preserve"> (LaRue, 1952; Basnet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1993; Lugo &amp; </w:t>
      </w:r>
      <w:proofErr w:type="spellStart"/>
      <w:r w:rsidR="00AF0AB0" w:rsidRPr="00872293">
        <w:rPr>
          <w:rFonts w:ascii="Times New Roman" w:hAnsi="Times New Roman" w:cs="Times New Roman"/>
        </w:rPr>
        <w:t>Scatena</w:t>
      </w:r>
      <w:proofErr w:type="spellEnd"/>
      <w:r w:rsidR="003A01E8" w:rsidRPr="00872293">
        <w:rPr>
          <w:rFonts w:ascii="Times New Roman" w:hAnsi="Times New Roman" w:cs="Times New Roman"/>
        </w:rPr>
        <w:t xml:space="preserve">, 1995). LaRue (1952) found more tree genera </w:t>
      </w:r>
      <w:r w:rsidR="009C64EF" w:rsidRPr="00872293">
        <w:rPr>
          <w:rFonts w:ascii="Times New Roman" w:hAnsi="Times New Roman" w:cs="Times New Roman"/>
        </w:rPr>
        <w:t>exhibiting</w:t>
      </w:r>
      <w:r w:rsidR="003A01E8" w:rsidRPr="00872293">
        <w:rPr>
          <w:rFonts w:ascii="Times New Roman" w:hAnsi="Times New Roman" w:cs="Times New Roman"/>
        </w:rPr>
        <w:t xml:space="preserve"> root grafting in Puerto Rico than in any temperate forests he studied. Lugo &amp; </w:t>
      </w:r>
      <w:proofErr w:type="spellStart"/>
      <w:r w:rsidR="00AF0AB0" w:rsidRPr="00872293">
        <w:rPr>
          <w:rFonts w:ascii="Times New Roman" w:hAnsi="Times New Roman" w:cs="Times New Roman"/>
        </w:rPr>
        <w:t>Scatena</w:t>
      </w:r>
      <w:proofErr w:type="spellEnd"/>
      <w:r w:rsidR="00AF0AB0" w:rsidRPr="00872293">
        <w:rPr>
          <w:rFonts w:ascii="Times New Roman" w:hAnsi="Times New Roman" w:cs="Times New Roman"/>
        </w:rPr>
        <w:t xml:space="preserve"> </w:t>
      </w:r>
      <w:r w:rsidR="003A01E8" w:rsidRPr="00872293">
        <w:rPr>
          <w:rFonts w:ascii="Times New Roman" w:hAnsi="Times New Roman" w:cs="Times New Roman"/>
        </w:rPr>
        <w:t>(1995) suggested that tree unions may offer a more secure foundation when exposed to hurricane winds. For example, tabonuco (</w:t>
      </w:r>
      <w:r w:rsidR="003A01E8" w:rsidRPr="00872293">
        <w:rPr>
          <w:rFonts w:ascii="Times New Roman" w:hAnsi="Times New Roman" w:cs="Times New Roman"/>
          <w:i/>
        </w:rPr>
        <w:t xml:space="preserve">D. </w:t>
      </w:r>
      <w:proofErr w:type="spellStart"/>
      <w:r w:rsidR="003A01E8" w:rsidRPr="00872293">
        <w:rPr>
          <w:rFonts w:ascii="Times New Roman" w:hAnsi="Times New Roman" w:cs="Times New Roman"/>
          <w:i/>
        </w:rPr>
        <w:t>excelsa</w:t>
      </w:r>
      <w:proofErr w:type="spellEnd"/>
      <w:r w:rsidR="003A01E8" w:rsidRPr="00872293">
        <w:rPr>
          <w:rFonts w:ascii="Times New Roman" w:hAnsi="Times New Roman" w:cs="Times New Roman"/>
        </w:rPr>
        <w:t>)</w:t>
      </w:r>
      <w:r w:rsidR="003A01E8" w:rsidRPr="00872293">
        <w:rPr>
          <w:rFonts w:ascii="Times New Roman" w:hAnsi="Times New Roman" w:cs="Times New Roman"/>
          <w:i/>
        </w:rPr>
        <w:t xml:space="preserve"> </w:t>
      </w:r>
      <w:r w:rsidR="003A01E8" w:rsidRPr="00872293">
        <w:rPr>
          <w:rFonts w:ascii="Times New Roman" w:hAnsi="Times New Roman" w:cs="Times New Roman"/>
        </w:rPr>
        <w:t xml:space="preserve">trees on ridges tend to have more root grafting than </w:t>
      </w:r>
      <w:r w:rsidRPr="00872293">
        <w:rPr>
          <w:rFonts w:ascii="Times New Roman" w:hAnsi="Times New Roman" w:cs="Times New Roman"/>
        </w:rPr>
        <w:t>o</w:t>
      </w:r>
      <w:r w:rsidR="003A01E8" w:rsidRPr="00872293">
        <w:rPr>
          <w:rFonts w:ascii="Times New Roman" w:hAnsi="Times New Roman" w:cs="Times New Roman"/>
        </w:rPr>
        <w:t xml:space="preserve">n slopes and are known to be more successful in surviving and resprouting after hurricanes than trees without these unions (Lugo &amp; </w:t>
      </w:r>
      <w:proofErr w:type="spellStart"/>
      <w:r w:rsidR="00AF0AB0" w:rsidRPr="00872293">
        <w:rPr>
          <w:rFonts w:ascii="Times New Roman" w:hAnsi="Times New Roman" w:cs="Times New Roman"/>
        </w:rPr>
        <w:t>Scatena</w:t>
      </w:r>
      <w:proofErr w:type="spellEnd"/>
      <w:r w:rsidR="003A01E8" w:rsidRPr="00872293">
        <w:rPr>
          <w:rFonts w:ascii="Times New Roman" w:hAnsi="Times New Roman" w:cs="Times New Roman"/>
        </w:rPr>
        <w:t>, 1995)</w:t>
      </w:r>
      <w:r w:rsidR="00D0799F" w:rsidRPr="00872293">
        <w:rPr>
          <w:rFonts w:ascii="Times New Roman" w:hAnsi="Times New Roman" w:cs="Times New Roman"/>
        </w:rPr>
        <w:t xml:space="preserve">. </w:t>
      </w:r>
      <w:r w:rsidR="00315D3C" w:rsidRPr="00872293">
        <w:rPr>
          <w:rFonts w:ascii="Times New Roman" w:hAnsi="Times New Roman" w:cs="Times New Roman"/>
        </w:rPr>
        <w:t>H</w:t>
      </w:r>
      <w:r w:rsidR="003A01E8" w:rsidRPr="00872293">
        <w:rPr>
          <w:rFonts w:ascii="Times New Roman" w:hAnsi="Times New Roman" w:cs="Times New Roman"/>
        </w:rPr>
        <w:t xml:space="preserve">owever, only bigger trees (&gt;5 cm in diameter) present unions (Basnet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1993). Further, root grafting also forms an organic bench which can provide better conditions for root aeration and nutrient accumulation (Basnet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3A01E8" w:rsidRPr="00872293">
        <w:rPr>
          <w:rFonts w:ascii="Times New Roman" w:hAnsi="Times New Roman" w:cs="Times New Roman"/>
        </w:rPr>
        <w:t>1993).</w:t>
      </w:r>
    </w:p>
    <w:p w14:paraId="4FB98ACF" w14:textId="77777777" w:rsidR="003A01E8" w:rsidRPr="00872293" w:rsidRDefault="003A01E8" w:rsidP="00CD08B7">
      <w:pPr>
        <w:spacing w:line="360" w:lineRule="auto"/>
        <w:rPr>
          <w:rFonts w:ascii="Times New Roman" w:hAnsi="Times New Roman" w:cs="Times New Roman"/>
          <w:b/>
        </w:rPr>
      </w:pPr>
    </w:p>
    <w:p w14:paraId="1C0F06F6" w14:textId="77777777" w:rsidR="003A01E8" w:rsidRPr="00872293" w:rsidRDefault="00D0799F" w:rsidP="00CD08B7">
      <w:pPr>
        <w:spacing w:line="360" w:lineRule="auto"/>
        <w:rPr>
          <w:rFonts w:ascii="Times New Roman" w:hAnsi="Times New Roman" w:cs="Times New Roman"/>
        </w:rPr>
      </w:pPr>
      <w:r w:rsidRPr="00872293">
        <w:rPr>
          <w:rFonts w:ascii="Times New Roman" w:hAnsi="Times New Roman" w:cs="Times New Roman"/>
        </w:rPr>
        <w:t>S</w:t>
      </w:r>
      <w:r w:rsidR="003A01E8" w:rsidRPr="00872293">
        <w:rPr>
          <w:rFonts w:ascii="Times New Roman" w:hAnsi="Times New Roman" w:cs="Times New Roman"/>
        </w:rPr>
        <w:t xml:space="preserve">tudies showed a decrease in root biomass almost immediately after </w:t>
      </w:r>
      <w:r w:rsidR="008D2B8B" w:rsidRPr="00872293">
        <w:rPr>
          <w:rFonts w:ascii="Times New Roman" w:hAnsi="Times New Roman" w:cs="Times New Roman"/>
        </w:rPr>
        <w:t xml:space="preserve">a hurricane </w:t>
      </w:r>
      <w:r w:rsidR="003A01E8" w:rsidRPr="00872293">
        <w:rPr>
          <w:rFonts w:ascii="Times New Roman" w:hAnsi="Times New Roman" w:cs="Times New Roman"/>
        </w:rPr>
        <w:t>disturbance (</w:t>
      </w:r>
      <w:proofErr w:type="spellStart"/>
      <w:r w:rsidR="003A01E8" w:rsidRPr="00872293">
        <w:rPr>
          <w:rFonts w:ascii="Times New Roman" w:hAnsi="Times New Roman" w:cs="Times New Roman"/>
        </w:rPr>
        <w:t>Parrotta</w:t>
      </w:r>
      <w:proofErr w:type="spellEnd"/>
      <w:r w:rsidR="003A01E8" w:rsidRPr="00872293">
        <w:rPr>
          <w:rFonts w:ascii="Times New Roman" w:hAnsi="Times New Roman" w:cs="Times New Roman"/>
        </w:rPr>
        <w:t xml:space="preserve"> &amp; Lodge</w:t>
      </w:r>
      <w:r w:rsidR="00735220" w:rsidRPr="00872293">
        <w:rPr>
          <w:rFonts w:ascii="Times New Roman" w:hAnsi="Times New Roman" w:cs="Times New Roman"/>
        </w:rPr>
        <w:t>,</w:t>
      </w:r>
      <w:r w:rsidR="003A01E8" w:rsidRPr="00872293">
        <w:rPr>
          <w:rFonts w:ascii="Times New Roman" w:hAnsi="Times New Roman" w:cs="Times New Roman"/>
        </w:rPr>
        <w:t xml:space="preserve"> 1991; Silver &amp; Vogt, 1993). </w:t>
      </w:r>
      <w:r w:rsidR="00F96B66" w:rsidRPr="00872293">
        <w:rPr>
          <w:rFonts w:ascii="Times New Roman" w:hAnsi="Times New Roman" w:cs="Times New Roman"/>
        </w:rPr>
        <w:t>R</w:t>
      </w:r>
      <w:r w:rsidR="003A01E8" w:rsidRPr="00872293">
        <w:rPr>
          <w:rFonts w:ascii="Times New Roman" w:hAnsi="Times New Roman" w:cs="Times New Roman"/>
        </w:rPr>
        <w:t>oot recovery rate varied depending on the hurricane intensity, precipitation during the recovery period, litter decomposition rate, and species-specific root traits such as root length (</w:t>
      </w:r>
      <w:proofErr w:type="spellStart"/>
      <w:r w:rsidR="003A01E8" w:rsidRPr="00872293">
        <w:rPr>
          <w:rFonts w:ascii="Times New Roman" w:hAnsi="Times New Roman" w:cs="Times New Roman"/>
        </w:rPr>
        <w:t>Parrotta</w:t>
      </w:r>
      <w:proofErr w:type="spellEnd"/>
      <w:r w:rsidR="003A01E8" w:rsidRPr="00872293">
        <w:rPr>
          <w:rFonts w:ascii="Times New Roman" w:hAnsi="Times New Roman" w:cs="Times New Roman"/>
        </w:rPr>
        <w:t xml:space="preserve"> &amp; Lodge, 1991; Beard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2005; Lodge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3A01E8" w:rsidRPr="00872293">
        <w:rPr>
          <w:rFonts w:ascii="Times New Roman" w:hAnsi="Times New Roman" w:cs="Times New Roman"/>
        </w:rPr>
        <w:t xml:space="preserve">2016). </w:t>
      </w:r>
    </w:p>
    <w:p w14:paraId="078AC417" w14:textId="77777777" w:rsidR="00F4721F" w:rsidRPr="00872293" w:rsidRDefault="00F4721F" w:rsidP="00CD08B7">
      <w:pPr>
        <w:spacing w:line="360" w:lineRule="auto"/>
        <w:rPr>
          <w:rFonts w:ascii="Times New Roman" w:hAnsi="Times New Roman" w:cs="Times New Roman"/>
        </w:rPr>
      </w:pPr>
    </w:p>
    <w:p w14:paraId="71916D16" w14:textId="77777777" w:rsidR="003A01E8" w:rsidRPr="00872293" w:rsidRDefault="003A01E8" w:rsidP="00CD08B7">
      <w:pPr>
        <w:spacing w:line="360" w:lineRule="auto"/>
        <w:rPr>
          <w:rFonts w:ascii="Times New Roman" w:hAnsi="Times New Roman" w:cs="Times New Roman"/>
        </w:rPr>
      </w:pPr>
      <w:r w:rsidRPr="00872293">
        <w:rPr>
          <w:rFonts w:ascii="Times New Roman" w:hAnsi="Times New Roman" w:cs="Times New Roman"/>
        </w:rPr>
        <w:t>Silver</w:t>
      </w:r>
      <w:r w:rsidR="00224585" w:rsidRPr="00872293">
        <w:rPr>
          <w:rFonts w:ascii="Times New Roman" w:hAnsi="Times New Roman" w:cs="Times New Roman"/>
        </w:rPr>
        <w:t xml:space="preserve"> &amp;</w:t>
      </w:r>
      <w:r w:rsidRPr="00872293">
        <w:rPr>
          <w:rFonts w:ascii="Times New Roman" w:hAnsi="Times New Roman" w:cs="Times New Roman"/>
        </w:rPr>
        <w:t xml:space="preserve"> Vogt (1993) simulated a hurricane disturbance by removing all aboveground biomass. After 2 months from the removal, root biomass declined 40</w:t>
      </w:r>
      <w:r w:rsidR="0028439F" w:rsidRPr="00872293">
        <w:rPr>
          <w:rFonts w:ascii="Times New Roman" w:hAnsi="Times New Roman" w:cs="Times New Roman"/>
        </w:rPr>
        <w:t>%</w:t>
      </w:r>
      <w:r w:rsidRPr="00872293">
        <w:rPr>
          <w:rFonts w:ascii="Times New Roman" w:hAnsi="Times New Roman" w:cs="Times New Roman"/>
        </w:rPr>
        <w:t xml:space="preserve">. This same study measured root biomass after Hurricane Hugo, where root biomass </w:t>
      </w:r>
      <w:r w:rsidR="00F96B66" w:rsidRPr="00872293">
        <w:rPr>
          <w:rFonts w:ascii="Times New Roman" w:hAnsi="Times New Roman" w:cs="Times New Roman"/>
        </w:rPr>
        <w:t xml:space="preserve">declined </w:t>
      </w:r>
      <w:r w:rsidRPr="00872293">
        <w:rPr>
          <w:rFonts w:ascii="Times New Roman" w:hAnsi="Times New Roman" w:cs="Times New Roman"/>
        </w:rPr>
        <w:t xml:space="preserve">for the next 8 months. Silver </w:t>
      </w:r>
      <w:r w:rsidR="009578FB" w:rsidRPr="00872293">
        <w:rPr>
          <w:rFonts w:ascii="Times New Roman" w:hAnsi="Times New Roman" w:cs="Times New Roman"/>
        </w:rPr>
        <w:t xml:space="preserve">&amp; </w:t>
      </w:r>
      <w:proofErr w:type="spellStart"/>
      <w:r w:rsidRPr="00872293">
        <w:rPr>
          <w:rFonts w:ascii="Times New Roman" w:hAnsi="Times New Roman" w:cs="Times New Roman"/>
        </w:rPr>
        <w:lastRenderedPageBreak/>
        <w:t>Scatena</w:t>
      </w:r>
      <w:proofErr w:type="spellEnd"/>
      <w:r w:rsidRPr="00872293">
        <w:rPr>
          <w:rFonts w:ascii="Times New Roman" w:hAnsi="Times New Roman" w:cs="Times New Roman"/>
        </w:rPr>
        <w:t xml:space="preserve"> (2009) continued measuring root biomass on the same sites and showed that it took more than 10 years to recover root biomass after Hurricane Hugo (Fig</w:t>
      </w:r>
      <w:r w:rsidR="00476986" w:rsidRPr="00872293">
        <w:rPr>
          <w:rFonts w:ascii="Times New Roman" w:hAnsi="Times New Roman" w:cs="Times New Roman"/>
        </w:rPr>
        <w:t>ure</w:t>
      </w:r>
      <w:r w:rsidRPr="00872293">
        <w:rPr>
          <w:rFonts w:ascii="Times New Roman" w:hAnsi="Times New Roman" w:cs="Times New Roman"/>
        </w:rPr>
        <w:t xml:space="preserve"> </w:t>
      </w:r>
      <w:r w:rsidR="0004285E" w:rsidRPr="00872293">
        <w:rPr>
          <w:rFonts w:ascii="Times New Roman" w:hAnsi="Times New Roman" w:cs="Times New Roman"/>
        </w:rPr>
        <w:t>9</w:t>
      </w:r>
      <w:r w:rsidRPr="00872293">
        <w:rPr>
          <w:rFonts w:ascii="Times New Roman" w:hAnsi="Times New Roman" w:cs="Times New Roman"/>
        </w:rPr>
        <w:t xml:space="preserve">). Recovery was even slower for plots with aboveground removal. Root nutrient concentrations (P and K) decreased after biomass removal, and root P decreased even more after the hurricane. </w:t>
      </w:r>
    </w:p>
    <w:p w14:paraId="7312D0D0" w14:textId="77777777" w:rsidR="00F4721F" w:rsidRPr="00872293" w:rsidRDefault="00F4721F" w:rsidP="00CD08B7">
      <w:pPr>
        <w:spacing w:line="360" w:lineRule="auto"/>
        <w:rPr>
          <w:rFonts w:ascii="Times New Roman" w:hAnsi="Times New Roman" w:cs="Times New Roman"/>
        </w:rPr>
      </w:pPr>
    </w:p>
    <w:p w14:paraId="33E1A417" w14:textId="3A045BDA" w:rsidR="003A01E8" w:rsidRPr="00872293" w:rsidRDefault="003A01E8" w:rsidP="00CD08B7">
      <w:pPr>
        <w:spacing w:line="360" w:lineRule="auto"/>
        <w:rPr>
          <w:rFonts w:ascii="Times New Roman" w:hAnsi="Times New Roman" w:cs="Times New Roman"/>
        </w:rPr>
      </w:pPr>
      <w:proofErr w:type="spellStart"/>
      <w:r w:rsidRPr="00872293">
        <w:rPr>
          <w:rFonts w:ascii="Times New Roman" w:hAnsi="Times New Roman" w:cs="Times New Roman"/>
        </w:rPr>
        <w:t>Parrotta</w:t>
      </w:r>
      <w:proofErr w:type="spellEnd"/>
      <w:r w:rsidRPr="00872293">
        <w:rPr>
          <w:rFonts w:ascii="Times New Roman" w:hAnsi="Times New Roman" w:cs="Times New Roman"/>
        </w:rPr>
        <w:t xml:space="preserve"> &amp; Lodge (1991) measured fine root (&lt;3 mm) biomass before and after Hurricane Hugo at El Verde Field Station area (LEF). They showed that live fine-root biomass decreased from 4.23 Mg</w:t>
      </w:r>
      <w:r w:rsidR="007231C1" w:rsidRPr="007231C1">
        <w:rPr>
          <w:rFonts w:ascii="Times New Roman" w:hAnsi="Times New Roman" w:cs="Times New Roman"/>
        </w:rPr>
        <w:t xml:space="preserve"> </w:t>
      </w:r>
      <w:r w:rsidR="007231C1" w:rsidRPr="00872293">
        <w:rPr>
          <w:rFonts w:ascii="Times New Roman" w:hAnsi="Times New Roman" w:cs="Times New Roman"/>
        </w:rPr>
        <w:t>ha</w:t>
      </w:r>
      <w:r w:rsidR="007231C1" w:rsidRPr="00BD6642">
        <w:rPr>
          <w:rFonts w:ascii="Times New Roman" w:hAnsi="Times New Roman" w:cs="Times New Roman"/>
          <w:vertAlign w:val="superscript"/>
        </w:rPr>
        <w:t>-1</w:t>
      </w:r>
      <w:r w:rsidR="007231C1" w:rsidRPr="00872293">
        <w:rPr>
          <w:rFonts w:ascii="Times New Roman" w:hAnsi="Times New Roman" w:cs="Times New Roman"/>
        </w:rPr>
        <w:t xml:space="preserve"> </w:t>
      </w:r>
      <w:r w:rsidRPr="00872293">
        <w:rPr>
          <w:rFonts w:ascii="Times New Roman" w:hAnsi="Times New Roman" w:cs="Times New Roman"/>
        </w:rPr>
        <w:t>to 0.02 Mg</w:t>
      </w:r>
      <w:r w:rsidR="007231C1" w:rsidRPr="007231C1">
        <w:rPr>
          <w:rFonts w:ascii="Times New Roman" w:hAnsi="Times New Roman" w:cs="Times New Roman"/>
        </w:rPr>
        <w:t xml:space="preserve"> </w:t>
      </w:r>
      <w:r w:rsidR="007231C1" w:rsidRPr="00872293">
        <w:rPr>
          <w:rFonts w:ascii="Times New Roman" w:hAnsi="Times New Roman" w:cs="Times New Roman"/>
        </w:rPr>
        <w:t>ha</w:t>
      </w:r>
      <w:r w:rsidR="007231C1" w:rsidRPr="00BD6642">
        <w:rPr>
          <w:rFonts w:ascii="Times New Roman" w:hAnsi="Times New Roman" w:cs="Times New Roman"/>
          <w:vertAlign w:val="superscript"/>
        </w:rPr>
        <w:t>-1</w:t>
      </w:r>
      <w:r w:rsidR="007231C1" w:rsidRPr="00872293">
        <w:rPr>
          <w:rFonts w:ascii="Times New Roman" w:hAnsi="Times New Roman" w:cs="Times New Roman"/>
        </w:rPr>
        <w:t xml:space="preserve"> </w:t>
      </w:r>
      <w:r w:rsidRPr="00872293">
        <w:rPr>
          <w:rFonts w:ascii="Times New Roman" w:hAnsi="Times New Roman" w:cs="Times New Roman"/>
        </w:rPr>
        <w:t xml:space="preserve">2 months </w:t>
      </w:r>
      <w:r w:rsidR="009C64EF" w:rsidRPr="00872293">
        <w:rPr>
          <w:rFonts w:ascii="Times New Roman" w:hAnsi="Times New Roman" w:cs="Times New Roman"/>
        </w:rPr>
        <w:t>following</w:t>
      </w:r>
      <w:r w:rsidRPr="00872293">
        <w:rPr>
          <w:rFonts w:ascii="Times New Roman" w:hAnsi="Times New Roman" w:cs="Times New Roman"/>
        </w:rPr>
        <w:t xml:space="preserve"> the hurricane. Fine-root biomass recovery was slow, reaching to 0.49 Mg</w:t>
      </w:r>
      <w:r w:rsidR="007231C1" w:rsidRPr="007231C1">
        <w:rPr>
          <w:rFonts w:ascii="Times New Roman" w:hAnsi="Times New Roman" w:cs="Times New Roman"/>
        </w:rPr>
        <w:t xml:space="preserve"> </w:t>
      </w:r>
      <w:r w:rsidR="007231C1" w:rsidRPr="00872293">
        <w:rPr>
          <w:rFonts w:ascii="Times New Roman" w:hAnsi="Times New Roman" w:cs="Times New Roman"/>
        </w:rPr>
        <w:t>ha</w:t>
      </w:r>
      <w:r w:rsidR="007231C1" w:rsidRPr="00BD6642">
        <w:rPr>
          <w:rFonts w:ascii="Times New Roman" w:hAnsi="Times New Roman" w:cs="Times New Roman"/>
          <w:vertAlign w:val="superscript"/>
        </w:rPr>
        <w:t>-1</w:t>
      </w:r>
      <w:r w:rsidR="007231C1" w:rsidRPr="00872293">
        <w:rPr>
          <w:rFonts w:ascii="Times New Roman" w:hAnsi="Times New Roman" w:cs="Times New Roman"/>
        </w:rPr>
        <w:t xml:space="preserve"> </w:t>
      </w:r>
      <w:r w:rsidRPr="00872293">
        <w:rPr>
          <w:rFonts w:ascii="Times New Roman" w:hAnsi="Times New Roman" w:cs="Times New Roman"/>
        </w:rPr>
        <w:t>after 8 months (</w:t>
      </w:r>
      <w:proofErr w:type="spellStart"/>
      <w:r w:rsidRPr="00872293">
        <w:rPr>
          <w:rFonts w:ascii="Times New Roman" w:hAnsi="Times New Roman" w:cs="Times New Roman"/>
        </w:rPr>
        <w:t>Parrotta</w:t>
      </w:r>
      <w:proofErr w:type="spellEnd"/>
      <w:r w:rsidRPr="00872293">
        <w:rPr>
          <w:rFonts w:ascii="Times New Roman" w:hAnsi="Times New Roman" w:cs="Times New Roman"/>
        </w:rPr>
        <w:t xml:space="preserve"> &amp; Lodge, 1991). This slow recovery was attributed to physical disturbance, moisture stress (low rainfall after Hugo), and changes in non-structural carbohydrates in coarse roots. </w:t>
      </w:r>
    </w:p>
    <w:p w14:paraId="7260C8D0" w14:textId="77777777" w:rsidR="00F4721F" w:rsidRPr="00872293" w:rsidRDefault="00F4721F" w:rsidP="00CD08B7">
      <w:pPr>
        <w:widowControl w:val="0"/>
        <w:autoSpaceDE w:val="0"/>
        <w:autoSpaceDN w:val="0"/>
        <w:adjustRightInd w:val="0"/>
        <w:spacing w:line="360" w:lineRule="auto"/>
        <w:rPr>
          <w:rFonts w:ascii="Times New Roman" w:hAnsi="Times New Roman" w:cs="Times New Roman"/>
        </w:rPr>
      </w:pPr>
    </w:p>
    <w:p w14:paraId="0604D830" w14:textId="77777777" w:rsidR="003A01E8" w:rsidRPr="00872293" w:rsidRDefault="003A01E8" w:rsidP="00CD08B7">
      <w:pPr>
        <w:widowControl w:val="0"/>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Beard </w:t>
      </w:r>
      <w:r w:rsidR="00573410" w:rsidRPr="00872293">
        <w:rPr>
          <w:rFonts w:ascii="Times New Roman" w:hAnsi="Times New Roman" w:cs="Times New Roman"/>
          <w:i/>
          <w:noProof/>
        </w:rPr>
        <w:t xml:space="preserve">et al. </w:t>
      </w:r>
      <w:r w:rsidRPr="00872293">
        <w:rPr>
          <w:rFonts w:ascii="Times New Roman" w:hAnsi="Times New Roman" w:cs="Times New Roman"/>
        </w:rPr>
        <w:t>(2005)</w:t>
      </w:r>
      <w:r w:rsidR="00265C2F" w:rsidRPr="00872293">
        <w:rPr>
          <w:rFonts w:ascii="Times New Roman" w:hAnsi="Times New Roman" w:cs="Times New Roman"/>
        </w:rPr>
        <w:t xml:space="preserve"> </w:t>
      </w:r>
      <w:r w:rsidRPr="00872293">
        <w:rPr>
          <w:rFonts w:ascii="Times New Roman" w:hAnsi="Times New Roman" w:cs="Times New Roman"/>
        </w:rPr>
        <w:t>showed that root mortality increased immediately after Hurricane Hugo. They also noted that each species had different decay rates and capacity to conserve nutrients. For example, tabonuco (</w:t>
      </w:r>
      <w:r w:rsidRPr="00872293">
        <w:rPr>
          <w:rFonts w:ascii="Times New Roman" w:hAnsi="Times New Roman" w:cs="Times New Roman"/>
          <w:i/>
        </w:rPr>
        <w:t xml:space="preserve">D. </w:t>
      </w:r>
      <w:proofErr w:type="spellStart"/>
      <w:r w:rsidRPr="00872293">
        <w:rPr>
          <w:rFonts w:ascii="Times New Roman" w:hAnsi="Times New Roman" w:cs="Times New Roman"/>
          <w:i/>
        </w:rPr>
        <w:t>excelsa</w:t>
      </w:r>
      <w:proofErr w:type="spellEnd"/>
      <w:r w:rsidRPr="00872293">
        <w:rPr>
          <w:rFonts w:ascii="Times New Roman" w:hAnsi="Times New Roman" w:cs="Times New Roman"/>
        </w:rPr>
        <w:t xml:space="preserve">), showed a faster decay rate compared to other common species, resulting in faster recovery time. Beard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Pr="00872293">
        <w:rPr>
          <w:rFonts w:ascii="Times New Roman" w:hAnsi="Times New Roman" w:cs="Times New Roman"/>
        </w:rPr>
        <w:t xml:space="preserve">(2005) concluded that the post-Hugo drought might have influenced </w:t>
      </w:r>
      <w:r w:rsidR="009C64EF" w:rsidRPr="00872293">
        <w:rPr>
          <w:rFonts w:ascii="Times New Roman" w:hAnsi="Times New Roman" w:cs="Times New Roman"/>
        </w:rPr>
        <w:t>th</w:t>
      </w:r>
      <w:r w:rsidR="00D0799F" w:rsidRPr="00872293">
        <w:rPr>
          <w:rFonts w:ascii="Times New Roman" w:hAnsi="Times New Roman" w:cs="Times New Roman"/>
        </w:rPr>
        <w:t xml:space="preserve">e </w:t>
      </w:r>
      <w:r w:rsidRPr="00872293">
        <w:rPr>
          <w:rFonts w:ascii="Times New Roman" w:hAnsi="Times New Roman" w:cs="Times New Roman"/>
        </w:rPr>
        <w:t>root recovery</w:t>
      </w:r>
      <w:r w:rsidR="001368A2" w:rsidRPr="00872293">
        <w:rPr>
          <w:rFonts w:ascii="Times New Roman" w:hAnsi="Times New Roman" w:cs="Times New Roman"/>
        </w:rPr>
        <w:t>,</w:t>
      </w:r>
      <w:r w:rsidRPr="00872293">
        <w:rPr>
          <w:rFonts w:ascii="Times New Roman" w:hAnsi="Times New Roman" w:cs="Times New Roman"/>
        </w:rPr>
        <w:t xml:space="preserve"> </w:t>
      </w:r>
      <w:r w:rsidR="00110BD6" w:rsidRPr="00872293">
        <w:rPr>
          <w:rFonts w:ascii="Times New Roman" w:hAnsi="Times New Roman" w:cs="Times New Roman"/>
        </w:rPr>
        <w:t>causing</w:t>
      </w:r>
      <w:r w:rsidR="001368A2" w:rsidRPr="00872293">
        <w:rPr>
          <w:rFonts w:ascii="Times New Roman" w:hAnsi="Times New Roman" w:cs="Times New Roman"/>
        </w:rPr>
        <w:t xml:space="preserve"> </w:t>
      </w:r>
      <w:r w:rsidRPr="00872293">
        <w:rPr>
          <w:rFonts w:ascii="Times New Roman" w:hAnsi="Times New Roman" w:cs="Times New Roman"/>
        </w:rPr>
        <w:t xml:space="preserve">high root </w:t>
      </w:r>
      <w:proofErr w:type="gramStart"/>
      <w:r w:rsidRPr="00872293">
        <w:rPr>
          <w:rFonts w:ascii="Times New Roman" w:hAnsi="Times New Roman" w:cs="Times New Roman"/>
        </w:rPr>
        <w:t>mortality</w:t>
      </w:r>
      <w:proofErr w:type="gramEnd"/>
      <w:r w:rsidR="009B0F0E" w:rsidRPr="00872293">
        <w:rPr>
          <w:rFonts w:ascii="Times New Roman" w:hAnsi="Times New Roman" w:cs="Times New Roman"/>
        </w:rPr>
        <w:t xml:space="preserve"> </w:t>
      </w:r>
      <w:r w:rsidR="001368A2" w:rsidRPr="00872293">
        <w:rPr>
          <w:rFonts w:ascii="Times New Roman" w:hAnsi="Times New Roman" w:cs="Times New Roman"/>
        </w:rPr>
        <w:t xml:space="preserve">and </w:t>
      </w:r>
      <w:r w:rsidR="009B0F0E" w:rsidRPr="00872293">
        <w:rPr>
          <w:rFonts w:ascii="Times New Roman" w:hAnsi="Times New Roman" w:cs="Times New Roman"/>
        </w:rPr>
        <w:t>emphasizing the importance of considering</w:t>
      </w:r>
      <w:r w:rsidRPr="00872293">
        <w:rPr>
          <w:rFonts w:ascii="Times New Roman" w:hAnsi="Times New Roman" w:cs="Times New Roman"/>
        </w:rPr>
        <w:t xml:space="preserve"> multiple disturbance responses. Ongoing investigations are measuring the effect of previous warming treatments in the TRACE experiment (</w:t>
      </w:r>
      <w:r w:rsidR="002A25CB" w:rsidRPr="00872293">
        <w:rPr>
          <w:rFonts w:ascii="Times New Roman" w:hAnsi="Times New Roman" w:cs="Times New Roman"/>
        </w:rPr>
        <w:t>Kimball</w:t>
      </w:r>
      <w:r w:rsidR="00023ECF" w:rsidRPr="00872293">
        <w:rPr>
          <w:rFonts w:ascii="Times New Roman" w:hAnsi="Times New Roman" w:cs="Times New Roman"/>
        </w:rPr>
        <w:t xml:space="preserve">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00023ECF" w:rsidRPr="00872293">
        <w:rPr>
          <w:rFonts w:ascii="Times New Roman" w:hAnsi="Times New Roman" w:cs="Times New Roman"/>
        </w:rPr>
        <w:t>2018</w:t>
      </w:r>
      <w:r w:rsidRPr="00872293">
        <w:rPr>
          <w:rFonts w:ascii="Times New Roman" w:hAnsi="Times New Roman" w:cs="Times New Roman"/>
        </w:rPr>
        <w:t>) on root responses after Hurricanes Irma and Maria in 2017</w:t>
      </w:r>
      <w:r w:rsidR="00E66B09" w:rsidRPr="00872293">
        <w:rPr>
          <w:rFonts w:ascii="Times New Roman" w:hAnsi="Times New Roman" w:cs="Times New Roman"/>
        </w:rPr>
        <w:t xml:space="preserve"> (Yaffar, 2020)</w:t>
      </w:r>
      <w:r w:rsidRPr="00872293">
        <w:rPr>
          <w:rFonts w:ascii="Times New Roman" w:hAnsi="Times New Roman" w:cs="Times New Roman"/>
        </w:rPr>
        <w:t>.</w:t>
      </w:r>
    </w:p>
    <w:p w14:paraId="02E67066"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1D717E49" w14:textId="38D73B85" w:rsidR="00F97C74"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Lodge </w:t>
      </w:r>
      <w:r w:rsidR="00573410" w:rsidRPr="00872293">
        <w:rPr>
          <w:rFonts w:ascii="Times New Roman" w:hAnsi="Times New Roman" w:cs="Times New Roman"/>
          <w:i/>
          <w:noProof/>
        </w:rPr>
        <w:t xml:space="preserve">et al. </w:t>
      </w:r>
      <w:r w:rsidRPr="00872293">
        <w:rPr>
          <w:rFonts w:ascii="Times New Roman" w:hAnsi="Times New Roman" w:cs="Times New Roman"/>
        </w:rPr>
        <w:t xml:space="preserve">(2016) correlated fine-root length to coarse woody debris from Hurricane Hugo and Hurricane Georges (Lodge </w:t>
      </w:r>
      <w:r w:rsidR="00901885" w:rsidRPr="00872293">
        <w:rPr>
          <w:rFonts w:ascii="Times New Roman" w:hAnsi="Times New Roman" w:cs="Times New Roman"/>
          <w:i/>
          <w:iCs/>
        </w:rPr>
        <w:t>et al.,</w:t>
      </w:r>
      <w:r w:rsidR="009578FB" w:rsidRPr="00872293">
        <w:rPr>
          <w:rFonts w:ascii="Times New Roman" w:hAnsi="Times New Roman" w:cs="Times New Roman"/>
          <w:i/>
        </w:rPr>
        <w:t xml:space="preserve"> </w:t>
      </w:r>
      <w:r w:rsidRPr="00872293">
        <w:rPr>
          <w:rFonts w:ascii="Times New Roman" w:hAnsi="Times New Roman" w:cs="Times New Roman"/>
        </w:rPr>
        <w:t xml:space="preserve">2016). Root length was used to indicate nutrient hotspots. They found that root length was greater away from </w:t>
      </w:r>
      <w:r w:rsidR="009C64EF" w:rsidRPr="00872293">
        <w:rPr>
          <w:rFonts w:ascii="Times New Roman" w:hAnsi="Times New Roman" w:cs="Times New Roman"/>
        </w:rPr>
        <w:t>dead</w:t>
      </w:r>
      <w:r w:rsidRPr="00872293">
        <w:rPr>
          <w:rFonts w:ascii="Times New Roman" w:hAnsi="Times New Roman" w:cs="Times New Roman"/>
        </w:rPr>
        <w:t xml:space="preserve"> logs in the dry season, and greater under logs during the wet season. Despite root length being significantly positively correlated with soil microbial C, the latter did not differ between dry and wet season, </w:t>
      </w:r>
      <w:r w:rsidR="00D46958" w:rsidRPr="00872293">
        <w:rPr>
          <w:rFonts w:ascii="Times New Roman" w:hAnsi="Times New Roman" w:cs="Times New Roman"/>
        </w:rPr>
        <w:t>which is inconsistent with a</w:t>
      </w:r>
      <w:r w:rsidRPr="00872293">
        <w:rPr>
          <w:rFonts w:ascii="Times New Roman" w:hAnsi="Times New Roman" w:cs="Times New Roman"/>
        </w:rPr>
        <w:t xml:space="preserve"> competitive exclusion hypothesis. </w:t>
      </w:r>
      <w:r w:rsidR="008D2B8B" w:rsidRPr="00872293">
        <w:rPr>
          <w:rFonts w:ascii="Times New Roman" w:hAnsi="Times New Roman" w:cs="Times New Roman"/>
        </w:rPr>
        <w:t xml:space="preserve">They </w:t>
      </w:r>
      <w:r w:rsidR="00ED0843" w:rsidRPr="00872293">
        <w:rPr>
          <w:rFonts w:ascii="Times New Roman" w:hAnsi="Times New Roman" w:cs="Times New Roman"/>
        </w:rPr>
        <w:t>hypothesized</w:t>
      </w:r>
      <w:r w:rsidR="008D2B8B" w:rsidRPr="00872293">
        <w:rPr>
          <w:rFonts w:ascii="Times New Roman" w:hAnsi="Times New Roman" w:cs="Times New Roman"/>
        </w:rPr>
        <w:t xml:space="preserve"> that soil</w:t>
      </w:r>
      <w:r w:rsidRPr="00872293">
        <w:rPr>
          <w:rFonts w:ascii="Times New Roman" w:hAnsi="Times New Roman" w:cs="Times New Roman"/>
        </w:rPr>
        <w:t xml:space="preserve"> P may have contributed to the rooting patterns, </w:t>
      </w:r>
      <w:r w:rsidR="008D2B8B" w:rsidRPr="00872293">
        <w:rPr>
          <w:rFonts w:ascii="Times New Roman" w:hAnsi="Times New Roman" w:cs="Times New Roman"/>
        </w:rPr>
        <w:t>or the</w:t>
      </w:r>
      <w:r w:rsidRPr="00872293">
        <w:rPr>
          <w:rFonts w:ascii="Times New Roman" w:hAnsi="Times New Roman" w:cs="Times New Roman"/>
        </w:rPr>
        <w:t xml:space="preserve"> differences in the secondary compounds of the decaying logs might result</w:t>
      </w:r>
      <w:r w:rsidR="008D2B8B" w:rsidRPr="00872293">
        <w:rPr>
          <w:rFonts w:ascii="Times New Roman" w:hAnsi="Times New Roman" w:cs="Times New Roman"/>
        </w:rPr>
        <w:t>ed</w:t>
      </w:r>
      <w:r w:rsidRPr="00872293">
        <w:rPr>
          <w:rFonts w:ascii="Times New Roman" w:hAnsi="Times New Roman" w:cs="Times New Roman"/>
        </w:rPr>
        <w:t xml:space="preserve"> in fine-root length differences. </w:t>
      </w:r>
      <w:r w:rsidR="009F2512" w:rsidRPr="00872293">
        <w:rPr>
          <w:rFonts w:ascii="Times New Roman" w:hAnsi="Times New Roman" w:cs="Times New Roman"/>
        </w:rPr>
        <w:t>T</w:t>
      </w:r>
      <w:r w:rsidR="007716B6" w:rsidRPr="00872293">
        <w:rPr>
          <w:rFonts w:ascii="Times New Roman" w:hAnsi="Times New Roman" w:cs="Times New Roman"/>
        </w:rPr>
        <w:t>he T</w:t>
      </w:r>
      <w:r w:rsidR="009F2512" w:rsidRPr="00872293">
        <w:rPr>
          <w:rFonts w:ascii="Times New Roman" w:hAnsi="Times New Roman" w:cs="Times New Roman"/>
        </w:rPr>
        <w:t xml:space="preserve">orres (1994) study suggested that aboveground adventitious roots from </w:t>
      </w:r>
      <w:r w:rsidR="009F2512" w:rsidRPr="00872293">
        <w:rPr>
          <w:rFonts w:ascii="Times New Roman" w:hAnsi="Times New Roman" w:cs="Times New Roman"/>
          <w:i/>
        </w:rPr>
        <w:t>Cyrilla</w:t>
      </w:r>
      <w:r w:rsidR="009F2512" w:rsidRPr="00872293">
        <w:rPr>
          <w:rFonts w:ascii="Times New Roman" w:hAnsi="Times New Roman" w:cs="Times New Roman"/>
        </w:rPr>
        <w:t xml:space="preserve"> </w:t>
      </w:r>
      <w:r w:rsidR="009F2512" w:rsidRPr="00872293">
        <w:rPr>
          <w:rFonts w:ascii="Times New Roman" w:hAnsi="Times New Roman" w:cs="Times New Roman"/>
          <w:i/>
        </w:rPr>
        <w:t>racemiflora</w:t>
      </w:r>
      <w:r w:rsidR="009F2512" w:rsidRPr="00872293">
        <w:rPr>
          <w:rFonts w:ascii="Times New Roman" w:hAnsi="Times New Roman" w:cs="Times New Roman"/>
        </w:rPr>
        <w:t xml:space="preserve"> extracts nutrients from dead wood from the same tree or nearby trees, allowing its recovery in LEF.</w:t>
      </w:r>
    </w:p>
    <w:p w14:paraId="34133DD3" w14:textId="77777777" w:rsidR="006503E9" w:rsidRPr="00872293" w:rsidRDefault="006503E9" w:rsidP="00CD08B7">
      <w:pPr>
        <w:autoSpaceDE w:val="0"/>
        <w:autoSpaceDN w:val="0"/>
        <w:adjustRightInd w:val="0"/>
        <w:spacing w:line="360" w:lineRule="auto"/>
        <w:rPr>
          <w:rFonts w:ascii="Times New Roman" w:hAnsi="Times New Roman" w:cs="Times New Roman"/>
        </w:rPr>
      </w:pPr>
    </w:p>
    <w:p w14:paraId="1365CE2E" w14:textId="77777777" w:rsidR="00814E2F" w:rsidRPr="00872293" w:rsidRDefault="00220362" w:rsidP="00F97C74">
      <w:pPr>
        <w:pStyle w:val="Heading3"/>
        <w:spacing w:before="0" w:after="0" w:line="360" w:lineRule="auto"/>
      </w:pPr>
      <w:bookmarkStart w:id="33" w:name="_Toc53689069"/>
      <w:r w:rsidRPr="00872293">
        <w:t>R</w:t>
      </w:r>
      <w:r w:rsidR="00606E40" w:rsidRPr="00872293">
        <w:t>oot response to soil chemical and physical changes</w:t>
      </w:r>
      <w:bookmarkEnd w:id="33"/>
    </w:p>
    <w:p w14:paraId="43A367E5" w14:textId="77777777" w:rsidR="003A01E8" w:rsidRPr="00872293" w:rsidRDefault="003A01E8" w:rsidP="00CD08B7">
      <w:pPr>
        <w:spacing w:before="240" w:line="360" w:lineRule="auto"/>
        <w:rPr>
          <w:rFonts w:ascii="Times New Roman" w:hAnsi="Times New Roman" w:cs="Times New Roman"/>
        </w:rPr>
      </w:pPr>
      <w:r w:rsidRPr="00872293">
        <w:rPr>
          <w:rFonts w:ascii="Times New Roman" w:hAnsi="Times New Roman" w:cs="Times New Roman"/>
        </w:rPr>
        <w:t xml:space="preserve">Fetcher </w:t>
      </w:r>
      <w:r w:rsidR="00573410" w:rsidRPr="00872293">
        <w:rPr>
          <w:rFonts w:ascii="Times New Roman" w:hAnsi="Times New Roman" w:cs="Times New Roman"/>
          <w:i/>
          <w:noProof/>
        </w:rPr>
        <w:t xml:space="preserve">et al. </w:t>
      </w:r>
      <w:r w:rsidRPr="00872293">
        <w:rPr>
          <w:rFonts w:ascii="Times New Roman" w:hAnsi="Times New Roman" w:cs="Times New Roman"/>
        </w:rPr>
        <w:t xml:space="preserve">(1996) measured the response of </w:t>
      </w:r>
      <w:r w:rsidR="00DD401B" w:rsidRPr="00872293">
        <w:rPr>
          <w:rFonts w:ascii="Times New Roman" w:hAnsi="Times New Roman" w:cs="Times New Roman"/>
        </w:rPr>
        <w:t>tree seedlings</w:t>
      </w:r>
      <w:r w:rsidRPr="00872293">
        <w:rPr>
          <w:rFonts w:ascii="Times New Roman" w:hAnsi="Times New Roman" w:cs="Times New Roman"/>
        </w:rPr>
        <w:t>, two pioneers (</w:t>
      </w:r>
      <w:r w:rsidRPr="00872293">
        <w:rPr>
          <w:rFonts w:ascii="Times New Roman" w:hAnsi="Times New Roman" w:cs="Times New Roman"/>
          <w:i/>
        </w:rPr>
        <w:t xml:space="preserve">C. </w:t>
      </w:r>
      <w:proofErr w:type="spellStart"/>
      <w:r w:rsidRPr="00872293">
        <w:rPr>
          <w:rFonts w:ascii="Times New Roman" w:hAnsi="Times New Roman" w:cs="Times New Roman"/>
          <w:i/>
        </w:rPr>
        <w:t>schreberiana</w:t>
      </w:r>
      <w:proofErr w:type="spellEnd"/>
      <w:r w:rsidRPr="00872293">
        <w:rPr>
          <w:rFonts w:ascii="Times New Roman" w:hAnsi="Times New Roman" w:cs="Times New Roman"/>
          <w:i/>
        </w:rPr>
        <w:t xml:space="preserve"> and P. </w:t>
      </w:r>
      <w:proofErr w:type="spellStart"/>
      <w:r w:rsidRPr="00872293">
        <w:rPr>
          <w:rFonts w:ascii="Times New Roman" w:hAnsi="Times New Roman" w:cs="Times New Roman"/>
          <w:i/>
        </w:rPr>
        <w:t>rivinoide</w:t>
      </w:r>
      <w:proofErr w:type="spellEnd"/>
      <w:r w:rsidRPr="00872293">
        <w:rPr>
          <w:rFonts w:ascii="Times New Roman" w:hAnsi="Times New Roman" w:cs="Times New Roman"/>
        </w:rPr>
        <w:t>) and two non-pioneers (</w:t>
      </w:r>
      <w:r w:rsidRPr="00872293">
        <w:rPr>
          <w:rFonts w:ascii="Times New Roman" w:hAnsi="Times New Roman" w:cs="Times New Roman"/>
          <w:i/>
        </w:rPr>
        <w:t>M. bidentata and riparia</w:t>
      </w:r>
      <w:r w:rsidRPr="00872293">
        <w:rPr>
          <w:rFonts w:ascii="Times New Roman" w:hAnsi="Times New Roman" w:cs="Times New Roman"/>
        </w:rPr>
        <w:t>), to fertilization in a landslide at LEF. Across all four species there was more allocation to roots in the N + P treatment than in the N or P treatments alone. The pioneer species responded more to nutrient addition than the non-pioneer species. This was explained by the high potential growth and photosynthetic rates of pioneer species, as well as the mycorrhizal colonization</w:t>
      </w:r>
      <w:r w:rsidR="00926666" w:rsidRPr="00872293">
        <w:rPr>
          <w:rFonts w:ascii="Times New Roman" w:hAnsi="Times New Roman" w:cs="Times New Roman"/>
        </w:rPr>
        <w:t>.</w:t>
      </w:r>
    </w:p>
    <w:p w14:paraId="6ED583F8"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1034C1C0" w14:textId="77777777" w:rsidR="003A01E8" w:rsidRPr="00872293"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Stone </w:t>
      </w:r>
      <w:r w:rsidR="00573410" w:rsidRPr="00872293">
        <w:rPr>
          <w:rFonts w:ascii="Times New Roman" w:hAnsi="Times New Roman" w:cs="Times New Roman"/>
          <w:i/>
          <w:noProof/>
        </w:rPr>
        <w:t xml:space="preserve">et al. </w:t>
      </w:r>
      <w:r w:rsidRPr="00872293">
        <w:rPr>
          <w:rFonts w:ascii="Times New Roman" w:hAnsi="Times New Roman" w:cs="Times New Roman"/>
        </w:rPr>
        <w:t xml:space="preserve">(2013) found that </w:t>
      </w:r>
      <w:r w:rsidR="006F18F2" w:rsidRPr="00872293">
        <w:rPr>
          <w:rFonts w:ascii="Times New Roman" w:hAnsi="Times New Roman" w:cs="Times New Roman"/>
        </w:rPr>
        <w:t xml:space="preserve">seedlings of </w:t>
      </w:r>
      <w:r w:rsidRPr="00872293">
        <w:rPr>
          <w:rFonts w:ascii="Times New Roman" w:hAnsi="Times New Roman" w:cs="Times New Roman"/>
        </w:rPr>
        <w:t xml:space="preserve">another early successional native </w:t>
      </w:r>
      <w:r w:rsidR="006F18F2" w:rsidRPr="00872293">
        <w:rPr>
          <w:rFonts w:ascii="Times New Roman" w:hAnsi="Times New Roman" w:cs="Times New Roman"/>
        </w:rPr>
        <w:t>species</w:t>
      </w:r>
      <w:r w:rsidRPr="00872293">
        <w:rPr>
          <w:rFonts w:ascii="Times New Roman" w:hAnsi="Times New Roman" w:cs="Times New Roman"/>
        </w:rPr>
        <w:t xml:space="preserve">, </w:t>
      </w:r>
      <w:r w:rsidRPr="00872293">
        <w:rPr>
          <w:rFonts w:ascii="Times New Roman" w:hAnsi="Times New Roman" w:cs="Times New Roman"/>
          <w:i/>
        </w:rPr>
        <w:t>T. heterophylla,</w:t>
      </w:r>
      <w:r w:rsidRPr="00872293">
        <w:rPr>
          <w:rFonts w:ascii="Times New Roman" w:hAnsi="Times New Roman" w:cs="Times New Roman"/>
        </w:rPr>
        <w:t xml:space="preserve"> in LEF</w:t>
      </w:r>
      <w:r w:rsidR="0065722B" w:rsidRPr="00872293">
        <w:rPr>
          <w:rFonts w:ascii="Times New Roman" w:hAnsi="Times New Roman" w:cs="Times New Roman"/>
        </w:rPr>
        <w:t xml:space="preserve"> </w:t>
      </w:r>
      <w:r w:rsidRPr="00872293">
        <w:rPr>
          <w:rFonts w:ascii="Times New Roman" w:hAnsi="Times New Roman" w:cs="Times New Roman"/>
        </w:rPr>
        <w:t>increase</w:t>
      </w:r>
      <w:r w:rsidR="008D0993" w:rsidRPr="00872293">
        <w:rPr>
          <w:rFonts w:ascii="Times New Roman" w:hAnsi="Times New Roman" w:cs="Times New Roman"/>
        </w:rPr>
        <w:t>d</w:t>
      </w:r>
      <w:r w:rsidRPr="00872293">
        <w:rPr>
          <w:rFonts w:ascii="Times New Roman" w:hAnsi="Times New Roman" w:cs="Times New Roman"/>
        </w:rPr>
        <w:t xml:space="preserve"> its root biomass only </w:t>
      </w:r>
      <w:r w:rsidR="008D0993" w:rsidRPr="00872293">
        <w:rPr>
          <w:rFonts w:ascii="Times New Roman" w:hAnsi="Times New Roman" w:cs="Times New Roman"/>
        </w:rPr>
        <w:t xml:space="preserve">with </w:t>
      </w:r>
      <w:r w:rsidRPr="00872293">
        <w:rPr>
          <w:rFonts w:ascii="Times New Roman" w:hAnsi="Times New Roman" w:cs="Times New Roman"/>
        </w:rPr>
        <w:t xml:space="preserve">P addition. Contrary to Fetcher </w:t>
      </w:r>
      <w:r w:rsidR="00573410" w:rsidRPr="00872293">
        <w:rPr>
          <w:rFonts w:ascii="Times New Roman" w:hAnsi="Times New Roman" w:cs="Times New Roman"/>
          <w:i/>
          <w:noProof/>
        </w:rPr>
        <w:t>et al.</w:t>
      </w:r>
      <w:r w:rsidR="00573410" w:rsidRPr="00872293">
        <w:rPr>
          <w:rFonts w:ascii="Times New Roman" w:eastAsia="Lato-Regular" w:hAnsi="Times New Roman" w:cs="Times New Roman"/>
        </w:rPr>
        <w:t xml:space="preserve"> </w:t>
      </w:r>
      <w:r w:rsidRPr="00872293">
        <w:rPr>
          <w:rFonts w:ascii="Times New Roman" w:hAnsi="Times New Roman" w:cs="Times New Roman"/>
        </w:rPr>
        <w:t xml:space="preserve">(1996), Stone </w:t>
      </w:r>
      <w:r w:rsidR="00573410" w:rsidRPr="00872293">
        <w:rPr>
          <w:rFonts w:ascii="Times New Roman" w:hAnsi="Times New Roman" w:cs="Times New Roman"/>
          <w:i/>
          <w:noProof/>
        </w:rPr>
        <w:t xml:space="preserve">et al. </w:t>
      </w:r>
      <w:r w:rsidRPr="00872293">
        <w:rPr>
          <w:rFonts w:ascii="Times New Roman" w:hAnsi="Times New Roman" w:cs="Times New Roman"/>
        </w:rPr>
        <w:t>(2013) showed no changes in root biomass when increasing soil N+P. Additionally, they measured changes in five extracellular enzyme activities, which helped correlate soil P deficiency with root growth when P was added. Therefore, multiple species-specific root traits, such as enzymatic activity, root morphology, architecture, root hair density, and mycorrhizal colonization should be taken in consideration in future studies to correlate with soil nutrient concentrations and better understand root uptake.</w:t>
      </w:r>
    </w:p>
    <w:p w14:paraId="52F99194" w14:textId="77777777" w:rsidR="00F4721F" w:rsidRPr="00872293" w:rsidRDefault="00F4721F" w:rsidP="00CD08B7">
      <w:pPr>
        <w:autoSpaceDE w:val="0"/>
        <w:autoSpaceDN w:val="0"/>
        <w:adjustRightInd w:val="0"/>
        <w:spacing w:line="360" w:lineRule="auto"/>
        <w:rPr>
          <w:rFonts w:ascii="Times New Roman" w:hAnsi="Times New Roman" w:cs="Times New Roman"/>
        </w:rPr>
      </w:pPr>
    </w:p>
    <w:p w14:paraId="4B52C8C3" w14:textId="7EED9AFF" w:rsidR="003A01E8" w:rsidRPr="00872293" w:rsidRDefault="003A01E8" w:rsidP="00CD08B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Soil compaction is another environmental factor, usually human-driven, that affects root growth. Tirado-</w:t>
      </w:r>
      <w:proofErr w:type="spellStart"/>
      <w:r w:rsidRPr="00872293">
        <w:rPr>
          <w:rFonts w:ascii="Times New Roman" w:hAnsi="Times New Roman" w:cs="Times New Roman"/>
        </w:rPr>
        <w:t>Corbala</w:t>
      </w:r>
      <w:proofErr w:type="spellEnd"/>
      <w:r w:rsidRPr="00872293">
        <w:rPr>
          <w:rFonts w:ascii="Times New Roman" w:hAnsi="Times New Roman" w:cs="Times New Roman"/>
        </w:rPr>
        <w:t xml:space="preserve"> </w:t>
      </w:r>
      <w:r w:rsidR="00224585" w:rsidRPr="00872293">
        <w:rPr>
          <w:rFonts w:ascii="Times New Roman" w:hAnsi="Times New Roman" w:cs="Times New Roman"/>
        </w:rPr>
        <w:t xml:space="preserve">&amp; </w:t>
      </w:r>
      <w:r w:rsidRPr="00872293">
        <w:rPr>
          <w:rFonts w:ascii="Times New Roman" w:hAnsi="Times New Roman" w:cs="Times New Roman"/>
        </w:rPr>
        <w:t>Slater (2010) measured root biomass from</w:t>
      </w:r>
      <w:r w:rsidR="00A706DE" w:rsidRPr="00872293">
        <w:rPr>
          <w:rFonts w:ascii="Times New Roman" w:hAnsi="Times New Roman" w:cs="Times New Roman"/>
        </w:rPr>
        <w:t xml:space="preserve"> seedlings of</w:t>
      </w:r>
      <w:r w:rsidRPr="00872293">
        <w:rPr>
          <w:rFonts w:ascii="Times New Roman" w:hAnsi="Times New Roman" w:cs="Times New Roman"/>
        </w:rPr>
        <w:t xml:space="preserve"> planted trees of Puerto Rico in different soil types and compaction levels. </w:t>
      </w:r>
      <w:r w:rsidR="007D5DA0" w:rsidRPr="00872293">
        <w:rPr>
          <w:rFonts w:ascii="Times New Roman" w:hAnsi="Times New Roman" w:cs="Times New Roman"/>
        </w:rPr>
        <w:t xml:space="preserve">Compaction caused a significant decrease in root mass </w:t>
      </w:r>
      <w:r w:rsidRPr="00872293">
        <w:rPr>
          <w:rFonts w:ascii="Times New Roman" w:hAnsi="Times New Roman" w:cs="Times New Roman"/>
        </w:rPr>
        <w:t xml:space="preserve">for </w:t>
      </w:r>
      <w:proofErr w:type="spellStart"/>
      <w:r w:rsidRPr="00872293">
        <w:rPr>
          <w:rFonts w:ascii="Times New Roman" w:hAnsi="Times New Roman" w:cs="Times New Roman"/>
          <w:i/>
          <w:iCs/>
        </w:rPr>
        <w:t>Tecoma</w:t>
      </w:r>
      <w:proofErr w:type="spellEnd"/>
      <w:r w:rsidRPr="00872293">
        <w:rPr>
          <w:rFonts w:ascii="Times New Roman" w:hAnsi="Times New Roman" w:cs="Times New Roman"/>
          <w:i/>
          <w:iCs/>
        </w:rPr>
        <w:t xml:space="preserve"> stans</w:t>
      </w:r>
      <w:r w:rsidRPr="00872293">
        <w:rPr>
          <w:rFonts w:ascii="Times New Roman" w:hAnsi="Times New Roman" w:cs="Times New Roman"/>
        </w:rPr>
        <w:t xml:space="preserve"> </w:t>
      </w:r>
      <w:r w:rsidR="007D5DA0" w:rsidRPr="00872293">
        <w:rPr>
          <w:rFonts w:ascii="Times New Roman" w:hAnsi="Times New Roman" w:cs="Times New Roman"/>
        </w:rPr>
        <w:t>but not</w:t>
      </w:r>
      <w:r w:rsidRPr="00872293">
        <w:rPr>
          <w:rFonts w:ascii="Times New Roman" w:hAnsi="Times New Roman" w:cs="Times New Roman"/>
        </w:rPr>
        <w:t xml:space="preserve"> for </w:t>
      </w:r>
      <w:r w:rsidRPr="00872293">
        <w:rPr>
          <w:rFonts w:ascii="Times New Roman" w:hAnsi="Times New Roman" w:cs="Times New Roman"/>
          <w:i/>
          <w:iCs/>
        </w:rPr>
        <w:t xml:space="preserve">Tabebuia rosea </w:t>
      </w:r>
      <w:r w:rsidRPr="00872293">
        <w:rPr>
          <w:rFonts w:ascii="Times New Roman" w:hAnsi="Times New Roman" w:cs="Times New Roman"/>
          <w:iCs/>
        </w:rPr>
        <w:t>or</w:t>
      </w:r>
      <w:r w:rsidRPr="00872293">
        <w:rPr>
          <w:rFonts w:ascii="Times New Roman" w:hAnsi="Times New Roman" w:cs="Times New Roman"/>
          <w:i/>
          <w:iCs/>
        </w:rPr>
        <w:t xml:space="preserve"> Callistemon </w:t>
      </w:r>
      <w:proofErr w:type="spellStart"/>
      <w:r w:rsidRPr="00872293">
        <w:rPr>
          <w:rFonts w:ascii="Times New Roman" w:hAnsi="Times New Roman" w:cs="Times New Roman"/>
          <w:i/>
          <w:iCs/>
        </w:rPr>
        <w:t>citrinus</w:t>
      </w:r>
      <w:proofErr w:type="spellEnd"/>
      <w:r w:rsidRPr="00872293">
        <w:rPr>
          <w:rFonts w:ascii="Times New Roman" w:hAnsi="Times New Roman" w:cs="Times New Roman"/>
        </w:rPr>
        <w:t>. The three</w:t>
      </w:r>
      <w:r w:rsidR="001368A2" w:rsidRPr="00872293">
        <w:rPr>
          <w:rFonts w:ascii="Times New Roman" w:hAnsi="Times New Roman" w:cs="Times New Roman"/>
        </w:rPr>
        <w:t xml:space="preserve"> </w:t>
      </w:r>
      <w:r w:rsidRPr="00872293">
        <w:rPr>
          <w:rFonts w:ascii="Times New Roman" w:hAnsi="Times New Roman" w:cs="Times New Roman"/>
        </w:rPr>
        <w:t>tree species presented higher root mass grown in sandy clay loam soils compared to trees grown in clay soil. Future studies should measure soil texture and compaction in relationship to different root physiological traits to better understand root response to soil physical changes.</w:t>
      </w:r>
    </w:p>
    <w:p w14:paraId="7C6017C1" w14:textId="77777777" w:rsidR="00BF2B76" w:rsidRPr="00872293" w:rsidRDefault="00BF2B76" w:rsidP="006503E9">
      <w:pPr>
        <w:autoSpaceDE w:val="0"/>
        <w:autoSpaceDN w:val="0"/>
        <w:adjustRightInd w:val="0"/>
        <w:spacing w:line="360" w:lineRule="auto"/>
        <w:rPr>
          <w:rFonts w:ascii="Times New Roman" w:hAnsi="Times New Roman" w:cs="Times New Roman"/>
        </w:rPr>
      </w:pPr>
    </w:p>
    <w:p w14:paraId="41ECAD31" w14:textId="17941EB6" w:rsidR="0044746D" w:rsidRPr="00872293" w:rsidRDefault="00B75489" w:rsidP="006503E9">
      <w:pPr>
        <w:pStyle w:val="Heading2"/>
        <w:spacing w:before="0" w:after="0" w:line="360" w:lineRule="auto"/>
        <w:rPr>
          <w:rFonts w:cs="Times New Roman"/>
          <w:szCs w:val="24"/>
        </w:rPr>
      </w:pPr>
      <w:bookmarkStart w:id="34" w:name="_Toc53689070"/>
      <w:r w:rsidRPr="00872293">
        <w:rPr>
          <w:rFonts w:cs="Times New Roman"/>
          <w:szCs w:val="24"/>
        </w:rPr>
        <w:t>C</w:t>
      </w:r>
      <w:r w:rsidR="00606E40" w:rsidRPr="00872293">
        <w:rPr>
          <w:rFonts w:cs="Times New Roman"/>
          <w:szCs w:val="24"/>
        </w:rPr>
        <w:t>onclusions</w:t>
      </w:r>
      <w:bookmarkEnd w:id="34"/>
      <w:r w:rsidR="00606E40" w:rsidRPr="00872293">
        <w:rPr>
          <w:rFonts w:cs="Times New Roman"/>
          <w:szCs w:val="24"/>
        </w:rPr>
        <w:t xml:space="preserve"> </w:t>
      </w:r>
    </w:p>
    <w:p w14:paraId="2FBD0E2A" w14:textId="77777777" w:rsidR="003A01E8" w:rsidRPr="00872293" w:rsidRDefault="003A01E8" w:rsidP="006503E9">
      <w:pPr>
        <w:spacing w:before="240" w:line="360" w:lineRule="auto"/>
        <w:rPr>
          <w:rFonts w:ascii="Times New Roman" w:hAnsi="Times New Roman" w:cs="Times New Roman"/>
        </w:rPr>
      </w:pPr>
      <w:r w:rsidRPr="00872293">
        <w:rPr>
          <w:rFonts w:ascii="Times New Roman" w:hAnsi="Times New Roman" w:cs="Times New Roman"/>
        </w:rPr>
        <w:t xml:space="preserve">The studies mentioned in this review gathered important pieces of information regarding root traits from different forest types in Puerto Rico over the past 50 years. Some of the </w:t>
      </w:r>
      <w:r w:rsidR="00873DD9" w:rsidRPr="00872293">
        <w:rPr>
          <w:rFonts w:ascii="Times New Roman" w:hAnsi="Times New Roman" w:cs="Times New Roman"/>
        </w:rPr>
        <w:t xml:space="preserve">conclusions </w:t>
      </w:r>
      <w:r w:rsidR="00873DD9" w:rsidRPr="00872293">
        <w:rPr>
          <w:rFonts w:ascii="Times New Roman" w:hAnsi="Times New Roman" w:cs="Times New Roman"/>
        </w:rPr>
        <w:lastRenderedPageBreak/>
        <w:t xml:space="preserve">we </w:t>
      </w:r>
      <w:r w:rsidRPr="00872293">
        <w:rPr>
          <w:rFonts w:ascii="Times New Roman" w:hAnsi="Times New Roman" w:cs="Times New Roman"/>
        </w:rPr>
        <w:t xml:space="preserve">gathered from this collection are: </w:t>
      </w:r>
      <w:r w:rsidR="005F2E53" w:rsidRPr="00872293">
        <w:rPr>
          <w:rFonts w:ascii="Times New Roman" w:hAnsi="Times New Roman" w:cs="Times New Roman"/>
        </w:rPr>
        <w:t>(</w:t>
      </w:r>
      <w:r w:rsidR="00CF2A89" w:rsidRPr="00872293">
        <w:rPr>
          <w:rFonts w:ascii="Times New Roman" w:hAnsi="Times New Roman" w:cs="Times New Roman"/>
        </w:rPr>
        <w:t>a</w:t>
      </w:r>
      <w:r w:rsidR="005F2E53" w:rsidRPr="00872293">
        <w:rPr>
          <w:rFonts w:ascii="Times New Roman" w:hAnsi="Times New Roman" w:cs="Times New Roman"/>
        </w:rPr>
        <w:t>)</w:t>
      </w:r>
      <w:r w:rsidRPr="00872293">
        <w:rPr>
          <w:rFonts w:ascii="Times New Roman" w:hAnsi="Times New Roman" w:cs="Times New Roman"/>
        </w:rPr>
        <w:t xml:space="preserve"> Rooting depth distribution in the wet forest is shallower (above 20 cm) than presented in other tropical studies</w:t>
      </w:r>
      <w:r w:rsidR="006004FC" w:rsidRPr="00872293">
        <w:rPr>
          <w:rFonts w:ascii="Times New Roman" w:hAnsi="Times New Roman" w:cs="Times New Roman"/>
        </w:rPr>
        <w:t xml:space="preserve">, </w:t>
      </w:r>
      <w:r w:rsidR="00980B6A" w:rsidRPr="00872293">
        <w:rPr>
          <w:rFonts w:ascii="Times New Roman" w:hAnsi="Times New Roman" w:cs="Times New Roman"/>
        </w:rPr>
        <w:t xml:space="preserve">yet only </w:t>
      </w:r>
      <w:r w:rsidR="001468F9" w:rsidRPr="00872293">
        <w:rPr>
          <w:rFonts w:ascii="Times New Roman" w:hAnsi="Times New Roman" w:cs="Times New Roman"/>
        </w:rPr>
        <w:t>three</w:t>
      </w:r>
      <w:r w:rsidR="00980B6A" w:rsidRPr="00872293">
        <w:rPr>
          <w:rFonts w:ascii="Times New Roman" w:hAnsi="Times New Roman" w:cs="Times New Roman"/>
        </w:rPr>
        <w:t xml:space="preserve"> studies considered rooting distribution further than 30 cm in depth</w:t>
      </w:r>
      <w:r w:rsidR="0065366C" w:rsidRPr="00872293">
        <w:rPr>
          <w:rFonts w:ascii="Times New Roman" w:hAnsi="Times New Roman" w:cs="Times New Roman"/>
        </w:rPr>
        <w:t>.</w:t>
      </w:r>
      <w:r w:rsidR="003353E1" w:rsidRPr="00872293">
        <w:rPr>
          <w:rFonts w:ascii="Times New Roman" w:hAnsi="Times New Roman" w:cs="Times New Roman"/>
        </w:rPr>
        <w:t xml:space="preserve"> </w:t>
      </w:r>
      <w:r w:rsidR="0065366C" w:rsidRPr="00872293">
        <w:rPr>
          <w:rFonts w:ascii="Times New Roman" w:hAnsi="Times New Roman" w:cs="Times New Roman"/>
        </w:rPr>
        <w:t>Thus,</w:t>
      </w:r>
      <w:r w:rsidR="003353E1" w:rsidRPr="00872293">
        <w:rPr>
          <w:rFonts w:ascii="Times New Roman" w:hAnsi="Times New Roman" w:cs="Times New Roman"/>
        </w:rPr>
        <w:t xml:space="preserve"> we suggest that more future studies confirm this pattern</w:t>
      </w:r>
      <w:r w:rsidR="003659BB" w:rsidRPr="00872293">
        <w:rPr>
          <w:rFonts w:ascii="Times New Roman" w:hAnsi="Times New Roman" w:cs="Times New Roman"/>
        </w:rPr>
        <w:t xml:space="preserve"> in the different forest type</w:t>
      </w:r>
      <w:r w:rsidR="002305CD" w:rsidRPr="00872293">
        <w:rPr>
          <w:rFonts w:ascii="Times New Roman" w:hAnsi="Times New Roman" w:cs="Times New Roman"/>
        </w:rPr>
        <w:t>s</w:t>
      </w:r>
      <w:r w:rsidRPr="00872293">
        <w:rPr>
          <w:rFonts w:ascii="Times New Roman" w:hAnsi="Times New Roman" w:cs="Times New Roman"/>
        </w:rPr>
        <w:t xml:space="preserve">. The dry forest has slightly deeper distribution than the wet forest, but there are not enough </w:t>
      </w:r>
      <w:r w:rsidR="00BA3F94" w:rsidRPr="00872293">
        <w:rPr>
          <w:rFonts w:ascii="Times New Roman" w:hAnsi="Times New Roman" w:cs="Times New Roman"/>
        </w:rPr>
        <w:t>data on vertical distribution of roots</w:t>
      </w:r>
      <w:r w:rsidRPr="00872293">
        <w:rPr>
          <w:rFonts w:ascii="Times New Roman" w:hAnsi="Times New Roman" w:cs="Times New Roman"/>
        </w:rPr>
        <w:t xml:space="preserve"> </w:t>
      </w:r>
      <w:r w:rsidR="00B11CCF" w:rsidRPr="00872293">
        <w:rPr>
          <w:rFonts w:ascii="Times New Roman" w:hAnsi="Times New Roman" w:cs="Times New Roman"/>
        </w:rPr>
        <w:t xml:space="preserve">in the dry forest </w:t>
      </w:r>
      <w:r w:rsidRPr="00872293">
        <w:rPr>
          <w:rFonts w:ascii="Times New Roman" w:hAnsi="Times New Roman" w:cs="Times New Roman"/>
        </w:rPr>
        <w:t xml:space="preserve">for </w:t>
      </w:r>
      <w:r w:rsidR="00404159" w:rsidRPr="00872293">
        <w:rPr>
          <w:rFonts w:ascii="Times New Roman" w:hAnsi="Times New Roman" w:cs="Times New Roman"/>
        </w:rPr>
        <w:t xml:space="preserve">a </w:t>
      </w:r>
      <w:r w:rsidRPr="00872293">
        <w:rPr>
          <w:rFonts w:ascii="Times New Roman" w:hAnsi="Times New Roman" w:cs="Times New Roman"/>
        </w:rPr>
        <w:t xml:space="preserve">strong conclusion. </w:t>
      </w:r>
      <w:r w:rsidR="005F2E53" w:rsidRPr="00872293">
        <w:rPr>
          <w:rFonts w:ascii="Times New Roman" w:hAnsi="Times New Roman" w:cs="Times New Roman"/>
        </w:rPr>
        <w:t>(</w:t>
      </w:r>
      <w:r w:rsidR="00CF2A89" w:rsidRPr="00872293">
        <w:rPr>
          <w:rFonts w:ascii="Times New Roman" w:hAnsi="Times New Roman" w:cs="Times New Roman"/>
        </w:rPr>
        <w:t>b</w:t>
      </w:r>
      <w:r w:rsidR="005F2E53" w:rsidRPr="00872293">
        <w:rPr>
          <w:rFonts w:ascii="Times New Roman" w:hAnsi="Times New Roman" w:cs="Times New Roman"/>
        </w:rPr>
        <w:t>)</w:t>
      </w:r>
      <w:r w:rsidRPr="00872293">
        <w:rPr>
          <w:rFonts w:ascii="Times New Roman" w:hAnsi="Times New Roman" w:cs="Times New Roman"/>
        </w:rPr>
        <w:t xml:space="preserve"> Total root biomass is greater in the wet forest than in the dry forest. </w:t>
      </w:r>
      <w:r w:rsidR="005F2E53" w:rsidRPr="00872293">
        <w:rPr>
          <w:rFonts w:ascii="Times New Roman" w:hAnsi="Times New Roman" w:cs="Times New Roman"/>
        </w:rPr>
        <w:t>(</w:t>
      </w:r>
      <w:r w:rsidR="00CF2A89" w:rsidRPr="00872293">
        <w:rPr>
          <w:rFonts w:ascii="Times New Roman" w:hAnsi="Times New Roman" w:cs="Times New Roman"/>
        </w:rPr>
        <w:t>c</w:t>
      </w:r>
      <w:r w:rsidR="005F2E53" w:rsidRPr="00872293">
        <w:rPr>
          <w:rFonts w:ascii="Times New Roman" w:hAnsi="Times New Roman" w:cs="Times New Roman"/>
        </w:rPr>
        <w:t>)</w:t>
      </w:r>
      <w:r w:rsidRPr="00872293">
        <w:rPr>
          <w:rFonts w:ascii="Times New Roman" w:hAnsi="Times New Roman" w:cs="Times New Roman"/>
        </w:rPr>
        <w:t xml:space="preserve"> Fine-root biomass is much greater in the palm primary forest (Wet forest-LEF), followed by the secondary wet forest (LEF), the dry mature forest (Guánica), a mahogany plantation, a pine plantation, and urban </w:t>
      </w:r>
      <w:r w:rsidR="00DE1B18" w:rsidRPr="00872293">
        <w:rPr>
          <w:rFonts w:ascii="Times New Roman" w:hAnsi="Times New Roman" w:cs="Times New Roman"/>
        </w:rPr>
        <w:t>forests</w:t>
      </w:r>
      <w:r w:rsidRPr="00872293">
        <w:rPr>
          <w:rFonts w:ascii="Times New Roman" w:hAnsi="Times New Roman" w:cs="Times New Roman"/>
        </w:rPr>
        <w:t xml:space="preserve"> in the dry area of the island. </w:t>
      </w:r>
      <w:r w:rsidR="005F2E53" w:rsidRPr="00872293">
        <w:rPr>
          <w:rFonts w:ascii="Times New Roman" w:hAnsi="Times New Roman" w:cs="Times New Roman"/>
        </w:rPr>
        <w:t>(</w:t>
      </w:r>
      <w:r w:rsidR="00CF2A89" w:rsidRPr="00872293">
        <w:rPr>
          <w:rFonts w:ascii="Times New Roman" w:hAnsi="Times New Roman" w:cs="Times New Roman"/>
        </w:rPr>
        <w:t>d</w:t>
      </w:r>
      <w:r w:rsidR="005F2E53" w:rsidRPr="00872293">
        <w:rPr>
          <w:rFonts w:ascii="Times New Roman" w:hAnsi="Times New Roman" w:cs="Times New Roman"/>
        </w:rPr>
        <w:t xml:space="preserve">) </w:t>
      </w:r>
      <w:r w:rsidRPr="00872293">
        <w:rPr>
          <w:rFonts w:ascii="Times New Roman" w:hAnsi="Times New Roman" w:cs="Times New Roman"/>
        </w:rPr>
        <w:t>The</w:t>
      </w:r>
      <w:r w:rsidR="00AE06E6" w:rsidRPr="00872293">
        <w:rPr>
          <w:rFonts w:ascii="Times New Roman" w:hAnsi="Times New Roman" w:cs="Times New Roman"/>
        </w:rPr>
        <w:t xml:space="preserve">re is </w:t>
      </w:r>
      <w:r w:rsidR="003B630B" w:rsidRPr="00872293">
        <w:rPr>
          <w:rFonts w:ascii="Times New Roman" w:hAnsi="Times New Roman" w:cs="Times New Roman"/>
        </w:rPr>
        <w:t xml:space="preserve">a positive </w:t>
      </w:r>
      <w:r w:rsidR="00AE06E6" w:rsidRPr="00872293">
        <w:rPr>
          <w:rFonts w:ascii="Times New Roman" w:hAnsi="Times New Roman" w:cs="Times New Roman"/>
        </w:rPr>
        <w:t xml:space="preserve">correlation between </w:t>
      </w:r>
      <w:r w:rsidRPr="00872293">
        <w:rPr>
          <w:rFonts w:ascii="Times New Roman" w:hAnsi="Times New Roman" w:cs="Times New Roman"/>
        </w:rPr>
        <w:t xml:space="preserve">fine-root biomass </w:t>
      </w:r>
      <w:r w:rsidR="00AE06E6" w:rsidRPr="00872293">
        <w:rPr>
          <w:rFonts w:ascii="Times New Roman" w:hAnsi="Times New Roman" w:cs="Times New Roman"/>
        </w:rPr>
        <w:t>and</w:t>
      </w:r>
      <w:r w:rsidRPr="00872293">
        <w:rPr>
          <w:rFonts w:ascii="Times New Roman" w:hAnsi="Times New Roman" w:cs="Times New Roman"/>
        </w:rPr>
        <w:t xml:space="preserve"> soil N</w:t>
      </w:r>
      <w:r w:rsidR="003B630B" w:rsidRPr="00872293">
        <w:rPr>
          <w:rFonts w:ascii="Times New Roman" w:hAnsi="Times New Roman" w:cs="Times New Roman"/>
        </w:rPr>
        <w:t xml:space="preserve"> concentration</w:t>
      </w:r>
      <w:r w:rsidRPr="00872293">
        <w:rPr>
          <w:rFonts w:ascii="Times New Roman" w:hAnsi="Times New Roman" w:cs="Times New Roman"/>
        </w:rPr>
        <w:t xml:space="preserve"> </w:t>
      </w:r>
      <w:r w:rsidR="003B630B" w:rsidRPr="00872293">
        <w:rPr>
          <w:rFonts w:ascii="Times New Roman" w:hAnsi="Times New Roman" w:cs="Times New Roman"/>
        </w:rPr>
        <w:t>in</w:t>
      </w:r>
      <w:r w:rsidRPr="00872293">
        <w:rPr>
          <w:rFonts w:ascii="Times New Roman" w:hAnsi="Times New Roman" w:cs="Times New Roman"/>
        </w:rPr>
        <w:t xml:space="preserve"> the secondary forest and plantation. </w:t>
      </w:r>
      <w:r w:rsidR="005F2E53" w:rsidRPr="00872293">
        <w:rPr>
          <w:rFonts w:ascii="Times New Roman" w:hAnsi="Times New Roman" w:cs="Times New Roman"/>
        </w:rPr>
        <w:t>(</w:t>
      </w:r>
      <w:r w:rsidR="00CF2A89" w:rsidRPr="00872293">
        <w:rPr>
          <w:rFonts w:ascii="Times New Roman" w:hAnsi="Times New Roman" w:cs="Times New Roman"/>
        </w:rPr>
        <w:t>e</w:t>
      </w:r>
      <w:r w:rsidR="005F2E53" w:rsidRPr="00872293">
        <w:rPr>
          <w:rFonts w:ascii="Times New Roman" w:hAnsi="Times New Roman" w:cs="Times New Roman"/>
        </w:rPr>
        <w:t>) Root N and P concentration</w:t>
      </w:r>
      <w:r w:rsidR="001368A2" w:rsidRPr="00872293">
        <w:rPr>
          <w:rFonts w:ascii="Times New Roman" w:hAnsi="Times New Roman" w:cs="Times New Roman"/>
        </w:rPr>
        <w:t>s</w:t>
      </w:r>
      <w:r w:rsidR="005F2E53" w:rsidRPr="00872293">
        <w:rPr>
          <w:rFonts w:ascii="Times New Roman" w:hAnsi="Times New Roman" w:cs="Times New Roman"/>
        </w:rPr>
        <w:t xml:space="preserve"> </w:t>
      </w:r>
      <w:r w:rsidR="001368A2" w:rsidRPr="00872293">
        <w:rPr>
          <w:rFonts w:ascii="Times New Roman" w:hAnsi="Times New Roman" w:cs="Times New Roman"/>
        </w:rPr>
        <w:t xml:space="preserve">are </w:t>
      </w:r>
      <w:r w:rsidR="005F2E53" w:rsidRPr="00872293">
        <w:rPr>
          <w:rFonts w:ascii="Times New Roman" w:hAnsi="Times New Roman" w:cs="Times New Roman"/>
        </w:rPr>
        <w:t xml:space="preserve">species-specific and </w:t>
      </w:r>
      <w:r w:rsidR="001368A2" w:rsidRPr="00872293">
        <w:rPr>
          <w:rFonts w:ascii="Times New Roman" w:hAnsi="Times New Roman" w:cs="Times New Roman"/>
        </w:rPr>
        <w:t xml:space="preserve">vary </w:t>
      </w:r>
      <w:r w:rsidR="005F2E53" w:rsidRPr="00872293">
        <w:rPr>
          <w:rFonts w:ascii="Times New Roman" w:hAnsi="Times New Roman" w:cs="Times New Roman"/>
        </w:rPr>
        <w:t>with root diameter. (</w:t>
      </w:r>
      <w:r w:rsidR="00CF2A89" w:rsidRPr="00872293">
        <w:rPr>
          <w:rFonts w:ascii="Times New Roman" w:hAnsi="Times New Roman" w:cs="Times New Roman"/>
        </w:rPr>
        <w:t>f</w:t>
      </w:r>
      <w:r w:rsidR="005F2E53" w:rsidRPr="00872293">
        <w:rPr>
          <w:rFonts w:ascii="Times New Roman" w:hAnsi="Times New Roman" w:cs="Times New Roman"/>
        </w:rPr>
        <w:t xml:space="preserve">) </w:t>
      </w:r>
      <w:proofErr w:type="spellStart"/>
      <w:r w:rsidR="005F2E53" w:rsidRPr="00872293">
        <w:rPr>
          <w:rFonts w:ascii="Times New Roman" w:hAnsi="Times New Roman" w:cs="Times New Roman"/>
        </w:rPr>
        <w:t>R</w:t>
      </w:r>
      <w:r w:rsidRPr="00872293">
        <w:rPr>
          <w:rFonts w:ascii="Times New Roman" w:hAnsi="Times New Roman" w:cs="Times New Roman"/>
        </w:rPr>
        <w:t>oot:shoot</w:t>
      </w:r>
      <w:proofErr w:type="spellEnd"/>
      <w:r w:rsidRPr="00872293">
        <w:rPr>
          <w:rFonts w:ascii="Times New Roman" w:hAnsi="Times New Roman" w:cs="Times New Roman"/>
        </w:rPr>
        <w:t xml:space="preserve"> ratio varies depending the tree </w:t>
      </w:r>
      <w:r w:rsidR="001D26EF" w:rsidRPr="00872293">
        <w:rPr>
          <w:rFonts w:ascii="Times New Roman" w:hAnsi="Times New Roman" w:cs="Times New Roman"/>
        </w:rPr>
        <w:t xml:space="preserve">bole diameter </w:t>
      </w:r>
      <w:r w:rsidR="00977D92" w:rsidRPr="00872293">
        <w:rPr>
          <w:rFonts w:ascii="Times New Roman" w:hAnsi="Times New Roman" w:cs="Times New Roman"/>
        </w:rPr>
        <w:t xml:space="preserve">(smaller trees have lower </w:t>
      </w:r>
      <w:proofErr w:type="spellStart"/>
      <w:r w:rsidR="00977D92" w:rsidRPr="00872293">
        <w:rPr>
          <w:rFonts w:ascii="Times New Roman" w:hAnsi="Times New Roman" w:cs="Times New Roman"/>
        </w:rPr>
        <w:t>root:shoot</w:t>
      </w:r>
      <w:proofErr w:type="spellEnd"/>
      <w:r w:rsidR="00977D92" w:rsidRPr="00872293">
        <w:rPr>
          <w:rFonts w:ascii="Times New Roman" w:hAnsi="Times New Roman" w:cs="Times New Roman"/>
        </w:rPr>
        <w:t xml:space="preserve"> ratio than larger trees)</w:t>
      </w:r>
      <w:r w:rsidR="00B3667B" w:rsidRPr="00872293">
        <w:rPr>
          <w:rFonts w:ascii="Times New Roman" w:hAnsi="Times New Roman" w:cs="Times New Roman"/>
        </w:rPr>
        <w:t xml:space="preserve">, and it is higher in Puerto Rico </w:t>
      </w:r>
      <w:r w:rsidR="008D2B8B" w:rsidRPr="00872293">
        <w:rPr>
          <w:rFonts w:ascii="Times New Roman" w:hAnsi="Times New Roman" w:cs="Times New Roman"/>
        </w:rPr>
        <w:t xml:space="preserve">(for trees &gt;5 cm in diameter) </w:t>
      </w:r>
      <w:r w:rsidR="00DB5059" w:rsidRPr="00872293">
        <w:rPr>
          <w:rFonts w:ascii="Times New Roman" w:hAnsi="Times New Roman" w:cs="Times New Roman"/>
        </w:rPr>
        <w:t>compared to</w:t>
      </w:r>
      <w:r w:rsidR="00B3667B" w:rsidRPr="00872293">
        <w:rPr>
          <w:rFonts w:ascii="Times New Roman" w:hAnsi="Times New Roman" w:cs="Times New Roman"/>
        </w:rPr>
        <w:t xml:space="preserve"> other tropical sites</w:t>
      </w:r>
      <w:r w:rsidR="008F1F02" w:rsidRPr="00872293">
        <w:rPr>
          <w:rFonts w:ascii="Times New Roman" w:hAnsi="Times New Roman" w:cs="Times New Roman"/>
        </w:rPr>
        <w:t>.</w:t>
      </w:r>
      <w:r w:rsidRPr="00872293">
        <w:rPr>
          <w:rFonts w:ascii="Times New Roman" w:hAnsi="Times New Roman" w:cs="Times New Roman"/>
        </w:rPr>
        <w:t xml:space="preserve"> (</w:t>
      </w:r>
      <w:r w:rsidR="00CF2A89" w:rsidRPr="00872293">
        <w:rPr>
          <w:rFonts w:ascii="Times New Roman" w:hAnsi="Times New Roman" w:cs="Times New Roman"/>
        </w:rPr>
        <w:t>g</w:t>
      </w:r>
      <w:r w:rsidRPr="00872293">
        <w:rPr>
          <w:rFonts w:ascii="Times New Roman" w:hAnsi="Times New Roman" w:cs="Times New Roman"/>
        </w:rPr>
        <w:t xml:space="preserve">) </w:t>
      </w:r>
      <w:r w:rsidR="008F1F02" w:rsidRPr="00872293">
        <w:rPr>
          <w:rFonts w:ascii="Times New Roman" w:hAnsi="Times New Roman" w:cs="Times New Roman"/>
        </w:rPr>
        <w:t>The diversity of m</w:t>
      </w:r>
      <w:r w:rsidRPr="00872293">
        <w:rPr>
          <w:rFonts w:ascii="Times New Roman" w:hAnsi="Times New Roman" w:cs="Times New Roman"/>
        </w:rPr>
        <w:t xml:space="preserve">ycorrhizal fungi </w:t>
      </w:r>
      <w:r w:rsidR="00DA30B7" w:rsidRPr="00872293">
        <w:rPr>
          <w:rFonts w:ascii="Times New Roman" w:hAnsi="Times New Roman" w:cs="Times New Roman"/>
        </w:rPr>
        <w:t>is</w:t>
      </w:r>
      <w:r w:rsidRPr="00872293">
        <w:rPr>
          <w:rFonts w:ascii="Times New Roman" w:hAnsi="Times New Roman" w:cs="Times New Roman"/>
        </w:rPr>
        <w:t xml:space="preserve"> correlated with plant successional type</w:t>
      </w:r>
      <w:r w:rsidR="0041178A" w:rsidRPr="00872293">
        <w:rPr>
          <w:rFonts w:ascii="Times New Roman" w:hAnsi="Times New Roman" w:cs="Times New Roman"/>
        </w:rPr>
        <w:t>, where early-successional plant species are less dependent on AMF diversity than mid</w:t>
      </w:r>
      <w:r w:rsidR="008D2B8B" w:rsidRPr="00872293">
        <w:rPr>
          <w:rFonts w:ascii="Times New Roman" w:hAnsi="Times New Roman" w:cs="Times New Roman"/>
        </w:rPr>
        <w:t>-</w:t>
      </w:r>
      <w:r w:rsidR="0041178A" w:rsidRPr="00872293">
        <w:rPr>
          <w:rFonts w:ascii="Times New Roman" w:hAnsi="Times New Roman" w:cs="Times New Roman"/>
        </w:rPr>
        <w:t xml:space="preserve"> and late-successional plants</w:t>
      </w:r>
      <w:r w:rsidRPr="00872293">
        <w:rPr>
          <w:rFonts w:ascii="Times New Roman" w:hAnsi="Times New Roman" w:cs="Times New Roman"/>
        </w:rPr>
        <w:t>. (</w:t>
      </w:r>
      <w:r w:rsidR="00CF2A89" w:rsidRPr="00872293">
        <w:rPr>
          <w:rFonts w:ascii="Times New Roman" w:hAnsi="Times New Roman" w:cs="Times New Roman"/>
        </w:rPr>
        <w:t>h</w:t>
      </w:r>
      <w:r w:rsidRPr="00872293">
        <w:rPr>
          <w:rFonts w:ascii="Times New Roman" w:hAnsi="Times New Roman" w:cs="Times New Roman"/>
        </w:rPr>
        <w:t xml:space="preserve">) Root grafting </w:t>
      </w:r>
      <w:r w:rsidR="002E5826" w:rsidRPr="00872293">
        <w:rPr>
          <w:rFonts w:ascii="Times New Roman" w:hAnsi="Times New Roman" w:cs="Times New Roman"/>
        </w:rPr>
        <w:t>is</w:t>
      </w:r>
      <w:r w:rsidRPr="00872293">
        <w:rPr>
          <w:rFonts w:ascii="Times New Roman" w:hAnsi="Times New Roman" w:cs="Times New Roman"/>
        </w:rPr>
        <w:t xml:space="preserve"> an advantageous morphological trait in response to hurricane winds. (</w:t>
      </w:r>
      <w:proofErr w:type="spellStart"/>
      <w:r w:rsidR="00CF2A89" w:rsidRPr="00872293">
        <w:rPr>
          <w:rFonts w:ascii="Times New Roman" w:hAnsi="Times New Roman" w:cs="Times New Roman"/>
        </w:rPr>
        <w:t>i</w:t>
      </w:r>
      <w:proofErr w:type="spellEnd"/>
      <w:r w:rsidRPr="00872293">
        <w:rPr>
          <w:rFonts w:ascii="Times New Roman" w:hAnsi="Times New Roman" w:cs="Times New Roman"/>
        </w:rPr>
        <w:t xml:space="preserve">) </w:t>
      </w:r>
      <w:r w:rsidR="002936F3" w:rsidRPr="00872293">
        <w:rPr>
          <w:rFonts w:ascii="Times New Roman" w:hAnsi="Times New Roman" w:cs="Times New Roman"/>
        </w:rPr>
        <w:t>R</w:t>
      </w:r>
      <w:r w:rsidRPr="00872293">
        <w:rPr>
          <w:rFonts w:ascii="Times New Roman" w:hAnsi="Times New Roman" w:cs="Times New Roman"/>
        </w:rPr>
        <w:t>oot recovery</w:t>
      </w:r>
      <w:r w:rsidR="002936F3" w:rsidRPr="00872293">
        <w:rPr>
          <w:rFonts w:ascii="Times New Roman" w:hAnsi="Times New Roman" w:cs="Times New Roman"/>
        </w:rPr>
        <w:t xml:space="preserve"> after multiple disturbances (hurricane + drought) </w:t>
      </w:r>
      <w:r w:rsidRPr="00872293">
        <w:rPr>
          <w:rFonts w:ascii="Times New Roman" w:hAnsi="Times New Roman" w:cs="Times New Roman"/>
        </w:rPr>
        <w:t>take</w:t>
      </w:r>
      <w:r w:rsidR="002C51E5" w:rsidRPr="00872293">
        <w:rPr>
          <w:rFonts w:ascii="Times New Roman" w:hAnsi="Times New Roman" w:cs="Times New Roman"/>
        </w:rPr>
        <w:t>s</w:t>
      </w:r>
      <w:r w:rsidRPr="00872293">
        <w:rPr>
          <w:rFonts w:ascii="Times New Roman" w:hAnsi="Times New Roman" w:cs="Times New Roman"/>
        </w:rPr>
        <w:t xml:space="preserve"> up to </w:t>
      </w:r>
      <w:r w:rsidR="001368A2" w:rsidRPr="00872293">
        <w:rPr>
          <w:rFonts w:ascii="Times New Roman" w:hAnsi="Times New Roman" w:cs="Times New Roman"/>
        </w:rPr>
        <w:t xml:space="preserve">10 </w:t>
      </w:r>
      <w:r w:rsidRPr="00872293">
        <w:rPr>
          <w:rFonts w:ascii="Times New Roman" w:hAnsi="Times New Roman" w:cs="Times New Roman"/>
        </w:rPr>
        <w:t>years.</w:t>
      </w:r>
    </w:p>
    <w:p w14:paraId="02D5212D" w14:textId="77777777" w:rsidR="00F4721F" w:rsidRPr="00872293" w:rsidRDefault="00F4721F" w:rsidP="00CD08B7">
      <w:pPr>
        <w:spacing w:line="360" w:lineRule="auto"/>
        <w:rPr>
          <w:rFonts w:ascii="Times New Roman" w:hAnsi="Times New Roman" w:cs="Times New Roman"/>
        </w:rPr>
      </w:pPr>
    </w:p>
    <w:p w14:paraId="45666C80" w14:textId="77777777" w:rsidR="006669BA" w:rsidRPr="00872293" w:rsidRDefault="003A01E8" w:rsidP="00CD08B7">
      <w:pPr>
        <w:spacing w:line="360" w:lineRule="auto"/>
        <w:rPr>
          <w:rFonts w:ascii="Times New Roman" w:hAnsi="Times New Roman" w:cs="Times New Roman"/>
        </w:rPr>
        <w:sectPr w:rsidR="006669BA" w:rsidRPr="00872293" w:rsidSect="00CF137A">
          <w:headerReference w:type="default" r:id="rId13"/>
          <w:pgSz w:w="12240" w:h="15840" w:code="1"/>
          <w:pgMar w:top="1440" w:right="1440" w:bottom="1440" w:left="1440" w:header="720" w:footer="720" w:gutter="0"/>
          <w:cols w:space="720"/>
          <w:docGrid w:linePitch="326"/>
        </w:sectPr>
      </w:pPr>
      <w:r w:rsidRPr="00872293">
        <w:rPr>
          <w:rFonts w:ascii="Times New Roman" w:hAnsi="Times New Roman" w:cs="Times New Roman"/>
        </w:rPr>
        <w:t xml:space="preserve">Studies including root data in Puerto Rico are very representative for the tropics, considering its landcover. However, there are many fine-root functional traits that have not been fully explored. There have only been two studies that have established long-term research to </w:t>
      </w:r>
      <w:r w:rsidR="00B55000" w:rsidRPr="00872293">
        <w:rPr>
          <w:rFonts w:ascii="Times New Roman" w:hAnsi="Times New Roman" w:cs="Times New Roman"/>
        </w:rPr>
        <w:t>quantify the plasticity of</w:t>
      </w:r>
      <w:r w:rsidRPr="00872293">
        <w:rPr>
          <w:rFonts w:ascii="Times New Roman" w:hAnsi="Times New Roman" w:cs="Times New Roman"/>
        </w:rPr>
        <w:t xml:space="preserve"> root trait</w:t>
      </w:r>
      <w:r w:rsidR="00B55000" w:rsidRPr="00872293">
        <w:rPr>
          <w:rFonts w:ascii="Times New Roman" w:hAnsi="Times New Roman" w:cs="Times New Roman"/>
        </w:rPr>
        <w:t>s a</w:t>
      </w:r>
      <w:r w:rsidRPr="00872293">
        <w:rPr>
          <w:rFonts w:ascii="Times New Roman" w:hAnsi="Times New Roman" w:cs="Times New Roman"/>
        </w:rPr>
        <w:t xml:space="preserve">nd </w:t>
      </w:r>
      <w:r w:rsidR="00B55000" w:rsidRPr="00872293">
        <w:rPr>
          <w:rFonts w:ascii="Times New Roman" w:hAnsi="Times New Roman" w:cs="Times New Roman"/>
        </w:rPr>
        <w:t xml:space="preserve">their </w:t>
      </w:r>
      <w:r w:rsidRPr="00872293">
        <w:rPr>
          <w:rFonts w:ascii="Times New Roman" w:hAnsi="Times New Roman" w:cs="Times New Roman"/>
        </w:rPr>
        <w:t xml:space="preserve">response to environmental changes. The nutritional advantage (if any) of root grafting has not been evaluated. Further, different root </w:t>
      </w:r>
      <w:r w:rsidR="0041178A" w:rsidRPr="00872293">
        <w:rPr>
          <w:rFonts w:ascii="Times New Roman" w:hAnsi="Times New Roman" w:cs="Times New Roman"/>
        </w:rPr>
        <w:t>morphological</w:t>
      </w:r>
      <w:r w:rsidR="009251FC" w:rsidRPr="00872293">
        <w:rPr>
          <w:rFonts w:ascii="Times New Roman" w:hAnsi="Times New Roman" w:cs="Times New Roman"/>
        </w:rPr>
        <w:t>,</w:t>
      </w:r>
      <w:r w:rsidR="00AA32DD" w:rsidRPr="00872293">
        <w:rPr>
          <w:rFonts w:ascii="Times New Roman" w:hAnsi="Times New Roman" w:cs="Times New Roman"/>
        </w:rPr>
        <w:t xml:space="preserve"> </w:t>
      </w:r>
      <w:r w:rsidR="0041178A" w:rsidRPr="00872293">
        <w:rPr>
          <w:rFonts w:ascii="Times New Roman" w:hAnsi="Times New Roman" w:cs="Times New Roman"/>
        </w:rPr>
        <w:t>architectural</w:t>
      </w:r>
      <w:r w:rsidR="009251FC" w:rsidRPr="00872293">
        <w:rPr>
          <w:rFonts w:ascii="Times New Roman" w:hAnsi="Times New Roman" w:cs="Times New Roman"/>
        </w:rPr>
        <w:t>, and chemical</w:t>
      </w:r>
      <w:r w:rsidR="0041178A" w:rsidRPr="00872293">
        <w:rPr>
          <w:rFonts w:ascii="Times New Roman" w:hAnsi="Times New Roman" w:cs="Times New Roman"/>
        </w:rPr>
        <w:t xml:space="preserve"> </w:t>
      </w:r>
      <w:r w:rsidRPr="00872293">
        <w:rPr>
          <w:rFonts w:ascii="Times New Roman" w:hAnsi="Times New Roman" w:cs="Times New Roman"/>
        </w:rPr>
        <w:t xml:space="preserve">traits have not been </w:t>
      </w:r>
      <w:r w:rsidR="009251FC" w:rsidRPr="00872293">
        <w:rPr>
          <w:rFonts w:ascii="Times New Roman" w:hAnsi="Times New Roman" w:cs="Times New Roman"/>
        </w:rPr>
        <w:t xml:space="preserve">directly </w:t>
      </w:r>
      <w:r w:rsidRPr="00872293">
        <w:rPr>
          <w:rFonts w:ascii="Times New Roman" w:hAnsi="Times New Roman" w:cs="Times New Roman"/>
        </w:rPr>
        <w:t xml:space="preserve">correlated to </w:t>
      </w:r>
      <w:r w:rsidR="009251FC" w:rsidRPr="00872293">
        <w:rPr>
          <w:rFonts w:ascii="Times New Roman" w:hAnsi="Times New Roman" w:cs="Times New Roman"/>
        </w:rPr>
        <w:t xml:space="preserve">the physiological traits. </w:t>
      </w:r>
      <w:r w:rsidR="00DB5059" w:rsidRPr="00872293">
        <w:rPr>
          <w:rFonts w:ascii="Times New Roman" w:hAnsi="Times New Roman" w:cs="Times New Roman"/>
        </w:rPr>
        <w:t>These are some of the understudied areas that could lead to future studies</w:t>
      </w:r>
      <w:r w:rsidRPr="00872293">
        <w:rPr>
          <w:rFonts w:ascii="Times New Roman" w:hAnsi="Times New Roman" w:cs="Times New Roman"/>
        </w:rPr>
        <w:t xml:space="preserve">. </w:t>
      </w:r>
      <w:r w:rsidR="00DB5059" w:rsidRPr="00872293">
        <w:rPr>
          <w:rFonts w:ascii="Times New Roman" w:hAnsi="Times New Roman" w:cs="Times New Roman"/>
        </w:rPr>
        <w:t>Our synthesis</w:t>
      </w:r>
      <w:r w:rsidR="00856A50" w:rsidRPr="00872293">
        <w:rPr>
          <w:rFonts w:ascii="Times New Roman" w:hAnsi="Times New Roman" w:cs="Times New Roman"/>
        </w:rPr>
        <w:t xml:space="preserve"> can be used to</w:t>
      </w:r>
      <w:r w:rsidRPr="00872293">
        <w:rPr>
          <w:rFonts w:ascii="Times New Roman" w:hAnsi="Times New Roman" w:cs="Times New Roman"/>
        </w:rPr>
        <w:t xml:space="preserve"> enrich root database representation </w:t>
      </w:r>
      <w:r w:rsidR="00856A50" w:rsidRPr="00872293">
        <w:rPr>
          <w:rFonts w:ascii="Times New Roman" w:hAnsi="Times New Roman" w:cs="Times New Roman"/>
        </w:rPr>
        <w:t>of</w:t>
      </w:r>
      <w:r w:rsidRPr="00872293">
        <w:rPr>
          <w:rFonts w:ascii="Times New Roman" w:hAnsi="Times New Roman" w:cs="Times New Roman"/>
        </w:rPr>
        <w:t xml:space="preserve"> the tropics</w:t>
      </w:r>
      <w:r w:rsidR="00856A50" w:rsidRPr="00872293">
        <w:rPr>
          <w:rFonts w:ascii="Times New Roman" w:hAnsi="Times New Roman" w:cs="Times New Roman"/>
        </w:rPr>
        <w:t>, as well as</w:t>
      </w:r>
      <w:r w:rsidRPr="00872293">
        <w:rPr>
          <w:rFonts w:ascii="Times New Roman" w:hAnsi="Times New Roman" w:cs="Times New Roman"/>
        </w:rPr>
        <w:t xml:space="preserve"> provide more conclusive evidence for important hypotheses in root ecology t</w:t>
      </w:r>
      <w:r w:rsidR="00856A50" w:rsidRPr="00872293">
        <w:rPr>
          <w:rFonts w:ascii="Times New Roman" w:hAnsi="Times New Roman" w:cs="Times New Roman"/>
        </w:rPr>
        <w:t>hat will</w:t>
      </w:r>
      <w:r w:rsidRPr="00872293">
        <w:rPr>
          <w:rFonts w:ascii="Times New Roman" w:hAnsi="Times New Roman" w:cs="Times New Roman"/>
        </w:rPr>
        <w:t xml:space="preserve"> ultimately better inform </w:t>
      </w:r>
      <w:r w:rsidR="00CB73F4" w:rsidRPr="00872293">
        <w:rPr>
          <w:rFonts w:ascii="Times New Roman" w:hAnsi="Times New Roman" w:cs="Times New Roman"/>
        </w:rPr>
        <w:t xml:space="preserve">Earth </w:t>
      </w:r>
      <w:r w:rsidR="003B630B" w:rsidRPr="00872293">
        <w:rPr>
          <w:rFonts w:ascii="Times New Roman" w:hAnsi="Times New Roman" w:cs="Times New Roman"/>
        </w:rPr>
        <w:t>S</w:t>
      </w:r>
      <w:r w:rsidR="001368A2" w:rsidRPr="00872293">
        <w:rPr>
          <w:rFonts w:ascii="Times New Roman" w:hAnsi="Times New Roman" w:cs="Times New Roman"/>
        </w:rPr>
        <w:t xml:space="preserve">ystem </w:t>
      </w:r>
      <w:r w:rsidR="003B630B" w:rsidRPr="00872293">
        <w:rPr>
          <w:rFonts w:ascii="Times New Roman" w:hAnsi="Times New Roman" w:cs="Times New Roman"/>
        </w:rPr>
        <w:t>M</w:t>
      </w:r>
      <w:r w:rsidR="001368A2" w:rsidRPr="00872293">
        <w:rPr>
          <w:rFonts w:ascii="Times New Roman" w:hAnsi="Times New Roman" w:cs="Times New Roman"/>
        </w:rPr>
        <w:t>ode</w:t>
      </w:r>
      <w:r w:rsidR="000F241E" w:rsidRPr="00872293">
        <w:rPr>
          <w:rFonts w:ascii="Times New Roman" w:hAnsi="Times New Roman" w:cs="Times New Roman"/>
        </w:rPr>
        <w:t>l.</w:t>
      </w:r>
    </w:p>
    <w:p w14:paraId="055D4A57" w14:textId="77777777" w:rsidR="009225CB" w:rsidRPr="00872293" w:rsidRDefault="000F241E" w:rsidP="006503E9">
      <w:pPr>
        <w:pStyle w:val="Heading2"/>
        <w:spacing w:before="0" w:after="0" w:line="360" w:lineRule="auto"/>
        <w:jc w:val="both"/>
        <w:rPr>
          <w:rFonts w:cs="Times New Roman"/>
          <w:szCs w:val="24"/>
          <w:lang w:val="es-BO"/>
        </w:rPr>
      </w:pPr>
      <w:bookmarkStart w:id="35" w:name="_Toc53689071"/>
      <w:proofErr w:type="spellStart"/>
      <w:r w:rsidRPr="00872293">
        <w:rPr>
          <w:rFonts w:cs="Times New Roman"/>
          <w:szCs w:val="24"/>
          <w:lang w:val="es-BO"/>
        </w:rPr>
        <w:lastRenderedPageBreak/>
        <w:t>R</w:t>
      </w:r>
      <w:r w:rsidR="00606E40" w:rsidRPr="00872293">
        <w:rPr>
          <w:rFonts w:cs="Times New Roman"/>
          <w:szCs w:val="24"/>
          <w:lang w:val="es-BO"/>
        </w:rPr>
        <w:t>eferences</w:t>
      </w:r>
      <w:bookmarkEnd w:id="35"/>
      <w:proofErr w:type="spellEnd"/>
    </w:p>
    <w:p w14:paraId="66F99BEF" w14:textId="5966CD69" w:rsidR="001953EF" w:rsidRPr="00872293" w:rsidRDefault="00A351AC" w:rsidP="006503E9">
      <w:pPr>
        <w:pStyle w:val="NormalWeb"/>
        <w:spacing w:before="240" w:beforeAutospacing="0" w:after="240" w:afterAutospacing="0" w:line="360" w:lineRule="auto"/>
        <w:rPr>
          <w:rFonts w:ascii="Times New Roman" w:hAnsi="Times New Roman"/>
          <w:sz w:val="24"/>
          <w:szCs w:val="24"/>
          <w:lang w:val="es-BO"/>
        </w:rPr>
      </w:pPr>
      <w:proofErr w:type="spellStart"/>
      <w:r w:rsidRPr="00872293">
        <w:rPr>
          <w:rFonts w:ascii="Times New Roman" w:hAnsi="Times New Roman"/>
          <w:b/>
          <w:sz w:val="24"/>
          <w:szCs w:val="24"/>
          <w:lang w:val="es-BO"/>
        </w:rPr>
        <w:t>Alvarez</w:t>
      </w:r>
      <w:proofErr w:type="spellEnd"/>
      <w:r w:rsidR="00376CF3" w:rsidRPr="00872293">
        <w:rPr>
          <w:rFonts w:ascii="Times New Roman" w:hAnsi="Times New Roman"/>
          <w:b/>
          <w:sz w:val="24"/>
          <w:szCs w:val="24"/>
          <w:lang w:val="es-BO"/>
        </w:rPr>
        <w:t xml:space="preserve"> M</w:t>
      </w:r>
      <w:r w:rsidR="008F3BCC" w:rsidRPr="00872293">
        <w:rPr>
          <w:rFonts w:ascii="Times New Roman" w:hAnsi="Times New Roman"/>
          <w:b/>
          <w:sz w:val="24"/>
          <w:szCs w:val="24"/>
          <w:lang w:val="es-BO"/>
        </w:rPr>
        <w:t>, Quevedo</w:t>
      </w:r>
      <w:r w:rsidR="00376CF3" w:rsidRPr="00872293">
        <w:rPr>
          <w:rFonts w:ascii="Times New Roman" w:hAnsi="Times New Roman"/>
          <w:b/>
          <w:sz w:val="24"/>
          <w:szCs w:val="24"/>
          <w:lang w:val="es-BO"/>
        </w:rPr>
        <w:t xml:space="preserve"> V</w:t>
      </w:r>
      <w:r w:rsidR="008F3BCC" w:rsidRPr="00872293">
        <w:rPr>
          <w:rFonts w:ascii="Times New Roman" w:hAnsi="Times New Roman"/>
          <w:b/>
          <w:sz w:val="24"/>
          <w:szCs w:val="24"/>
          <w:lang w:val="es-BO"/>
        </w:rPr>
        <w:t>, Blay</w:t>
      </w:r>
      <w:r w:rsidR="00376CF3" w:rsidRPr="00872293">
        <w:rPr>
          <w:rFonts w:ascii="Times New Roman" w:hAnsi="Times New Roman"/>
          <w:b/>
          <w:sz w:val="24"/>
          <w:szCs w:val="24"/>
          <w:lang w:val="es-BO"/>
        </w:rPr>
        <w:t xml:space="preserve"> J</w:t>
      </w:r>
      <w:r w:rsidR="008F3BCC" w:rsidRPr="00872293">
        <w:rPr>
          <w:rFonts w:ascii="Times New Roman" w:hAnsi="Times New Roman"/>
          <w:b/>
          <w:sz w:val="24"/>
          <w:szCs w:val="24"/>
          <w:lang w:val="es-BO"/>
        </w:rPr>
        <w:t xml:space="preserve"> S. 1983.</w:t>
      </w:r>
      <w:r w:rsidR="008F3BCC" w:rsidRPr="00872293">
        <w:rPr>
          <w:rFonts w:ascii="Times New Roman" w:hAnsi="Times New Roman"/>
          <w:sz w:val="24"/>
          <w:szCs w:val="24"/>
          <w:lang w:val="es-BO"/>
        </w:rPr>
        <w:t xml:space="preserve"> </w:t>
      </w:r>
      <w:r w:rsidR="003A01E8" w:rsidRPr="00872293">
        <w:rPr>
          <w:rFonts w:ascii="Times New Roman" w:hAnsi="Times New Roman"/>
          <w:sz w:val="24"/>
          <w:szCs w:val="24"/>
          <w:lang w:val="es-BO"/>
        </w:rPr>
        <w:t xml:space="preserve">Estructura de tres bosques de </w:t>
      </w:r>
      <w:proofErr w:type="spellStart"/>
      <w:r w:rsidR="003A01E8" w:rsidRPr="00872293">
        <w:rPr>
          <w:rFonts w:ascii="Times New Roman" w:hAnsi="Times New Roman"/>
          <w:sz w:val="24"/>
          <w:szCs w:val="24"/>
          <w:lang w:val="es-BO"/>
        </w:rPr>
        <w:t>Pterocarpus</w:t>
      </w:r>
      <w:proofErr w:type="spellEnd"/>
      <w:r w:rsidR="003A01E8" w:rsidRPr="00872293">
        <w:rPr>
          <w:rFonts w:ascii="Times New Roman" w:hAnsi="Times New Roman"/>
          <w:sz w:val="24"/>
          <w:szCs w:val="24"/>
          <w:lang w:val="es-BO"/>
        </w:rPr>
        <w:t xml:space="preserve"> en Puerto Rico. </w:t>
      </w:r>
      <w:r w:rsidR="00A83F99" w:rsidRPr="00872293">
        <w:rPr>
          <w:rFonts w:ascii="Times New Roman" w:hAnsi="Times New Roman"/>
          <w:sz w:val="24"/>
          <w:szCs w:val="24"/>
          <w:lang w:val="es-BO"/>
        </w:rPr>
        <w:t>In</w:t>
      </w:r>
      <w:r w:rsidR="0064570E" w:rsidRPr="00872293">
        <w:rPr>
          <w:rFonts w:ascii="Times New Roman" w:hAnsi="Times New Roman"/>
          <w:sz w:val="24"/>
          <w:szCs w:val="24"/>
          <w:lang w:val="es-BO"/>
        </w:rPr>
        <w:t>:</w:t>
      </w:r>
      <w:r w:rsidR="00A83F99" w:rsidRPr="00872293">
        <w:rPr>
          <w:rFonts w:ascii="Times New Roman" w:hAnsi="Times New Roman"/>
          <w:sz w:val="24"/>
          <w:szCs w:val="24"/>
          <w:lang w:val="es-BO"/>
        </w:rPr>
        <w:t xml:space="preserve"> </w:t>
      </w:r>
      <w:r w:rsidR="008F3BCC" w:rsidRPr="00872293">
        <w:rPr>
          <w:rFonts w:ascii="Times New Roman" w:hAnsi="Times New Roman"/>
          <w:sz w:val="24"/>
          <w:szCs w:val="24"/>
          <w:lang w:val="es-BO"/>
        </w:rPr>
        <w:t>A. E. Lugo</w:t>
      </w:r>
      <w:r w:rsidR="003A01E8" w:rsidRPr="00872293">
        <w:rPr>
          <w:rFonts w:ascii="Times New Roman" w:hAnsi="Times New Roman"/>
          <w:sz w:val="24"/>
          <w:szCs w:val="24"/>
          <w:lang w:val="es-BO"/>
        </w:rPr>
        <w:t xml:space="preserve"> (Ed.). </w:t>
      </w:r>
      <w:r w:rsidR="008F3BCC" w:rsidRPr="00872293">
        <w:rPr>
          <w:rFonts w:ascii="Times New Roman" w:hAnsi="Times New Roman"/>
          <w:i/>
          <w:iCs/>
          <w:sz w:val="24"/>
          <w:szCs w:val="24"/>
          <w:lang w:val="es-BO"/>
        </w:rPr>
        <w:t>Los bosques de Puerto Rico</w:t>
      </w:r>
      <w:r w:rsidR="003647A5"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pp</w:t>
      </w:r>
      <w:proofErr w:type="spellEnd"/>
      <w:r w:rsidR="003A01E8" w:rsidRPr="00872293">
        <w:rPr>
          <w:rFonts w:ascii="Times New Roman" w:hAnsi="Times New Roman"/>
          <w:sz w:val="24"/>
          <w:szCs w:val="24"/>
          <w:lang w:val="es-BO"/>
        </w:rPr>
        <w:t xml:space="preserve"> 283-308</w:t>
      </w:r>
      <w:r w:rsidR="003647A5" w:rsidRPr="00872293">
        <w:rPr>
          <w:rFonts w:ascii="Times New Roman" w:hAnsi="Times New Roman"/>
          <w:sz w:val="24"/>
          <w:szCs w:val="24"/>
          <w:lang w:val="es-BO"/>
        </w:rPr>
        <w:t>)</w:t>
      </w:r>
      <w:r w:rsidR="003A01E8" w:rsidRPr="00872293">
        <w:rPr>
          <w:rFonts w:ascii="Times New Roman" w:hAnsi="Times New Roman"/>
          <w:sz w:val="24"/>
          <w:szCs w:val="24"/>
          <w:lang w:val="es-BO"/>
        </w:rPr>
        <w:t>.</w:t>
      </w:r>
      <w:r w:rsidR="008F3BCC" w:rsidRPr="00872293">
        <w:rPr>
          <w:rFonts w:ascii="Times New Roman" w:hAnsi="Times New Roman"/>
          <w:sz w:val="24"/>
          <w:szCs w:val="24"/>
          <w:lang w:val="es-BO"/>
        </w:rPr>
        <w:t xml:space="preserve"> Rio Piedras Puerto Rico.</w:t>
      </w:r>
      <w:r w:rsidR="0064570E" w:rsidRPr="00872293">
        <w:rPr>
          <w:rFonts w:ascii="Times New Roman" w:hAnsi="Times New Roman"/>
          <w:sz w:val="24"/>
          <w:szCs w:val="24"/>
          <w:lang w:val="es-BO"/>
        </w:rPr>
        <w:t xml:space="preserve"> </w:t>
      </w:r>
      <w:r w:rsidR="008F3BCC" w:rsidRPr="00872293">
        <w:rPr>
          <w:rFonts w:ascii="Times New Roman" w:hAnsi="Times New Roman"/>
          <w:sz w:val="24"/>
          <w:szCs w:val="24"/>
          <w:lang w:val="es-BO"/>
        </w:rPr>
        <w:t>Instituto de Dasonomía Tropical.</w:t>
      </w:r>
    </w:p>
    <w:p w14:paraId="10DFFFBC" w14:textId="5E3604E6" w:rsidR="001953EF" w:rsidRPr="00872293" w:rsidRDefault="00A351AC" w:rsidP="00737CC4">
      <w:pPr>
        <w:pStyle w:val="NormalWeb"/>
        <w:spacing w:before="0" w:beforeAutospacing="0" w:after="240" w:afterAutospacing="0" w:line="360" w:lineRule="auto"/>
        <w:rPr>
          <w:rFonts w:ascii="Times New Roman" w:hAnsi="Times New Roman"/>
          <w:sz w:val="24"/>
          <w:szCs w:val="24"/>
          <w:lang w:val="es-BO"/>
        </w:rPr>
      </w:pPr>
      <w:r w:rsidRPr="00872293">
        <w:rPr>
          <w:rFonts w:ascii="Times New Roman" w:hAnsi="Times New Roman"/>
          <w:b/>
          <w:sz w:val="24"/>
          <w:szCs w:val="24"/>
          <w:lang w:val="es-BO"/>
        </w:rPr>
        <w:t>Bachelot</w:t>
      </w:r>
      <w:r w:rsidR="00376CF3" w:rsidRPr="00872293">
        <w:rPr>
          <w:rFonts w:ascii="Times New Roman" w:hAnsi="Times New Roman"/>
          <w:b/>
          <w:sz w:val="24"/>
          <w:szCs w:val="24"/>
          <w:lang w:val="es-BO"/>
        </w:rPr>
        <w:t xml:space="preserve"> B</w:t>
      </w:r>
      <w:r w:rsidR="008F3BCC" w:rsidRPr="00872293">
        <w:rPr>
          <w:rFonts w:ascii="Times New Roman" w:hAnsi="Times New Roman"/>
          <w:b/>
          <w:sz w:val="24"/>
          <w:szCs w:val="24"/>
          <w:lang w:val="es-BO"/>
        </w:rPr>
        <w:t>, Uriarte</w:t>
      </w:r>
      <w:r w:rsidRPr="00872293">
        <w:rPr>
          <w:rFonts w:ascii="Times New Roman" w:hAnsi="Times New Roman"/>
          <w:b/>
          <w:sz w:val="24"/>
          <w:szCs w:val="24"/>
          <w:lang w:val="es-BO"/>
        </w:rPr>
        <w:t xml:space="preserve"> M</w:t>
      </w:r>
      <w:r w:rsidR="008F3BCC" w:rsidRPr="00872293">
        <w:rPr>
          <w:rFonts w:ascii="Times New Roman" w:hAnsi="Times New Roman"/>
          <w:b/>
          <w:sz w:val="24"/>
          <w:szCs w:val="24"/>
          <w:lang w:val="es-BO"/>
        </w:rPr>
        <w:t>, McGuire</w:t>
      </w:r>
      <w:r w:rsidRPr="00872293">
        <w:rPr>
          <w:rFonts w:ascii="Times New Roman" w:hAnsi="Times New Roman"/>
          <w:b/>
          <w:sz w:val="24"/>
          <w:szCs w:val="24"/>
          <w:lang w:val="es-BO"/>
        </w:rPr>
        <w:t xml:space="preserve"> KL</w:t>
      </w:r>
      <w:r w:rsidR="008F3BCC" w:rsidRPr="00872293">
        <w:rPr>
          <w:rFonts w:ascii="Times New Roman" w:hAnsi="Times New Roman"/>
          <w:b/>
          <w:sz w:val="24"/>
          <w:szCs w:val="24"/>
          <w:lang w:val="es-BO"/>
        </w:rPr>
        <w:t>, Thompson</w:t>
      </w:r>
      <w:r w:rsidRPr="00872293">
        <w:rPr>
          <w:rFonts w:ascii="Times New Roman" w:hAnsi="Times New Roman"/>
          <w:b/>
          <w:sz w:val="24"/>
          <w:szCs w:val="24"/>
          <w:lang w:val="es-BO"/>
        </w:rPr>
        <w:t xml:space="preserve"> J</w:t>
      </w:r>
      <w:r w:rsidR="008F3BCC" w:rsidRPr="00872293">
        <w:rPr>
          <w:rFonts w:ascii="Times New Roman" w:hAnsi="Times New Roman"/>
          <w:b/>
          <w:sz w:val="24"/>
          <w:szCs w:val="24"/>
          <w:lang w:val="es-BO"/>
        </w:rPr>
        <w:t xml:space="preserve">, Zimmerman J. </w:t>
      </w:r>
      <w:r w:rsidR="003A01E8" w:rsidRPr="00872293">
        <w:rPr>
          <w:rFonts w:ascii="Times New Roman" w:hAnsi="Times New Roman"/>
          <w:b/>
          <w:sz w:val="24"/>
          <w:szCs w:val="24"/>
          <w:lang w:val="es-BO"/>
        </w:rPr>
        <w:t>2017.</w:t>
      </w:r>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Arbuscular</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mycorrhizal</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fungal</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diversity</w:t>
      </w:r>
      <w:proofErr w:type="spellEnd"/>
      <w:r w:rsidR="003A01E8" w:rsidRPr="00872293">
        <w:rPr>
          <w:rFonts w:ascii="Times New Roman" w:hAnsi="Times New Roman"/>
          <w:sz w:val="24"/>
          <w:szCs w:val="24"/>
          <w:lang w:val="es-BO"/>
        </w:rPr>
        <w:t xml:space="preserve"> and natural </w:t>
      </w:r>
      <w:proofErr w:type="spellStart"/>
      <w:r w:rsidR="003A01E8" w:rsidRPr="00872293">
        <w:rPr>
          <w:rFonts w:ascii="Times New Roman" w:hAnsi="Times New Roman"/>
          <w:sz w:val="24"/>
          <w:szCs w:val="24"/>
          <w:lang w:val="es-BO"/>
        </w:rPr>
        <w:t>enemies</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promote</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coexistence</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of</w:t>
      </w:r>
      <w:proofErr w:type="spellEnd"/>
      <w:r w:rsidR="003A01E8" w:rsidRPr="00872293">
        <w:rPr>
          <w:rFonts w:ascii="Times New Roman" w:hAnsi="Times New Roman"/>
          <w:sz w:val="24"/>
          <w:szCs w:val="24"/>
          <w:lang w:val="es-BO"/>
        </w:rPr>
        <w:t xml:space="preserve"> tropical </w:t>
      </w:r>
      <w:proofErr w:type="spellStart"/>
      <w:r w:rsidR="003A01E8" w:rsidRPr="00872293">
        <w:rPr>
          <w:rFonts w:ascii="Times New Roman" w:hAnsi="Times New Roman"/>
          <w:sz w:val="24"/>
          <w:szCs w:val="24"/>
          <w:lang w:val="es-BO"/>
        </w:rPr>
        <w:t>tree</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sz w:val="24"/>
          <w:szCs w:val="24"/>
          <w:lang w:val="es-BO"/>
        </w:rPr>
        <w:t>species</w:t>
      </w:r>
      <w:proofErr w:type="spellEnd"/>
      <w:r w:rsidR="003A01E8" w:rsidRPr="00872293">
        <w:rPr>
          <w:rFonts w:ascii="Times New Roman" w:hAnsi="Times New Roman"/>
          <w:sz w:val="24"/>
          <w:szCs w:val="24"/>
          <w:lang w:val="es-BO"/>
        </w:rPr>
        <w:t xml:space="preserve">. </w:t>
      </w:r>
      <w:proofErr w:type="spellStart"/>
      <w:r w:rsidR="003A01E8" w:rsidRPr="00872293">
        <w:rPr>
          <w:rFonts w:ascii="Times New Roman" w:hAnsi="Times New Roman"/>
          <w:i/>
          <w:sz w:val="24"/>
          <w:szCs w:val="24"/>
          <w:lang w:val="es-BO"/>
        </w:rPr>
        <w:t>Ecology</w:t>
      </w:r>
      <w:proofErr w:type="spellEnd"/>
      <w:r w:rsidR="003A01E8" w:rsidRPr="00872293">
        <w:rPr>
          <w:rFonts w:ascii="Times New Roman" w:hAnsi="Times New Roman"/>
          <w:sz w:val="24"/>
          <w:szCs w:val="24"/>
          <w:lang w:val="es-BO"/>
        </w:rPr>
        <w:t xml:space="preserve"> </w:t>
      </w:r>
      <w:r w:rsidR="003A01E8" w:rsidRPr="00872293">
        <w:rPr>
          <w:rFonts w:ascii="Times New Roman" w:hAnsi="Times New Roman"/>
          <w:b/>
          <w:sz w:val="24"/>
          <w:szCs w:val="24"/>
          <w:lang w:val="es-BO"/>
        </w:rPr>
        <w:t>98</w:t>
      </w:r>
      <w:r w:rsidR="0073272C" w:rsidRPr="00872293">
        <w:rPr>
          <w:rFonts w:ascii="Times New Roman" w:hAnsi="Times New Roman"/>
          <w:b/>
          <w:sz w:val="24"/>
          <w:szCs w:val="24"/>
          <w:lang w:val="es-BO"/>
        </w:rPr>
        <w:t>:</w:t>
      </w:r>
      <w:r w:rsidR="003A01E8" w:rsidRPr="00872293">
        <w:rPr>
          <w:rFonts w:ascii="Times New Roman" w:hAnsi="Times New Roman"/>
          <w:sz w:val="24"/>
          <w:szCs w:val="24"/>
          <w:lang w:val="es-BO"/>
        </w:rPr>
        <w:t xml:space="preserve"> 712–720.</w:t>
      </w:r>
    </w:p>
    <w:p w14:paraId="7C6295F3" w14:textId="7E0C18E8" w:rsidR="001953EF" w:rsidRPr="00872293" w:rsidRDefault="00A351AC" w:rsidP="00737CC4">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lang w:val="es-BO"/>
        </w:rPr>
        <w:t>Bachelot B</w:t>
      </w:r>
      <w:r w:rsidR="003A01E8" w:rsidRPr="00872293">
        <w:rPr>
          <w:rFonts w:ascii="Times New Roman" w:hAnsi="Times New Roman"/>
          <w:b/>
          <w:sz w:val="24"/>
          <w:szCs w:val="24"/>
          <w:lang w:val="es-BO"/>
        </w:rPr>
        <w:t>, Uriarte</w:t>
      </w:r>
      <w:r w:rsidRPr="00872293">
        <w:rPr>
          <w:rFonts w:ascii="Times New Roman" w:hAnsi="Times New Roman"/>
          <w:b/>
          <w:sz w:val="24"/>
          <w:szCs w:val="24"/>
          <w:lang w:val="es-BO"/>
        </w:rPr>
        <w:t xml:space="preserve"> M</w:t>
      </w:r>
      <w:r w:rsidR="003A01E8" w:rsidRPr="00872293">
        <w:rPr>
          <w:rFonts w:ascii="Times New Roman" w:hAnsi="Times New Roman"/>
          <w:b/>
          <w:sz w:val="24"/>
          <w:szCs w:val="24"/>
          <w:lang w:val="es-BO"/>
        </w:rPr>
        <w:t xml:space="preserve">, </w:t>
      </w:r>
      <w:proofErr w:type="spellStart"/>
      <w:r w:rsidR="003A01E8" w:rsidRPr="00872293">
        <w:rPr>
          <w:rFonts w:ascii="Times New Roman" w:hAnsi="Times New Roman"/>
          <w:b/>
          <w:sz w:val="24"/>
          <w:szCs w:val="24"/>
          <w:lang w:val="es-BO"/>
        </w:rPr>
        <w:t>Muscarella</w:t>
      </w:r>
      <w:proofErr w:type="spellEnd"/>
      <w:r w:rsidRPr="00872293">
        <w:rPr>
          <w:rFonts w:ascii="Times New Roman" w:hAnsi="Times New Roman"/>
          <w:b/>
          <w:sz w:val="24"/>
          <w:szCs w:val="24"/>
          <w:lang w:val="es-BO"/>
        </w:rPr>
        <w:t xml:space="preserve"> R</w:t>
      </w:r>
      <w:r w:rsidR="003A01E8" w:rsidRPr="00872293">
        <w:rPr>
          <w:rFonts w:ascii="Times New Roman" w:hAnsi="Times New Roman"/>
          <w:b/>
          <w:sz w:val="24"/>
          <w:szCs w:val="24"/>
          <w:lang w:val="es-BO"/>
        </w:rPr>
        <w:t>, Forero-Montaña</w:t>
      </w:r>
      <w:r w:rsidRPr="00872293">
        <w:rPr>
          <w:rFonts w:ascii="Times New Roman" w:hAnsi="Times New Roman"/>
          <w:b/>
          <w:sz w:val="24"/>
          <w:szCs w:val="24"/>
          <w:lang w:val="es-BO"/>
        </w:rPr>
        <w:t xml:space="preserve"> J,</w:t>
      </w:r>
      <w:r w:rsidR="003A01E8" w:rsidRPr="00872293">
        <w:rPr>
          <w:rFonts w:ascii="Times New Roman" w:hAnsi="Times New Roman"/>
          <w:b/>
          <w:sz w:val="24"/>
          <w:szCs w:val="24"/>
          <w:lang w:val="es-BO"/>
        </w:rPr>
        <w:t xml:space="preserve"> Thompson</w:t>
      </w:r>
      <w:r w:rsidRPr="00872293">
        <w:rPr>
          <w:rFonts w:ascii="Times New Roman" w:hAnsi="Times New Roman"/>
          <w:b/>
          <w:sz w:val="24"/>
          <w:szCs w:val="24"/>
          <w:lang w:val="es-BO"/>
        </w:rPr>
        <w:t xml:space="preserve"> J</w:t>
      </w:r>
      <w:r w:rsidR="003A01E8" w:rsidRPr="00872293">
        <w:rPr>
          <w:rFonts w:ascii="Times New Roman" w:hAnsi="Times New Roman"/>
          <w:b/>
          <w:sz w:val="24"/>
          <w:szCs w:val="24"/>
          <w:lang w:val="es-BO"/>
        </w:rPr>
        <w:t>, McGuire</w:t>
      </w:r>
      <w:r w:rsidRPr="00872293">
        <w:rPr>
          <w:rFonts w:ascii="Times New Roman" w:hAnsi="Times New Roman"/>
          <w:b/>
          <w:sz w:val="24"/>
          <w:szCs w:val="24"/>
          <w:lang w:val="es-BO"/>
        </w:rPr>
        <w:t xml:space="preserve"> K</w:t>
      </w:r>
      <w:r w:rsidR="003A01E8" w:rsidRPr="00872293">
        <w:rPr>
          <w:rFonts w:ascii="Times New Roman" w:hAnsi="Times New Roman"/>
          <w:b/>
          <w:sz w:val="24"/>
          <w:szCs w:val="24"/>
          <w:lang w:val="es-BO"/>
        </w:rPr>
        <w:t>, Zimmerman</w:t>
      </w:r>
      <w:r w:rsidRPr="00872293">
        <w:rPr>
          <w:rFonts w:ascii="Times New Roman" w:hAnsi="Times New Roman"/>
          <w:b/>
          <w:sz w:val="24"/>
          <w:szCs w:val="24"/>
          <w:lang w:val="es-BO"/>
        </w:rPr>
        <w:t xml:space="preserve"> J</w:t>
      </w:r>
      <w:r w:rsidR="003A01E8" w:rsidRPr="00872293">
        <w:rPr>
          <w:rFonts w:ascii="Times New Roman" w:hAnsi="Times New Roman"/>
          <w:b/>
          <w:sz w:val="24"/>
          <w:szCs w:val="24"/>
          <w:lang w:val="es-BO"/>
        </w:rPr>
        <w:t xml:space="preserve">, </w:t>
      </w:r>
      <w:proofErr w:type="spellStart"/>
      <w:r w:rsidR="003A01E8" w:rsidRPr="00872293">
        <w:rPr>
          <w:rFonts w:ascii="Times New Roman" w:hAnsi="Times New Roman"/>
          <w:b/>
          <w:sz w:val="24"/>
          <w:szCs w:val="24"/>
          <w:lang w:val="es-BO"/>
        </w:rPr>
        <w:t>Swenson</w:t>
      </w:r>
      <w:proofErr w:type="spellEnd"/>
      <w:r w:rsidRPr="00872293">
        <w:rPr>
          <w:rFonts w:ascii="Times New Roman" w:hAnsi="Times New Roman"/>
          <w:b/>
          <w:sz w:val="24"/>
          <w:szCs w:val="24"/>
          <w:lang w:val="es-BO"/>
        </w:rPr>
        <w:t xml:space="preserve"> NG</w:t>
      </w:r>
      <w:r w:rsidR="003A01E8" w:rsidRPr="00872293">
        <w:rPr>
          <w:rFonts w:ascii="Times New Roman" w:hAnsi="Times New Roman"/>
          <w:b/>
          <w:sz w:val="24"/>
          <w:szCs w:val="24"/>
          <w:lang w:val="es-BO"/>
        </w:rPr>
        <w:t>, Clark</w:t>
      </w:r>
      <w:r w:rsidRPr="00872293">
        <w:rPr>
          <w:rFonts w:ascii="Times New Roman" w:hAnsi="Times New Roman"/>
          <w:b/>
          <w:sz w:val="24"/>
          <w:szCs w:val="24"/>
          <w:lang w:val="es-BO"/>
        </w:rPr>
        <w:t xml:space="preserve"> J</w:t>
      </w:r>
      <w:r w:rsidR="0018136E" w:rsidRPr="00872293">
        <w:rPr>
          <w:rFonts w:ascii="Times New Roman" w:hAnsi="Times New Roman"/>
          <w:b/>
          <w:sz w:val="24"/>
          <w:szCs w:val="24"/>
          <w:lang w:val="es-BO"/>
        </w:rPr>
        <w:t>S</w:t>
      </w:r>
      <w:r w:rsidRPr="00872293">
        <w:rPr>
          <w:rFonts w:ascii="Times New Roman" w:hAnsi="Times New Roman"/>
          <w:b/>
          <w:sz w:val="24"/>
          <w:szCs w:val="24"/>
          <w:lang w:val="es-BO"/>
        </w:rPr>
        <w:t>.</w:t>
      </w:r>
      <w:r w:rsidR="003A01E8" w:rsidRPr="00872293">
        <w:rPr>
          <w:rFonts w:ascii="Times New Roman" w:hAnsi="Times New Roman"/>
          <w:b/>
          <w:sz w:val="24"/>
          <w:szCs w:val="24"/>
          <w:lang w:val="es-BO"/>
        </w:rPr>
        <w:t xml:space="preserve"> 2018.</w:t>
      </w:r>
      <w:r w:rsidR="003A01E8" w:rsidRPr="00872293">
        <w:rPr>
          <w:rFonts w:ascii="Times New Roman" w:hAnsi="Times New Roman"/>
          <w:sz w:val="24"/>
          <w:szCs w:val="24"/>
          <w:lang w:val="es-BO"/>
        </w:rPr>
        <w:t xml:space="preserve"> </w:t>
      </w:r>
      <w:r w:rsidR="003A01E8" w:rsidRPr="00872293">
        <w:rPr>
          <w:rFonts w:ascii="Times New Roman" w:hAnsi="Times New Roman"/>
          <w:sz w:val="24"/>
          <w:szCs w:val="24"/>
        </w:rPr>
        <w:t xml:space="preserve">Associations among arbuscular mycorrhizal fungi and seedlings are predicted to change with tree successional </w:t>
      </w:r>
      <w:proofErr w:type="gramStart"/>
      <w:r w:rsidR="003A01E8" w:rsidRPr="00872293">
        <w:rPr>
          <w:rFonts w:ascii="Times New Roman" w:hAnsi="Times New Roman"/>
          <w:sz w:val="24"/>
          <w:szCs w:val="24"/>
        </w:rPr>
        <w:t>status</w:t>
      </w:r>
      <w:proofErr w:type="gramEnd"/>
      <w:r w:rsidR="003A01E8" w:rsidRPr="00872293">
        <w:rPr>
          <w:rFonts w:ascii="Times New Roman" w:hAnsi="Times New Roman"/>
          <w:sz w:val="24"/>
          <w:szCs w:val="24"/>
        </w:rPr>
        <w:t xml:space="preserve">. </w:t>
      </w:r>
      <w:r w:rsidR="003A01E8" w:rsidRPr="00872293">
        <w:rPr>
          <w:rFonts w:ascii="Times New Roman" w:hAnsi="Times New Roman"/>
          <w:i/>
          <w:sz w:val="24"/>
          <w:szCs w:val="24"/>
        </w:rPr>
        <w:t>Ecology</w:t>
      </w:r>
      <w:r w:rsidR="003A01E8" w:rsidRPr="00872293">
        <w:rPr>
          <w:rFonts w:ascii="Times New Roman" w:hAnsi="Times New Roman"/>
          <w:sz w:val="24"/>
          <w:szCs w:val="24"/>
        </w:rPr>
        <w:t xml:space="preserve"> </w:t>
      </w:r>
      <w:r w:rsidR="003A01E8" w:rsidRPr="00872293">
        <w:rPr>
          <w:rFonts w:ascii="Times New Roman" w:hAnsi="Times New Roman"/>
          <w:b/>
          <w:sz w:val="24"/>
          <w:szCs w:val="24"/>
        </w:rPr>
        <w:t>9</w:t>
      </w:r>
      <w:r w:rsidR="0073272C" w:rsidRPr="00872293">
        <w:rPr>
          <w:rFonts w:ascii="Times New Roman" w:hAnsi="Times New Roman"/>
          <w:b/>
          <w:sz w:val="24"/>
          <w:szCs w:val="24"/>
        </w:rPr>
        <w:t>9:</w:t>
      </w:r>
      <w:r w:rsidR="003A01E8" w:rsidRPr="00872293">
        <w:rPr>
          <w:rFonts w:ascii="Times New Roman" w:hAnsi="Times New Roman"/>
          <w:sz w:val="24"/>
          <w:szCs w:val="24"/>
        </w:rPr>
        <w:t xml:space="preserve"> 607–620.</w:t>
      </w:r>
    </w:p>
    <w:p w14:paraId="6D1F967E" w14:textId="2E8A8445" w:rsidR="001953EF" w:rsidRPr="00872293" w:rsidRDefault="00A351AC" w:rsidP="00BE33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Basnet K</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Scatena</w:t>
      </w:r>
      <w:proofErr w:type="spellEnd"/>
      <w:r w:rsidRPr="00872293">
        <w:rPr>
          <w:rFonts w:ascii="Times New Roman" w:hAnsi="Times New Roman"/>
          <w:b/>
          <w:sz w:val="24"/>
          <w:szCs w:val="24"/>
        </w:rPr>
        <w:t xml:space="preserve"> FN</w:t>
      </w:r>
      <w:r w:rsidR="003A01E8" w:rsidRPr="00872293">
        <w:rPr>
          <w:rFonts w:ascii="Times New Roman" w:hAnsi="Times New Roman"/>
          <w:b/>
          <w:sz w:val="24"/>
          <w:szCs w:val="24"/>
        </w:rPr>
        <w:t>, Likens</w:t>
      </w:r>
      <w:r w:rsidRPr="00872293">
        <w:rPr>
          <w:rFonts w:ascii="Times New Roman" w:hAnsi="Times New Roman"/>
          <w:b/>
          <w:sz w:val="24"/>
          <w:szCs w:val="24"/>
        </w:rPr>
        <w:t xml:space="preserve"> GE</w:t>
      </w:r>
      <w:r w:rsidR="003073F0" w:rsidRPr="00872293">
        <w:rPr>
          <w:rFonts w:ascii="Times New Roman" w:hAnsi="Times New Roman"/>
          <w:b/>
          <w:sz w:val="24"/>
          <w:szCs w:val="24"/>
        </w:rPr>
        <w:t>,</w:t>
      </w:r>
      <w:r w:rsidR="003A01E8" w:rsidRPr="00872293">
        <w:rPr>
          <w:rFonts w:ascii="Times New Roman" w:hAnsi="Times New Roman"/>
          <w:b/>
          <w:sz w:val="24"/>
          <w:szCs w:val="24"/>
        </w:rPr>
        <w:t xml:space="preserve"> Lugo</w:t>
      </w:r>
      <w:r w:rsidRPr="00872293">
        <w:rPr>
          <w:rFonts w:ascii="Times New Roman" w:hAnsi="Times New Roman"/>
          <w:b/>
          <w:sz w:val="24"/>
          <w:szCs w:val="24"/>
        </w:rPr>
        <w:t xml:space="preserve"> A</w:t>
      </w:r>
      <w:r w:rsidR="008C29DB" w:rsidRPr="00872293">
        <w:rPr>
          <w:rFonts w:ascii="Times New Roman" w:hAnsi="Times New Roman"/>
          <w:b/>
          <w:sz w:val="24"/>
          <w:szCs w:val="24"/>
        </w:rPr>
        <w:t>E</w:t>
      </w:r>
      <w:r w:rsidR="003A01E8" w:rsidRPr="00872293">
        <w:rPr>
          <w:rFonts w:ascii="Times New Roman" w:hAnsi="Times New Roman"/>
          <w:b/>
          <w:sz w:val="24"/>
          <w:szCs w:val="24"/>
        </w:rPr>
        <w:t>. 1993.</w:t>
      </w:r>
      <w:r w:rsidR="003A01E8" w:rsidRPr="00872293">
        <w:rPr>
          <w:rFonts w:ascii="Times New Roman" w:hAnsi="Times New Roman"/>
          <w:sz w:val="24"/>
          <w:szCs w:val="24"/>
        </w:rPr>
        <w:t xml:space="preserve"> Ecological consequences of root grafting in Tabonuco (</w:t>
      </w:r>
      <w:proofErr w:type="spellStart"/>
      <w:r w:rsidR="003A01E8" w:rsidRPr="00872293">
        <w:rPr>
          <w:rFonts w:ascii="Times New Roman" w:hAnsi="Times New Roman"/>
          <w:sz w:val="24"/>
          <w:szCs w:val="24"/>
        </w:rPr>
        <w:t>Dacryodes</w:t>
      </w:r>
      <w:proofErr w:type="spellEnd"/>
      <w:r w:rsidR="003A01E8" w:rsidRPr="00872293">
        <w:rPr>
          <w:rFonts w:ascii="Times New Roman" w:hAnsi="Times New Roman"/>
          <w:sz w:val="24"/>
          <w:szCs w:val="24"/>
        </w:rPr>
        <w:t xml:space="preserve"> </w:t>
      </w:r>
      <w:proofErr w:type="spellStart"/>
      <w:r w:rsidR="003A01E8" w:rsidRPr="00872293">
        <w:rPr>
          <w:rFonts w:ascii="Times New Roman" w:hAnsi="Times New Roman"/>
          <w:sz w:val="24"/>
          <w:szCs w:val="24"/>
        </w:rPr>
        <w:t>excelsa</w:t>
      </w:r>
      <w:proofErr w:type="spellEnd"/>
      <w:r w:rsidR="003A01E8" w:rsidRPr="00872293">
        <w:rPr>
          <w:rFonts w:ascii="Times New Roman" w:hAnsi="Times New Roman"/>
          <w:sz w:val="24"/>
          <w:szCs w:val="24"/>
        </w:rPr>
        <w:t xml:space="preserve">) trees in the Luquillo Experimental Forest, Puerto Rico. </w:t>
      </w:r>
      <w:proofErr w:type="spellStart"/>
      <w:r w:rsidR="003A01E8" w:rsidRPr="00872293">
        <w:rPr>
          <w:rFonts w:ascii="Times New Roman" w:hAnsi="Times New Roman"/>
          <w:i/>
          <w:sz w:val="24"/>
          <w:szCs w:val="24"/>
        </w:rPr>
        <w:t>Biotropica</w:t>
      </w:r>
      <w:proofErr w:type="spellEnd"/>
      <w:r w:rsidR="003A01E8" w:rsidRPr="00872293">
        <w:rPr>
          <w:rFonts w:ascii="Times New Roman" w:hAnsi="Times New Roman"/>
          <w:sz w:val="24"/>
          <w:szCs w:val="24"/>
        </w:rPr>
        <w:t xml:space="preserve"> </w:t>
      </w:r>
      <w:r w:rsidR="003A01E8" w:rsidRPr="00872293">
        <w:rPr>
          <w:rFonts w:ascii="Times New Roman" w:hAnsi="Times New Roman"/>
          <w:b/>
          <w:sz w:val="24"/>
          <w:szCs w:val="24"/>
        </w:rPr>
        <w:t>2</w:t>
      </w:r>
      <w:r w:rsidR="0073272C" w:rsidRPr="00872293">
        <w:rPr>
          <w:rFonts w:ascii="Times New Roman" w:hAnsi="Times New Roman"/>
          <w:b/>
          <w:sz w:val="24"/>
          <w:szCs w:val="24"/>
        </w:rPr>
        <w:t>5:</w:t>
      </w:r>
      <w:r w:rsidR="003A01E8" w:rsidRPr="00872293">
        <w:rPr>
          <w:rFonts w:ascii="Times New Roman" w:hAnsi="Times New Roman"/>
          <w:sz w:val="24"/>
          <w:szCs w:val="24"/>
        </w:rPr>
        <w:t xml:space="preserve"> 28-35.</w:t>
      </w:r>
    </w:p>
    <w:p w14:paraId="6FDD4C7E" w14:textId="57E31786" w:rsidR="001953EF" w:rsidRPr="00872293" w:rsidRDefault="00A351AC" w:rsidP="00BE33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Bayman P</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Lebrón</w:t>
      </w:r>
      <w:proofErr w:type="spellEnd"/>
      <w:r w:rsidRPr="00872293">
        <w:rPr>
          <w:rFonts w:ascii="Times New Roman" w:hAnsi="Times New Roman"/>
          <w:b/>
          <w:sz w:val="24"/>
          <w:szCs w:val="24"/>
        </w:rPr>
        <w:t xml:space="preserve"> LL</w:t>
      </w:r>
      <w:r w:rsidR="003A01E8" w:rsidRPr="00872293">
        <w:rPr>
          <w:rFonts w:ascii="Times New Roman" w:hAnsi="Times New Roman"/>
          <w:b/>
          <w:sz w:val="24"/>
          <w:szCs w:val="24"/>
        </w:rPr>
        <w:t>, Tremblay</w:t>
      </w:r>
      <w:r w:rsidRPr="00872293">
        <w:rPr>
          <w:rFonts w:ascii="Times New Roman" w:hAnsi="Times New Roman"/>
          <w:b/>
          <w:sz w:val="24"/>
          <w:szCs w:val="24"/>
        </w:rPr>
        <w:t xml:space="preserve"> RL</w:t>
      </w:r>
      <w:r w:rsidR="003A01E8" w:rsidRPr="00872293">
        <w:rPr>
          <w:rFonts w:ascii="Times New Roman" w:hAnsi="Times New Roman"/>
          <w:b/>
          <w:sz w:val="24"/>
          <w:szCs w:val="24"/>
        </w:rPr>
        <w:t>, Lodge</w:t>
      </w:r>
      <w:r w:rsidRPr="00872293">
        <w:rPr>
          <w:rFonts w:ascii="Times New Roman" w:hAnsi="Times New Roman"/>
          <w:b/>
          <w:sz w:val="24"/>
          <w:szCs w:val="24"/>
        </w:rPr>
        <w:t xml:space="preserve"> D</w:t>
      </w:r>
      <w:r w:rsidR="00D3589A" w:rsidRPr="00872293">
        <w:rPr>
          <w:rFonts w:ascii="Times New Roman" w:hAnsi="Times New Roman"/>
          <w:b/>
          <w:sz w:val="24"/>
          <w:szCs w:val="24"/>
        </w:rPr>
        <w:t>J</w:t>
      </w:r>
      <w:r w:rsidRPr="00872293">
        <w:rPr>
          <w:rFonts w:ascii="Times New Roman" w:hAnsi="Times New Roman"/>
          <w:b/>
          <w:sz w:val="24"/>
          <w:szCs w:val="24"/>
        </w:rPr>
        <w:t>.</w:t>
      </w:r>
      <w:r w:rsidR="003A01E8" w:rsidRPr="00872293">
        <w:rPr>
          <w:rFonts w:ascii="Times New Roman" w:hAnsi="Times New Roman"/>
          <w:b/>
          <w:sz w:val="24"/>
          <w:szCs w:val="24"/>
        </w:rPr>
        <w:t xml:space="preserve"> 1997.</w:t>
      </w:r>
      <w:r w:rsidR="003A01E8" w:rsidRPr="00872293">
        <w:rPr>
          <w:rFonts w:ascii="Times New Roman" w:hAnsi="Times New Roman"/>
          <w:sz w:val="24"/>
          <w:szCs w:val="24"/>
        </w:rPr>
        <w:t xml:space="preserve"> Variation in endophytic fungi from roots and leaves of </w:t>
      </w:r>
      <w:proofErr w:type="spellStart"/>
      <w:r w:rsidR="003A01E8" w:rsidRPr="00872293">
        <w:rPr>
          <w:rFonts w:ascii="Times New Roman" w:hAnsi="Times New Roman"/>
          <w:sz w:val="24"/>
          <w:szCs w:val="24"/>
        </w:rPr>
        <w:t>Lepanthes</w:t>
      </w:r>
      <w:proofErr w:type="spellEnd"/>
      <w:r w:rsidR="003A01E8" w:rsidRPr="00872293">
        <w:rPr>
          <w:rFonts w:ascii="Times New Roman" w:hAnsi="Times New Roman"/>
          <w:sz w:val="24"/>
          <w:szCs w:val="24"/>
        </w:rPr>
        <w:t xml:space="preserve"> (</w:t>
      </w:r>
      <w:proofErr w:type="spellStart"/>
      <w:r w:rsidR="003A01E8" w:rsidRPr="00872293">
        <w:rPr>
          <w:rFonts w:ascii="Times New Roman" w:hAnsi="Times New Roman"/>
          <w:sz w:val="24"/>
          <w:szCs w:val="24"/>
        </w:rPr>
        <w:t>Orchidaceae</w:t>
      </w:r>
      <w:proofErr w:type="spellEnd"/>
      <w:r w:rsidR="003A01E8" w:rsidRPr="00872293">
        <w:rPr>
          <w:rFonts w:ascii="Times New Roman" w:hAnsi="Times New Roman"/>
          <w:sz w:val="24"/>
          <w:szCs w:val="24"/>
        </w:rPr>
        <w:t xml:space="preserve">). </w:t>
      </w:r>
      <w:r w:rsidR="003A01E8" w:rsidRPr="00872293">
        <w:rPr>
          <w:rFonts w:ascii="Times New Roman" w:hAnsi="Times New Roman"/>
          <w:i/>
          <w:sz w:val="24"/>
          <w:szCs w:val="24"/>
        </w:rPr>
        <w:t>New Phyt</w:t>
      </w:r>
      <w:r w:rsidR="00A21B69" w:rsidRPr="00872293">
        <w:rPr>
          <w:rFonts w:ascii="Times New Roman" w:hAnsi="Times New Roman"/>
          <w:i/>
          <w:sz w:val="24"/>
          <w:szCs w:val="24"/>
        </w:rPr>
        <w:t>ol</w:t>
      </w:r>
      <w:r w:rsidR="00B35A30" w:rsidRPr="00872293">
        <w:rPr>
          <w:rFonts w:ascii="Times New Roman" w:hAnsi="Times New Roman"/>
          <w:i/>
          <w:sz w:val="24"/>
          <w:szCs w:val="24"/>
        </w:rPr>
        <w:t>ogist</w:t>
      </w:r>
      <w:r w:rsidR="00A21B69" w:rsidRPr="00872293">
        <w:rPr>
          <w:rFonts w:ascii="Times New Roman" w:hAnsi="Times New Roman"/>
          <w:i/>
          <w:sz w:val="24"/>
          <w:szCs w:val="24"/>
        </w:rPr>
        <w:t xml:space="preserve"> </w:t>
      </w:r>
      <w:r w:rsidR="003A01E8" w:rsidRPr="00872293">
        <w:rPr>
          <w:rFonts w:ascii="Times New Roman" w:hAnsi="Times New Roman"/>
          <w:b/>
          <w:sz w:val="24"/>
          <w:szCs w:val="24"/>
        </w:rPr>
        <w:t>135</w:t>
      </w:r>
      <w:r w:rsidR="0073272C" w:rsidRPr="00872293">
        <w:rPr>
          <w:rFonts w:ascii="Times New Roman" w:hAnsi="Times New Roman"/>
          <w:b/>
          <w:sz w:val="24"/>
          <w:szCs w:val="24"/>
        </w:rPr>
        <w:t>:</w:t>
      </w:r>
      <w:r w:rsidR="003A01E8" w:rsidRPr="00872293">
        <w:rPr>
          <w:rFonts w:ascii="Times New Roman" w:hAnsi="Times New Roman"/>
          <w:sz w:val="24"/>
          <w:szCs w:val="24"/>
        </w:rPr>
        <w:t xml:space="preserve"> 143–149.</w:t>
      </w:r>
    </w:p>
    <w:p w14:paraId="17CC6D32" w14:textId="13011DA4" w:rsidR="001953EF" w:rsidRPr="00872293" w:rsidRDefault="00A351AC" w:rsidP="00BE33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Bayman P</w:t>
      </w:r>
      <w:r w:rsidR="003A01E8" w:rsidRPr="00872293">
        <w:rPr>
          <w:rFonts w:ascii="Times New Roman" w:hAnsi="Times New Roman"/>
          <w:b/>
          <w:sz w:val="24"/>
          <w:szCs w:val="24"/>
        </w:rPr>
        <w:t>, Mosquera-Espinosa</w:t>
      </w:r>
      <w:r w:rsidRPr="00872293">
        <w:rPr>
          <w:rFonts w:ascii="Times New Roman" w:hAnsi="Times New Roman"/>
          <w:b/>
          <w:sz w:val="24"/>
          <w:szCs w:val="24"/>
        </w:rPr>
        <w:t xml:space="preserve"> AT</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Saladini</w:t>
      </w:r>
      <w:proofErr w:type="spellEnd"/>
      <w:r w:rsidR="003A01E8" w:rsidRPr="00872293">
        <w:rPr>
          <w:rFonts w:ascii="Times New Roman" w:hAnsi="Times New Roman"/>
          <w:b/>
          <w:sz w:val="24"/>
          <w:szCs w:val="24"/>
        </w:rPr>
        <w:t>-Aponte</w:t>
      </w:r>
      <w:r w:rsidRPr="00872293">
        <w:rPr>
          <w:rFonts w:ascii="Times New Roman" w:hAnsi="Times New Roman"/>
          <w:b/>
          <w:sz w:val="24"/>
          <w:szCs w:val="24"/>
        </w:rPr>
        <w:t xml:space="preserve"> CM</w:t>
      </w:r>
      <w:r w:rsidR="003A01E8" w:rsidRPr="00872293">
        <w:rPr>
          <w:rFonts w:ascii="Times New Roman" w:hAnsi="Times New Roman"/>
          <w:b/>
          <w:sz w:val="24"/>
          <w:szCs w:val="24"/>
        </w:rPr>
        <w:t>, Hurtado-Guevara</w:t>
      </w:r>
      <w:r w:rsidRPr="00872293">
        <w:rPr>
          <w:rFonts w:ascii="Times New Roman" w:hAnsi="Times New Roman"/>
          <w:b/>
          <w:sz w:val="24"/>
          <w:szCs w:val="24"/>
        </w:rPr>
        <w:t xml:space="preserve"> NC</w:t>
      </w:r>
      <w:r w:rsidR="003A01E8" w:rsidRPr="00872293">
        <w:rPr>
          <w:rFonts w:ascii="Times New Roman" w:hAnsi="Times New Roman"/>
          <w:b/>
          <w:sz w:val="24"/>
          <w:szCs w:val="24"/>
        </w:rPr>
        <w:t>, Viera-Ruiz</w:t>
      </w:r>
      <w:r w:rsidRPr="00872293">
        <w:rPr>
          <w:rFonts w:ascii="Times New Roman" w:hAnsi="Times New Roman"/>
          <w:b/>
          <w:sz w:val="24"/>
          <w:szCs w:val="24"/>
        </w:rPr>
        <w:t xml:space="preserve"> N</w:t>
      </w:r>
      <w:r w:rsidR="001C0197" w:rsidRPr="00872293">
        <w:rPr>
          <w:rFonts w:ascii="Times New Roman" w:hAnsi="Times New Roman"/>
          <w:b/>
          <w:sz w:val="24"/>
          <w:szCs w:val="24"/>
        </w:rPr>
        <w:t>L</w:t>
      </w:r>
      <w:r w:rsidR="003A01E8" w:rsidRPr="00872293">
        <w:rPr>
          <w:rFonts w:ascii="Times New Roman" w:hAnsi="Times New Roman"/>
          <w:b/>
          <w:sz w:val="24"/>
          <w:szCs w:val="24"/>
        </w:rPr>
        <w:t>. 2016.</w:t>
      </w:r>
      <w:r w:rsidR="003A01E8" w:rsidRPr="00872293">
        <w:rPr>
          <w:rFonts w:ascii="Times New Roman" w:hAnsi="Times New Roman"/>
          <w:sz w:val="24"/>
          <w:szCs w:val="24"/>
        </w:rPr>
        <w:t xml:space="preserve"> Age-Dependent Mycorrhizal specificity in an invasive orchid, </w:t>
      </w:r>
      <w:proofErr w:type="spellStart"/>
      <w:r w:rsidR="003A01E8" w:rsidRPr="00872293">
        <w:rPr>
          <w:rFonts w:ascii="Times New Roman" w:hAnsi="Times New Roman"/>
          <w:sz w:val="24"/>
          <w:szCs w:val="24"/>
        </w:rPr>
        <w:t>Oeceoclades</w:t>
      </w:r>
      <w:proofErr w:type="spellEnd"/>
      <w:r w:rsidR="003A01E8" w:rsidRPr="00872293">
        <w:rPr>
          <w:rFonts w:ascii="Times New Roman" w:hAnsi="Times New Roman"/>
          <w:sz w:val="24"/>
          <w:szCs w:val="24"/>
        </w:rPr>
        <w:t xml:space="preserve"> </w:t>
      </w:r>
      <w:proofErr w:type="spellStart"/>
      <w:r w:rsidR="003A01E8" w:rsidRPr="00872293">
        <w:rPr>
          <w:rFonts w:ascii="Times New Roman" w:hAnsi="Times New Roman"/>
          <w:sz w:val="24"/>
          <w:szCs w:val="24"/>
        </w:rPr>
        <w:t>maculata</w:t>
      </w:r>
      <w:proofErr w:type="spellEnd"/>
      <w:r w:rsidR="003A01E8" w:rsidRPr="00872293">
        <w:rPr>
          <w:rFonts w:ascii="Times New Roman" w:hAnsi="Times New Roman"/>
          <w:sz w:val="24"/>
          <w:szCs w:val="24"/>
        </w:rPr>
        <w:t xml:space="preserve">. </w:t>
      </w:r>
      <w:r w:rsidR="003A01E8" w:rsidRPr="00872293">
        <w:rPr>
          <w:rFonts w:ascii="Times New Roman" w:hAnsi="Times New Roman"/>
          <w:i/>
          <w:sz w:val="24"/>
          <w:szCs w:val="24"/>
        </w:rPr>
        <w:t>Am</w:t>
      </w:r>
      <w:r w:rsidR="0046224B" w:rsidRPr="00872293">
        <w:rPr>
          <w:rFonts w:ascii="Times New Roman" w:hAnsi="Times New Roman"/>
          <w:i/>
          <w:sz w:val="24"/>
          <w:szCs w:val="24"/>
        </w:rPr>
        <w:t>erican</w:t>
      </w:r>
      <w:r w:rsidR="003A01E8" w:rsidRPr="00872293">
        <w:rPr>
          <w:rFonts w:ascii="Times New Roman" w:hAnsi="Times New Roman"/>
          <w:i/>
          <w:sz w:val="24"/>
          <w:szCs w:val="24"/>
        </w:rPr>
        <w:t xml:space="preserve"> J</w:t>
      </w:r>
      <w:r w:rsidR="0046224B" w:rsidRPr="00872293">
        <w:rPr>
          <w:rFonts w:ascii="Times New Roman" w:hAnsi="Times New Roman"/>
          <w:i/>
          <w:sz w:val="24"/>
          <w:szCs w:val="24"/>
        </w:rPr>
        <w:t>ournal of</w:t>
      </w:r>
      <w:r w:rsidR="003A01E8" w:rsidRPr="00872293">
        <w:rPr>
          <w:rFonts w:ascii="Times New Roman" w:hAnsi="Times New Roman"/>
          <w:i/>
          <w:sz w:val="24"/>
          <w:szCs w:val="24"/>
        </w:rPr>
        <w:t xml:space="preserve"> Bot</w:t>
      </w:r>
      <w:r w:rsidR="0046224B" w:rsidRPr="00872293">
        <w:rPr>
          <w:rFonts w:ascii="Times New Roman" w:hAnsi="Times New Roman"/>
          <w:i/>
          <w:sz w:val="24"/>
          <w:szCs w:val="24"/>
        </w:rPr>
        <w:t>any</w:t>
      </w:r>
      <w:r w:rsidR="003A01E8" w:rsidRPr="00872293">
        <w:rPr>
          <w:rFonts w:ascii="Times New Roman" w:hAnsi="Times New Roman"/>
          <w:sz w:val="24"/>
          <w:szCs w:val="24"/>
        </w:rPr>
        <w:t xml:space="preserve"> </w:t>
      </w:r>
      <w:r w:rsidR="003A01E8" w:rsidRPr="00872293">
        <w:rPr>
          <w:rFonts w:ascii="Times New Roman" w:hAnsi="Times New Roman"/>
          <w:b/>
          <w:sz w:val="24"/>
          <w:szCs w:val="24"/>
        </w:rPr>
        <w:t>10</w:t>
      </w:r>
      <w:r w:rsidR="0073272C" w:rsidRPr="00872293">
        <w:rPr>
          <w:rFonts w:ascii="Times New Roman" w:hAnsi="Times New Roman"/>
          <w:b/>
          <w:sz w:val="24"/>
          <w:szCs w:val="24"/>
        </w:rPr>
        <w:t>3:</w:t>
      </w:r>
      <w:r w:rsidR="003A01E8" w:rsidRPr="00872293">
        <w:rPr>
          <w:rFonts w:ascii="Times New Roman" w:hAnsi="Times New Roman"/>
          <w:sz w:val="24"/>
          <w:szCs w:val="24"/>
        </w:rPr>
        <w:t xml:space="preserve"> 1880–1889.</w:t>
      </w:r>
    </w:p>
    <w:p w14:paraId="1885CE8A" w14:textId="77777777" w:rsidR="001953EF" w:rsidRPr="00872293" w:rsidRDefault="00A351AC" w:rsidP="00BE33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Beard KH</w:t>
      </w:r>
      <w:r w:rsidR="003A01E8" w:rsidRPr="00872293">
        <w:rPr>
          <w:rFonts w:ascii="Times New Roman" w:hAnsi="Times New Roman"/>
          <w:b/>
          <w:sz w:val="24"/>
          <w:szCs w:val="24"/>
        </w:rPr>
        <w:t>, Vogt</w:t>
      </w:r>
      <w:r w:rsidRPr="00872293">
        <w:rPr>
          <w:rFonts w:ascii="Times New Roman" w:hAnsi="Times New Roman"/>
          <w:b/>
          <w:sz w:val="24"/>
          <w:szCs w:val="24"/>
        </w:rPr>
        <w:t xml:space="preserve"> KA</w:t>
      </w:r>
      <w:r w:rsidR="003A01E8" w:rsidRPr="00872293">
        <w:rPr>
          <w:rFonts w:ascii="Times New Roman" w:hAnsi="Times New Roman"/>
          <w:b/>
          <w:sz w:val="24"/>
          <w:szCs w:val="24"/>
        </w:rPr>
        <w:t>, Vogt</w:t>
      </w:r>
      <w:r w:rsidRPr="00872293">
        <w:rPr>
          <w:rFonts w:ascii="Times New Roman" w:hAnsi="Times New Roman"/>
          <w:b/>
          <w:sz w:val="24"/>
          <w:szCs w:val="24"/>
        </w:rPr>
        <w:t xml:space="preserve"> DJ</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Scatena</w:t>
      </w:r>
      <w:proofErr w:type="spellEnd"/>
      <w:r w:rsidR="00784CAF" w:rsidRPr="00872293">
        <w:rPr>
          <w:rFonts w:ascii="Times New Roman" w:hAnsi="Times New Roman"/>
          <w:b/>
          <w:sz w:val="24"/>
          <w:szCs w:val="24"/>
        </w:rPr>
        <w:t xml:space="preserve"> F</w:t>
      </w:r>
      <w:r w:rsidRPr="00872293">
        <w:rPr>
          <w:rFonts w:ascii="Times New Roman" w:hAnsi="Times New Roman"/>
          <w:b/>
          <w:sz w:val="24"/>
          <w:szCs w:val="24"/>
        </w:rPr>
        <w:t>N</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Covich</w:t>
      </w:r>
      <w:proofErr w:type="spellEnd"/>
      <w:r w:rsidRPr="00872293">
        <w:rPr>
          <w:rFonts w:ascii="Times New Roman" w:hAnsi="Times New Roman"/>
          <w:b/>
          <w:sz w:val="24"/>
          <w:szCs w:val="24"/>
        </w:rPr>
        <w:t xml:space="preserve"> AP</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Sigurdardottir</w:t>
      </w:r>
      <w:proofErr w:type="spellEnd"/>
      <w:r w:rsidRPr="00872293">
        <w:rPr>
          <w:rFonts w:ascii="Times New Roman" w:hAnsi="Times New Roman"/>
          <w:b/>
          <w:sz w:val="24"/>
          <w:szCs w:val="24"/>
        </w:rPr>
        <w:t xml:space="preserve"> R</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Siccama</w:t>
      </w:r>
      <w:proofErr w:type="spellEnd"/>
      <w:r w:rsidRPr="00872293">
        <w:rPr>
          <w:rFonts w:ascii="Times New Roman" w:hAnsi="Times New Roman"/>
          <w:b/>
          <w:sz w:val="24"/>
          <w:szCs w:val="24"/>
        </w:rPr>
        <w:t xml:space="preserve"> TG</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Crowl</w:t>
      </w:r>
      <w:proofErr w:type="spellEnd"/>
      <w:r w:rsidR="00A83F99" w:rsidRPr="00872293">
        <w:rPr>
          <w:rStyle w:val="CommentReference"/>
          <w:rFonts w:ascii="Times New Roman" w:eastAsia="Calibri" w:hAnsi="Times New Roman"/>
          <w:b/>
          <w:vanish/>
          <w:sz w:val="24"/>
          <w:szCs w:val="24"/>
        </w:rPr>
        <w:pgNum/>
      </w:r>
      <w:r w:rsidRPr="00872293">
        <w:rPr>
          <w:rFonts w:ascii="Times New Roman" w:hAnsi="Times New Roman"/>
          <w:b/>
          <w:sz w:val="24"/>
          <w:szCs w:val="24"/>
        </w:rPr>
        <w:t xml:space="preserve"> T</w:t>
      </w:r>
      <w:r w:rsidR="00784CAF" w:rsidRPr="00872293">
        <w:rPr>
          <w:rFonts w:ascii="Times New Roman" w:hAnsi="Times New Roman"/>
          <w:b/>
          <w:sz w:val="24"/>
          <w:szCs w:val="24"/>
        </w:rPr>
        <w:t>A</w:t>
      </w:r>
      <w:r w:rsidR="003A01E8" w:rsidRPr="00872293">
        <w:rPr>
          <w:rFonts w:ascii="Times New Roman" w:hAnsi="Times New Roman"/>
          <w:b/>
          <w:sz w:val="24"/>
          <w:szCs w:val="24"/>
        </w:rPr>
        <w:t>. 2005.</w:t>
      </w:r>
      <w:r w:rsidR="003A01E8" w:rsidRPr="00872293">
        <w:rPr>
          <w:rFonts w:ascii="Times New Roman" w:hAnsi="Times New Roman"/>
          <w:sz w:val="24"/>
          <w:szCs w:val="24"/>
        </w:rPr>
        <w:t xml:space="preserve"> Structural and functional responses of a subtropical forest to 10 years of hurricanes and droughts. </w:t>
      </w:r>
      <w:r w:rsidR="003A01E8" w:rsidRPr="00872293">
        <w:rPr>
          <w:rFonts w:ascii="Times New Roman" w:hAnsi="Times New Roman"/>
          <w:i/>
          <w:sz w:val="24"/>
          <w:szCs w:val="24"/>
        </w:rPr>
        <w:t>Ecol</w:t>
      </w:r>
      <w:r w:rsidR="005D3EE6" w:rsidRPr="00872293">
        <w:rPr>
          <w:rFonts w:ascii="Times New Roman" w:hAnsi="Times New Roman"/>
          <w:i/>
          <w:sz w:val="24"/>
          <w:szCs w:val="24"/>
        </w:rPr>
        <w:t>ogical</w:t>
      </w:r>
      <w:r w:rsidR="003A01E8" w:rsidRPr="00872293">
        <w:rPr>
          <w:rFonts w:ascii="Times New Roman" w:hAnsi="Times New Roman"/>
          <w:i/>
          <w:sz w:val="24"/>
          <w:szCs w:val="24"/>
        </w:rPr>
        <w:t xml:space="preserve"> Monog</w:t>
      </w:r>
      <w:r w:rsidR="00AF3C87" w:rsidRPr="00872293">
        <w:rPr>
          <w:rFonts w:ascii="Times New Roman" w:hAnsi="Times New Roman"/>
          <w:i/>
          <w:sz w:val="24"/>
          <w:szCs w:val="24"/>
        </w:rPr>
        <w:t>r</w:t>
      </w:r>
      <w:r w:rsidR="005D3EE6" w:rsidRPr="00872293">
        <w:rPr>
          <w:rFonts w:ascii="Times New Roman" w:hAnsi="Times New Roman"/>
          <w:i/>
          <w:sz w:val="24"/>
          <w:szCs w:val="24"/>
        </w:rPr>
        <w:t>aphs</w:t>
      </w:r>
      <w:r w:rsidR="003A01E8" w:rsidRPr="00872293">
        <w:rPr>
          <w:rFonts w:ascii="Times New Roman" w:hAnsi="Times New Roman"/>
          <w:sz w:val="24"/>
          <w:szCs w:val="24"/>
        </w:rPr>
        <w:t xml:space="preserve"> </w:t>
      </w:r>
      <w:r w:rsidR="003A01E8" w:rsidRPr="00872293">
        <w:rPr>
          <w:rFonts w:ascii="Times New Roman" w:hAnsi="Times New Roman"/>
          <w:b/>
          <w:sz w:val="24"/>
          <w:szCs w:val="24"/>
        </w:rPr>
        <w:t>7</w:t>
      </w:r>
      <w:r w:rsidR="0073272C" w:rsidRPr="00872293">
        <w:rPr>
          <w:rFonts w:ascii="Times New Roman" w:hAnsi="Times New Roman"/>
          <w:b/>
          <w:sz w:val="24"/>
          <w:szCs w:val="24"/>
        </w:rPr>
        <w:t>5:</w:t>
      </w:r>
      <w:r w:rsidR="003A01E8" w:rsidRPr="00872293">
        <w:rPr>
          <w:rFonts w:ascii="Times New Roman" w:hAnsi="Times New Roman"/>
          <w:sz w:val="24"/>
          <w:szCs w:val="24"/>
        </w:rPr>
        <w:t xml:space="preserve"> 345–361.</w:t>
      </w:r>
    </w:p>
    <w:p w14:paraId="60514086" w14:textId="77777777" w:rsidR="001953EF" w:rsidRPr="00872293" w:rsidRDefault="002B7471" w:rsidP="00BE33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Bloomfield J</w:t>
      </w:r>
      <w:r w:rsidR="003A01E8" w:rsidRPr="00872293">
        <w:rPr>
          <w:rFonts w:ascii="Times New Roman" w:hAnsi="Times New Roman"/>
          <w:b/>
          <w:sz w:val="24"/>
          <w:szCs w:val="24"/>
        </w:rPr>
        <w:t>, Vogt</w:t>
      </w:r>
      <w:r w:rsidRPr="00872293">
        <w:rPr>
          <w:rFonts w:ascii="Times New Roman" w:hAnsi="Times New Roman"/>
          <w:b/>
          <w:sz w:val="24"/>
          <w:szCs w:val="24"/>
        </w:rPr>
        <w:t xml:space="preserve"> KA,</w:t>
      </w:r>
      <w:r w:rsidR="003A01E8" w:rsidRPr="00872293">
        <w:rPr>
          <w:rFonts w:ascii="Times New Roman" w:hAnsi="Times New Roman"/>
          <w:b/>
          <w:sz w:val="24"/>
          <w:szCs w:val="24"/>
        </w:rPr>
        <w:t xml:space="preserve"> Vogt</w:t>
      </w:r>
      <w:r w:rsidRPr="00872293">
        <w:rPr>
          <w:rFonts w:ascii="Times New Roman" w:hAnsi="Times New Roman"/>
          <w:b/>
          <w:sz w:val="24"/>
          <w:szCs w:val="24"/>
        </w:rPr>
        <w:t xml:space="preserve"> D</w:t>
      </w:r>
      <w:r w:rsidR="00A41ED5" w:rsidRPr="00872293">
        <w:rPr>
          <w:rFonts w:ascii="Times New Roman" w:hAnsi="Times New Roman"/>
          <w:b/>
          <w:sz w:val="24"/>
          <w:szCs w:val="24"/>
        </w:rPr>
        <w:t>J</w:t>
      </w:r>
      <w:r w:rsidRPr="00872293">
        <w:rPr>
          <w:rFonts w:ascii="Times New Roman" w:hAnsi="Times New Roman"/>
          <w:b/>
          <w:sz w:val="24"/>
          <w:szCs w:val="24"/>
        </w:rPr>
        <w:t>.</w:t>
      </w:r>
      <w:r w:rsidR="003A01E8" w:rsidRPr="00872293">
        <w:rPr>
          <w:rFonts w:ascii="Times New Roman" w:hAnsi="Times New Roman"/>
          <w:b/>
          <w:sz w:val="24"/>
          <w:szCs w:val="24"/>
        </w:rPr>
        <w:t xml:space="preserve"> 1993.</w:t>
      </w:r>
      <w:r w:rsidR="003A01E8" w:rsidRPr="00872293">
        <w:rPr>
          <w:rFonts w:ascii="Times New Roman" w:hAnsi="Times New Roman"/>
          <w:sz w:val="24"/>
          <w:szCs w:val="24"/>
        </w:rPr>
        <w:t xml:space="preserve"> Decay rate and substrate quality of fine roots and foliage of two tropical tree species in the Luquillo Experimental Forest, Puerto Rico. </w:t>
      </w:r>
      <w:r w:rsidR="003A01E8" w:rsidRPr="00872293">
        <w:rPr>
          <w:rFonts w:ascii="Times New Roman" w:hAnsi="Times New Roman"/>
          <w:i/>
          <w:sz w:val="24"/>
          <w:szCs w:val="24"/>
        </w:rPr>
        <w:t>Plant and Soil</w:t>
      </w:r>
      <w:r w:rsidR="003A01E8" w:rsidRPr="00872293">
        <w:rPr>
          <w:rFonts w:ascii="Times New Roman" w:hAnsi="Times New Roman"/>
          <w:sz w:val="24"/>
          <w:szCs w:val="24"/>
        </w:rPr>
        <w:t xml:space="preserve"> </w:t>
      </w:r>
      <w:r w:rsidR="003A01E8" w:rsidRPr="00872293">
        <w:rPr>
          <w:rFonts w:ascii="Times New Roman" w:hAnsi="Times New Roman"/>
          <w:b/>
          <w:sz w:val="24"/>
          <w:szCs w:val="24"/>
        </w:rPr>
        <w:t>15</w:t>
      </w:r>
      <w:r w:rsidR="0073272C" w:rsidRPr="00872293">
        <w:rPr>
          <w:rFonts w:ascii="Times New Roman" w:hAnsi="Times New Roman"/>
          <w:b/>
          <w:sz w:val="24"/>
          <w:szCs w:val="24"/>
        </w:rPr>
        <w:t>0:</w:t>
      </w:r>
      <w:r w:rsidR="003A01E8" w:rsidRPr="00872293">
        <w:rPr>
          <w:rFonts w:ascii="Times New Roman" w:hAnsi="Times New Roman"/>
          <w:sz w:val="24"/>
          <w:szCs w:val="24"/>
        </w:rPr>
        <w:t xml:space="preserve"> 233–245.</w:t>
      </w:r>
    </w:p>
    <w:p w14:paraId="28253DF5" w14:textId="5D18C62E" w:rsidR="001A1BFC" w:rsidRPr="00872293" w:rsidRDefault="0073272C" w:rsidP="00BE331C">
      <w:pPr>
        <w:pStyle w:val="NormalWeb"/>
        <w:spacing w:before="0" w:beforeAutospacing="0" w:after="0" w:afterAutospacing="0" w:line="360" w:lineRule="auto"/>
        <w:rPr>
          <w:rFonts w:ascii="Times New Roman" w:hAnsi="Times New Roman"/>
          <w:sz w:val="24"/>
          <w:szCs w:val="24"/>
        </w:rPr>
      </w:pPr>
      <w:bookmarkStart w:id="36" w:name="_Hlk29828861"/>
      <w:r w:rsidRPr="00872293">
        <w:rPr>
          <w:rFonts w:ascii="Times New Roman" w:hAnsi="Times New Roman"/>
          <w:b/>
          <w:sz w:val="24"/>
          <w:szCs w:val="24"/>
          <w:shd w:val="clear" w:color="auto" w:fill="FFFFFF"/>
        </w:rPr>
        <w:lastRenderedPageBreak/>
        <w:t>Brandeis T</w:t>
      </w:r>
      <w:r w:rsidR="00313041" w:rsidRPr="00872293">
        <w:rPr>
          <w:rFonts w:ascii="Times New Roman" w:hAnsi="Times New Roman"/>
          <w:b/>
          <w:sz w:val="24"/>
          <w:szCs w:val="24"/>
          <w:shd w:val="clear" w:color="auto" w:fill="FFFFFF"/>
        </w:rPr>
        <w:t>J</w:t>
      </w:r>
      <w:r w:rsidR="003A01E8" w:rsidRPr="00872293">
        <w:rPr>
          <w:rFonts w:ascii="Times New Roman" w:hAnsi="Times New Roman"/>
          <w:b/>
          <w:sz w:val="24"/>
          <w:szCs w:val="24"/>
          <w:shd w:val="clear" w:color="auto" w:fill="FFFFFF"/>
        </w:rPr>
        <w:t>, Turner</w:t>
      </w:r>
      <w:r w:rsidR="00313041" w:rsidRPr="00872293">
        <w:rPr>
          <w:rFonts w:ascii="Times New Roman" w:hAnsi="Times New Roman"/>
          <w:b/>
          <w:sz w:val="24"/>
          <w:szCs w:val="24"/>
          <w:shd w:val="clear" w:color="auto" w:fill="FFFFFF"/>
        </w:rPr>
        <w:t xml:space="preserve"> J</w:t>
      </w:r>
      <w:r w:rsidR="00F86B62" w:rsidRPr="00872293">
        <w:rPr>
          <w:rFonts w:ascii="Times New Roman" w:hAnsi="Times New Roman"/>
          <w:b/>
          <w:sz w:val="24"/>
          <w:szCs w:val="24"/>
          <w:shd w:val="clear" w:color="auto" w:fill="FFFFFF"/>
        </w:rPr>
        <w:t>A</w:t>
      </w:r>
      <w:r w:rsidRPr="00872293">
        <w:rPr>
          <w:rFonts w:ascii="Times New Roman" w:hAnsi="Times New Roman"/>
          <w:b/>
          <w:sz w:val="24"/>
          <w:szCs w:val="24"/>
          <w:shd w:val="clear" w:color="auto" w:fill="FFFFFF"/>
        </w:rPr>
        <w:t>.</w:t>
      </w:r>
      <w:r w:rsidR="003A01E8" w:rsidRPr="00872293">
        <w:rPr>
          <w:rFonts w:ascii="Times New Roman" w:hAnsi="Times New Roman"/>
          <w:b/>
          <w:sz w:val="24"/>
          <w:szCs w:val="24"/>
          <w:shd w:val="clear" w:color="auto" w:fill="FFFFFF"/>
        </w:rPr>
        <w:t xml:space="preserve"> 2013.</w:t>
      </w:r>
      <w:r w:rsidR="003A01E8" w:rsidRPr="00872293">
        <w:rPr>
          <w:rFonts w:ascii="Times New Roman" w:hAnsi="Times New Roman"/>
          <w:sz w:val="24"/>
          <w:szCs w:val="24"/>
          <w:shd w:val="clear" w:color="auto" w:fill="FFFFFF"/>
        </w:rPr>
        <w:t xml:space="preserve"> Puerto Rico’s forests, 2009</w:t>
      </w:r>
      <w:bookmarkEnd w:id="36"/>
      <w:r w:rsidR="003A01E8" w:rsidRPr="00872293">
        <w:rPr>
          <w:rFonts w:ascii="Times New Roman" w:hAnsi="Times New Roman"/>
          <w:sz w:val="24"/>
          <w:szCs w:val="24"/>
          <w:shd w:val="clear" w:color="auto" w:fill="FFFFFF"/>
        </w:rPr>
        <w:t>. Resour</w:t>
      </w:r>
      <w:r w:rsidR="00F86B62" w:rsidRPr="00872293">
        <w:rPr>
          <w:rFonts w:ascii="Times New Roman" w:hAnsi="Times New Roman"/>
          <w:sz w:val="24"/>
          <w:szCs w:val="24"/>
          <w:shd w:val="clear" w:color="auto" w:fill="FFFFFF"/>
        </w:rPr>
        <w:t>ce</w:t>
      </w:r>
      <w:r w:rsidR="003A01E8" w:rsidRPr="00872293">
        <w:rPr>
          <w:rFonts w:ascii="Times New Roman" w:hAnsi="Times New Roman"/>
          <w:sz w:val="24"/>
          <w:szCs w:val="24"/>
          <w:shd w:val="clear" w:color="auto" w:fill="FFFFFF"/>
        </w:rPr>
        <w:t xml:space="preserve"> Bull</w:t>
      </w:r>
      <w:r w:rsidR="00F86B62" w:rsidRPr="00872293">
        <w:rPr>
          <w:rFonts w:ascii="Times New Roman" w:hAnsi="Times New Roman"/>
          <w:sz w:val="24"/>
          <w:szCs w:val="24"/>
          <w:shd w:val="clear" w:color="auto" w:fill="FFFFFF"/>
        </w:rPr>
        <w:t>etin</w:t>
      </w:r>
      <w:r w:rsidR="003A01E8" w:rsidRPr="00872293">
        <w:rPr>
          <w:rFonts w:ascii="Times New Roman" w:hAnsi="Times New Roman"/>
          <w:sz w:val="24"/>
          <w:szCs w:val="24"/>
          <w:shd w:val="clear" w:color="auto" w:fill="FFFFFF"/>
        </w:rPr>
        <w:t>. SRS-RB-191. Asheville, NC. U.S. Department of Agriculture Forest Service, Southern Research Station. 85 p.</w:t>
      </w:r>
      <w:r w:rsidR="001F1608" w:rsidRPr="00872293">
        <w:rPr>
          <w:rFonts w:ascii="Times New Roman" w:hAnsi="Times New Roman"/>
          <w:sz w:val="24"/>
          <w:szCs w:val="24"/>
        </w:rPr>
        <w:t xml:space="preserve"> </w:t>
      </w:r>
      <w:hyperlink r:id="rId14" w:history="1">
        <w:r w:rsidR="001F1608" w:rsidRPr="00872293">
          <w:rPr>
            <w:rStyle w:val="Hyperlink"/>
            <w:rFonts w:ascii="Times New Roman" w:hAnsi="Times New Roman"/>
            <w:color w:val="auto"/>
            <w:sz w:val="24"/>
            <w:szCs w:val="24"/>
          </w:rPr>
          <w:t>https://www.fs.usda.gov/treesearch/pubs/43624</w:t>
        </w:r>
      </w:hyperlink>
    </w:p>
    <w:p w14:paraId="37C69B59" w14:textId="77777777" w:rsidR="001953EF" w:rsidRPr="00872293" w:rsidRDefault="001953EF" w:rsidP="00BE331C">
      <w:pPr>
        <w:pStyle w:val="NormalWeb"/>
        <w:spacing w:before="0" w:beforeAutospacing="0" w:after="0" w:afterAutospacing="0" w:line="360" w:lineRule="auto"/>
        <w:rPr>
          <w:rFonts w:ascii="Times New Roman" w:hAnsi="Times New Roman"/>
          <w:sz w:val="24"/>
          <w:szCs w:val="24"/>
          <w:shd w:val="clear" w:color="auto" w:fill="FFFFFF"/>
        </w:rPr>
      </w:pPr>
    </w:p>
    <w:p w14:paraId="594279C6" w14:textId="77777777" w:rsidR="001953EF" w:rsidRPr="00872293" w:rsidRDefault="0073272C" w:rsidP="00BE331C">
      <w:pPr>
        <w:spacing w:line="360" w:lineRule="auto"/>
        <w:rPr>
          <w:rFonts w:ascii="Times New Roman" w:hAnsi="Times New Roman" w:cs="Times New Roman"/>
        </w:rPr>
      </w:pPr>
      <w:r w:rsidRPr="00872293">
        <w:rPr>
          <w:rFonts w:ascii="Times New Roman" w:hAnsi="Times New Roman" w:cs="Times New Roman"/>
          <w:b/>
        </w:rPr>
        <w:t>Briscoe</w:t>
      </w:r>
      <w:r w:rsidR="003A01E8" w:rsidRPr="00872293">
        <w:rPr>
          <w:rFonts w:ascii="Times New Roman" w:hAnsi="Times New Roman" w:cs="Times New Roman"/>
          <w:b/>
        </w:rPr>
        <w:t xml:space="preserve"> C. 1959.</w:t>
      </w:r>
      <w:r w:rsidR="003A01E8" w:rsidRPr="00872293">
        <w:rPr>
          <w:rFonts w:ascii="Times New Roman" w:hAnsi="Times New Roman" w:cs="Times New Roman"/>
        </w:rPr>
        <w:t xml:space="preserve"> Early Results of Mycorrhizal Inoculation of Pine in Puerto Rico. </w:t>
      </w:r>
      <w:r w:rsidR="003A01E8" w:rsidRPr="00872293">
        <w:rPr>
          <w:rFonts w:ascii="Times New Roman" w:hAnsi="Times New Roman" w:cs="Times New Roman"/>
          <w:i/>
          <w:iCs/>
        </w:rPr>
        <w:t>Caribbean Forester</w:t>
      </w:r>
      <w:r w:rsidR="003A01E8" w:rsidRPr="00872293">
        <w:rPr>
          <w:rFonts w:ascii="Times New Roman" w:hAnsi="Times New Roman" w:cs="Times New Roman"/>
        </w:rPr>
        <w:t xml:space="preserve"> </w:t>
      </w:r>
      <w:r w:rsidR="003A01E8" w:rsidRPr="00872293">
        <w:rPr>
          <w:rFonts w:ascii="Times New Roman" w:hAnsi="Times New Roman" w:cs="Times New Roman"/>
          <w:i/>
          <w:iCs/>
        </w:rPr>
        <w:t>July-Decembe</w:t>
      </w:r>
      <w:r w:rsidR="003904E5" w:rsidRPr="00872293">
        <w:rPr>
          <w:rFonts w:ascii="Times New Roman" w:hAnsi="Times New Roman" w:cs="Times New Roman"/>
          <w:i/>
          <w:iCs/>
        </w:rPr>
        <w:t>r,</w:t>
      </w:r>
      <w:r w:rsidR="003A01E8" w:rsidRPr="00872293">
        <w:rPr>
          <w:rFonts w:ascii="Times New Roman" w:hAnsi="Times New Roman" w:cs="Times New Roman"/>
        </w:rPr>
        <w:t xml:space="preserve"> 73-77 </w:t>
      </w:r>
    </w:p>
    <w:p w14:paraId="3CF41A4B" w14:textId="66FFEED2" w:rsidR="001953EF" w:rsidRPr="00872293" w:rsidRDefault="0073272C" w:rsidP="00BE331C">
      <w:pPr>
        <w:spacing w:before="100" w:beforeAutospacing="1" w:after="100" w:afterAutospacing="1" w:line="360" w:lineRule="auto"/>
        <w:rPr>
          <w:rFonts w:ascii="Times New Roman" w:hAnsi="Times New Roman" w:cs="Times New Roman"/>
        </w:rPr>
      </w:pPr>
      <w:proofErr w:type="spellStart"/>
      <w:r w:rsidRPr="00872293">
        <w:rPr>
          <w:rFonts w:ascii="Times New Roman" w:hAnsi="Times New Roman" w:cs="Times New Roman"/>
          <w:b/>
        </w:rPr>
        <w:t>Cabugao</w:t>
      </w:r>
      <w:proofErr w:type="spellEnd"/>
      <w:r w:rsidRPr="00872293">
        <w:rPr>
          <w:rFonts w:ascii="Times New Roman" w:hAnsi="Times New Roman" w:cs="Times New Roman"/>
          <w:b/>
        </w:rPr>
        <w:t xml:space="preserve"> KG</w:t>
      </w:r>
      <w:r w:rsidR="003A01E8" w:rsidRPr="00872293">
        <w:rPr>
          <w:rFonts w:ascii="Times New Roman" w:hAnsi="Times New Roman" w:cs="Times New Roman"/>
          <w:b/>
        </w:rPr>
        <w:t>, Timm</w:t>
      </w:r>
      <w:r w:rsidRPr="00872293">
        <w:rPr>
          <w:rFonts w:ascii="Times New Roman" w:hAnsi="Times New Roman" w:cs="Times New Roman"/>
          <w:b/>
        </w:rPr>
        <w:t xml:space="preserve"> CM,</w:t>
      </w:r>
      <w:r w:rsidR="003A01E8" w:rsidRPr="00872293">
        <w:rPr>
          <w:rFonts w:ascii="Times New Roman" w:hAnsi="Times New Roman" w:cs="Times New Roman"/>
          <w:b/>
        </w:rPr>
        <w:t xml:space="preserve"> Carrell</w:t>
      </w:r>
      <w:r w:rsidRPr="00872293">
        <w:rPr>
          <w:rFonts w:ascii="Times New Roman" w:hAnsi="Times New Roman" w:cs="Times New Roman"/>
          <w:b/>
        </w:rPr>
        <w:t xml:space="preserve"> AA</w:t>
      </w:r>
      <w:r w:rsidR="003A01E8" w:rsidRPr="00872293">
        <w:rPr>
          <w:rFonts w:ascii="Times New Roman" w:hAnsi="Times New Roman" w:cs="Times New Roman"/>
          <w:b/>
        </w:rPr>
        <w:t>, Childs</w:t>
      </w:r>
      <w:r w:rsidRPr="00872293">
        <w:rPr>
          <w:rFonts w:ascii="Times New Roman" w:hAnsi="Times New Roman" w:cs="Times New Roman"/>
          <w:b/>
        </w:rPr>
        <w:t xml:space="preserve"> J</w:t>
      </w:r>
      <w:r w:rsidR="003A01E8" w:rsidRPr="00872293">
        <w:rPr>
          <w:rFonts w:ascii="Times New Roman" w:hAnsi="Times New Roman" w:cs="Times New Roman"/>
          <w:b/>
        </w:rPr>
        <w:t>, Lu</w:t>
      </w:r>
      <w:r w:rsidRPr="00872293">
        <w:rPr>
          <w:rFonts w:ascii="Times New Roman" w:hAnsi="Times New Roman" w:cs="Times New Roman"/>
          <w:b/>
        </w:rPr>
        <w:t xml:space="preserve"> TYS</w:t>
      </w:r>
      <w:r w:rsidR="003A01E8" w:rsidRPr="00872293">
        <w:rPr>
          <w:rFonts w:ascii="Times New Roman" w:hAnsi="Times New Roman" w:cs="Times New Roman"/>
          <w:b/>
        </w:rPr>
        <w:t>, Pelletier</w:t>
      </w:r>
      <w:r w:rsidRPr="00872293">
        <w:rPr>
          <w:rFonts w:ascii="Times New Roman" w:hAnsi="Times New Roman" w:cs="Times New Roman"/>
          <w:b/>
        </w:rPr>
        <w:t xml:space="preserve"> DA,</w:t>
      </w:r>
      <w:r w:rsidR="003A01E8" w:rsidRPr="00872293">
        <w:rPr>
          <w:rFonts w:ascii="Times New Roman" w:hAnsi="Times New Roman" w:cs="Times New Roman"/>
          <w:b/>
        </w:rPr>
        <w:t xml:space="preserve"> Weston</w:t>
      </w:r>
      <w:r w:rsidRPr="00872293">
        <w:rPr>
          <w:rFonts w:ascii="Times New Roman" w:hAnsi="Times New Roman" w:cs="Times New Roman"/>
          <w:b/>
        </w:rPr>
        <w:t xml:space="preserve"> DJ,</w:t>
      </w:r>
      <w:r w:rsidR="003A01E8" w:rsidRPr="00872293">
        <w:rPr>
          <w:rFonts w:ascii="Times New Roman" w:hAnsi="Times New Roman" w:cs="Times New Roman"/>
          <w:b/>
        </w:rPr>
        <w:t xml:space="preserve"> Norby</w:t>
      </w:r>
      <w:r w:rsidRPr="00872293">
        <w:rPr>
          <w:rFonts w:ascii="Times New Roman" w:hAnsi="Times New Roman" w:cs="Times New Roman"/>
          <w:b/>
        </w:rPr>
        <w:t xml:space="preserve"> R</w:t>
      </w:r>
      <w:r w:rsidR="006755B2" w:rsidRPr="00872293">
        <w:rPr>
          <w:rFonts w:ascii="Times New Roman" w:hAnsi="Times New Roman" w:cs="Times New Roman"/>
          <w:b/>
        </w:rPr>
        <w:t>J</w:t>
      </w:r>
      <w:r w:rsidR="003A01E8" w:rsidRPr="00872293">
        <w:rPr>
          <w:rFonts w:ascii="Times New Roman" w:hAnsi="Times New Roman" w:cs="Times New Roman"/>
          <w:b/>
        </w:rPr>
        <w:t>. 2017.</w:t>
      </w:r>
      <w:r w:rsidR="003A01E8" w:rsidRPr="00872293">
        <w:rPr>
          <w:rFonts w:ascii="Times New Roman" w:hAnsi="Times New Roman" w:cs="Times New Roman"/>
        </w:rPr>
        <w:t xml:space="preserve"> Root and Rhizosphere Bacterial Phosphatase Activity Varies with Tree Species and Soil Phosphorus Availability in Puerto Rico Tropical Forest. </w:t>
      </w:r>
      <w:r w:rsidR="00AF3C87" w:rsidRPr="00872293">
        <w:rPr>
          <w:rFonts w:ascii="Times New Roman" w:hAnsi="Times New Roman" w:cs="Times New Roman"/>
          <w:i/>
          <w:shd w:val="clear" w:color="auto" w:fill="FFFFFF"/>
        </w:rPr>
        <w:t>Front</w:t>
      </w:r>
      <w:r w:rsidR="00CB6461" w:rsidRPr="00872293">
        <w:rPr>
          <w:rFonts w:ascii="Times New Roman" w:hAnsi="Times New Roman" w:cs="Times New Roman"/>
          <w:i/>
          <w:shd w:val="clear" w:color="auto" w:fill="FFFFFF"/>
        </w:rPr>
        <w:t>iers in</w:t>
      </w:r>
      <w:r w:rsidR="00AF3C87" w:rsidRPr="00872293">
        <w:rPr>
          <w:rFonts w:ascii="Times New Roman" w:hAnsi="Times New Roman" w:cs="Times New Roman"/>
          <w:i/>
          <w:shd w:val="clear" w:color="auto" w:fill="FFFFFF"/>
        </w:rPr>
        <w:t> </w:t>
      </w:r>
      <w:r w:rsidR="00AF3C87" w:rsidRPr="00872293">
        <w:rPr>
          <w:rStyle w:val="highlight"/>
          <w:rFonts w:ascii="Times New Roman" w:hAnsi="Times New Roman" w:cs="Times New Roman"/>
          <w:i/>
          <w:shd w:val="clear" w:color="auto" w:fill="FFFFFF"/>
        </w:rPr>
        <w:t>Plant</w:t>
      </w:r>
      <w:r w:rsidR="00AF3C87" w:rsidRPr="00872293">
        <w:rPr>
          <w:rFonts w:ascii="Times New Roman" w:hAnsi="Times New Roman" w:cs="Times New Roman"/>
          <w:i/>
          <w:shd w:val="clear" w:color="auto" w:fill="FFFFFF"/>
        </w:rPr>
        <w:t> Sci</w:t>
      </w:r>
      <w:r w:rsidR="00CB6461" w:rsidRPr="00872293">
        <w:rPr>
          <w:rFonts w:ascii="Times New Roman" w:hAnsi="Times New Roman" w:cs="Times New Roman"/>
          <w:i/>
          <w:shd w:val="clear" w:color="auto" w:fill="FFFFFF"/>
        </w:rPr>
        <w:t>ence</w:t>
      </w:r>
      <w:r w:rsidR="00AF3C87" w:rsidRPr="00872293">
        <w:rPr>
          <w:rFonts w:ascii="Times New Roman" w:hAnsi="Times New Roman" w:cs="Times New Roman"/>
          <w:i/>
        </w:rPr>
        <w:t xml:space="preserve"> </w:t>
      </w:r>
      <w:r w:rsidRPr="00872293">
        <w:rPr>
          <w:rFonts w:ascii="Times New Roman" w:hAnsi="Times New Roman" w:cs="Times New Roman"/>
          <w:b/>
        </w:rPr>
        <w:t>8:</w:t>
      </w:r>
      <w:r w:rsidR="003A01E8" w:rsidRPr="00872293">
        <w:rPr>
          <w:rFonts w:ascii="Times New Roman" w:hAnsi="Times New Roman" w:cs="Times New Roman"/>
        </w:rPr>
        <w:t xml:space="preserve"> 1834.</w:t>
      </w:r>
    </w:p>
    <w:p w14:paraId="7BA188DB" w14:textId="3E6194F9" w:rsidR="001953EF"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Cairns MA</w:t>
      </w:r>
      <w:r w:rsidR="003A01E8" w:rsidRPr="00872293">
        <w:rPr>
          <w:rFonts w:ascii="Times New Roman" w:hAnsi="Times New Roman" w:cs="Times New Roman"/>
          <w:b/>
        </w:rPr>
        <w:t>, Brown</w:t>
      </w:r>
      <w:r w:rsidRPr="00872293">
        <w:rPr>
          <w:rFonts w:ascii="Times New Roman" w:hAnsi="Times New Roman" w:cs="Times New Roman"/>
          <w:b/>
        </w:rPr>
        <w:t xml:space="preserve"> S</w:t>
      </w:r>
      <w:r w:rsidR="003A01E8" w:rsidRPr="00872293">
        <w:rPr>
          <w:rFonts w:ascii="Times New Roman" w:hAnsi="Times New Roman" w:cs="Times New Roman"/>
          <w:b/>
        </w:rPr>
        <w:t>, Helmer</w:t>
      </w:r>
      <w:r w:rsidRPr="00872293">
        <w:rPr>
          <w:rFonts w:ascii="Times New Roman" w:hAnsi="Times New Roman" w:cs="Times New Roman"/>
          <w:b/>
        </w:rPr>
        <w:t xml:space="preserve"> EH</w:t>
      </w:r>
      <w:r w:rsidR="003A01E8" w:rsidRPr="00872293">
        <w:rPr>
          <w:rFonts w:ascii="Times New Roman" w:hAnsi="Times New Roman" w:cs="Times New Roman"/>
          <w:b/>
        </w:rPr>
        <w:t>, Baumgardner</w:t>
      </w:r>
      <w:r w:rsidRPr="00872293">
        <w:rPr>
          <w:rFonts w:ascii="Times New Roman" w:hAnsi="Times New Roman" w:cs="Times New Roman"/>
          <w:b/>
        </w:rPr>
        <w:t xml:space="preserve"> G</w:t>
      </w:r>
      <w:r w:rsidR="00296078" w:rsidRPr="00872293">
        <w:rPr>
          <w:rFonts w:ascii="Times New Roman" w:hAnsi="Times New Roman" w:cs="Times New Roman"/>
          <w:b/>
        </w:rPr>
        <w:t>A</w:t>
      </w:r>
      <w:r w:rsidR="003A01E8" w:rsidRPr="00872293">
        <w:rPr>
          <w:rFonts w:ascii="Times New Roman" w:hAnsi="Times New Roman" w:cs="Times New Roman"/>
          <w:b/>
        </w:rPr>
        <w:t>. 1997.</w:t>
      </w:r>
      <w:r w:rsidR="003A01E8" w:rsidRPr="00872293">
        <w:rPr>
          <w:rFonts w:ascii="Times New Roman" w:hAnsi="Times New Roman" w:cs="Times New Roman"/>
        </w:rPr>
        <w:t xml:space="preserve"> Root Biomass Allocation in the World ’s Upland Forests. </w:t>
      </w:r>
      <w:proofErr w:type="spellStart"/>
      <w:r w:rsidR="003A01E8" w:rsidRPr="00872293">
        <w:rPr>
          <w:rFonts w:ascii="Times New Roman" w:hAnsi="Times New Roman" w:cs="Times New Roman"/>
          <w:i/>
        </w:rPr>
        <w:t>Oecologia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11</w:t>
      </w:r>
      <w:r w:rsidRPr="00872293">
        <w:rPr>
          <w:rFonts w:ascii="Times New Roman" w:hAnsi="Times New Roman" w:cs="Times New Roman"/>
          <w:b/>
        </w:rPr>
        <w:t>1:</w:t>
      </w:r>
      <w:r w:rsidR="003A01E8" w:rsidRPr="00872293">
        <w:rPr>
          <w:rFonts w:ascii="Times New Roman" w:hAnsi="Times New Roman" w:cs="Times New Roman"/>
        </w:rPr>
        <w:t xml:space="preserve"> 1–11.</w:t>
      </w:r>
    </w:p>
    <w:p w14:paraId="7F0C430C" w14:textId="77777777" w:rsidR="001953EF"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Collins CG</w:t>
      </w:r>
      <w:r w:rsidR="003A01E8" w:rsidRPr="00872293">
        <w:rPr>
          <w:rFonts w:ascii="Times New Roman" w:hAnsi="Times New Roman" w:cs="Times New Roman"/>
          <w:b/>
        </w:rPr>
        <w:t>, Wright</w:t>
      </w:r>
      <w:r w:rsidRPr="00872293">
        <w:rPr>
          <w:rFonts w:ascii="Times New Roman" w:hAnsi="Times New Roman" w:cs="Times New Roman"/>
          <w:b/>
        </w:rPr>
        <w:t xml:space="preserve"> SJ,</w:t>
      </w:r>
      <w:r w:rsidR="003A01E8" w:rsidRPr="00872293">
        <w:rPr>
          <w:rFonts w:ascii="Times New Roman" w:hAnsi="Times New Roman" w:cs="Times New Roman"/>
          <w:b/>
        </w:rPr>
        <w:t xml:space="preserve"> Wurzburger</w:t>
      </w:r>
      <w:r w:rsidR="001B3083" w:rsidRPr="00872293">
        <w:rPr>
          <w:rFonts w:ascii="Times New Roman" w:hAnsi="Times New Roman" w:cs="Times New Roman"/>
          <w:b/>
        </w:rPr>
        <w:t xml:space="preserve"> N</w:t>
      </w:r>
      <w:r w:rsidR="003A01E8" w:rsidRPr="00872293">
        <w:rPr>
          <w:rFonts w:ascii="Times New Roman" w:hAnsi="Times New Roman" w:cs="Times New Roman"/>
          <w:b/>
        </w:rPr>
        <w:t>. 2016.</w:t>
      </w:r>
      <w:r w:rsidR="003A01E8" w:rsidRPr="00872293">
        <w:rPr>
          <w:rFonts w:ascii="Times New Roman" w:hAnsi="Times New Roman" w:cs="Times New Roman"/>
        </w:rPr>
        <w:t xml:space="preserve"> Root and leaf traits reflect distinct resource acquisition strategies in tropical lianas and trees. </w:t>
      </w:r>
      <w:proofErr w:type="spellStart"/>
      <w:r w:rsidR="003A01E8" w:rsidRPr="00872293">
        <w:rPr>
          <w:rFonts w:ascii="Times New Roman" w:hAnsi="Times New Roman" w:cs="Times New Roman"/>
          <w:i/>
        </w:rPr>
        <w:t>Oecologia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18</w:t>
      </w:r>
      <w:r w:rsidRPr="00872293">
        <w:rPr>
          <w:rFonts w:ascii="Times New Roman" w:hAnsi="Times New Roman" w:cs="Times New Roman"/>
          <w:b/>
        </w:rPr>
        <w:t>0:</w:t>
      </w:r>
      <w:r w:rsidR="003A01E8" w:rsidRPr="00872293">
        <w:rPr>
          <w:rFonts w:ascii="Times New Roman" w:hAnsi="Times New Roman" w:cs="Times New Roman"/>
        </w:rPr>
        <w:t xml:space="preserve"> 1037–1047.</w:t>
      </w:r>
    </w:p>
    <w:p w14:paraId="14752F8E" w14:textId="77777777" w:rsidR="004643BB"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Colón SM</w:t>
      </w:r>
      <w:r w:rsidR="003A01E8" w:rsidRPr="00872293">
        <w:rPr>
          <w:rFonts w:ascii="Times New Roman" w:hAnsi="Times New Roman" w:cs="Times New Roman"/>
          <w:b/>
        </w:rPr>
        <w:t>, Lugo</w:t>
      </w:r>
      <w:r w:rsidRPr="00872293">
        <w:rPr>
          <w:rFonts w:ascii="Times New Roman" w:hAnsi="Times New Roman" w:cs="Times New Roman"/>
          <w:b/>
        </w:rPr>
        <w:t xml:space="preserve"> A</w:t>
      </w:r>
      <w:r w:rsidR="00525759" w:rsidRPr="00872293">
        <w:rPr>
          <w:rFonts w:ascii="Times New Roman" w:hAnsi="Times New Roman" w:cs="Times New Roman"/>
          <w:b/>
        </w:rPr>
        <w:t>E</w:t>
      </w:r>
      <w:r w:rsidR="003A01E8" w:rsidRPr="00872293">
        <w:rPr>
          <w:rFonts w:ascii="Times New Roman" w:hAnsi="Times New Roman" w:cs="Times New Roman"/>
          <w:b/>
        </w:rPr>
        <w:t>. 2006.</w:t>
      </w:r>
      <w:r w:rsidR="003A01E8" w:rsidRPr="00872293">
        <w:rPr>
          <w:rFonts w:ascii="Times New Roman" w:hAnsi="Times New Roman" w:cs="Times New Roman"/>
        </w:rPr>
        <w:t xml:space="preserve"> Recovery of a subtropical dry forest after abandonment of different land uses. </w:t>
      </w:r>
      <w:proofErr w:type="spellStart"/>
      <w:r w:rsidR="003A01E8" w:rsidRPr="00872293">
        <w:rPr>
          <w:rFonts w:ascii="Times New Roman" w:hAnsi="Times New Roman" w:cs="Times New Roman"/>
          <w:i/>
        </w:rPr>
        <w:t>Biotropica</w:t>
      </w:r>
      <w:proofErr w:type="spellEnd"/>
      <w:r w:rsidR="003A01E8" w:rsidRPr="00872293">
        <w:rPr>
          <w:rFonts w:ascii="Times New Roman" w:hAnsi="Times New Roman" w:cs="Times New Roman"/>
          <w:b/>
        </w:rPr>
        <w:t xml:space="preserve"> 3</w:t>
      </w:r>
      <w:r w:rsidRPr="00872293">
        <w:rPr>
          <w:rFonts w:ascii="Times New Roman" w:hAnsi="Times New Roman" w:cs="Times New Roman"/>
          <w:b/>
        </w:rPr>
        <w:t>8:</w:t>
      </w:r>
      <w:r w:rsidR="003A01E8" w:rsidRPr="00872293">
        <w:rPr>
          <w:rFonts w:ascii="Times New Roman" w:hAnsi="Times New Roman" w:cs="Times New Roman"/>
        </w:rPr>
        <w:t xml:space="preserve"> 354–364.</w:t>
      </w:r>
    </w:p>
    <w:p w14:paraId="6EAE085D" w14:textId="409CDEB6" w:rsidR="004643BB"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Comas LH</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Eissenstat</w:t>
      </w:r>
      <w:proofErr w:type="spellEnd"/>
      <w:r w:rsidRPr="00872293">
        <w:rPr>
          <w:rFonts w:ascii="Times New Roman" w:hAnsi="Times New Roman" w:cs="Times New Roman"/>
          <w:b/>
        </w:rPr>
        <w:t xml:space="preserve"> D</w:t>
      </w:r>
      <w:r w:rsidR="00E1082F" w:rsidRPr="00872293">
        <w:rPr>
          <w:rFonts w:ascii="Times New Roman" w:hAnsi="Times New Roman" w:cs="Times New Roman"/>
          <w:b/>
        </w:rPr>
        <w:t>M</w:t>
      </w:r>
      <w:r w:rsidR="003A01E8" w:rsidRPr="00872293">
        <w:rPr>
          <w:rFonts w:ascii="Times New Roman" w:hAnsi="Times New Roman" w:cs="Times New Roman"/>
          <w:b/>
        </w:rPr>
        <w:t>. 2009.</w:t>
      </w:r>
      <w:r w:rsidR="003A01E8" w:rsidRPr="00872293">
        <w:rPr>
          <w:rFonts w:ascii="Times New Roman" w:hAnsi="Times New Roman" w:cs="Times New Roman"/>
        </w:rPr>
        <w:t xml:space="preserve"> Patterns in root trait variation among 25 co-existing North American forest species. </w:t>
      </w:r>
      <w:r w:rsidR="003A01E8" w:rsidRPr="00872293">
        <w:rPr>
          <w:rFonts w:ascii="Times New Roman" w:hAnsi="Times New Roman" w:cs="Times New Roman"/>
          <w:i/>
        </w:rPr>
        <w:t>New Phytol</w:t>
      </w:r>
      <w:r w:rsidR="00E1082F" w:rsidRPr="00872293">
        <w:rPr>
          <w:rFonts w:ascii="Times New Roman" w:hAnsi="Times New Roman" w:cs="Times New Roman"/>
          <w:i/>
        </w:rPr>
        <w:t>ogist</w:t>
      </w:r>
      <w:r w:rsidR="003A01E8" w:rsidRPr="00872293">
        <w:rPr>
          <w:rFonts w:ascii="Times New Roman" w:hAnsi="Times New Roman" w:cs="Times New Roman"/>
        </w:rPr>
        <w:t xml:space="preserve"> </w:t>
      </w:r>
      <w:r w:rsidR="003A01E8" w:rsidRPr="00872293">
        <w:rPr>
          <w:rFonts w:ascii="Times New Roman" w:hAnsi="Times New Roman" w:cs="Times New Roman"/>
          <w:b/>
        </w:rPr>
        <w:t>18</w:t>
      </w:r>
      <w:r w:rsidRPr="00872293">
        <w:rPr>
          <w:rFonts w:ascii="Times New Roman" w:hAnsi="Times New Roman" w:cs="Times New Roman"/>
          <w:b/>
        </w:rPr>
        <w:t>2:</w:t>
      </w:r>
      <w:r w:rsidR="003A01E8" w:rsidRPr="00872293">
        <w:rPr>
          <w:rFonts w:ascii="Times New Roman" w:hAnsi="Times New Roman" w:cs="Times New Roman"/>
        </w:rPr>
        <w:t xml:space="preserve"> 919–928.</w:t>
      </w:r>
    </w:p>
    <w:p w14:paraId="2583D751" w14:textId="77777777" w:rsidR="004643BB"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Cordero R</w:t>
      </w:r>
      <w:r w:rsidR="003A01E8" w:rsidRPr="00872293">
        <w:rPr>
          <w:rFonts w:ascii="Times New Roman" w:hAnsi="Times New Roman" w:cs="Times New Roman"/>
          <w:b/>
        </w:rPr>
        <w:t>A. 1999</w:t>
      </w:r>
      <w:r w:rsidR="007D6CFE" w:rsidRPr="00872293">
        <w:rPr>
          <w:rFonts w:ascii="Times New Roman" w:hAnsi="Times New Roman" w:cs="Times New Roman"/>
          <w:b/>
        </w:rPr>
        <w:t>.</w:t>
      </w:r>
      <w:r w:rsidR="003A01E8" w:rsidRPr="00872293">
        <w:rPr>
          <w:rFonts w:ascii="Times New Roman" w:hAnsi="Times New Roman" w:cs="Times New Roman"/>
        </w:rPr>
        <w:t xml:space="preserve"> Ecophysiology of </w:t>
      </w:r>
      <w:r w:rsidR="003A01E8" w:rsidRPr="00872293">
        <w:rPr>
          <w:rFonts w:ascii="Times New Roman" w:hAnsi="Times New Roman" w:cs="Times New Roman"/>
          <w:i/>
        </w:rPr>
        <w:t xml:space="preserve">Cecropia </w:t>
      </w:r>
      <w:proofErr w:type="spellStart"/>
      <w:r w:rsidR="003A01E8" w:rsidRPr="00872293">
        <w:rPr>
          <w:rFonts w:ascii="Times New Roman" w:hAnsi="Times New Roman" w:cs="Times New Roman"/>
          <w:i/>
        </w:rPr>
        <w:t>schreberiana</w:t>
      </w:r>
      <w:proofErr w:type="spellEnd"/>
      <w:r w:rsidR="003A01E8" w:rsidRPr="00872293">
        <w:rPr>
          <w:rFonts w:ascii="Times New Roman" w:hAnsi="Times New Roman" w:cs="Times New Roman"/>
        </w:rPr>
        <w:t xml:space="preserve"> saplings in two wind regimes in an elfin cloud forest: Growth, gas exchange, </w:t>
      </w:r>
      <w:proofErr w:type="gramStart"/>
      <w:r w:rsidR="003A01E8" w:rsidRPr="00872293">
        <w:rPr>
          <w:rFonts w:ascii="Times New Roman" w:hAnsi="Times New Roman" w:cs="Times New Roman"/>
        </w:rPr>
        <w:t>architecture</w:t>
      </w:r>
      <w:proofErr w:type="gramEnd"/>
      <w:r w:rsidR="003A01E8" w:rsidRPr="00872293">
        <w:rPr>
          <w:rFonts w:ascii="Times New Roman" w:hAnsi="Times New Roman" w:cs="Times New Roman"/>
        </w:rPr>
        <w:t xml:space="preserve"> and stem biomechanics. </w:t>
      </w:r>
      <w:r w:rsidR="003A01E8" w:rsidRPr="00872293">
        <w:rPr>
          <w:rFonts w:ascii="Times New Roman" w:hAnsi="Times New Roman" w:cs="Times New Roman"/>
          <w:i/>
        </w:rPr>
        <w:t>Tree Physiol</w:t>
      </w:r>
      <w:r w:rsidR="00E1082F" w:rsidRPr="00872293">
        <w:rPr>
          <w:rFonts w:ascii="Times New Roman" w:hAnsi="Times New Roman" w:cs="Times New Roman"/>
          <w:i/>
        </w:rPr>
        <w:t>ogy</w:t>
      </w:r>
      <w:r w:rsidR="003A01E8" w:rsidRPr="00872293">
        <w:rPr>
          <w:rFonts w:ascii="Times New Roman" w:hAnsi="Times New Roman" w:cs="Times New Roman"/>
        </w:rPr>
        <w:t xml:space="preserve"> </w:t>
      </w:r>
      <w:r w:rsidR="003A01E8" w:rsidRPr="00872293">
        <w:rPr>
          <w:rFonts w:ascii="Times New Roman" w:hAnsi="Times New Roman" w:cs="Times New Roman"/>
          <w:b/>
        </w:rPr>
        <w:t>1</w:t>
      </w:r>
      <w:r w:rsidRPr="00872293">
        <w:rPr>
          <w:rFonts w:ascii="Times New Roman" w:hAnsi="Times New Roman" w:cs="Times New Roman"/>
          <w:b/>
        </w:rPr>
        <w:t>9:</w:t>
      </w:r>
      <w:r w:rsidR="003A01E8" w:rsidRPr="00872293">
        <w:rPr>
          <w:rFonts w:ascii="Times New Roman" w:hAnsi="Times New Roman" w:cs="Times New Roman"/>
        </w:rPr>
        <w:t xml:space="preserve"> 153-163.</w:t>
      </w:r>
    </w:p>
    <w:p w14:paraId="4DE7F7E5" w14:textId="77777777" w:rsidR="004643BB" w:rsidRPr="00872293" w:rsidRDefault="00B37B9D"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Cuevas E,</w:t>
      </w:r>
      <w:r w:rsidR="000146FF" w:rsidRPr="00872293">
        <w:rPr>
          <w:rFonts w:ascii="Times New Roman" w:hAnsi="Times New Roman" w:cs="Times New Roman"/>
          <w:b/>
        </w:rPr>
        <w:t xml:space="preserve"> </w:t>
      </w:r>
      <w:r w:rsidR="003A01E8" w:rsidRPr="00872293">
        <w:rPr>
          <w:rFonts w:ascii="Times New Roman" w:hAnsi="Times New Roman" w:cs="Times New Roman"/>
          <w:b/>
        </w:rPr>
        <w:t>Medina</w:t>
      </w:r>
      <w:r w:rsidR="000146FF" w:rsidRPr="00872293">
        <w:rPr>
          <w:rFonts w:ascii="Times New Roman" w:hAnsi="Times New Roman" w:cs="Times New Roman"/>
          <w:b/>
        </w:rPr>
        <w:t xml:space="preserve"> E</w:t>
      </w:r>
      <w:r w:rsidR="003A01E8" w:rsidRPr="00872293">
        <w:rPr>
          <w:rFonts w:ascii="Times New Roman" w:hAnsi="Times New Roman" w:cs="Times New Roman"/>
          <w:b/>
        </w:rPr>
        <w:t>. 1988.</w:t>
      </w:r>
      <w:r w:rsidR="003A01E8" w:rsidRPr="00872293">
        <w:rPr>
          <w:rFonts w:ascii="Times New Roman" w:hAnsi="Times New Roman" w:cs="Times New Roman"/>
        </w:rPr>
        <w:t xml:space="preserve"> Nutrient dynamics within Amazonian forests. II. Fine root growth, nutrient availability, and leaf litter decomposition. </w:t>
      </w:r>
      <w:proofErr w:type="spellStart"/>
      <w:r w:rsidR="003A01E8" w:rsidRPr="00872293">
        <w:rPr>
          <w:rFonts w:ascii="Times New Roman" w:hAnsi="Times New Roman" w:cs="Times New Roman"/>
          <w:i/>
        </w:rPr>
        <w:t>Oecologia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7</w:t>
      </w:r>
      <w:r w:rsidRPr="00872293">
        <w:rPr>
          <w:rFonts w:ascii="Times New Roman" w:hAnsi="Times New Roman" w:cs="Times New Roman"/>
          <w:b/>
        </w:rPr>
        <w:t>6:</w:t>
      </w:r>
      <w:r w:rsidR="003A01E8" w:rsidRPr="00872293">
        <w:rPr>
          <w:rFonts w:ascii="Times New Roman" w:hAnsi="Times New Roman" w:cs="Times New Roman"/>
        </w:rPr>
        <w:t xml:space="preserve"> 222-235.</w:t>
      </w:r>
    </w:p>
    <w:p w14:paraId="571DF23E" w14:textId="1A77B94A" w:rsidR="004643BB" w:rsidRPr="00872293" w:rsidRDefault="00BC0596"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Cuevas E</w:t>
      </w:r>
      <w:r w:rsidR="003A01E8" w:rsidRPr="00872293">
        <w:rPr>
          <w:rFonts w:ascii="Times New Roman" w:hAnsi="Times New Roman" w:cs="Times New Roman"/>
          <w:b/>
        </w:rPr>
        <w:t>, Brown</w:t>
      </w:r>
      <w:r w:rsidRPr="00872293">
        <w:rPr>
          <w:rFonts w:ascii="Times New Roman" w:hAnsi="Times New Roman" w:cs="Times New Roman"/>
          <w:b/>
        </w:rPr>
        <w:t xml:space="preserve"> S</w:t>
      </w:r>
      <w:r w:rsidR="003A01E8" w:rsidRPr="00872293">
        <w:rPr>
          <w:rFonts w:ascii="Times New Roman" w:hAnsi="Times New Roman" w:cs="Times New Roman"/>
          <w:b/>
        </w:rPr>
        <w:t>,</w:t>
      </w:r>
      <w:r w:rsidR="00685F2A" w:rsidRPr="00872293">
        <w:rPr>
          <w:rFonts w:ascii="Times New Roman" w:hAnsi="Times New Roman" w:cs="Times New Roman"/>
          <w:b/>
        </w:rPr>
        <w:t xml:space="preserve"> </w:t>
      </w:r>
      <w:r w:rsidR="003A01E8" w:rsidRPr="00872293">
        <w:rPr>
          <w:rFonts w:ascii="Times New Roman" w:hAnsi="Times New Roman" w:cs="Times New Roman"/>
          <w:b/>
        </w:rPr>
        <w:t>Lugo</w:t>
      </w:r>
      <w:r w:rsidRPr="00872293">
        <w:rPr>
          <w:rFonts w:ascii="Times New Roman" w:hAnsi="Times New Roman" w:cs="Times New Roman"/>
          <w:b/>
        </w:rPr>
        <w:t xml:space="preserve"> A</w:t>
      </w:r>
      <w:r w:rsidR="00685F2A" w:rsidRPr="00872293">
        <w:rPr>
          <w:rFonts w:ascii="Times New Roman" w:hAnsi="Times New Roman" w:cs="Times New Roman"/>
          <w:b/>
        </w:rPr>
        <w:t>E</w:t>
      </w:r>
      <w:r w:rsidR="003A01E8" w:rsidRPr="00872293">
        <w:rPr>
          <w:rFonts w:ascii="Times New Roman" w:hAnsi="Times New Roman" w:cs="Times New Roman"/>
          <w:b/>
        </w:rPr>
        <w:t>. 1991.</w:t>
      </w:r>
      <w:r w:rsidR="003A01E8" w:rsidRPr="00872293">
        <w:rPr>
          <w:rFonts w:ascii="Times New Roman" w:hAnsi="Times New Roman" w:cs="Times New Roman"/>
        </w:rPr>
        <w:t xml:space="preserve"> Above- and belowground organic matter storage and production in a tropical pine plantation and a paired broadleaf secondary forest. </w:t>
      </w:r>
      <w:r w:rsidR="003A01E8" w:rsidRPr="00872293">
        <w:rPr>
          <w:rFonts w:ascii="Times New Roman" w:hAnsi="Times New Roman" w:cs="Times New Roman"/>
          <w:i/>
        </w:rPr>
        <w:t>Plant Soil</w:t>
      </w:r>
      <w:r w:rsidR="003A01E8" w:rsidRPr="00872293">
        <w:rPr>
          <w:rFonts w:ascii="Times New Roman" w:hAnsi="Times New Roman" w:cs="Times New Roman"/>
        </w:rPr>
        <w:t xml:space="preserve"> </w:t>
      </w:r>
      <w:r w:rsidR="003A01E8" w:rsidRPr="00872293">
        <w:rPr>
          <w:rFonts w:ascii="Times New Roman" w:hAnsi="Times New Roman" w:cs="Times New Roman"/>
          <w:b/>
        </w:rPr>
        <w:t>13</w:t>
      </w:r>
      <w:r w:rsidRPr="00872293">
        <w:rPr>
          <w:rFonts w:ascii="Times New Roman" w:hAnsi="Times New Roman" w:cs="Times New Roman"/>
          <w:b/>
        </w:rPr>
        <w:t>5:</w:t>
      </w:r>
      <w:r w:rsidR="003A01E8" w:rsidRPr="00872293">
        <w:rPr>
          <w:rFonts w:ascii="Times New Roman" w:hAnsi="Times New Roman" w:cs="Times New Roman"/>
        </w:rPr>
        <w:t xml:space="preserve"> 257–268.</w:t>
      </w:r>
    </w:p>
    <w:p w14:paraId="32E31D80" w14:textId="77777777" w:rsidR="004643BB" w:rsidRPr="00872293" w:rsidRDefault="00BC0596" w:rsidP="00BE331C">
      <w:pPr>
        <w:spacing w:before="100" w:beforeAutospacing="1" w:after="100" w:afterAutospacing="1" w:line="360" w:lineRule="auto"/>
        <w:ind w:left="43"/>
        <w:rPr>
          <w:rFonts w:ascii="Times New Roman" w:hAnsi="Times New Roman" w:cs="Times New Roman"/>
        </w:rPr>
      </w:pPr>
      <w:r w:rsidRPr="00872293">
        <w:rPr>
          <w:rFonts w:ascii="Times New Roman" w:hAnsi="Times New Roman" w:cs="Times New Roman"/>
          <w:b/>
        </w:rPr>
        <w:lastRenderedPageBreak/>
        <w:t>Cusack DF</w:t>
      </w:r>
      <w:r w:rsidR="003A01E8" w:rsidRPr="00872293">
        <w:rPr>
          <w:rFonts w:ascii="Times New Roman" w:hAnsi="Times New Roman" w:cs="Times New Roman"/>
          <w:b/>
        </w:rPr>
        <w:t>, Chou</w:t>
      </w:r>
      <w:r w:rsidRPr="00872293">
        <w:rPr>
          <w:rFonts w:ascii="Times New Roman" w:hAnsi="Times New Roman" w:cs="Times New Roman"/>
          <w:b/>
        </w:rPr>
        <w:t xml:space="preserve"> W</w:t>
      </w:r>
      <w:r w:rsidR="00B35A30" w:rsidRPr="00872293">
        <w:rPr>
          <w:rFonts w:ascii="Times New Roman" w:hAnsi="Times New Roman" w:cs="Times New Roman"/>
          <w:b/>
        </w:rPr>
        <w:t>W</w:t>
      </w:r>
      <w:r w:rsidR="003A01E8" w:rsidRPr="00872293">
        <w:rPr>
          <w:rFonts w:ascii="Times New Roman" w:hAnsi="Times New Roman" w:cs="Times New Roman"/>
          <w:b/>
        </w:rPr>
        <w:t>, Yang</w:t>
      </w:r>
      <w:r w:rsidR="00B35A30" w:rsidRPr="00872293">
        <w:rPr>
          <w:rFonts w:ascii="Times New Roman" w:hAnsi="Times New Roman" w:cs="Times New Roman"/>
          <w:b/>
        </w:rPr>
        <w:t xml:space="preserve"> WH</w:t>
      </w:r>
      <w:r w:rsidR="003A01E8" w:rsidRPr="00872293">
        <w:rPr>
          <w:rFonts w:ascii="Times New Roman" w:hAnsi="Times New Roman" w:cs="Times New Roman"/>
          <w:b/>
        </w:rPr>
        <w:t>, Harmon</w:t>
      </w:r>
      <w:r w:rsidR="00B35A30" w:rsidRPr="00872293">
        <w:rPr>
          <w:rFonts w:ascii="Times New Roman" w:hAnsi="Times New Roman" w:cs="Times New Roman"/>
          <w:b/>
        </w:rPr>
        <w:t xml:space="preserve"> ME,</w:t>
      </w:r>
      <w:r w:rsidR="003A01E8" w:rsidRPr="00872293">
        <w:rPr>
          <w:rFonts w:ascii="Times New Roman" w:hAnsi="Times New Roman" w:cs="Times New Roman"/>
          <w:b/>
        </w:rPr>
        <w:t xml:space="preserve"> Silver</w:t>
      </w:r>
      <w:r w:rsidR="00B35A30" w:rsidRPr="00872293">
        <w:rPr>
          <w:rFonts w:ascii="Times New Roman" w:hAnsi="Times New Roman" w:cs="Times New Roman"/>
          <w:b/>
        </w:rPr>
        <w:t xml:space="preserve"> W</w:t>
      </w:r>
      <w:r w:rsidR="003D634F" w:rsidRPr="00872293">
        <w:rPr>
          <w:rFonts w:ascii="Times New Roman" w:hAnsi="Times New Roman" w:cs="Times New Roman"/>
          <w:b/>
        </w:rPr>
        <w:t>L</w:t>
      </w:r>
      <w:r w:rsidR="003A01E8" w:rsidRPr="00872293">
        <w:rPr>
          <w:rFonts w:ascii="Times New Roman" w:hAnsi="Times New Roman" w:cs="Times New Roman"/>
          <w:b/>
        </w:rPr>
        <w:t>. 2009.</w:t>
      </w:r>
      <w:r w:rsidR="003A01E8" w:rsidRPr="00872293">
        <w:rPr>
          <w:rFonts w:ascii="Times New Roman" w:hAnsi="Times New Roman" w:cs="Times New Roman"/>
        </w:rPr>
        <w:t xml:space="preserve"> Controls on long-term root and leaf litter decomposition in neotropical forests. </w:t>
      </w:r>
      <w:r w:rsidR="003A01E8" w:rsidRPr="00872293">
        <w:rPr>
          <w:rFonts w:ascii="Times New Roman" w:hAnsi="Times New Roman" w:cs="Times New Roman"/>
          <w:i/>
          <w:iCs/>
        </w:rPr>
        <w:t>Global Change Biology</w:t>
      </w:r>
      <w:r w:rsidR="003A01E8" w:rsidRPr="00872293">
        <w:rPr>
          <w:rFonts w:ascii="Times New Roman" w:hAnsi="Times New Roman" w:cs="Times New Roman"/>
        </w:rPr>
        <w:t xml:space="preserve"> </w:t>
      </w:r>
      <w:r w:rsidR="003A01E8" w:rsidRPr="00872293">
        <w:rPr>
          <w:rFonts w:ascii="Times New Roman" w:hAnsi="Times New Roman" w:cs="Times New Roman"/>
          <w:b/>
          <w:bCs/>
        </w:rPr>
        <w:t>1</w:t>
      </w:r>
      <w:r w:rsidR="00B35A30" w:rsidRPr="00872293">
        <w:rPr>
          <w:rFonts w:ascii="Times New Roman" w:hAnsi="Times New Roman" w:cs="Times New Roman"/>
          <w:b/>
          <w:bCs/>
        </w:rPr>
        <w:t>5:</w:t>
      </w:r>
      <w:r w:rsidR="003A01E8" w:rsidRPr="00872293">
        <w:rPr>
          <w:rFonts w:ascii="Times New Roman" w:hAnsi="Times New Roman" w:cs="Times New Roman"/>
        </w:rPr>
        <w:t xml:space="preserve"> 1339–1355.</w:t>
      </w:r>
    </w:p>
    <w:p w14:paraId="4DEF7D55" w14:textId="77777777" w:rsidR="004643BB" w:rsidRPr="00872293" w:rsidRDefault="00B35A30" w:rsidP="00BE331C">
      <w:pPr>
        <w:spacing w:before="100" w:beforeAutospacing="1" w:after="100" w:afterAutospacing="1" w:line="360" w:lineRule="auto"/>
        <w:ind w:left="43"/>
        <w:rPr>
          <w:rFonts w:ascii="Times New Roman" w:hAnsi="Times New Roman" w:cs="Times New Roman"/>
        </w:rPr>
      </w:pPr>
      <w:r w:rsidRPr="00872293">
        <w:rPr>
          <w:rFonts w:ascii="Times New Roman" w:hAnsi="Times New Roman" w:cs="Times New Roman"/>
          <w:b/>
        </w:rPr>
        <w:t>Cusack DF</w:t>
      </w:r>
      <w:r w:rsidR="003A01E8" w:rsidRPr="00872293">
        <w:rPr>
          <w:rFonts w:ascii="Times New Roman" w:hAnsi="Times New Roman" w:cs="Times New Roman"/>
          <w:b/>
        </w:rPr>
        <w:t>, Silver</w:t>
      </w:r>
      <w:r w:rsidRPr="00872293">
        <w:rPr>
          <w:rFonts w:ascii="Times New Roman" w:hAnsi="Times New Roman" w:cs="Times New Roman"/>
          <w:b/>
        </w:rPr>
        <w:t xml:space="preserve"> WL</w:t>
      </w:r>
      <w:r w:rsidR="003A01E8" w:rsidRPr="00872293">
        <w:rPr>
          <w:rFonts w:ascii="Times New Roman" w:hAnsi="Times New Roman" w:cs="Times New Roman"/>
          <w:b/>
        </w:rPr>
        <w:t>, Torn</w:t>
      </w:r>
      <w:r w:rsidRPr="00872293">
        <w:rPr>
          <w:rFonts w:ascii="Times New Roman" w:hAnsi="Times New Roman" w:cs="Times New Roman"/>
          <w:b/>
        </w:rPr>
        <w:t xml:space="preserve"> MS,</w:t>
      </w:r>
      <w:r w:rsidR="003A01E8" w:rsidRPr="00872293">
        <w:rPr>
          <w:rFonts w:ascii="Times New Roman" w:hAnsi="Times New Roman" w:cs="Times New Roman"/>
          <w:b/>
        </w:rPr>
        <w:t xml:space="preserve"> McDowell</w:t>
      </w:r>
      <w:r w:rsidRPr="00872293">
        <w:rPr>
          <w:rFonts w:ascii="Times New Roman" w:hAnsi="Times New Roman" w:cs="Times New Roman"/>
          <w:b/>
        </w:rPr>
        <w:t xml:space="preserve"> W</w:t>
      </w:r>
      <w:r w:rsidR="00370F4F" w:rsidRPr="00872293">
        <w:rPr>
          <w:rFonts w:ascii="Times New Roman" w:hAnsi="Times New Roman" w:cs="Times New Roman"/>
          <w:b/>
        </w:rPr>
        <w:t>H</w:t>
      </w:r>
      <w:r w:rsidR="003A01E8" w:rsidRPr="00872293">
        <w:rPr>
          <w:rFonts w:ascii="Times New Roman" w:hAnsi="Times New Roman" w:cs="Times New Roman"/>
          <w:b/>
        </w:rPr>
        <w:t>. 2011.</w:t>
      </w:r>
      <w:r w:rsidR="003A01E8" w:rsidRPr="00872293">
        <w:rPr>
          <w:rFonts w:ascii="Times New Roman" w:hAnsi="Times New Roman" w:cs="Times New Roman"/>
        </w:rPr>
        <w:t xml:space="preserve"> Effects of nitrogen additions on above- and belowground carbon dynamics in two tropical forests. </w:t>
      </w:r>
      <w:r w:rsidR="003A01E8" w:rsidRPr="00872293">
        <w:rPr>
          <w:rFonts w:ascii="Times New Roman" w:hAnsi="Times New Roman" w:cs="Times New Roman"/>
          <w:i/>
          <w:iCs/>
        </w:rPr>
        <w:t>Biogeochemistry</w:t>
      </w:r>
      <w:r w:rsidR="003A01E8" w:rsidRPr="00872293">
        <w:rPr>
          <w:rFonts w:ascii="Times New Roman" w:hAnsi="Times New Roman" w:cs="Times New Roman"/>
        </w:rPr>
        <w:t xml:space="preserve"> </w:t>
      </w:r>
      <w:r w:rsidR="003A01E8" w:rsidRPr="00872293">
        <w:rPr>
          <w:rFonts w:ascii="Times New Roman" w:hAnsi="Times New Roman" w:cs="Times New Roman"/>
          <w:b/>
          <w:bCs/>
        </w:rPr>
        <w:t>10</w:t>
      </w:r>
      <w:r w:rsidRPr="00872293">
        <w:rPr>
          <w:rFonts w:ascii="Times New Roman" w:hAnsi="Times New Roman" w:cs="Times New Roman"/>
          <w:b/>
          <w:bCs/>
        </w:rPr>
        <w:t>4:</w:t>
      </w:r>
      <w:r w:rsidR="003A01E8" w:rsidRPr="00872293">
        <w:rPr>
          <w:rFonts w:ascii="Times New Roman" w:hAnsi="Times New Roman" w:cs="Times New Roman"/>
        </w:rPr>
        <w:t xml:space="preserve"> 203–225.</w:t>
      </w:r>
    </w:p>
    <w:p w14:paraId="77A80ACE" w14:textId="77777777" w:rsidR="004643BB" w:rsidRPr="00872293" w:rsidRDefault="00B35A30" w:rsidP="00BE331C">
      <w:pPr>
        <w:spacing w:before="100" w:beforeAutospacing="1" w:after="100" w:afterAutospacing="1" w:line="360" w:lineRule="auto"/>
        <w:ind w:left="480" w:hanging="432"/>
        <w:rPr>
          <w:rFonts w:ascii="Times New Roman" w:hAnsi="Times New Roman" w:cs="Times New Roman"/>
        </w:rPr>
      </w:pPr>
      <w:proofErr w:type="spellStart"/>
      <w:r w:rsidRPr="00872293">
        <w:rPr>
          <w:rFonts w:ascii="Times New Roman" w:hAnsi="Times New Roman" w:cs="Times New Roman"/>
          <w:b/>
        </w:rPr>
        <w:t>Edel</w:t>
      </w:r>
      <w:proofErr w:type="spellEnd"/>
      <w:r w:rsidRPr="00872293">
        <w:rPr>
          <w:rFonts w:ascii="Times New Roman" w:hAnsi="Times New Roman" w:cs="Times New Roman"/>
          <w:b/>
        </w:rPr>
        <w:t xml:space="preserve"> M</w:t>
      </w:r>
      <w:r w:rsidR="003A01E8" w:rsidRPr="00872293">
        <w:rPr>
          <w:rFonts w:ascii="Times New Roman" w:hAnsi="Times New Roman" w:cs="Times New Roman"/>
          <w:b/>
        </w:rPr>
        <w:t>O. 1962.</w:t>
      </w:r>
      <w:r w:rsidR="003A01E8" w:rsidRPr="00872293">
        <w:rPr>
          <w:rFonts w:ascii="Times New Roman" w:hAnsi="Times New Roman" w:cs="Times New Roman"/>
        </w:rPr>
        <w:t xml:space="preserve"> Land reform in Puerto Rico, 1940-159: Part one. </w:t>
      </w:r>
      <w:r w:rsidR="003A01E8" w:rsidRPr="00872293">
        <w:rPr>
          <w:rFonts w:ascii="Times New Roman" w:hAnsi="Times New Roman" w:cs="Times New Roman"/>
          <w:i/>
        </w:rPr>
        <w:t>Caribbean Studies</w:t>
      </w:r>
      <w:r w:rsidR="003A01E8" w:rsidRPr="00872293">
        <w:rPr>
          <w:rFonts w:ascii="Times New Roman" w:hAnsi="Times New Roman" w:cs="Times New Roman"/>
        </w:rPr>
        <w:t xml:space="preserve"> </w:t>
      </w:r>
      <w:r w:rsidRPr="00872293">
        <w:rPr>
          <w:rFonts w:ascii="Times New Roman" w:hAnsi="Times New Roman" w:cs="Times New Roman"/>
          <w:b/>
          <w:bCs/>
        </w:rPr>
        <w:t>2:</w:t>
      </w:r>
      <w:r w:rsidR="003A01E8" w:rsidRPr="00872293">
        <w:rPr>
          <w:rFonts w:ascii="Times New Roman" w:hAnsi="Times New Roman" w:cs="Times New Roman"/>
        </w:rPr>
        <w:t xml:space="preserve"> 26-60</w:t>
      </w:r>
      <w:r w:rsidR="00246240" w:rsidRPr="00872293">
        <w:rPr>
          <w:rFonts w:ascii="Times New Roman" w:hAnsi="Times New Roman" w:cs="Times New Roman"/>
        </w:rPr>
        <w:t>.</w:t>
      </w:r>
    </w:p>
    <w:p w14:paraId="04B37461" w14:textId="2CDAD680" w:rsidR="0009037F" w:rsidRPr="00872293" w:rsidRDefault="0055330E" w:rsidP="00BE331C">
      <w:pPr>
        <w:spacing w:before="100" w:beforeAutospacing="1" w:after="100" w:afterAutospacing="1" w:line="360" w:lineRule="auto"/>
        <w:rPr>
          <w:rFonts w:ascii="Times New Roman" w:eastAsia="Times New Roman" w:hAnsi="Times New Roman" w:cs="Times New Roman"/>
        </w:rPr>
      </w:pPr>
      <w:proofErr w:type="spellStart"/>
      <w:r w:rsidRPr="00872293">
        <w:rPr>
          <w:rFonts w:ascii="Times New Roman" w:eastAsia="Times New Roman" w:hAnsi="Times New Roman" w:cs="Times New Roman"/>
          <w:b/>
        </w:rPr>
        <w:t>Ewel</w:t>
      </w:r>
      <w:proofErr w:type="spellEnd"/>
      <w:r w:rsidRPr="00872293">
        <w:rPr>
          <w:rFonts w:ascii="Times New Roman" w:eastAsia="Times New Roman" w:hAnsi="Times New Roman" w:cs="Times New Roman"/>
          <w:b/>
        </w:rPr>
        <w:t xml:space="preserve"> JJ</w:t>
      </w:r>
      <w:r w:rsidR="00572228" w:rsidRPr="00872293">
        <w:rPr>
          <w:rFonts w:ascii="Times New Roman" w:eastAsia="Times New Roman" w:hAnsi="Times New Roman" w:cs="Times New Roman"/>
          <w:b/>
        </w:rPr>
        <w:t>, Whitmore</w:t>
      </w:r>
      <w:r w:rsidRPr="00872293">
        <w:rPr>
          <w:rFonts w:ascii="Times New Roman" w:eastAsia="Times New Roman" w:hAnsi="Times New Roman" w:cs="Times New Roman"/>
          <w:b/>
        </w:rPr>
        <w:t xml:space="preserve"> J</w:t>
      </w:r>
      <w:r w:rsidR="00246240" w:rsidRPr="00872293">
        <w:rPr>
          <w:rFonts w:ascii="Times New Roman" w:eastAsia="Times New Roman" w:hAnsi="Times New Roman" w:cs="Times New Roman"/>
          <w:b/>
        </w:rPr>
        <w:t>L</w:t>
      </w:r>
      <w:r w:rsidR="00572228" w:rsidRPr="00872293">
        <w:rPr>
          <w:rFonts w:ascii="Times New Roman" w:eastAsia="Times New Roman" w:hAnsi="Times New Roman" w:cs="Times New Roman"/>
          <w:b/>
        </w:rPr>
        <w:t>. 1973.</w:t>
      </w:r>
      <w:r w:rsidR="00572228" w:rsidRPr="00872293">
        <w:rPr>
          <w:rFonts w:ascii="Times New Roman" w:eastAsia="Times New Roman" w:hAnsi="Times New Roman" w:cs="Times New Roman"/>
        </w:rPr>
        <w:t xml:space="preserve"> The ecological life zones of Puerto Rico and the </w:t>
      </w:r>
      <w:proofErr w:type="spellStart"/>
      <w:r w:rsidR="00572228" w:rsidRPr="00872293">
        <w:rPr>
          <w:rFonts w:ascii="Times New Roman" w:eastAsia="Times New Roman" w:hAnsi="Times New Roman" w:cs="Times New Roman"/>
        </w:rPr>
        <w:t>U.</w:t>
      </w:r>
      <w:proofErr w:type="gramStart"/>
      <w:r w:rsidR="00572228" w:rsidRPr="00872293">
        <w:rPr>
          <w:rFonts w:ascii="Times New Roman" w:eastAsia="Times New Roman" w:hAnsi="Times New Roman" w:cs="Times New Roman"/>
        </w:rPr>
        <w:t>S.Virgin</w:t>
      </w:r>
      <w:proofErr w:type="spellEnd"/>
      <w:proofErr w:type="gramEnd"/>
      <w:r w:rsidR="00572228" w:rsidRPr="00872293">
        <w:rPr>
          <w:rFonts w:ascii="Times New Roman" w:eastAsia="Times New Roman" w:hAnsi="Times New Roman" w:cs="Times New Roman"/>
        </w:rPr>
        <w:t xml:space="preserve"> Islands. </w:t>
      </w:r>
      <w:r w:rsidR="0009037F" w:rsidRPr="00872293">
        <w:rPr>
          <w:rFonts w:ascii="Times New Roman" w:hAnsi="Times New Roman" w:cs="Times New Roman"/>
          <w:shd w:val="clear" w:color="auto" w:fill="FFFFFF"/>
        </w:rPr>
        <w:t> USDA Forest Service, Institute of Tropical Forestry, Research Paper ITF-018</w:t>
      </w:r>
      <w:r w:rsidR="00285F12" w:rsidRPr="00872293">
        <w:rPr>
          <w:rFonts w:ascii="Times New Roman" w:hAnsi="Times New Roman" w:cs="Times New Roman"/>
          <w:shd w:val="clear" w:color="auto" w:fill="FFFFFF"/>
        </w:rPr>
        <w:t xml:space="preserve">. </w:t>
      </w:r>
      <w:hyperlink r:id="rId15" w:history="1">
        <w:r w:rsidR="00285F12" w:rsidRPr="00872293">
          <w:rPr>
            <w:rStyle w:val="Hyperlink"/>
            <w:rFonts w:ascii="Times New Roman" w:hAnsi="Times New Roman" w:cs="Times New Roman"/>
            <w:color w:val="auto"/>
          </w:rPr>
          <w:t>https://www.fs.usda.gov/treesearch/pubs/5551</w:t>
        </w:r>
      </w:hyperlink>
    </w:p>
    <w:p w14:paraId="7384644F" w14:textId="77777777" w:rsidR="00360ED2" w:rsidRPr="00872293" w:rsidRDefault="0055330E"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Fetcher N</w:t>
      </w:r>
      <w:r w:rsidR="000E7C1D" w:rsidRPr="00872293">
        <w:rPr>
          <w:rFonts w:ascii="Times New Roman" w:hAnsi="Times New Roman" w:cs="Times New Roman"/>
          <w:b/>
        </w:rPr>
        <w:t>, Haines</w:t>
      </w:r>
      <w:r w:rsidRPr="00872293">
        <w:rPr>
          <w:rFonts w:ascii="Times New Roman" w:hAnsi="Times New Roman" w:cs="Times New Roman"/>
          <w:b/>
        </w:rPr>
        <w:t xml:space="preserve"> BL</w:t>
      </w:r>
      <w:r w:rsidR="000E7C1D" w:rsidRPr="00872293">
        <w:rPr>
          <w:rFonts w:ascii="Times New Roman" w:hAnsi="Times New Roman" w:cs="Times New Roman"/>
          <w:b/>
        </w:rPr>
        <w:t>, Cordero</w:t>
      </w:r>
      <w:r w:rsidRPr="00872293">
        <w:rPr>
          <w:rFonts w:ascii="Times New Roman" w:hAnsi="Times New Roman" w:cs="Times New Roman"/>
          <w:b/>
        </w:rPr>
        <w:t xml:space="preserve"> RA</w:t>
      </w:r>
      <w:r w:rsidR="000E7C1D" w:rsidRPr="00872293">
        <w:rPr>
          <w:rFonts w:ascii="Times New Roman" w:hAnsi="Times New Roman" w:cs="Times New Roman"/>
          <w:b/>
        </w:rPr>
        <w:t>, Lodge</w:t>
      </w:r>
      <w:r w:rsidRPr="00872293">
        <w:rPr>
          <w:rFonts w:ascii="Times New Roman" w:hAnsi="Times New Roman" w:cs="Times New Roman"/>
          <w:b/>
        </w:rPr>
        <w:t xml:space="preserve"> DJ</w:t>
      </w:r>
      <w:r w:rsidR="000E7C1D" w:rsidRPr="00872293">
        <w:rPr>
          <w:rFonts w:ascii="Times New Roman" w:hAnsi="Times New Roman" w:cs="Times New Roman"/>
          <w:b/>
        </w:rPr>
        <w:t>, Walker</w:t>
      </w:r>
      <w:r w:rsidRPr="00872293">
        <w:rPr>
          <w:rFonts w:ascii="Times New Roman" w:hAnsi="Times New Roman" w:cs="Times New Roman"/>
          <w:b/>
        </w:rPr>
        <w:t xml:space="preserve"> LR</w:t>
      </w:r>
      <w:r w:rsidR="000E7C1D" w:rsidRPr="00872293">
        <w:rPr>
          <w:rFonts w:ascii="Times New Roman" w:hAnsi="Times New Roman" w:cs="Times New Roman"/>
          <w:b/>
        </w:rPr>
        <w:t>, Fernandez</w:t>
      </w:r>
      <w:r w:rsidRPr="00872293">
        <w:rPr>
          <w:rFonts w:ascii="Times New Roman" w:hAnsi="Times New Roman" w:cs="Times New Roman"/>
          <w:b/>
        </w:rPr>
        <w:t xml:space="preserve"> DS,</w:t>
      </w:r>
      <w:r w:rsidR="000E7C1D" w:rsidRPr="00872293">
        <w:rPr>
          <w:rFonts w:ascii="Times New Roman" w:hAnsi="Times New Roman" w:cs="Times New Roman"/>
          <w:b/>
        </w:rPr>
        <w:t xml:space="preserve"> Lawrence</w:t>
      </w:r>
      <w:r w:rsidRPr="00872293">
        <w:rPr>
          <w:rFonts w:ascii="Times New Roman" w:hAnsi="Times New Roman" w:cs="Times New Roman"/>
          <w:b/>
        </w:rPr>
        <w:t xml:space="preserve"> W</w:t>
      </w:r>
      <w:r w:rsidR="00654CA0" w:rsidRPr="00872293">
        <w:rPr>
          <w:rFonts w:ascii="Times New Roman" w:hAnsi="Times New Roman" w:cs="Times New Roman"/>
          <w:b/>
        </w:rPr>
        <w:t>T</w:t>
      </w:r>
      <w:r w:rsidRPr="00872293">
        <w:rPr>
          <w:rFonts w:ascii="Times New Roman" w:hAnsi="Times New Roman" w:cs="Times New Roman"/>
          <w:b/>
        </w:rPr>
        <w:t>.</w:t>
      </w:r>
      <w:r w:rsidR="000E7C1D" w:rsidRPr="00872293">
        <w:rPr>
          <w:rFonts w:ascii="Times New Roman" w:hAnsi="Times New Roman" w:cs="Times New Roman"/>
          <w:b/>
        </w:rPr>
        <w:t xml:space="preserve"> 1996</w:t>
      </w:r>
      <w:r w:rsidR="000E7C1D" w:rsidRPr="00872293">
        <w:rPr>
          <w:rFonts w:ascii="Times New Roman" w:hAnsi="Times New Roman" w:cs="Times New Roman"/>
        </w:rPr>
        <w:t xml:space="preserve">. Responses of tropical plants to nutrients and light on a landslide in Puerto Rico. </w:t>
      </w:r>
      <w:r w:rsidR="000E7C1D" w:rsidRPr="00872293">
        <w:rPr>
          <w:rFonts w:ascii="Times New Roman" w:hAnsi="Times New Roman" w:cs="Times New Roman"/>
          <w:i/>
        </w:rPr>
        <w:t>Journal of Ecology</w:t>
      </w:r>
      <w:r w:rsidR="000E7C1D" w:rsidRPr="00872293">
        <w:rPr>
          <w:rFonts w:ascii="Times New Roman" w:hAnsi="Times New Roman" w:cs="Times New Roman"/>
        </w:rPr>
        <w:t xml:space="preserve"> </w:t>
      </w:r>
      <w:r w:rsidR="000E7C1D" w:rsidRPr="00872293">
        <w:rPr>
          <w:rFonts w:ascii="Times New Roman" w:hAnsi="Times New Roman" w:cs="Times New Roman"/>
          <w:b/>
        </w:rPr>
        <w:t>8</w:t>
      </w:r>
      <w:r w:rsidRPr="00872293">
        <w:rPr>
          <w:rFonts w:ascii="Times New Roman" w:hAnsi="Times New Roman" w:cs="Times New Roman"/>
          <w:b/>
        </w:rPr>
        <w:t>4:</w:t>
      </w:r>
      <w:r w:rsidR="000E7C1D" w:rsidRPr="00872293">
        <w:rPr>
          <w:rFonts w:ascii="Times New Roman" w:hAnsi="Times New Roman" w:cs="Times New Roman"/>
        </w:rPr>
        <w:t xml:space="preserve"> 331–341.</w:t>
      </w:r>
    </w:p>
    <w:p w14:paraId="390917F2" w14:textId="77777777" w:rsidR="00E95C8A" w:rsidRPr="00872293" w:rsidRDefault="0055330E" w:rsidP="00BE331C">
      <w:pPr>
        <w:spacing w:before="100" w:beforeAutospacing="1" w:after="100" w:afterAutospacing="1" w:line="360" w:lineRule="auto"/>
        <w:rPr>
          <w:rFonts w:ascii="Times New Roman" w:hAnsi="Times New Roman" w:cs="Times New Roman"/>
        </w:rPr>
      </w:pPr>
      <w:r w:rsidRPr="00872293">
        <w:rPr>
          <w:rFonts w:ascii="Times New Roman" w:eastAsia="Times New Roman" w:hAnsi="Times New Roman" w:cs="Times New Roman"/>
          <w:b/>
        </w:rPr>
        <w:t>Field</w:t>
      </w:r>
      <w:r w:rsidR="00EB58C7" w:rsidRPr="00872293">
        <w:rPr>
          <w:rFonts w:ascii="Times New Roman" w:eastAsia="Times New Roman" w:hAnsi="Times New Roman" w:cs="Times New Roman"/>
          <w:b/>
        </w:rPr>
        <w:t xml:space="preserve"> CB</w:t>
      </w:r>
      <w:r w:rsidR="00A225A8" w:rsidRPr="00872293">
        <w:rPr>
          <w:rFonts w:ascii="Times New Roman" w:eastAsia="Times New Roman" w:hAnsi="Times New Roman" w:cs="Times New Roman"/>
          <w:b/>
        </w:rPr>
        <w:t xml:space="preserve">, </w:t>
      </w:r>
      <w:proofErr w:type="spellStart"/>
      <w:r w:rsidR="00A225A8" w:rsidRPr="00872293">
        <w:rPr>
          <w:rFonts w:ascii="Times New Roman" w:eastAsia="Times New Roman" w:hAnsi="Times New Roman" w:cs="Times New Roman"/>
          <w:b/>
        </w:rPr>
        <w:t>Behrenfeld</w:t>
      </w:r>
      <w:proofErr w:type="spellEnd"/>
      <w:r w:rsidR="005513F1" w:rsidRPr="00872293">
        <w:rPr>
          <w:rFonts w:ascii="Times New Roman" w:eastAsia="Times New Roman" w:hAnsi="Times New Roman" w:cs="Times New Roman"/>
          <w:b/>
        </w:rPr>
        <w:t xml:space="preserve"> MJ</w:t>
      </w:r>
      <w:r w:rsidR="00A225A8" w:rsidRPr="00872293">
        <w:rPr>
          <w:rFonts w:ascii="Times New Roman" w:eastAsia="Times New Roman" w:hAnsi="Times New Roman" w:cs="Times New Roman"/>
          <w:b/>
        </w:rPr>
        <w:t xml:space="preserve">, </w:t>
      </w:r>
      <w:proofErr w:type="spellStart"/>
      <w:r w:rsidR="00A225A8" w:rsidRPr="00872293">
        <w:rPr>
          <w:rFonts w:ascii="Times New Roman" w:eastAsia="Times New Roman" w:hAnsi="Times New Roman" w:cs="Times New Roman"/>
          <w:b/>
        </w:rPr>
        <w:t>Randerson</w:t>
      </w:r>
      <w:proofErr w:type="spellEnd"/>
      <w:r w:rsidR="005513F1" w:rsidRPr="00872293">
        <w:rPr>
          <w:rFonts w:ascii="Times New Roman" w:eastAsia="Times New Roman" w:hAnsi="Times New Roman" w:cs="Times New Roman"/>
          <w:b/>
        </w:rPr>
        <w:t xml:space="preserve"> JT,</w:t>
      </w:r>
      <w:r w:rsidR="00A225A8" w:rsidRPr="00872293">
        <w:rPr>
          <w:rFonts w:ascii="Times New Roman" w:eastAsia="Times New Roman" w:hAnsi="Times New Roman" w:cs="Times New Roman"/>
          <w:b/>
        </w:rPr>
        <w:t xml:space="preserve"> </w:t>
      </w:r>
      <w:proofErr w:type="spellStart"/>
      <w:r w:rsidR="00A225A8" w:rsidRPr="00872293">
        <w:rPr>
          <w:rFonts w:ascii="Times New Roman" w:eastAsia="Times New Roman" w:hAnsi="Times New Roman" w:cs="Times New Roman"/>
          <w:b/>
        </w:rPr>
        <w:t>Falkowski</w:t>
      </w:r>
      <w:proofErr w:type="spellEnd"/>
      <w:r w:rsidR="003E0B3B" w:rsidRPr="00872293">
        <w:rPr>
          <w:rFonts w:ascii="Times New Roman" w:eastAsia="Times New Roman" w:hAnsi="Times New Roman" w:cs="Times New Roman"/>
          <w:b/>
        </w:rPr>
        <w:t xml:space="preserve"> P</w:t>
      </w:r>
      <w:r w:rsidR="00A225A8" w:rsidRPr="00872293">
        <w:rPr>
          <w:rFonts w:ascii="Times New Roman" w:eastAsia="Times New Roman" w:hAnsi="Times New Roman" w:cs="Times New Roman"/>
          <w:b/>
        </w:rPr>
        <w:t>. 1998.</w:t>
      </w:r>
      <w:r w:rsidR="00A225A8" w:rsidRPr="00872293">
        <w:rPr>
          <w:rFonts w:ascii="Times New Roman" w:eastAsia="Times New Roman" w:hAnsi="Times New Roman" w:cs="Times New Roman"/>
        </w:rPr>
        <w:t xml:space="preserve"> Primary production of the biosphere: Integrating terrestrial and oceanic components. </w:t>
      </w:r>
      <w:r w:rsidR="00A225A8" w:rsidRPr="00872293">
        <w:rPr>
          <w:rFonts w:ascii="Times New Roman" w:eastAsia="Times New Roman" w:hAnsi="Times New Roman" w:cs="Times New Roman"/>
          <w:i/>
          <w:iCs/>
        </w:rPr>
        <w:t>Science</w:t>
      </w:r>
      <w:r w:rsidR="00A225A8" w:rsidRPr="00872293">
        <w:rPr>
          <w:rFonts w:ascii="Times New Roman" w:eastAsia="Times New Roman" w:hAnsi="Times New Roman" w:cs="Times New Roman"/>
        </w:rPr>
        <w:t xml:space="preserve"> </w:t>
      </w:r>
      <w:r w:rsidR="00A225A8" w:rsidRPr="00872293">
        <w:rPr>
          <w:rFonts w:ascii="Times New Roman" w:eastAsia="Times New Roman" w:hAnsi="Times New Roman" w:cs="Times New Roman"/>
          <w:b/>
          <w:bCs/>
        </w:rPr>
        <w:t>28</w:t>
      </w:r>
      <w:r w:rsidR="005513F1" w:rsidRPr="00872293">
        <w:rPr>
          <w:rFonts w:ascii="Times New Roman" w:eastAsia="Times New Roman" w:hAnsi="Times New Roman" w:cs="Times New Roman"/>
          <w:b/>
          <w:bCs/>
        </w:rPr>
        <w:t>1:</w:t>
      </w:r>
      <w:r w:rsidR="00087920" w:rsidRPr="00872293">
        <w:rPr>
          <w:rFonts w:ascii="Times New Roman" w:eastAsia="Times New Roman" w:hAnsi="Times New Roman" w:cs="Times New Roman"/>
        </w:rPr>
        <w:t xml:space="preserve"> 237-240.</w:t>
      </w:r>
    </w:p>
    <w:p w14:paraId="2CE87276" w14:textId="77777777" w:rsidR="003A01E8" w:rsidRPr="00872293" w:rsidRDefault="005513F1" w:rsidP="00BE331C">
      <w:pPr>
        <w:spacing w:before="100" w:beforeAutospacing="1" w:after="100" w:afterAutospacing="1" w:line="360" w:lineRule="auto"/>
        <w:rPr>
          <w:rFonts w:ascii="Times New Roman" w:hAnsi="Times New Roman" w:cs="Times New Roman"/>
        </w:rPr>
      </w:pPr>
      <w:r w:rsidRPr="00872293">
        <w:rPr>
          <w:rFonts w:ascii="Times New Roman" w:hAnsi="Times New Roman" w:cs="Times New Roman"/>
          <w:b/>
        </w:rPr>
        <w:t>Fischer CR</w:t>
      </w:r>
      <w:r w:rsidR="003A01E8" w:rsidRPr="00872293">
        <w:rPr>
          <w:rFonts w:ascii="Times New Roman" w:hAnsi="Times New Roman" w:cs="Times New Roman"/>
          <w:b/>
        </w:rPr>
        <w:t>, Janos</w:t>
      </w:r>
      <w:r w:rsidRPr="00872293">
        <w:rPr>
          <w:rFonts w:ascii="Times New Roman" w:hAnsi="Times New Roman" w:cs="Times New Roman"/>
          <w:b/>
        </w:rPr>
        <w:t xml:space="preserve"> DP</w:t>
      </w:r>
      <w:r w:rsidR="003A01E8" w:rsidRPr="00872293">
        <w:rPr>
          <w:rFonts w:ascii="Times New Roman" w:hAnsi="Times New Roman" w:cs="Times New Roman"/>
          <w:b/>
        </w:rPr>
        <w:t>, Perry</w:t>
      </w:r>
      <w:r w:rsidRPr="00872293">
        <w:rPr>
          <w:rFonts w:ascii="Times New Roman" w:hAnsi="Times New Roman" w:cs="Times New Roman"/>
          <w:b/>
        </w:rPr>
        <w:t xml:space="preserve"> DA</w:t>
      </w:r>
      <w:r w:rsidR="003A01E8" w:rsidRPr="00872293">
        <w:rPr>
          <w:rFonts w:ascii="Times New Roman" w:hAnsi="Times New Roman" w:cs="Times New Roman"/>
          <w:b/>
        </w:rPr>
        <w:t>, Linderman</w:t>
      </w:r>
      <w:r w:rsidRPr="00872293">
        <w:rPr>
          <w:rFonts w:ascii="Times New Roman" w:hAnsi="Times New Roman" w:cs="Times New Roman"/>
          <w:b/>
        </w:rPr>
        <w:t xml:space="preserve"> RG</w:t>
      </w:r>
      <w:r w:rsidR="003A01E8" w:rsidRPr="00872293">
        <w:rPr>
          <w:rFonts w:ascii="Times New Roman" w:hAnsi="Times New Roman" w:cs="Times New Roman"/>
          <w:b/>
        </w:rPr>
        <w:t>, Box</w:t>
      </w:r>
      <w:r w:rsidRPr="00872293">
        <w:rPr>
          <w:rFonts w:ascii="Times New Roman" w:hAnsi="Times New Roman" w:cs="Times New Roman"/>
          <w:b/>
        </w:rPr>
        <w:t xml:space="preserve"> PO</w:t>
      </w:r>
      <w:r w:rsidR="003A01E8" w:rsidRPr="00872293">
        <w:rPr>
          <w:rFonts w:ascii="Times New Roman" w:hAnsi="Times New Roman" w:cs="Times New Roman"/>
          <w:b/>
        </w:rPr>
        <w:t>, Gables</w:t>
      </w:r>
      <w:r w:rsidRPr="00872293">
        <w:rPr>
          <w:rFonts w:ascii="Times New Roman" w:hAnsi="Times New Roman" w:cs="Times New Roman"/>
          <w:b/>
        </w:rPr>
        <w:t xml:space="preserve"> C,</w:t>
      </w:r>
      <w:r w:rsidR="003A01E8" w:rsidRPr="00872293">
        <w:rPr>
          <w:rFonts w:ascii="Times New Roman" w:hAnsi="Times New Roman" w:cs="Times New Roman"/>
          <w:b/>
        </w:rPr>
        <w:t xml:space="preserve"> Linderman</w:t>
      </w:r>
      <w:r w:rsidR="00036929" w:rsidRPr="00872293">
        <w:rPr>
          <w:rFonts w:ascii="Times New Roman" w:hAnsi="Times New Roman" w:cs="Times New Roman"/>
          <w:b/>
        </w:rPr>
        <w:t xml:space="preserve"> G</w:t>
      </w:r>
      <w:r w:rsidR="003A01E8" w:rsidRPr="00872293">
        <w:rPr>
          <w:rFonts w:ascii="Times New Roman" w:hAnsi="Times New Roman" w:cs="Times New Roman"/>
          <w:b/>
        </w:rPr>
        <w:t>. 1994.</w:t>
      </w:r>
      <w:r w:rsidR="003A01E8" w:rsidRPr="00872293">
        <w:rPr>
          <w:rFonts w:ascii="Times New Roman" w:hAnsi="Times New Roman" w:cs="Times New Roman"/>
        </w:rPr>
        <w:t xml:space="preserve"> Mycorrhiza Inoculum Potentials in Tropical Secondary Succession. </w:t>
      </w:r>
      <w:proofErr w:type="spellStart"/>
      <w:r w:rsidR="003A01E8" w:rsidRPr="00872293">
        <w:rPr>
          <w:rFonts w:ascii="Times New Roman" w:hAnsi="Times New Roman" w:cs="Times New Roman"/>
          <w:i/>
        </w:rPr>
        <w:t>Biotropica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2</w:t>
      </w:r>
      <w:r w:rsidRPr="00872293">
        <w:rPr>
          <w:rFonts w:ascii="Times New Roman" w:hAnsi="Times New Roman" w:cs="Times New Roman"/>
          <w:b/>
        </w:rPr>
        <w:t>6:</w:t>
      </w:r>
      <w:r w:rsidR="003A01E8" w:rsidRPr="00872293">
        <w:rPr>
          <w:rFonts w:ascii="Times New Roman" w:hAnsi="Times New Roman" w:cs="Times New Roman"/>
        </w:rPr>
        <w:t xml:space="preserve"> 369–377.</w:t>
      </w:r>
    </w:p>
    <w:p w14:paraId="6C7BE0A5" w14:textId="6263AFA2" w:rsidR="003A01E8" w:rsidRPr="00872293" w:rsidRDefault="005513F1" w:rsidP="00BE331C">
      <w:pPr>
        <w:spacing w:after="240" w:line="360" w:lineRule="auto"/>
        <w:rPr>
          <w:rFonts w:ascii="Times New Roman" w:hAnsi="Times New Roman" w:cs="Times New Roman"/>
        </w:rPr>
      </w:pPr>
      <w:proofErr w:type="spellStart"/>
      <w:r w:rsidRPr="00872293">
        <w:rPr>
          <w:rFonts w:ascii="Times New Roman" w:hAnsi="Times New Roman" w:cs="Times New Roman"/>
          <w:b/>
        </w:rPr>
        <w:t>Frangi</w:t>
      </w:r>
      <w:proofErr w:type="spellEnd"/>
      <w:r w:rsidRPr="00872293">
        <w:rPr>
          <w:rFonts w:ascii="Times New Roman" w:hAnsi="Times New Roman" w:cs="Times New Roman"/>
          <w:b/>
        </w:rPr>
        <w:t xml:space="preserve"> JL</w:t>
      </w:r>
      <w:r w:rsidR="003A01E8" w:rsidRPr="00872293">
        <w:rPr>
          <w:rFonts w:ascii="Times New Roman" w:hAnsi="Times New Roman" w:cs="Times New Roman"/>
          <w:b/>
        </w:rPr>
        <w:t>, Lugo</w:t>
      </w:r>
      <w:r w:rsidRPr="00872293">
        <w:rPr>
          <w:rFonts w:ascii="Times New Roman" w:hAnsi="Times New Roman" w:cs="Times New Roman"/>
          <w:b/>
        </w:rPr>
        <w:t xml:space="preserve"> A</w:t>
      </w:r>
      <w:r w:rsidR="00EF207C" w:rsidRPr="00872293">
        <w:rPr>
          <w:rFonts w:ascii="Times New Roman" w:hAnsi="Times New Roman" w:cs="Times New Roman"/>
          <w:b/>
        </w:rPr>
        <w:t>E</w:t>
      </w:r>
      <w:r w:rsidR="003A01E8" w:rsidRPr="00872293">
        <w:rPr>
          <w:rFonts w:ascii="Times New Roman" w:hAnsi="Times New Roman" w:cs="Times New Roman"/>
          <w:b/>
        </w:rPr>
        <w:t>. 1985.</w:t>
      </w:r>
      <w:r w:rsidR="003A01E8" w:rsidRPr="00872293">
        <w:rPr>
          <w:rFonts w:ascii="Times New Roman" w:hAnsi="Times New Roman" w:cs="Times New Roman"/>
        </w:rPr>
        <w:t xml:space="preserve"> Ecosystem Dynamics of a Subtropical Floodplain Forest. </w:t>
      </w:r>
      <w:r w:rsidR="003A01E8" w:rsidRPr="00872293">
        <w:rPr>
          <w:rFonts w:ascii="Times New Roman" w:hAnsi="Times New Roman" w:cs="Times New Roman"/>
          <w:i/>
        </w:rPr>
        <w:t>Ecol</w:t>
      </w:r>
      <w:r w:rsidR="00C21F5F" w:rsidRPr="00872293">
        <w:rPr>
          <w:rFonts w:ascii="Times New Roman" w:hAnsi="Times New Roman" w:cs="Times New Roman"/>
          <w:i/>
        </w:rPr>
        <w:t>og</w:t>
      </w:r>
      <w:r w:rsidR="00977F35" w:rsidRPr="00872293">
        <w:rPr>
          <w:rFonts w:ascii="Times New Roman" w:hAnsi="Times New Roman" w:cs="Times New Roman"/>
          <w:i/>
        </w:rPr>
        <w:t>ical</w:t>
      </w:r>
      <w:r w:rsidR="003A01E8" w:rsidRPr="00872293">
        <w:rPr>
          <w:rFonts w:ascii="Times New Roman" w:hAnsi="Times New Roman" w:cs="Times New Roman"/>
          <w:i/>
        </w:rPr>
        <w:t xml:space="preserve"> Monogr</w:t>
      </w:r>
      <w:r w:rsidR="00C21F5F" w:rsidRPr="00872293">
        <w:rPr>
          <w:rFonts w:ascii="Times New Roman" w:hAnsi="Times New Roman" w:cs="Times New Roman"/>
          <w:i/>
        </w:rPr>
        <w:t>aphs</w:t>
      </w:r>
      <w:r w:rsidR="003A01E8" w:rsidRPr="00872293">
        <w:rPr>
          <w:rFonts w:ascii="Times New Roman" w:hAnsi="Times New Roman" w:cs="Times New Roman"/>
        </w:rPr>
        <w:t xml:space="preserve"> </w:t>
      </w:r>
      <w:r w:rsidR="003A01E8" w:rsidRPr="00872293">
        <w:rPr>
          <w:rFonts w:ascii="Times New Roman" w:hAnsi="Times New Roman" w:cs="Times New Roman"/>
          <w:b/>
        </w:rPr>
        <w:t>5</w:t>
      </w:r>
      <w:r w:rsidRPr="00872293">
        <w:rPr>
          <w:rFonts w:ascii="Times New Roman" w:hAnsi="Times New Roman" w:cs="Times New Roman"/>
          <w:b/>
        </w:rPr>
        <w:t>5:</w:t>
      </w:r>
      <w:r w:rsidR="003A01E8" w:rsidRPr="00872293">
        <w:rPr>
          <w:rFonts w:ascii="Times New Roman" w:hAnsi="Times New Roman" w:cs="Times New Roman"/>
        </w:rPr>
        <w:t xml:space="preserve"> 351–369.</w:t>
      </w:r>
    </w:p>
    <w:p w14:paraId="67661A97" w14:textId="56C5B352" w:rsidR="003A01E8" w:rsidRPr="00872293" w:rsidRDefault="005513F1" w:rsidP="00BE331C">
      <w:pPr>
        <w:spacing w:after="240" w:line="360" w:lineRule="auto"/>
        <w:rPr>
          <w:rFonts w:ascii="Times New Roman" w:hAnsi="Times New Roman" w:cs="Times New Roman"/>
        </w:rPr>
      </w:pPr>
      <w:proofErr w:type="spellStart"/>
      <w:r w:rsidRPr="00872293">
        <w:rPr>
          <w:rFonts w:ascii="Times New Roman" w:hAnsi="Times New Roman" w:cs="Times New Roman"/>
          <w:b/>
        </w:rPr>
        <w:t>Freschet</w:t>
      </w:r>
      <w:proofErr w:type="spellEnd"/>
      <w:r w:rsidRPr="00872293">
        <w:rPr>
          <w:rFonts w:ascii="Times New Roman" w:hAnsi="Times New Roman" w:cs="Times New Roman"/>
          <w:b/>
        </w:rPr>
        <w:t xml:space="preserve"> GT</w:t>
      </w:r>
      <w:r w:rsidR="003A01E8" w:rsidRPr="00872293">
        <w:rPr>
          <w:rFonts w:ascii="Times New Roman" w:hAnsi="Times New Roman" w:cs="Times New Roman"/>
          <w:b/>
        </w:rPr>
        <w:t>, Valverde-</w:t>
      </w:r>
      <w:proofErr w:type="spellStart"/>
      <w:r w:rsidR="003A01E8" w:rsidRPr="00872293">
        <w:rPr>
          <w:rFonts w:ascii="Times New Roman" w:hAnsi="Times New Roman" w:cs="Times New Roman"/>
          <w:b/>
        </w:rPr>
        <w:t>Barrantes</w:t>
      </w:r>
      <w:proofErr w:type="spellEnd"/>
      <w:r w:rsidRPr="00872293">
        <w:rPr>
          <w:rFonts w:ascii="Times New Roman" w:hAnsi="Times New Roman" w:cs="Times New Roman"/>
          <w:b/>
        </w:rPr>
        <w:t xml:space="preserve"> OJ</w:t>
      </w:r>
      <w:r w:rsidR="003A01E8" w:rsidRPr="00872293">
        <w:rPr>
          <w:rFonts w:ascii="Times New Roman" w:hAnsi="Times New Roman" w:cs="Times New Roman"/>
          <w:b/>
        </w:rPr>
        <w:t>, Tucker</w:t>
      </w:r>
      <w:r w:rsidRPr="00872293">
        <w:rPr>
          <w:rFonts w:ascii="Times New Roman" w:hAnsi="Times New Roman" w:cs="Times New Roman"/>
          <w:b/>
        </w:rPr>
        <w:t xml:space="preserve"> CM</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Craine</w:t>
      </w:r>
      <w:proofErr w:type="spellEnd"/>
      <w:r w:rsidRPr="00872293">
        <w:rPr>
          <w:rFonts w:ascii="Times New Roman" w:hAnsi="Times New Roman" w:cs="Times New Roman"/>
          <w:b/>
        </w:rPr>
        <w:t xml:space="preserve"> JM</w:t>
      </w:r>
      <w:r w:rsidR="003A01E8" w:rsidRPr="00872293">
        <w:rPr>
          <w:rFonts w:ascii="Times New Roman" w:hAnsi="Times New Roman" w:cs="Times New Roman"/>
          <w:b/>
        </w:rPr>
        <w:t>, McCormack</w:t>
      </w:r>
      <w:r w:rsidRPr="00872293">
        <w:rPr>
          <w:rFonts w:ascii="Times New Roman" w:hAnsi="Times New Roman" w:cs="Times New Roman"/>
          <w:b/>
        </w:rPr>
        <w:t xml:space="preserve"> ML, </w:t>
      </w:r>
      <w:proofErr w:type="spellStart"/>
      <w:r w:rsidRPr="00872293">
        <w:rPr>
          <w:rFonts w:ascii="Times New Roman" w:hAnsi="Times New Roman" w:cs="Times New Roman"/>
          <w:b/>
        </w:rPr>
        <w:t>Violle</w:t>
      </w:r>
      <w:proofErr w:type="spellEnd"/>
      <w:r w:rsidRPr="00872293">
        <w:rPr>
          <w:rFonts w:ascii="Times New Roman" w:hAnsi="Times New Roman" w:cs="Times New Roman"/>
          <w:b/>
        </w:rPr>
        <w:t xml:space="preserve"> C</w:t>
      </w:r>
      <w:r w:rsidR="000F1CFC" w:rsidRPr="00872293">
        <w:rPr>
          <w:rFonts w:ascii="Times New Roman" w:hAnsi="Times New Roman" w:cs="Times New Roman"/>
          <w:b/>
        </w:rPr>
        <w:t>,</w:t>
      </w:r>
      <w:r w:rsidRPr="00872293">
        <w:rPr>
          <w:rFonts w:ascii="Times New Roman" w:hAnsi="Times New Roman" w:cs="Times New Roman"/>
          <w:b/>
        </w:rPr>
        <w:t xml:space="preserve"> Fort F</w:t>
      </w:r>
      <w:r w:rsidR="000F1CFC" w:rsidRPr="00872293">
        <w:rPr>
          <w:rFonts w:ascii="Times New Roman" w:hAnsi="Times New Roman" w:cs="Times New Roman"/>
          <w:b/>
        </w:rPr>
        <w:t>,</w:t>
      </w:r>
      <w:r w:rsidR="003A01E8" w:rsidRPr="00872293">
        <w:rPr>
          <w:rFonts w:ascii="Times New Roman" w:hAnsi="Times New Roman" w:cs="Times New Roman"/>
          <w:b/>
        </w:rPr>
        <w:t xml:space="preserve"> Blackwood</w:t>
      </w:r>
      <w:r w:rsidR="000F1CFC" w:rsidRPr="00872293">
        <w:rPr>
          <w:rFonts w:ascii="Times New Roman" w:hAnsi="Times New Roman" w:cs="Times New Roman"/>
          <w:b/>
        </w:rPr>
        <w:t xml:space="preserve"> </w:t>
      </w:r>
      <w:r w:rsidR="00EC128E" w:rsidRPr="00872293">
        <w:rPr>
          <w:rFonts w:ascii="Times New Roman" w:hAnsi="Times New Roman" w:cs="Times New Roman"/>
          <w:b/>
        </w:rPr>
        <w:t>CB</w:t>
      </w:r>
      <w:r w:rsidR="003A01E8" w:rsidRPr="00872293">
        <w:rPr>
          <w:rFonts w:ascii="Times New Roman" w:hAnsi="Times New Roman" w:cs="Times New Roman"/>
          <w:b/>
        </w:rPr>
        <w:t>, Urban-Mead</w:t>
      </w:r>
      <w:r w:rsidR="00EC128E" w:rsidRPr="00872293">
        <w:rPr>
          <w:rFonts w:ascii="Times New Roman" w:hAnsi="Times New Roman" w:cs="Times New Roman"/>
          <w:b/>
        </w:rPr>
        <w:t xml:space="preserve"> KR</w:t>
      </w:r>
      <w:r w:rsidR="003A01E8" w:rsidRPr="00872293">
        <w:rPr>
          <w:rFonts w:ascii="Times New Roman" w:hAnsi="Times New Roman" w:cs="Times New Roman"/>
          <w:b/>
        </w:rPr>
        <w:t>, Iversen</w:t>
      </w:r>
      <w:r w:rsidR="00EC128E" w:rsidRPr="00872293">
        <w:rPr>
          <w:rFonts w:ascii="Times New Roman" w:hAnsi="Times New Roman" w:cs="Times New Roman"/>
          <w:b/>
        </w:rPr>
        <w:t xml:space="preserve"> CM, </w:t>
      </w:r>
      <w:r w:rsidR="00DF3480" w:rsidRPr="00872293">
        <w:rPr>
          <w:rFonts w:ascii="Times New Roman" w:hAnsi="Times New Roman" w:cs="Times New Roman"/>
          <w:b/>
          <w:i/>
          <w:iCs/>
        </w:rPr>
        <w:t>et al</w:t>
      </w:r>
      <w:r w:rsidR="003A01E8" w:rsidRPr="00872293">
        <w:rPr>
          <w:rFonts w:ascii="Times New Roman" w:hAnsi="Times New Roman" w:cs="Times New Roman"/>
          <w:b/>
          <w:i/>
          <w:iCs/>
        </w:rPr>
        <w:t>.</w:t>
      </w:r>
      <w:r w:rsidR="003A01E8" w:rsidRPr="00872293">
        <w:rPr>
          <w:rFonts w:ascii="Times New Roman" w:hAnsi="Times New Roman" w:cs="Times New Roman"/>
          <w:b/>
        </w:rPr>
        <w:t xml:space="preserve"> 2017. </w:t>
      </w:r>
      <w:r w:rsidR="003A01E8" w:rsidRPr="00872293">
        <w:rPr>
          <w:rFonts w:ascii="Times New Roman" w:hAnsi="Times New Roman" w:cs="Times New Roman"/>
        </w:rPr>
        <w:t xml:space="preserve">Climate, </w:t>
      </w:r>
      <w:proofErr w:type="gramStart"/>
      <w:r w:rsidR="003A01E8" w:rsidRPr="00872293">
        <w:rPr>
          <w:rFonts w:ascii="Times New Roman" w:hAnsi="Times New Roman" w:cs="Times New Roman"/>
        </w:rPr>
        <w:t>soil</w:t>
      </w:r>
      <w:proofErr w:type="gramEnd"/>
      <w:r w:rsidR="003A01E8" w:rsidRPr="00872293">
        <w:rPr>
          <w:rFonts w:ascii="Times New Roman" w:hAnsi="Times New Roman" w:cs="Times New Roman"/>
        </w:rPr>
        <w:t xml:space="preserve"> and plant functional types as drivers of global fine-root trait variation. </w:t>
      </w:r>
      <w:r w:rsidR="003A01E8" w:rsidRPr="00872293">
        <w:rPr>
          <w:rFonts w:ascii="Times New Roman" w:hAnsi="Times New Roman" w:cs="Times New Roman"/>
          <w:i/>
        </w:rPr>
        <w:t>Journal o</w:t>
      </w:r>
      <w:r w:rsidR="000F65B5" w:rsidRPr="00872293">
        <w:rPr>
          <w:rFonts w:ascii="Times New Roman" w:hAnsi="Times New Roman" w:cs="Times New Roman"/>
          <w:i/>
        </w:rPr>
        <w:t>f</w:t>
      </w:r>
      <w:r w:rsidR="003A01E8" w:rsidRPr="00872293">
        <w:rPr>
          <w:rFonts w:ascii="Times New Roman" w:hAnsi="Times New Roman" w:cs="Times New Roman"/>
          <w:i/>
        </w:rPr>
        <w:t xml:space="preserve"> Ecology </w:t>
      </w:r>
      <w:r w:rsidR="003A01E8" w:rsidRPr="00872293">
        <w:rPr>
          <w:rFonts w:ascii="Times New Roman" w:hAnsi="Times New Roman" w:cs="Times New Roman"/>
          <w:b/>
        </w:rPr>
        <w:t>10</w:t>
      </w:r>
      <w:r w:rsidR="00EC128E" w:rsidRPr="00872293">
        <w:rPr>
          <w:rFonts w:ascii="Times New Roman" w:hAnsi="Times New Roman" w:cs="Times New Roman"/>
          <w:b/>
        </w:rPr>
        <w:t>5:</w:t>
      </w:r>
      <w:r w:rsidR="003A01E8" w:rsidRPr="00872293">
        <w:rPr>
          <w:rFonts w:ascii="Times New Roman" w:hAnsi="Times New Roman" w:cs="Times New Roman"/>
        </w:rPr>
        <w:t xml:space="preserve"> 1182-1196.</w:t>
      </w:r>
      <w:r w:rsidR="003A01E8" w:rsidRPr="00872293">
        <w:rPr>
          <w:rFonts w:ascii="Times New Roman" w:hAnsi="Times New Roman" w:cs="Times New Roman"/>
        </w:rPr>
        <w:tab/>
      </w:r>
    </w:p>
    <w:p w14:paraId="53170E69" w14:textId="2555D077" w:rsidR="00224D12" w:rsidRPr="00872293" w:rsidRDefault="00EC128E" w:rsidP="00F8391C">
      <w:pPr>
        <w:pStyle w:val="NormalWeb"/>
        <w:spacing w:before="0" w:beforeAutospacing="0" w:after="240" w:afterAutospacing="0" w:line="360" w:lineRule="auto"/>
        <w:ind w:left="43"/>
        <w:rPr>
          <w:rFonts w:ascii="Times New Roman" w:hAnsi="Times New Roman"/>
          <w:sz w:val="24"/>
          <w:szCs w:val="24"/>
        </w:rPr>
      </w:pPr>
      <w:r w:rsidRPr="00872293">
        <w:rPr>
          <w:rFonts w:ascii="Times New Roman" w:hAnsi="Times New Roman"/>
          <w:b/>
          <w:sz w:val="24"/>
          <w:szCs w:val="24"/>
        </w:rPr>
        <w:t>Gale MR</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Grigal</w:t>
      </w:r>
      <w:proofErr w:type="spellEnd"/>
      <w:r w:rsidRPr="00872293">
        <w:rPr>
          <w:rFonts w:ascii="Times New Roman" w:hAnsi="Times New Roman"/>
          <w:b/>
          <w:sz w:val="24"/>
          <w:szCs w:val="24"/>
        </w:rPr>
        <w:t xml:space="preserve"> D</w:t>
      </w:r>
      <w:r w:rsidR="002728EB" w:rsidRPr="00872293">
        <w:rPr>
          <w:rFonts w:ascii="Times New Roman" w:hAnsi="Times New Roman"/>
          <w:b/>
          <w:sz w:val="24"/>
          <w:szCs w:val="24"/>
        </w:rPr>
        <w:t>F</w:t>
      </w:r>
      <w:r w:rsidR="003A01E8" w:rsidRPr="00872293">
        <w:rPr>
          <w:rFonts w:ascii="Times New Roman" w:hAnsi="Times New Roman"/>
          <w:b/>
          <w:sz w:val="24"/>
          <w:szCs w:val="24"/>
        </w:rPr>
        <w:t>. 1987.</w:t>
      </w:r>
      <w:r w:rsidR="003A01E8" w:rsidRPr="00872293">
        <w:rPr>
          <w:rFonts w:ascii="Times New Roman" w:hAnsi="Times New Roman"/>
          <w:sz w:val="24"/>
          <w:szCs w:val="24"/>
        </w:rPr>
        <w:t xml:space="preserve"> Vertical root distributions of northern tree species in relation to successional status. </w:t>
      </w:r>
      <w:r w:rsidR="006543AD" w:rsidRPr="00872293">
        <w:rPr>
          <w:rFonts w:ascii="Times New Roman" w:hAnsi="Times New Roman"/>
          <w:i/>
          <w:iCs/>
          <w:sz w:val="24"/>
          <w:szCs w:val="24"/>
          <w:shd w:val="clear" w:color="auto" w:fill="FFFFFF"/>
        </w:rPr>
        <w:t>Canadian Journal of Forest Research</w:t>
      </w:r>
      <w:r w:rsidR="006543AD" w:rsidRPr="00872293">
        <w:rPr>
          <w:rFonts w:ascii="Times New Roman" w:hAnsi="Times New Roman"/>
          <w:b/>
          <w:bCs/>
          <w:sz w:val="24"/>
          <w:szCs w:val="24"/>
        </w:rPr>
        <w:t xml:space="preserve"> </w:t>
      </w:r>
      <w:r w:rsidR="003A01E8" w:rsidRPr="00872293">
        <w:rPr>
          <w:rFonts w:ascii="Times New Roman" w:hAnsi="Times New Roman"/>
          <w:b/>
          <w:bCs/>
          <w:sz w:val="24"/>
          <w:szCs w:val="24"/>
        </w:rPr>
        <w:t>1</w:t>
      </w:r>
      <w:r w:rsidRPr="00872293">
        <w:rPr>
          <w:rFonts w:ascii="Times New Roman" w:hAnsi="Times New Roman"/>
          <w:b/>
          <w:bCs/>
          <w:sz w:val="24"/>
          <w:szCs w:val="24"/>
        </w:rPr>
        <w:t>7:</w:t>
      </w:r>
      <w:r w:rsidR="003A01E8" w:rsidRPr="00872293">
        <w:rPr>
          <w:rFonts w:ascii="Times New Roman" w:hAnsi="Times New Roman"/>
          <w:sz w:val="24"/>
          <w:szCs w:val="24"/>
        </w:rPr>
        <w:t xml:space="preserve"> 829-834.</w:t>
      </w:r>
    </w:p>
    <w:p w14:paraId="3690C024" w14:textId="77777777" w:rsidR="00224D12" w:rsidRPr="00872293" w:rsidRDefault="00EC128E" w:rsidP="00F8391C">
      <w:pPr>
        <w:pStyle w:val="NormalWeb"/>
        <w:spacing w:before="0" w:beforeAutospacing="0" w:after="240" w:afterAutospacing="0" w:line="360" w:lineRule="auto"/>
        <w:ind w:left="43"/>
        <w:rPr>
          <w:rFonts w:ascii="Times New Roman" w:hAnsi="Times New Roman"/>
          <w:sz w:val="24"/>
          <w:szCs w:val="24"/>
        </w:rPr>
      </w:pPr>
      <w:proofErr w:type="spellStart"/>
      <w:r w:rsidRPr="00872293">
        <w:rPr>
          <w:rFonts w:ascii="Times New Roman" w:hAnsi="Times New Roman"/>
          <w:b/>
          <w:sz w:val="24"/>
          <w:szCs w:val="24"/>
        </w:rPr>
        <w:t>Gijsman</w:t>
      </w:r>
      <w:proofErr w:type="spellEnd"/>
      <w:r w:rsidRPr="00872293">
        <w:rPr>
          <w:rFonts w:ascii="Times New Roman" w:hAnsi="Times New Roman"/>
          <w:b/>
          <w:sz w:val="24"/>
          <w:szCs w:val="24"/>
        </w:rPr>
        <w:t xml:space="preserve"> AJ</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Alarcón</w:t>
      </w:r>
      <w:proofErr w:type="spellEnd"/>
      <w:r w:rsidRPr="00872293">
        <w:rPr>
          <w:rFonts w:ascii="Times New Roman" w:hAnsi="Times New Roman"/>
          <w:b/>
          <w:sz w:val="24"/>
          <w:szCs w:val="24"/>
        </w:rPr>
        <w:t xml:space="preserve"> HF,</w:t>
      </w:r>
      <w:r w:rsidR="006202EC" w:rsidRPr="00872293">
        <w:rPr>
          <w:rFonts w:ascii="Times New Roman" w:hAnsi="Times New Roman"/>
          <w:b/>
          <w:sz w:val="24"/>
          <w:szCs w:val="24"/>
        </w:rPr>
        <w:t xml:space="preserve"> </w:t>
      </w:r>
      <w:r w:rsidR="003A01E8" w:rsidRPr="00872293">
        <w:rPr>
          <w:rFonts w:ascii="Times New Roman" w:hAnsi="Times New Roman"/>
          <w:b/>
          <w:sz w:val="24"/>
          <w:szCs w:val="24"/>
        </w:rPr>
        <w:t>Thomas</w:t>
      </w:r>
      <w:r w:rsidRPr="00872293">
        <w:rPr>
          <w:rFonts w:ascii="Times New Roman" w:hAnsi="Times New Roman"/>
          <w:b/>
          <w:sz w:val="24"/>
          <w:szCs w:val="24"/>
        </w:rPr>
        <w:t xml:space="preserve"> R</w:t>
      </w:r>
      <w:r w:rsidR="006202EC" w:rsidRPr="00872293">
        <w:rPr>
          <w:rFonts w:ascii="Times New Roman" w:hAnsi="Times New Roman"/>
          <w:b/>
          <w:sz w:val="24"/>
          <w:szCs w:val="24"/>
        </w:rPr>
        <w:t>J</w:t>
      </w:r>
      <w:r w:rsidR="003A01E8" w:rsidRPr="00872293">
        <w:rPr>
          <w:rFonts w:ascii="Times New Roman" w:hAnsi="Times New Roman"/>
          <w:b/>
          <w:sz w:val="24"/>
          <w:szCs w:val="24"/>
        </w:rPr>
        <w:t>. 1997.</w:t>
      </w:r>
      <w:r w:rsidR="003A01E8" w:rsidRPr="00872293">
        <w:rPr>
          <w:rFonts w:ascii="Times New Roman" w:hAnsi="Times New Roman"/>
          <w:sz w:val="24"/>
          <w:szCs w:val="24"/>
        </w:rPr>
        <w:t xml:space="preserve"> Root decomposition in tropical grasses and legumes, as affected by soil texture and season. </w:t>
      </w:r>
      <w:r w:rsidR="003A01E8" w:rsidRPr="00872293">
        <w:rPr>
          <w:rFonts w:ascii="Times New Roman" w:hAnsi="Times New Roman"/>
          <w:i/>
          <w:sz w:val="24"/>
          <w:szCs w:val="24"/>
        </w:rPr>
        <w:t>Soil Biol</w:t>
      </w:r>
      <w:r w:rsidR="00494F1E" w:rsidRPr="00872293">
        <w:rPr>
          <w:rFonts w:ascii="Times New Roman" w:hAnsi="Times New Roman"/>
          <w:i/>
          <w:sz w:val="24"/>
          <w:szCs w:val="24"/>
        </w:rPr>
        <w:t>ogy</w:t>
      </w:r>
      <w:r w:rsidR="003A01E8" w:rsidRPr="00872293">
        <w:rPr>
          <w:rFonts w:ascii="Times New Roman" w:hAnsi="Times New Roman"/>
          <w:i/>
          <w:sz w:val="24"/>
          <w:szCs w:val="24"/>
        </w:rPr>
        <w:t xml:space="preserve"> Bioc</w:t>
      </w:r>
      <w:r w:rsidR="00DF42AE" w:rsidRPr="00872293">
        <w:rPr>
          <w:rFonts w:ascii="Times New Roman" w:hAnsi="Times New Roman"/>
          <w:i/>
          <w:sz w:val="24"/>
          <w:szCs w:val="24"/>
        </w:rPr>
        <w:t>hem</w:t>
      </w:r>
      <w:r w:rsidR="00494F1E" w:rsidRPr="00872293">
        <w:rPr>
          <w:rFonts w:ascii="Times New Roman" w:hAnsi="Times New Roman"/>
          <w:i/>
          <w:sz w:val="24"/>
          <w:szCs w:val="24"/>
        </w:rPr>
        <w:t>istry</w:t>
      </w:r>
      <w:r w:rsidR="003A01E8" w:rsidRPr="00872293">
        <w:rPr>
          <w:rFonts w:ascii="Times New Roman" w:hAnsi="Times New Roman"/>
          <w:i/>
          <w:sz w:val="24"/>
          <w:szCs w:val="24"/>
        </w:rPr>
        <w:t xml:space="preserve"> </w:t>
      </w:r>
      <w:r w:rsidR="003A01E8" w:rsidRPr="00872293">
        <w:rPr>
          <w:rFonts w:ascii="Times New Roman" w:hAnsi="Times New Roman"/>
          <w:b/>
          <w:sz w:val="24"/>
          <w:szCs w:val="24"/>
        </w:rPr>
        <w:t>2</w:t>
      </w:r>
      <w:r w:rsidRPr="00872293">
        <w:rPr>
          <w:rFonts w:ascii="Times New Roman" w:hAnsi="Times New Roman"/>
          <w:b/>
          <w:sz w:val="24"/>
          <w:szCs w:val="24"/>
        </w:rPr>
        <w:t>9:</w:t>
      </w:r>
      <w:r w:rsidR="003A01E8" w:rsidRPr="00872293">
        <w:rPr>
          <w:rFonts w:ascii="Times New Roman" w:hAnsi="Times New Roman"/>
          <w:sz w:val="24"/>
          <w:szCs w:val="24"/>
        </w:rPr>
        <w:t xml:space="preserve"> 1443–1450.</w:t>
      </w:r>
    </w:p>
    <w:p w14:paraId="6A27F16E" w14:textId="77777777" w:rsidR="003A01E8" w:rsidRPr="00872293" w:rsidRDefault="003A01E8" w:rsidP="00F8391C">
      <w:pPr>
        <w:pStyle w:val="NormalWeb"/>
        <w:spacing w:before="0" w:beforeAutospacing="0" w:after="240" w:afterAutospacing="0" w:line="360" w:lineRule="auto"/>
        <w:ind w:left="43"/>
        <w:rPr>
          <w:rFonts w:ascii="Times New Roman" w:hAnsi="Times New Roman"/>
          <w:sz w:val="24"/>
          <w:szCs w:val="24"/>
        </w:rPr>
      </w:pPr>
      <w:proofErr w:type="spellStart"/>
      <w:r w:rsidRPr="00872293">
        <w:rPr>
          <w:rFonts w:ascii="Times New Roman" w:hAnsi="Times New Roman"/>
          <w:b/>
          <w:sz w:val="24"/>
          <w:szCs w:val="24"/>
        </w:rPr>
        <w:lastRenderedPageBreak/>
        <w:t>Golley</w:t>
      </w:r>
      <w:proofErr w:type="spellEnd"/>
      <w:r w:rsidR="00C814CC" w:rsidRPr="00872293">
        <w:rPr>
          <w:rFonts w:ascii="Times New Roman" w:hAnsi="Times New Roman"/>
          <w:b/>
          <w:sz w:val="24"/>
          <w:szCs w:val="24"/>
        </w:rPr>
        <w:t xml:space="preserve"> F</w:t>
      </w:r>
      <w:r w:rsidRPr="00872293">
        <w:rPr>
          <w:rFonts w:ascii="Times New Roman" w:hAnsi="Times New Roman"/>
          <w:b/>
          <w:sz w:val="24"/>
          <w:szCs w:val="24"/>
        </w:rPr>
        <w:t xml:space="preserve">, </w:t>
      </w:r>
      <w:proofErr w:type="spellStart"/>
      <w:r w:rsidRPr="00872293">
        <w:rPr>
          <w:rFonts w:ascii="Times New Roman" w:hAnsi="Times New Roman"/>
          <w:b/>
          <w:sz w:val="24"/>
          <w:szCs w:val="24"/>
        </w:rPr>
        <w:t>Odum</w:t>
      </w:r>
      <w:proofErr w:type="spellEnd"/>
      <w:r w:rsidR="00C814CC" w:rsidRPr="00872293">
        <w:rPr>
          <w:rFonts w:ascii="Times New Roman" w:hAnsi="Times New Roman"/>
          <w:b/>
          <w:sz w:val="24"/>
          <w:szCs w:val="24"/>
        </w:rPr>
        <w:t xml:space="preserve"> HT,</w:t>
      </w:r>
      <w:r w:rsidRPr="00872293">
        <w:rPr>
          <w:rFonts w:ascii="Times New Roman" w:hAnsi="Times New Roman"/>
          <w:b/>
          <w:sz w:val="24"/>
          <w:szCs w:val="24"/>
        </w:rPr>
        <w:t xml:space="preserve"> Wilson</w:t>
      </w:r>
      <w:r w:rsidR="00C814CC" w:rsidRPr="00872293">
        <w:rPr>
          <w:rFonts w:ascii="Times New Roman" w:hAnsi="Times New Roman"/>
          <w:b/>
          <w:sz w:val="24"/>
          <w:szCs w:val="24"/>
        </w:rPr>
        <w:t xml:space="preserve"> R</w:t>
      </w:r>
      <w:r w:rsidR="00573DB4" w:rsidRPr="00872293">
        <w:rPr>
          <w:rFonts w:ascii="Times New Roman" w:hAnsi="Times New Roman"/>
          <w:b/>
          <w:sz w:val="24"/>
          <w:szCs w:val="24"/>
        </w:rPr>
        <w:t>F</w:t>
      </w:r>
      <w:r w:rsidRPr="00872293">
        <w:rPr>
          <w:rFonts w:ascii="Times New Roman" w:hAnsi="Times New Roman"/>
          <w:b/>
          <w:sz w:val="24"/>
          <w:szCs w:val="24"/>
        </w:rPr>
        <w:t>. 1962.</w:t>
      </w:r>
      <w:r w:rsidRPr="00872293">
        <w:rPr>
          <w:rFonts w:ascii="Times New Roman" w:hAnsi="Times New Roman"/>
          <w:sz w:val="24"/>
          <w:szCs w:val="24"/>
        </w:rPr>
        <w:t xml:space="preserve"> The structure and metabolism of a Puerto Rican Red Mangrove forest in May. </w:t>
      </w:r>
      <w:r w:rsidRPr="00872293">
        <w:rPr>
          <w:rFonts w:ascii="Times New Roman" w:hAnsi="Times New Roman"/>
          <w:i/>
          <w:sz w:val="24"/>
          <w:szCs w:val="24"/>
        </w:rPr>
        <w:t>Ecology</w:t>
      </w:r>
      <w:r w:rsidRPr="00872293">
        <w:rPr>
          <w:rFonts w:ascii="Times New Roman" w:hAnsi="Times New Roman"/>
          <w:sz w:val="24"/>
          <w:szCs w:val="24"/>
        </w:rPr>
        <w:t xml:space="preserve"> </w:t>
      </w:r>
      <w:r w:rsidRPr="00872293">
        <w:rPr>
          <w:rFonts w:ascii="Times New Roman" w:hAnsi="Times New Roman"/>
          <w:b/>
          <w:sz w:val="24"/>
          <w:szCs w:val="24"/>
        </w:rPr>
        <w:t>4</w:t>
      </w:r>
      <w:r w:rsidR="00C814CC" w:rsidRPr="00872293">
        <w:rPr>
          <w:rFonts w:ascii="Times New Roman" w:hAnsi="Times New Roman"/>
          <w:b/>
          <w:sz w:val="24"/>
          <w:szCs w:val="24"/>
        </w:rPr>
        <w:t>3:</w:t>
      </w:r>
      <w:r w:rsidRPr="00872293">
        <w:rPr>
          <w:rFonts w:ascii="Times New Roman" w:hAnsi="Times New Roman"/>
          <w:sz w:val="24"/>
          <w:szCs w:val="24"/>
        </w:rPr>
        <w:t xml:space="preserve"> 9-19.</w:t>
      </w:r>
    </w:p>
    <w:p w14:paraId="1965E653" w14:textId="77777777" w:rsidR="00842AC4" w:rsidRPr="00872293" w:rsidRDefault="00C814CC" w:rsidP="00F8391C">
      <w:pPr>
        <w:pStyle w:val="NormalWeb"/>
        <w:spacing w:before="0" w:beforeAutospacing="0" w:after="240" w:afterAutospacing="0" w:line="360" w:lineRule="auto"/>
        <w:ind w:left="43"/>
        <w:rPr>
          <w:rFonts w:ascii="Times New Roman" w:hAnsi="Times New Roman"/>
          <w:sz w:val="24"/>
          <w:szCs w:val="24"/>
          <w:shd w:val="clear" w:color="auto" w:fill="D3D3D3"/>
        </w:rPr>
      </w:pPr>
      <w:r w:rsidRPr="00872293">
        <w:rPr>
          <w:rFonts w:ascii="Times New Roman" w:eastAsia="Times New Roman" w:hAnsi="Times New Roman"/>
          <w:b/>
          <w:sz w:val="24"/>
          <w:szCs w:val="24"/>
        </w:rPr>
        <w:t>Gordon WS</w:t>
      </w:r>
      <w:r w:rsidR="003A01E8" w:rsidRPr="00872293">
        <w:rPr>
          <w:rFonts w:ascii="Times New Roman" w:eastAsia="Times New Roman" w:hAnsi="Times New Roman"/>
          <w:b/>
          <w:sz w:val="24"/>
          <w:szCs w:val="24"/>
        </w:rPr>
        <w:t>, Jackson</w:t>
      </w:r>
      <w:r w:rsidRPr="00872293">
        <w:rPr>
          <w:rFonts w:ascii="Times New Roman" w:eastAsia="Times New Roman" w:hAnsi="Times New Roman"/>
          <w:b/>
          <w:sz w:val="24"/>
          <w:szCs w:val="24"/>
        </w:rPr>
        <w:t xml:space="preserve"> R</w:t>
      </w:r>
      <w:r w:rsidR="00BD53DF" w:rsidRPr="00872293">
        <w:rPr>
          <w:rFonts w:ascii="Times New Roman" w:eastAsia="Times New Roman" w:hAnsi="Times New Roman"/>
          <w:b/>
          <w:sz w:val="24"/>
          <w:szCs w:val="24"/>
        </w:rPr>
        <w:t>B</w:t>
      </w:r>
      <w:r w:rsidR="003A01E8" w:rsidRPr="00872293">
        <w:rPr>
          <w:rFonts w:ascii="Times New Roman" w:eastAsia="Times New Roman" w:hAnsi="Times New Roman"/>
          <w:b/>
          <w:sz w:val="24"/>
          <w:szCs w:val="24"/>
        </w:rPr>
        <w:t>. 2000.</w:t>
      </w:r>
      <w:r w:rsidR="003A01E8" w:rsidRPr="00872293">
        <w:rPr>
          <w:rFonts w:ascii="Times New Roman" w:eastAsia="Times New Roman" w:hAnsi="Times New Roman"/>
          <w:sz w:val="24"/>
          <w:szCs w:val="24"/>
        </w:rPr>
        <w:t xml:space="preserve"> Nutrient concentrations in fine roots. </w:t>
      </w:r>
      <w:r w:rsidR="003A01E8" w:rsidRPr="00872293">
        <w:rPr>
          <w:rFonts w:ascii="Times New Roman" w:eastAsia="Times New Roman" w:hAnsi="Times New Roman"/>
          <w:i/>
          <w:sz w:val="24"/>
          <w:szCs w:val="24"/>
        </w:rPr>
        <w:t>Ecology</w:t>
      </w:r>
      <w:r w:rsidRPr="00872293">
        <w:rPr>
          <w:rFonts w:ascii="Times New Roman" w:eastAsia="Times New Roman" w:hAnsi="Times New Roman"/>
          <w:i/>
          <w:sz w:val="24"/>
          <w:szCs w:val="24"/>
        </w:rPr>
        <w:t xml:space="preserve"> </w:t>
      </w:r>
      <w:r w:rsidR="003A01E8" w:rsidRPr="00872293">
        <w:rPr>
          <w:rFonts w:ascii="Times New Roman" w:hAnsi="Times New Roman"/>
          <w:b/>
          <w:sz w:val="24"/>
          <w:szCs w:val="24"/>
        </w:rPr>
        <w:t>8</w:t>
      </w:r>
      <w:r w:rsidRPr="00872293">
        <w:rPr>
          <w:rFonts w:ascii="Times New Roman" w:hAnsi="Times New Roman"/>
          <w:b/>
          <w:sz w:val="24"/>
          <w:szCs w:val="24"/>
        </w:rPr>
        <w:t xml:space="preserve">1: </w:t>
      </w:r>
      <w:r w:rsidR="003A01E8" w:rsidRPr="00872293">
        <w:rPr>
          <w:rFonts w:ascii="Times New Roman" w:hAnsi="Times New Roman"/>
          <w:sz w:val="24"/>
          <w:szCs w:val="24"/>
        </w:rPr>
        <w:t>275–280.</w:t>
      </w:r>
    </w:p>
    <w:p w14:paraId="7541BE10" w14:textId="77777777" w:rsidR="00842AC4" w:rsidRPr="00872293" w:rsidRDefault="00C814CC" w:rsidP="00F8391C">
      <w:pPr>
        <w:pStyle w:val="NormalWeb"/>
        <w:spacing w:before="0" w:beforeAutospacing="0" w:after="240" w:afterAutospacing="0" w:line="360" w:lineRule="auto"/>
        <w:ind w:left="43"/>
        <w:rPr>
          <w:rFonts w:ascii="Times New Roman" w:hAnsi="Times New Roman"/>
          <w:sz w:val="24"/>
          <w:szCs w:val="24"/>
        </w:rPr>
      </w:pPr>
      <w:r w:rsidRPr="00872293">
        <w:rPr>
          <w:rFonts w:ascii="Times New Roman" w:hAnsi="Times New Roman"/>
          <w:b/>
          <w:sz w:val="24"/>
          <w:szCs w:val="24"/>
        </w:rPr>
        <w:t>Gower S</w:t>
      </w:r>
      <w:r w:rsidR="003A01E8" w:rsidRPr="00872293">
        <w:rPr>
          <w:rFonts w:ascii="Times New Roman" w:hAnsi="Times New Roman"/>
          <w:b/>
          <w:sz w:val="24"/>
          <w:szCs w:val="24"/>
        </w:rPr>
        <w:t>T. 1987.</w:t>
      </w:r>
      <w:r w:rsidR="003A01E8" w:rsidRPr="00872293">
        <w:rPr>
          <w:rFonts w:ascii="Times New Roman" w:hAnsi="Times New Roman"/>
          <w:sz w:val="24"/>
          <w:szCs w:val="24"/>
        </w:rPr>
        <w:t xml:space="preserve"> Relations between mineral nutrient availability and fine root biomass in two Costa Rican tropical wet forests: A hypothesis. </w:t>
      </w:r>
      <w:proofErr w:type="spellStart"/>
      <w:r w:rsidR="003A01E8" w:rsidRPr="00872293">
        <w:rPr>
          <w:rFonts w:ascii="Times New Roman" w:hAnsi="Times New Roman"/>
          <w:i/>
          <w:sz w:val="24"/>
          <w:szCs w:val="24"/>
        </w:rPr>
        <w:t>Biotropica</w:t>
      </w:r>
      <w:proofErr w:type="spellEnd"/>
      <w:r w:rsidR="003A01E8" w:rsidRPr="00872293">
        <w:rPr>
          <w:rFonts w:ascii="Times New Roman" w:hAnsi="Times New Roman"/>
          <w:sz w:val="24"/>
          <w:szCs w:val="24"/>
        </w:rPr>
        <w:t xml:space="preserve"> </w:t>
      </w:r>
      <w:r w:rsidR="003A01E8" w:rsidRPr="00872293">
        <w:rPr>
          <w:rFonts w:ascii="Times New Roman" w:hAnsi="Times New Roman"/>
          <w:b/>
          <w:sz w:val="24"/>
          <w:szCs w:val="24"/>
        </w:rPr>
        <w:t>1</w:t>
      </w:r>
      <w:r w:rsidRPr="00872293">
        <w:rPr>
          <w:rFonts w:ascii="Times New Roman" w:hAnsi="Times New Roman"/>
          <w:b/>
          <w:sz w:val="24"/>
          <w:szCs w:val="24"/>
        </w:rPr>
        <w:t xml:space="preserve">9: </w:t>
      </w:r>
      <w:r w:rsidR="003A01E8" w:rsidRPr="00872293">
        <w:rPr>
          <w:rFonts w:ascii="Times New Roman" w:hAnsi="Times New Roman"/>
          <w:sz w:val="24"/>
          <w:szCs w:val="24"/>
        </w:rPr>
        <w:t>171-175.</w:t>
      </w:r>
    </w:p>
    <w:p w14:paraId="762569B0" w14:textId="77777777" w:rsidR="00842AC4" w:rsidRPr="00872293" w:rsidRDefault="00C814CC" w:rsidP="00F8391C">
      <w:pPr>
        <w:pStyle w:val="NormalWeb"/>
        <w:spacing w:before="0" w:beforeAutospacing="0" w:after="240" w:afterAutospacing="0" w:line="360" w:lineRule="auto"/>
        <w:ind w:left="43"/>
        <w:rPr>
          <w:rFonts w:ascii="Times New Roman" w:hAnsi="Times New Roman"/>
          <w:sz w:val="24"/>
          <w:szCs w:val="24"/>
        </w:rPr>
      </w:pPr>
      <w:r w:rsidRPr="00872293">
        <w:rPr>
          <w:rFonts w:ascii="Times New Roman" w:hAnsi="Times New Roman"/>
          <w:b/>
          <w:sz w:val="24"/>
          <w:szCs w:val="24"/>
        </w:rPr>
        <w:t>Hanson PJ</w:t>
      </w:r>
      <w:r w:rsidR="003A01E8" w:rsidRPr="00872293">
        <w:rPr>
          <w:rFonts w:ascii="Times New Roman" w:hAnsi="Times New Roman"/>
          <w:b/>
          <w:sz w:val="24"/>
          <w:szCs w:val="24"/>
        </w:rPr>
        <w:t>, Edwards</w:t>
      </w:r>
      <w:r w:rsidRPr="00872293">
        <w:rPr>
          <w:rFonts w:ascii="Times New Roman" w:hAnsi="Times New Roman"/>
          <w:b/>
          <w:sz w:val="24"/>
          <w:szCs w:val="24"/>
        </w:rPr>
        <w:t xml:space="preserve"> NT</w:t>
      </w:r>
      <w:r w:rsidR="003A01E8" w:rsidRPr="00872293">
        <w:rPr>
          <w:rFonts w:ascii="Times New Roman" w:hAnsi="Times New Roman"/>
          <w:b/>
          <w:sz w:val="24"/>
          <w:szCs w:val="24"/>
        </w:rPr>
        <w:t>, Garten</w:t>
      </w:r>
      <w:r w:rsidRPr="00872293">
        <w:rPr>
          <w:rFonts w:ascii="Times New Roman" w:hAnsi="Times New Roman"/>
          <w:b/>
          <w:sz w:val="24"/>
          <w:szCs w:val="24"/>
        </w:rPr>
        <w:t xml:space="preserve"> CT,</w:t>
      </w:r>
      <w:r w:rsidR="003A01E8" w:rsidRPr="00872293">
        <w:rPr>
          <w:rFonts w:ascii="Times New Roman" w:hAnsi="Times New Roman"/>
          <w:b/>
          <w:sz w:val="24"/>
          <w:szCs w:val="24"/>
        </w:rPr>
        <w:t xml:space="preserve"> Andrews</w:t>
      </w:r>
      <w:r w:rsidRPr="00872293">
        <w:rPr>
          <w:rFonts w:ascii="Times New Roman" w:hAnsi="Times New Roman"/>
          <w:b/>
          <w:sz w:val="24"/>
          <w:szCs w:val="24"/>
        </w:rPr>
        <w:t xml:space="preserve"> J</w:t>
      </w:r>
      <w:r w:rsidR="002678C6" w:rsidRPr="00872293">
        <w:rPr>
          <w:rFonts w:ascii="Times New Roman" w:hAnsi="Times New Roman"/>
          <w:b/>
          <w:sz w:val="24"/>
          <w:szCs w:val="24"/>
        </w:rPr>
        <w:t>A</w:t>
      </w:r>
      <w:r w:rsidR="003A01E8" w:rsidRPr="00872293">
        <w:rPr>
          <w:rFonts w:ascii="Times New Roman" w:hAnsi="Times New Roman"/>
          <w:b/>
          <w:sz w:val="24"/>
          <w:szCs w:val="24"/>
        </w:rPr>
        <w:t>. 2000.</w:t>
      </w:r>
      <w:r w:rsidR="003A01E8" w:rsidRPr="00872293">
        <w:rPr>
          <w:rFonts w:ascii="Times New Roman" w:hAnsi="Times New Roman"/>
          <w:sz w:val="24"/>
          <w:szCs w:val="24"/>
        </w:rPr>
        <w:t xml:space="preserve"> Separating root and soil microbial contributions to soil respiration: A review of methods and observations. </w:t>
      </w:r>
      <w:r w:rsidR="003A01E8" w:rsidRPr="00872293">
        <w:rPr>
          <w:rFonts w:ascii="Times New Roman" w:hAnsi="Times New Roman"/>
          <w:i/>
          <w:sz w:val="24"/>
          <w:szCs w:val="24"/>
        </w:rPr>
        <w:t>Biogeochemistry</w:t>
      </w:r>
      <w:r w:rsidR="003A01E8" w:rsidRPr="00872293">
        <w:rPr>
          <w:rFonts w:ascii="Times New Roman" w:hAnsi="Times New Roman"/>
          <w:sz w:val="24"/>
          <w:szCs w:val="24"/>
        </w:rPr>
        <w:t xml:space="preserve"> </w:t>
      </w:r>
      <w:r w:rsidR="003A01E8" w:rsidRPr="00872293">
        <w:rPr>
          <w:rFonts w:ascii="Times New Roman" w:hAnsi="Times New Roman"/>
          <w:b/>
          <w:sz w:val="24"/>
          <w:szCs w:val="24"/>
        </w:rPr>
        <w:t>4</w:t>
      </w:r>
      <w:r w:rsidRPr="00872293">
        <w:rPr>
          <w:rFonts w:ascii="Times New Roman" w:hAnsi="Times New Roman"/>
          <w:b/>
          <w:sz w:val="24"/>
          <w:szCs w:val="24"/>
        </w:rPr>
        <w:t>8:</w:t>
      </w:r>
      <w:r w:rsidR="003A01E8" w:rsidRPr="00872293">
        <w:rPr>
          <w:rFonts w:ascii="Times New Roman" w:hAnsi="Times New Roman"/>
          <w:sz w:val="24"/>
          <w:szCs w:val="24"/>
        </w:rPr>
        <w:t xml:space="preserve"> 115-146</w:t>
      </w:r>
      <w:r w:rsidR="00573DB4" w:rsidRPr="00872293">
        <w:rPr>
          <w:rFonts w:ascii="Times New Roman" w:hAnsi="Times New Roman"/>
          <w:sz w:val="24"/>
          <w:szCs w:val="24"/>
        </w:rPr>
        <w:t>.</w:t>
      </w:r>
    </w:p>
    <w:p w14:paraId="14548B23" w14:textId="48C7F792" w:rsidR="00842AC4" w:rsidRPr="00872293" w:rsidRDefault="00C814CC"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Harmon ME</w:t>
      </w:r>
      <w:r w:rsidR="003A01E8" w:rsidRPr="00872293">
        <w:rPr>
          <w:rFonts w:ascii="Times New Roman" w:hAnsi="Times New Roman"/>
          <w:b/>
          <w:sz w:val="24"/>
          <w:szCs w:val="24"/>
        </w:rPr>
        <w:t>, Silver</w:t>
      </w:r>
      <w:r w:rsidR="00625D8C" w:rsidRPr="00872293">
        <w:rPr>
          <w:rFonts w:ascii="Times New Roman" w:hAnsi="Times New Roman"/>
          <w:b/>
          <w:sz w:val="24"/>
          <w:szCs w:val="24"/>
        </w:rPr>
        <w:t xml:space="preserve"> WL</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Fasth</w:t>
      </w:r>
      <w:proofErr w:type="spellEnd"/>
      <w:r w:rsidR="00625D8C" w:rsidRPr="00872293">
        <w:rPr>
          <w:rFonts w:ascii="Times New Roman" w:hAnsi="Times New Roman"/>
          <w:b/>
          <w:sz w:val="24"/>
          <w:szCs w:val="24"/>
        </w:rPr>
        <w:t xml:space="preserve"> B, Chen H</w:t>
      </w:r>
      <w:r w:rsidR="00EE28B5" w:rsidRPr="00872293">
        <w:rPr>
          <w:rFonts w:ascii="Times New Roman" w:hAnsi="Times New Roman"/>
          <w:b/>
          <w:sz w:val="24"/>
          <w:szCs w:val="24"/>
        </w:rPr>
        <w:t>,</w:t>
      </w:r>
      <w:r w:rsidR="00625D8C" w:rsidRPr="00872293">
        <w:rPr>
          <w:rFonts w:ascii="Times New Roman" w:hAnsi="Times New Roman"/>
          <w:b/>
          <w:sz w:val="24"/>
          <w:szCs w:val="24"/>
        </w:rPr>
        <w:t xml:space="preserve"> Burke IC</w:t>
      </w:r>
      <w:r w:rsidR="00EE28B5" w:rsidRPr="00872293">
        <w:rPr>
          <w:rFonts w:ascii="Times New Roman" w:hAnsi="Times New Roman"/>
          <w:b/>
          <w:sz w:val="24"/>
          <w:szCs w:val="24"/>
        </w:rPr>
        <w:t>,</w:t>
      </w:r>
      <w:r w:rsidR="00625D8C" w:rsidRPr="00872293">
        <w:rPr>
          <w:rFonts w:ascii="Times New Roman" w:hAnsi="Times New Roman"/>
          <w:b/>
          <w:sz w:val="24"/>
          <w:szCs w:val="24"/>
        </w:rPr>
        <w:t xml:space="preserve"> Parton WJ</w:t>
      </w:r>
      <w:r w:rsidR="00EE28B5" w:rsidRPr="00872293">
        <w:rPr>
          <w:rFonts w:ascii="Times New Roman" w:hAnsi="Times New Roman"/>
          <w:b/>
          <w:sz w:val="24"/>
          <w:szCs w:val="24"/>
        </w:rPr>
        <w:t>,</w:t>
      </w:r>
      <w:r w:rsidR="00625D8C" w:rsidRPr="00872293">
        <w:rPr>
          <w:rFonts w:ascii="Times New Roman" w:hAnsi="Times New Roman"/>
          <w:b/>
          <w:sz w:val="24"/>
          <w:szCs w:val="24"/>
        </w:rPr>
        <w:t xml:space="preserve"> Hart</w:t>
      </w:r>
      <w:r w:rsidR="003A01E8" w:rsidRPr="00872293">
        <w:rPr>
          <w:rFonts w:ascii="Times New Roman" w:hAnsi="Times New Roman"/>
          <w:b/>
          <w:sz w:val="24"/>
          <w:szCs w:val="24"/>
        </w:rPr>
        <w:t xml:space="preserve"> </w:t>
      </w:r>
      <w:r w:rsidR="00625D8C" w:rsidRPr="00872293">
        <w:rPr>
          <w:rFonts w:ascii="Times New Roman" w:hAnsi="Times New Roman"/>
          <w:b/>
          <w:sz w:val="24"/>
          <w:szCs w:val="24"/>
        </w:rPr>
        <w:t>SC</w:t>
      </w:r>
      <w:r w:rsidR="00EE28B5" w:rsidRPr="00872293">
        <w:rPr>
          <w:rFonts w:ascii="Times New Roman" w:hAnsi="Times New Roman"/>
          <w:b/>
          <w:sz w:val="24"/>
          <w:szCs w:val="24"/>
        </w:rPr>
        <w:t xml:space="preserve">, </w:t>
      </w:r>
      <w:r w:rsidR="00625D8C" w:rsidRPr="00872293">
        <w:rPr>
          <w:rFonts w:ascii="Times New Roman" w:hAnsi="Times New Roman"/>
          <w:b/>
          <w:sz w:val="24"/>
          <w:szCs w:val="24"/>
        </w:rPr>
        <w:t>Currie WS</w:t>
      </w:r>
      <w:r w:rsidR="00EE28B5" w:rsidRPr="00872293">
        <w:rPr>
          <w:rFonts w:ascii="Times New Roman" w:hAnsi="Times New Roman"/>
          <w:b/>
          <w:sz w:val="24"/>
          <w:szCs w:val="24"/>
        </w:rPr>
        <w:t>,</w:t>
      </w:r>
      <w:r w:rsidR="003A01E8" w:rsidRPr="00872293">
        <w:rPr>
          <w:rFonts w:ascii="Times New Roman" w:hAnsi="Times New Roman"/>
          <w:b/>
          <w:sz w:val="24"/>
          <w:szCs w:val="24"/>
        </w:rPr>
        <w:t xml:space="preserve"> </w:t>
      </w:r>
      <w:proofErr w:type="spellStart"/>
      <w:r w:rsidR="00625D8C" w:rsidRPr="00872293">
        <w:rPr>
          <w:rFonts w:ascii="Times New Roman" w:hAnsi="Times New Roman"/>
          <w:b/>
          <w:sz w:val="24"/>
          <w:szCs w:val="24"/>
        </w:rPr>
        <w:t>Laundre</w:t>
      </w:r>
      <w:proofErr w:type="spellEnd"/>
      <w:r w:rsidR="00625D8C" w:rsidRPr="00872293">
        <w:rPr>
          <w:rFonts w:ascii="Times New Roman" w:hAnsi="Times New Roman"/>
          <w:b/>
          <w:sz w:val="24"/>
          <w:szCs w:val="24"/>
        </w:rPr>
        <w:t xml:space="preserve"> J</w:t>
      </w:r>
      <w:r w:rsidR="00EE28B5" w:rsidRPr="00872293">
        <w:rPr>
          <w:rFonts w:ascii="Times New Roman" w:hAnsi="Times New Roman"/>
          <w:b/>
          <w:sz w:val="24"/>
          <w:szCs w:val="24"/>
        </w:rPr>
        <w:t>,</w:t>
      </w:r>
      <w:r w:rsidR="00625D8C" w:rsidRPr="00872293">
        <w:rPr>
          <w:rFonts w:ascii="Times New Roman" w:hAnsi="Times New Roman"/>
          <w:b/>
          <w:sz w:val="24"/>
          <w:szCs w:val="24"/>
        </w:rPr>
        <w:t xml:space="preserve"> Wright</w:t>
      </w:r>
      <w:r w:rsidR="003A01E8" w:rsidRPr="00872293">
        <w:rPr>
          <w:rFonts w:ascii="Times New Roman" w:hAnsi="Times New Roman"/>
          <w:b/>
          <w:sz w:val="24"/>
          <w:szCs w:val="24"/>
        </w:rPr>
        <w:t xml:space="preserve"> </w:t>
      </w:r>
      <w:r w:rsidR="00625D8C" w:rsidRPr="00872293">
        <w:rPr>
          <w:rFonts w:ascii="Times New Roman" w:hAnsi="Times New Roman"/>
          <w:b/>
          <w:sz w:val="24"/>
          <w:szCs w:val="24"/>
        </w:rPr>
        <w:t>J</w:t>
      </w:r>
      <w:r w:rsidR="00EE28B5" w:rsidRPr="00872293">
        <w:rPr>
          <w:rFonts w:ascii="Times New Roman" w:hAnsi="Times New Roman"/>
          <w:b/>
          <w:sz w:val="24"/>
          <w:szCs w:val="24"/>
        </w:rPr>
        <w:t xml:space="preserve">, </w:t>
      </w:r>
      <w:r w:rsidR="00A025FD" w:rsidRPr="00872293">
        <w:rPr>
          <w:rFonts w:ascii="Times New Roman" w:hAnsi="Times New Roman"/>
          <w:b/>
          <w:i/>
          <w:iCs/>
          <w:sz w:val="24"/>
          <w:szCs w:val="24"/>
        </w:rPr>
        <w:t>et al</w:t>
      </w:r>
      <w:r w:rsidR="00A025FD" w:rsidRPr="00872293">
        <w:rPr>
          <w:rFonts w:ascii="Times New Roman" w:hAnsi="Times New Roman"/>
          <w:b/>
          <w:sz w:val="24"/>
          <w:szCs w:val="24"/>
        </w:rPr>
        <w:t xml:space="preserve">. </w:t>
      </w:r>
      <w:r w:rsidR="003A01E8" w:rsidRPr="00872293">
        <w:rPr>
          <w:rFonts w:ascii="Times New Roman" w:hAnsi="Times New Roman"/>
          <w:b/>
          <w:sz w:val="24"/>
          <w:szCs w:val="24"/>
        </w:rPr>
        <w:t>2009</w:t>
      </w:r>
      <w:r w:rsidR="003B4F63" w:rsidRPr="00872293">
        <w:rPr>
          <w:rFonts w:ascii="Times New Roman" w:hAnsi="Times New Roman"/>
          <w:b/>
          <w:sz w:val="24"/>
          <w:szCs w:val="24"/>
        </w:rPr>
        <w:t>.</w:t>
      </w:r>
      <w:r w:rsidR="003B4F63" w:rsidRPr="00872293">
        <w:rPr>
          <w:rFonts w:ascii="Times New Roman" w:hAnsi="Times New Roman"/>
          <w:sz w:val="24"/>
          <w:szCs w:val="24"/>
        </w:rPr>
        <w:t xml:space="preserve"> </w:t>
      </w:r>
      <w:r w:rsidR="003A01E8" w:rsidRPr="00872293">
        <w:rPr>
          <w:rFonts w:ascii="Times New Roman" w:hAnsi="Times New Roman"/>
          <w:sz w:val="24"/>
          <w:szCs w:val="24"/>
        </w:rPr>
        <w:t xml:space="preserve">Long-term patterns of mass loss during the decomposition of leaf and fine root litter: An </w:t>
      </w:r>
      <w:proofErr w:type="spellStart"/>
      <w:r w:rsidR="003A01E8" w:rsidRPr="00872293">
        <w:rPr>
          <w:rFonts w:ascii="Times New Roman" w:hAnsi="Times New Roman"/>
          <w:sz w:val="24"/>
          <w:szCs w:val="24"/>
        </w:rPr>
        <w:t>intersite</w:t>
      </w:r>
      <w:proofErr w:type="spellEnd"/>
      <w:r w:rsidR="003A01E8" w:rsidRPr="00872293">
        <w:rPr>
          <w:rFonts w:ascii="Times New Roman" w:hAnsi="Times New Roman"/>
          <w:sz w:val="24"/>
          <w:szCs w:val="24"/>
        </w:rPr>
        <w:t xml:space="preserve"> comparison.</w:t>
      </w:r>
      <w:r w:rsidR="003A01E8" w:rsidRPr="00872293">
        <w:rPr>
          <w:rFonts w:ascii="Times New Roman" w:hAnsi="Times New Roman"/>
          <w:i/>
          <w:sz w:val="24"/>
          <w:szCs w:val="24"/>
        </w:rPr>
        <w:t xml:space="preserve"> Glo</w:t>
      </w:r>
      <w:r w:rsidR="00885A48" w:rsidRPr="00872293">
        <w:rPr>
          <w:rFonts w:ascii="Times New Roman" w:hAnsi="Times New Roman"/>
          <w:i/>
          <w:sz w:val="24"/>
          <w:szCs w:val="24"/>
        </w:rPr>
        <w:t>b</w:t>
      </w:r>
      <w:r w:rsidR="00EB5F97" w:rsidRPr="00872293">
        <w:rPr>
          <w:rFonts w:ascii="Times New Roman" w:hAnsi="Times New Roman"/>
          <w:i/>
          <w:sz w:val="24"/>
          <w:szCs w:val="24"/>
        </w:rPr>
        <w:t>al</w:t>
      </w:r>
      <w:r w:rsidR="003A01E8" w:rsidRPr="00872293">
        <w:rPr>
          <w:rFonts w:ascii="Times New Roman" w:hAnsi="Times New Roman"/>
          <w:i/>
          <w:sz w:val="24"/>
          <w:szCs w:val="24"/>
        </w:rPr>
        <w:t xml:space="preserve"> Chang</w:t>
      </w:r>
      <w:r w:rsidR="00EB5F97" w:rsidRPr="00872293">
        <w:rPr>
          <w:rFonts w:ascii="Times New Roman" w:hAnsi="Times New Roman"/>
          <w:i/>
          <w:sz w:val="24"/>
          <w:szCs w:val="24"/>
        </w:rPr>
        <w:t>e</w:t>
      </w:r>
      <w:r w:rsidR="003A01E8" w:rsidRPr="00872293">
        <w:rPr>
          <w:rFonts w:ascii="Times New Roman" w:hAnsi="Times New Roman"/>
          <w:i/>
          <w:sz w:val="24"/>
          <w:szCs w:val="24"/>
        </w:rPr>
        <w:t xml:space="preserve"> Biol</w:t>
      </w:r>
      <w:r w:rsidR="00625D8C" w:rsidRPr="00872293">
        <w:rPr>
          <w:rFonts w:ascii="Times New Roman" w:hAnsi="Times New Roman"/>
          <w:i/>
          <w:sz w:val="24"/>
          <w:szCs w:val="24"/>
        </w:rPr>
        <w:t>ogy</w:t>
      </w:r>
      <w:r w:rsidR="003A01E8" w:rsidRPr="00872293">
        <w:rPr>
          <w:rFonts w:ascii="Times New Roman" w:hAnsi="Times New Roman"/>
          <w:i/>
          <w:sz w:val="24"/>
          <w:szCs w:val="24"/>
        </w:rPr>
        <w:t xml:space="preserve"> </w:t>
      </w:r>
      <w:r w:rsidR="003A01E8" w:rsidRPr="00872293">
        <w:rPr>
          <w:rFonts w:ascii="Times New Roman" w:hAnsi="Times New Roman"/>
          <w:b/>
          <w:sz w:val="24"/>
          <w:szCs w:val="24"/>
        </w:rPr>
        <w:t>1</w:t>
      </w:r>
      <w:r w:rsidR="00625D8C" w:rsidRPr="00872293">
        <w:rPr>
          <w:rFonts w:ascii="Times New Roman" w:hAnsi="Times New Roman"/>
          <w:b/>
          <w:sz w:val="24"/>
          <w:szCs w:val="24"/>
        </w:rPr>
        <w:t>5:</w:t>
      </w:r>
      <w:r w:rsidR="003A01E8" w:rsidRPr="00872293">
        <w:rPr>
          <w:rFonts w:ascii="Times New Roman" w:hAnsi="Times New Roman"/>
          <w:sz w:val="24"/>
          <w:szCs w:val="24"/>
        </w:rPr>
        <w:t xml:space="preserve"> 1320–1338.</w:t>
      </w:r>
    </w:p>
    <w:p w14:paraId="0A6A7D7B" w14:textId="77777777" w:rsidR="00842AC4" w:rsidRPr="00872293" w:rsidRDefault="00625D8C"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Harris N</w:t>
      </w:r>
      <w:r w:rsidR="003A01E8" w:rsidRPr="00872293">
        <w:rPr>
          <w:rFonts w:ascii="Times New Roman" w:hAnsi="Times New Roman"/>
          <w:b/>
          <w:sz w:val="24"/>
          <w:szCs w:val="24"/>
        </w:rPr>
        <w:t>L. 2012.</w:t>
      </w:r>
      <w:r w:rsidR="003A01E8" w:rsidRPr="00872293">
        <w:rPr>
          <w:rFonts w:ascii="Times New Roman" w:hAnsi="Times New Roman"/>
          <w:sz w:val="24"/>
          <w:szCs w:val="24"/>
        </w:rPr>
        <w:t xml:space="preserve"> General description of the research area.</w:t>
      </w:r>
      <w:r w:rsidR="003A01E8" w:rsidRPr="00872293">
        <w:rPr>
          <w:rFonts w:ascii="Times New Roman" w:hAnsi="Times New Roman"/>
          <w:iCs/>
          <w:sz w:val="24"/>
          <w:szCs w:val="24"/>
        </w:rPr>
        <w:t xml:space="preserve"> In</w:t>
      </w:r>
      <w:r w:rsidR="0003427F" w:rsidRPr="00872293">
        <w:rPr>
          <w:rFonts w:ascii="Times New Roman" w:hAnsi="Times New Roman"/>
          <w:sz w:val="24"/>
          <w:szCs w:val="24"/>
        </w:rPr>
        <w:t xml:space="preserve"> </w:t>
      </w:r>
      <w:r w:rsidR="003A01E8" w:rsidRPr="00872293">
        <w:rPr>
          <w:rFonts w:ascii="Times New Roman" w:hAnsi="Times New Roman"/>
          <w:sz w:val="24"/>
          <w:szCs w:val="24"/>
        </w:rPr>
        <w:t xml:space="preserve">N. L. Harris, A.E. Lugo, S. Brown, </w:t>
      </w:r>
      <w:r w:rsidR="00EC5331" w:rsidRPr="00872293">
        <w:rPr>
          <w:rFonts w:ascii="Times New Roman" w:hAnsi="Times New Roman"/>
          <w:sz w:val="24"/>
          <w:szCs w:val="24"/>
        </w:rPr>
        <w:t>&amp;</w:t>
      </w:r>
      <w:r w:rsidR="003A01E8" w:rsidRPr="00872293">
        <w:rPr>
          <w:rFonts w:ascii="Times New Roman" w:hAnsi="Times New Roman"/>
          <w:sz w:val="24"/>
          <w:szCs w:val="24"/>
        </w:rPr>
        <w:t xml:space="preserve"> T. </w:t>
      </w:r>
      <w:proofErr w:type="spellStart"/>
      <w:r w:rsidR="003A01E8" w:rsidRPr="00872293">
        <w:rPr>
          <w:rFonts w:ascii="Times New Roman" w:hAnsi="Times New Roman"/>
          <w:sz w:val="24"/>
          <w:szCs w:val="24"/>
        </w:rPr>
        <w:t>Heatsill</w:t>
      </w:r>
      <w:proofErr w:type="spellEnd"/>
      <w:r w:rsidR="003A01E8" w:rsidRPr="00872293">
        <w:rPr>
          <w:rFonts w:ascii="Times New Roman" w:hAnsi="Times New Roman"/>
          <w:sz w:val="24"/>
          <w:szCs w:val="24"/>
        </w:rPr>
        <w:t xml:space="preserve"> (Eds.). </w:t>
      </w:r>
      <w:r w:rsidR="003A01E8" w:rsidRPr="00872293">
        <w:rPr>
          <w:rFonts w:ascii="Times New Roman" w:hAnsi="Times New Roman"/>
          <w:i/>
          <w:iCs/>
          <w:sz w:val="24"/>
          <w:szCs w:val="24"/>
        </w:rPr>
        <w:t>Luquillo experimental forest: research history and opportunities</w:t>
      </w:r>
      <w:r w:rsidR="00C744AE" w:rsidRPr="00872293">
        <w:rPr>
          <w:rFonts w:ascii="Times New Roman" w:hAnsi="Times New Roman"/>
          <w:sz w:val="24"/>
          <w:szCs w:val="24"/>
        </w:rPr>
        <w:t xml:space="preserve"> (</w:t>
      </w:r>
      <w:r w:rsidR="003A01E8" w:rsidRPr="00872293">
        <w:rPr>
          <w:rFonts w:ascii="Times New Roman" w:hAnsi="Times New Roman"/>
          <w:sz w:val="24"/>
          <w:szCs w:val="24"/>
        </w:rPr>
        <w:t>p. 3</w:t>
      </w:r>
      <w:r w:rsidR="00C744AE" w:rsidRPr="00872293">
        <w:rPr>
          <w:rFonts w:ascii="Times New Roman" w:hAnsi="Times New Roman"/>
          <w:sz w:val="24"/>
          <w:szCs w:val="24"/>
        </w:rPr>
        <w:t xml:space="preserve">). </w:t>
      </w:r>
      <w:r w:rsidR="003A01E8" w:rsidRPr="00872293">
        <w:rPr>
          <w:rFonts w:ascii="Times New Roman" w:hAnsi="Times New Roman"/>
          <w:sz w:val="24"/>
          <w:szCs w:val="24"/>
        </w:rPr>
        <w:t>Washington D.C.</w:t>
      </w:r>
      <w:r w:rsidR="00C744AE" w:rsidRPr="00872293">
        <w:rPr>
          <w:rFonts w:ascii="Times New Roman" w:hAnsi="Times New Roman"/>
          <w:sz w:val="24"/>
          <w:szCs w:val="24"/>
        </w:rPr>
        <w:t xml:space="preserve"> U.S. Department of Agriculture.</w:t>
      </w:r>
    </w:p>
    <w:p w14:paraId="325CA144" w14:textId="77777777" w:rsidR="00842AC4" w:rsidRPr="00872293" w:rsidRDefault="008811D9"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Irizarry I.</w:t>
      </w:r>
      <w:r w:rsidR="003A01E8" w:rsidRPr="00872293">
        <w:rPr>
          <w:rFonts w:ascii="Times New Roman" w:hAnsi="Times New Roman"/>
          <w:b/>
          <w:sz w:val="24"/>
          <w:szCs w:val="24"/>
        </w:rPr>
        <w:t xml:space="preserve"> White</w:t>
      </w:r>
      <w:r w:rsidRPr="00872293">
        <w:rPr>
          <w:rFonts w:ascii="Times New Roman" w:hAnsi="Times New Roman"/>
          <w:b/>
          <w:sz w:val="24"/>
          <w:szCs w:val="24"/>
        </w:rPr>
        <w:t xml:space="preserve"> J</w:t>
      </w:r>
      <w:r w:rsidR="00980EFB" w:rsidRPr="00872293">
        <w:rPr>
          <w:rFonts w:ascii="Times New Roman" w:hAnsi="Times New Roman"/>
          <w:b/>
          <w:sz w:val="24"/>
          <w:szCs w:val="24"/>
        </w:rPr>
        <w:t>F</w:t>
      </w:r>
      <w:r w:rsidR="003A01E8" w:rsidRPr="00872293">
        <w:rPr>
          <w:rFonts w:ascii="Times New Roman" w:hAnsi="Times New Roman"/>
          <w:b/>
          <w:sz w:val="24"/>
          <w:szCs w:val="24"/>
        </w:rPr>
        <w:t>. 2017.</w:t>
      </w:r>
      <w:r w:rsidR="003A01E8" w:rsidRPr="00872293">
        <w:rPr>
          <w:rFonts w:ascii="Times New Roman" w:hAnsi="Times New Roman"/>
          <w:sz w:val="24"/>
          <w:szCs w:val="24"/>
        </w:rPr>
        <w:t xml:space="preserve"> Application of bacteria from non-cultivated plants to promote growth, alter root architecture and alleviate salt stress of cotton.</w:t>
      </w:r>
      <w:r w:rsidR="003A01E8" w:rsidRPr="00872293">
        <w:rPr>
          <w:rFonts w:ascii="Times New Roman" w:hAnsi="Times New Roman"/>
          <w:i/>
          <w:sz w:val="24"/>
          <w:szCs w:val="24"/>
        </w:rPr>
        <w:t xml:space="preserve"> J</w:t>
      </w:r>
      <w:r w:rsidR="00FF3AD3" w:rsidRPr="00872293">
        <w:rPr>
          <w:rFonts w:ascii="Times New Roman" w:hAnsi="Times New Roman"/>
          <w:i/>
          <w:sz w:val="24"/>
          <w:szCs w:val="24"/>
        </w:rPr>
        <w:t>ournal of</w:t>
      </w:r>
      <w:r w:rsidR="003A01E8" w:rsidRPr="00872293">
        <w:rPr>
          <w:rFonts w:ascii="Times New Roman" w:hAnsi="Times New Roman"/>
          <w:i/>
          <w:sz w:val="24"/>
          <w:szCs w:val="24"/>
        </w:rPr>
        <w:t xml:space="preserve"> App</w:t>
      </w:r>
      <w:r w:rsidR="003330DB" w:rsidRPr="00872293">
        <w:rPr>
          <w:rFonts w:ascii="Times New Roman" w:hAnsi="Times New Roman"/>
          <w:i/>
          <w:sz w:val="24"/>
          <w:szCs w:val="24"/>
        </w:rPr>
        <w:t>l</w:t>
      </w:r>
      <w:r w:rsidR="00FF3AD3" w:rsidRPr="00872293">
        <w:rPr>
          <w:rFonts w:ascii="Times New Roman" w:hAnsi="Times New Roman"/>
          <w:i/>
          <w:sz w:val="24"/>
          <w:szCs w:val="24"/>
        </w:rPr>
        <w:t>ied</w:t>
      </w:r>
      <w:r w:rsidR="003A01E8" w:rsidRPr="00872293">
        <w:rPr>
          <w:rFonts w:ascii="Times New Roman" w:hAnsi="Times New Roman"/>
          <w:i/>
          <w:sz w:val="24"/>
          <w:szCs w:val="24"/>
        </w:rPr>
        <w:t xml:space="preserve"> Microbiol</w:t>
      </w:r>
      <w:r w:rsidRPr="00872293">
        <w:rPr>
          <w:rFonts w:ascii="Times New Roman" w:hAnsi="Times New Roman"/>
          <w:i/>
          <w:sz w:val="24"/>
          <w:szCs w:val="24"/>
        </w:rPr>
        <w:t>ogy</w:t>
      </w:r>
      <w:r w:rsidR="003A01E8" w:rsidRPr="00872293">
        <w:rPr>
          <w:rFonts w:ascii="Times New Roman" w:hAnsi="Times New Roman"/>
          <w:i/>
          <w:sz w:val="24"/>
          <w:szCs w:val="24"/>
        </w:rPr>
        <w:t xml:space="preserve"> </w:t>
      </w:r>
      <w:r w:rsidR="003A01E8" w:rsidRPr="00872293">
        <w:rPr>
          <w:rFonts w:ascii="Times New Roman" w:hAnsi="Times New Roman"/>
          <w:b/>
          <w:sz w:val="24"/>
          <w:szCs w:val="24"/>
        </w:rPr>
        <w:t>12</w:t>
      </w:r>
      <w:r w:rsidRPr="00872293">
        <w:rPr>
          <w:rFonts w:ascii="Times New Roman" w:hAnsi="Times New Roman"/>
          <w:b/>
          <w:sz w:val="24"/>
          <w:szCs w:val="24"/>
        </w:rPr>
        <w:t>2:</w:t>
      </w:r>
      <w:r w:rsidR="003A01E8" w:rsidRPr="00872293">
        <w:rPr>
          <w:rFonts w:ascii="Times New Roman" w:hAnsi="Times New Roman"/>
          <w:sz w:val="24"/>
          <w:szCs w:val="24"/>
        </w:rPr>
        <w:t xml:space="preserve"> 1110</w:t>
      </w:r>
      <w:r w:rsidR="00842AC4" w:rsidRPr="00872293">
        <w:rPr>
          <w:rFonts w:ascii="Times New Roman" w:hAnsi="Times New Roman"/>
          <w:sz w:val="24"/>
          <w:szCs w:val="24"/>
        </w:rPr>
        <w:t>—</w:t>
      </w:r>
      <w:r w:rsidR="003A01E8" w:rsidRPr="00872293">
        <w:rPr>
          <w:rFonts w:ascii="Times New Roman" w:hAnsi="Times New Roman"/>
          <w:sz w:val="24"/>
          <w:szCs w:val="24"/>
        </w:rPr>
        <w:t>1120</w:t>
      </w:r>
      <w:r w:rsidR="00FF3AD3" w:rsidRPr="00872293">
        <w:rPr>
          <w:rFonts w:ascii="Times New Roman" w:hAnsi="Times New Roman"/>
          <w:sz w:val="24"/>
          <w:szCs w:val="24"/>
        </w:rPr>
        <w:t>.</w:t>
      </w:r>
    </w:p>
    <w:p w14:paraId="26A36F6B" w14:textId="77777777" w:rsidR="00842AC4" w:rsidRPr="00872293" w:rsidRDefault="008811D9"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Iversen CM, Ledford</w:t>
      </w:r>
      <w:r w:rsidR="003A01E8" w:rsidRPr="00872293">
        <w:rPr>
          <w:rFonts w:ascii="Times New Roman" w:hAnsi="Times New Roman"/>
          <w:b/>
          <w:sz w:val="24"/>
          <w:szCs w:val="24"/>
        </w:rPr>
        <w:t xml:space="preserve"> </w:t>
      </w:r>
      <w:r w:rsidRPr="00872293">
        <w:rPr>
          <w:rFonts w:ascii="Times New Roman" w:hAnsi="Times New Roman"/>
          <w:b/>
          <w:sz w:val="24"/>
          <w:szCs w:val="24"/>
        </w:rPr>
        <w:t>J,</w:t>
      </w:r>
      <w:r w:rsidR="003A01E8" w:rsidRPr="00872293">
        <w:rPr>
          <w:rFonts w:ascii="Times New Roman" w:hAnsi="Times New Roman"/>
          <w:b/>
          <w:sz w:val="24"/>
          <w:szCs w:val="24"/>
        </w:rPr>
        <w:t xml:space="preserve"> Norby</w:t>
      </w:r>
      <w:r w:rsidRPr="00872293">
        <w:rPr>
          <w:rFonts w:ascii="Times New Roman" w:hAnsi="Times New Roman"/>
          <w:b/>
          <w:sz w:val="24"/>
          <w:szCs w:val="24"/>
        </w:rPr>
        <w:t xml:space="preserve"> R</w:t>
      </w:r>
      <w:r w:rsidR="007E63B9" w:rsidRPr="00872293">
        <w:rPr>
          <w:rFonts w:ascii="Times New Roman" w:hAnsi="Times New Roman"/>
          <w:b/>
          <w:sz w:val="24"/>
          <w:szCs w:val="24"/>
        </w:rPr>
        <w:t>J</w:t>
      </w:r>
      <w:r w:rsidR="003A01E8" w:rsidRPr="00872293">
        <w:rPr>
          <w:rFonts w:ascii="Times New Roman" w:hAnsi="Times New Roman"/>
          <w:b/>
          <w:sz w:val="24"/>
          <w:szCs w:val="24"/>
        </w:rPr>
        <w:t>. 2008.</w:t>
      </w:r>
      <w:r w:rsidR="003A01E8" w:rsidRPr="00872293">
        <w:rPr>
          <w:rFonts w:ascii="Times New Roman" w:hAnsi="Times New Roman"/>
          <w:sz w:val="24"/>
          <w:szCs w:val="24"/>
        </w:rPr>
        <w:t xml:space="preserve"> CO2 enrichment increases carbon and nitrogen input from fine roots in a deciduous forest. </w:t>
      </w:r>
      <w:r w:rsidR="003A01E8" w:rsidRPr="00872293">
        <w:rPr>
          <w:rFonts w:ascii="Times New Roman" w:hAnsi="Times New Roman"/>
          <w:i/>
          <w:sz w:val="24"/>
          <w:szCs w:val="24"/>
        </w:rPr>
        <w:t>New Phytol</w:t>
      </w:r>
      <w:r w:rsidR="00E105F7" w:rsidRPr="00872293">
        <w:rPr>
          <w:rFonts w:ascii="Times New Roman" w:hAnsi="Times New Roman"/>
          <w:i/>
          <w:sz w:val="24"/>
          <w:szCs w:val="24"/>
        </w:rPr>
        <w:t>ogist</w:t>
      </w:r>
      <w:r w:rsidR="003A01E8" w:rsidRPr="00872293">
        <w:rPr>
          <w:rFonts w:ascii="Times New Roman" w:hAnsi="Times New Roman"/>
          <w:sz w:val="24"/>
          <w:szCs w:val="24"/>
        </w:rPr>
        <w:t xml:space="preserve"> </w:t>
      </w:r>
      <w:r w:rsidR="003A01E8" w:rsidRPr="00872293">
        <w:rPr>
          <w:rFonts w:ascii="Times New Roman" w:hAnsi="Times New Roman"/>
          <w:b/>
          <w:sz w:val="24"/>
          <w:szCs w:val="24"/>
        </w:rPr>
        <w:t>17</w:t>
      </w:r>
      <w:r w:rsidRPr="00872293">
        <w:rPr>
          <w:rFonts w:ascii="Times New Roman" w:hAnsi="Times New Roman"/>
          <w:b/>
          <w:sz w:val="24"/>
          <w:szCs w:val="24"/>
        </w:rPr>
        <w:t>9:</w:t>
      </w:r>
      <w:r w:rsidR="003A01E8" w:rsidRPr="00872293">
        <w:rPr>
          <w:rFonts w:ascii="Times New Roman" w:hAnsi="Times New Roman"/>
          <w:sz w:val="24"/>
          <w:szCs w:val="24"/>
        </w:rPr>
        <w:t xml:space="preserve"> 837-847</w:t>
      </w:r>
      <w:r w:rsidR="00E105F7" w:rsidRPr="00872293">
        <w:rPr>
          <w:rFonts w:ascii="Times New Roman" w:hAnsi="Times New Roman"/>
          <w:sz w:val="24"/>
          <w:szCs w:val="24"/>
        </w:rPr>
        <w:t>.</w:t>
      </w:r>
    </w:p>
    <w:p w14:paraId="66F61ACF" w14:textId="77777777" w:rsidR="00842AC4" w:rsidRPr="00872293" w:rsidRDefault="008811D9"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Iversen C</w:t>
      </w:r>
      <w:r w:rsidR="003A01E8" w:rsidRPr="00872293">
        <w:rPr>
          <w:rFonts w:ascii="Times New Roman" w:hAnsi="Times New Roman"/>
          <w:b/>
          <w:sz w:val="24"/>
          <w:szCs w:val="24"/>
        </w:rPr>
        <w:t>M. 2014.</w:t>
      </w:r>
      <w:r w:rsidR="003A01E8" w:rsidRPr="00872293">
        <w:rPr>
          <w:rFonts w:ascii="Times New Roman" w:hAnsi="Times New Roman"/>
          <w:sz w:val="24"/>
          <w:szCs w:val="24"/>
        </w:rPr>
        <w:t xml:space="preserve"> Using root form to improve our understanding of root function. </w:t>
      </w:r>
      <w:r w:rsidR="003A01E8" w:rsidRPr="00872293">
        <w:rPr>
          <w:rFonts w:ascii="Times New Roman" w:hAnsi="Times New Roman"/>
          <w:i/>
          <w:sz w:val="24"/>
          <w:szCs w:val="24"/>
        </w:rPr>
        <w:t>New Phytol</w:t>
      </w:r>
      <w:r w:rsidRPr="00872293">
        <w:rPr>
          <w:rFonts w:ascii="Times New Roman" w:hAnsi="Times New Roman"/>
          <w:i/>
          <w:sz w:val="24"/>
          <w:szCs w:val="24"/>
        </w:rPr>
        <w:t>ogis</w:t>
      </w:r>
      <w:r w:rsidRPr="00872293">
        <w:rPr>
          <w:rFonts w:ascii="Times New Roman" w:hAnsi="Times New Roman"/>
          <w:sz w:val="24"/>
          <w:szCs w:val="24"/>
        </w:rPr>
        <w:t>t</w:t>
      </w:r>
      <w:r w:rsidR="003A01E8" w:rsidRPr="00872293">
        <w:rPr>
          <w:rFonts w:ascii="Times New Roman" w:hAnsi="Times New Roman"/>
          <w:sz w:val="24"/>
          <w:szCs w:val="24"/>
        </w:rPr>
        <w:t xml:space="preserve"> </w:t>
      </w:r>
      <w:r w:rsidR="003A01E8" w:rsidRPr="00872293">
        <w:rPr>
          <w:rFonts w:ascii="Times New Roman" w:hAnsi="Times New Roman"/>
          <w:b/>
          <w:sz w:val="24"/>
          <w:szCs w:val="24"/>
        </w:rPr>
        <w:t>20</w:t>
      </w:r>
      <w:r w:rsidRPr="00872293">
        <w:rPr>
          <w:rFonts w:ascii="Times New Roman" w:hAnsi="Times New Roman"/>
          <w:b/>
          <w:sz w:val="24"/>
          <w:szCs w:val="24"/>
        </w:rPr>
        <w:t>3:</w:t>
      </w:r>
      <w:r w:rsidR="003A01E8" w:rsidRPr="00872293">
        <w:rPr>
          <w:rFonts w:ascii="Times New Roman" w:hAnsi="Times New Roman"/>
          <w:sz w:val="24"/>
          <w:szCs w:val="24"/>
        </w:rPr>
        <w:t xml:space="preserve"> 707–709.</w:t>
      </w:r>
    </w:p>
    <w:p w14:paraId="0A6F6738" w14:textId="63A59FC0" w:rsidR="00461EE1" w:rsidRPr="00872293" w:rsidRDefault="008811D9"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Iversen</w:t>
      </w:r>
      <w:r w:rsidR="00930188" w:rsidRPr="00872293">
        <w:rPr>
          <w:rFonts w:ascii="Times New Roman" w:hAnsi="Times New Roman"/>
          <w:b/>
          <w:sz w:val="24"/>
          <w:szCs w:val="24"/>
        </w:rPr>
        <w:t xml:space="preserve"> CM, McCormack ML</w:t>
      </w:r>
      <w:r w:rsidR="0065111E" w:rsidRPr="00872293">
        <w:rPr>
          <w:rFonts w:ascii="Times New Roman" w:hAnsi="Times New Roman"/>
          <w:b/>
          <w:sz w:val="24"/>
          <w:szCs w:val="24"/>
        </w:rPr>
        <w:t>,</w:t>
      </w:r>
      <w:r w:rsidR="00930188" w:rsidRPr="00872293">
        <w:rPr>
          <w:rFonts w:ascii="Times New Roman" w:hAnsi="Times New Roman"/>
          <w:b/>
          <w:sz w:val="24"/>
          <w:szCs w:val="24"/>
        </w:rPr>
        <w:t xml:space="preserve"> Powell AS</w:t>
      </w:r>
      <w:r w:rsidR="0065111E" w:rsidRPr="00872293">
        <w:rPr>
          <w:rFonts w:ascii="Times New Roman" w:hAnsi="Times New Roman"/>
          <w:b/>
          <w:sz w:val="24"/>
          <w:szCs w:val="24"/>
        </w:rPr>
        <w:t>,</w:t>
      </w:r>
      <w:r w:rsidR="00930188" w:rsidRPr="00872293">
        <w:rPr>
          <w:rFonts w:ascii="Times New Roman" w:hAnsi="Times New Roman"/>
          <w:b/>
          <w:sz w:val="24"/>
          <w:szCs w:val="24"/>
        </w:rPr>
        <w:t xml:space="preserve"> Blackwood</w:t>
      </w:r>
      <w:r w:rsidR="003A01E8" w:rsidRPr="00872293">
        <w:rPr>
          <w:rFonts w:ascii="Times New Roman" w:hAnsi="Times New Roman"/>
          <w:b/>
          <w:sz w:val="24"/>
          <w:szCs w:val="24"/>
        </w:rPr>
        <w:t xml:space="preserve"> </w:t>
      </w:r>
      <w:r w:rsidR="00930188" w:rsidRPr="00872293">
        <w:rPr>
          <w:rFonts w:ascii="Times New Roman" w:hAnsi="Times New Roman"/>
          <w:b/>
          <w:sz w:val="24"/>
          <w:szCs w:val="24"/>
        </w:rPr>
        <w:t>CB</w:t>
      </w:r>
      <w:r w:rsidR="0065111E" w:rsidRPr="00872293">
        <w:rPr>
          <w:rFonts w:ascii="Times New Roman" w:hAnsi="Times New Roman"/>
          <w:b/>
          <w:sz w:val="24"/>
          <w:szCs w:val="24"/>
        </w:rPr>
        <w:t xml:space="preserve">, </w:t>
      </w:r>
      <w:proofErr w:type="spellStart"/>
      <w:r w:rsidR="00930188" w:rsidRPr="00872293">
        <w:rPr>
          <w:rFonts w:ascii="Times New Roman" w:hAnsi="Times New Roman"/>
          <w:b/>
          <w:sz w:val="24"/>
          <w:szCs w:val="24"/>
        </w:rPr>
        <w:t>Freschet</w:t>
      </w:r>
      <w:proofErr w:type="spellEnd"/>
      <w:r w:rsidR="00930188" w:rsidRPr="00872293">
        <w:rPr>
          <w:rFonts w:ascii="Times New Roman" w:hAnsi="Times New Roman"/>
          <w:b/>
          <w:sz w:val="24"/>
          <w:szCs w:val="24"/>
        </w:rPr>
        <w:t xml:space="preserve"> GT</w:t>
      </w:r>
      <w:r w:rsidR="0065111E" w:rsidRPr="00872293">
        <w:rPr>
          <w:rFonts w:ascii="Times New Roman" w:hAnsi="Times New Roman"/>
          <w:b/>
          <w:sz w:val="24"/>
          <w:szCs w:val="24"/>
        </w:rPr>
        <w:t>,</w:t>
      </w:r>
      <w:r w:rsidR="00930188" w:rsidRPr="00872293">
        <w:rPr>
          <w:rFonts w:ascii="Times New Roman" w:hAnsi="Times New Roman"/>
          <w:b/>
          <w:sz w:val="24"/>
          <w:szCs w:val="24"/>
        </w:rPr>
        <w:t xml:space="preserve"> </w:t>
      </w:r>
      <w:proofErr w:type="spellStart"/>
      <w:r w:rsidR="00930188" w:rsidRPr="00872293">
        <w:rPr>
          <w:rFonts w:ascii="Times New Roman" w:hAnsi="Times New Roman"/>
          <w:b/>
          <w:sz w:val="24"/>
          <w:szCs w:val="24"/>
        </w:rPr>
        <w:t>Kattge</w:t>
      </w:r>
      <w:proofErr w:type="spellEnd"/>
      <w:r w:rsidR="00930188" w:rsidRPr="00872293">
        <w:rPr>
          <w:rFonts w:ascii="Times New Roman" w:hAnsi="Times New Roman"/>
          <w:b/>
          <w:sz w:val="24"/>
          <w:szCs w:val="24"/>
        </w:rPr>
        <w:t xml:space="preserve"> J</w:t>
      </w:r>
      <w:r w:rsidR="0065111E" w:rsidRPr="00872293">
        <w:rPr>
          <w:rFonts w:ascii="Times New Roman" w:hAnsi="Times New Roman"/>
          <w:b/>
          <w:sz w:val="24"/>
          <w:szCs w:val="24"/>
        </w:rPr>
        <w:t>,</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Rou</w:t>
      </w:r>
      <w:r w:rsidR="00930188" w:rsidRPr="00872293">
        <w:rPr>
          <w:rFonts w:ascii="Times New Roman" w:hAnsi="Times New Roman"/>
          <w:b/>
          <w:sz w:val="24"/>
          <w:szCs w:val="24"/>
        </w:rPr>
        <w:t>met</w:t>
      </w:r>
      <w:proofErr w:type="spellEnd"/>
      <w:r w:rsidR="003A01E8" w:rsidRPr="00872293">
        <w:rPr>
          <w:rFonts w:ascii="Times New Roman" w:hAnsi="Times New Roman"/>
          <w:b/>
          <w:sz w:val="24"/>
          <w:szCs w:val="24"/>
        </w:rPr>
        <w:t xml:space="preserve"> </w:t>
      </w:r>
      <w:r w:rsidR="00930188" w:rsidRPr="00872293">
        <w:rPr>
          <w:rFonts w:ascii="Times New Roman" w:hAnsi="Times New Roman"/>
          <w:b/>
          <w:sz w:val="24"/>
          <w:szCs w:val="24"/>
        </w:rPr>
        <w:t>C</w:t>
      </w:r>
      <w:r w:rsidR="0065111E" w:rsidRPr="00872293">
        <w:rPr>
          <w:rFonts w:ascii="Times New Roman" w:hAnsi="Times New Roman"/>
          <w:b/>
          <w:sz w:val="24"/>
          <w:szCs w:val="24"/>
        </w:rPr>
        <w:t xml:space="preserve">, </w:t>
      </w:r>
      <w:r w:rsidR="00930188" w:rsidRPr="00872293">
        <w:rPr>
          <w:rFonts w:ascii="Times New Roman" w:hAnsi="Times New Roman"/>
          <w:b/>
          <w:sz w:val="24"/>
          <w:szCs w:val="24"/>
        </w:rPr>
        <w:t>Stover DB</w:t>
      </w:r>
      <w:r w:rsidR="00A0755F" w:rsidRPr="00872293">
        <w:rPr>
          <w:rFonts w:ascii="Times New Roman" w:hAnsi="Times New Roman"/>
          <w:b/>
          <w:sz w:val="24"/>
          <w:szCs w:val="24"/>
        </w:rPr>
        <w:t>,</w:t>
      </w:r>
      <w:r w:rsidR="00930188" w:rsidRPr="00872293">
        <w:rPr>
          <w:rFonts w:ascii="Times New Roman" w:hAnsi="Times New Roman"/>
          <w:b/>
          <w:sz w:val="24"/>
          <w:szCs w:val="24"/>
        </w:rPr>
        <w:t xml:space="preserve"> </w:t>
      </w:r>
      <w:proofErr w:type="spellStart"/>
      <w:r w:rsidR="00930188" w:rsidRPr="00872293">
        <w:rPr>
          <w:rFonts w:ascii="Times New Roman" w:hAnsi="Times New Roman"/>
          <w:b/>
          <w:sz w:val="24"/>
          <w:szCs w:val="24"/>
        </w:rPr>
        <w:t>Soudzilovskaia</w:t>
      </w:r>
      <w:proofErr w:type="spellEnd"/>
      <w:r w:rsidR="003A01E8" w:rsidRPr="00872293">
        <w:rPr>
          <w:rFonts w:ascii="Times New Roman" w:hAnsi="Times New Roman"/>
          <w:b/>
          <w:sz w:val="24"/>
          <w:szCs w:val="24"/>
        </w:rPr>
        <w:t xml:space="preserve"> </w:t>
      </w:r>
      <w:r w:rsidR="00930188" w:rsidRPr="00872293">
        <w:rPr>
          <w:rFonts w:ascii="Times New Roman" w:hAnsi="Times New Roman"/>
          <w:b/>
          <w:sz w:val="24"/>
          <w:szCs w:val="24"/>
        </w:rPr>
        <w:t>NA</w:t>
      </w:r>
      <w:r w:rsidR="00A0755F" w:rsidRPr="00872293">
        <w:rPr>
          <w:rFonts w:ascii="Times New Roman" w:hAnsi="Times New Roman"/>
          <w:b/>
          <w:sz w:val="24"/>
          <w:szCs w:val="24"/>
        </w:rPr>
        <w:t xml:space="preserve">, </w:t>
      </w:r>
      <w:r w:rsidR="00930188" w:rsidRPr="00872293">
        <w:rPr>
          <w:rFonts w:ascii="Times New Roman" w:hAnsi="Times New Roman"/>
          <w:b/>
          <w:sz w:val="24"/>
          <w:szCs w:val="24"/>
        </w:rPr>
        <w:t>Valverde-</w:t>
      </w:r>
      <w:proofErr w:type="spellStart"/>
      <w:r w:rsidR="00930188" w:rsidRPr="00872293">
        <w:rPr>
          <w:rFonts w:ascii="Times New Roman" w:hAnsi="Times New Roman"/>
          <w:b/>
          <w:sz w:val="24"/>
          <w:szCs w:val="24"/>
        </w:rPr>
        <w:t>Barrantes</w:t>
      </w:r>
      <w:proofErr w:type="spellEnd"/>
      <w:r w:rsidR="003A01E8" w:rsidRPr="00872293">
        <w:rPr>
          <w:rFonts w:ascii="Times New Roman" w:hAnsi="Times New Roman"/>
          <w:b/>
          <w:sz w:val="24"/>
          <w:szCs w:val="24"/>
        </w:rPr>
        <w:t xml:space="preserve"> </w:t>
      </w:r>
      <w:r w:rsidR="00930188" w:rsidRPr="00872293">
        <w:rPr>
          <w:rFonts w:ascii="Times New Roman" w:hAnsi="Times New Roman"/>
          <w:b/>
          <w:sz w:val="24"/>
          <w:szCs w:val="24"/>
        </w:rPr>
        <w:t>OJ</w:t>
      </w:r>
      <w:r w:rsidR="00A0755F" w:rsidRPr="00872293">
        <w:rPr>
          <w:rFonts w:ascii="Times New Roman" w:hAnsi="Times New Roman"/>
          <w:b/>
          <w:sz w:val="24"/>
          <w:szCs w:val="24"/>
        </w:rPr>
        <w:t>,</w:t>
      </w:r>
      <w:r w:rsidR="002124E4" w:rsidRPr="00872293">
        <w:rPr>
          <w:rFonts w:ascii="Times New Roman" w:hAnsi="Times New Roman"/>
          <w:b/>
          <w:sz w:val="24"/>
          <w:szCs w:val="24"/>
        </w:rPr>
        <w:t xml:space="preserve"> </w:t>
      </w:r>
      <w:r w:rsidR="002124E4" w:rsidRPr="00872293">
        <w:rPr>
          <w:rFonts w:ascii="Times New Roman" w:hAnsi="Times New Roman"/>
          <w:b/>
          <w:i/>
          <w:iCs/>
          <w:sz w:val="24"/>
          <w:szCs w:val="24"/>
        </w:rPr>
        <w:t>et al</w:t>
      </w:r>
      <w:r w:rsidR="003A01E8" w:rsidRPr="00872293">
        <w:rPr>
          <w:rFonts w:ascii="Times New Roman" w:hAnsi="Times New Roman"/>
          <w:b/>
          <w:sz w:val="24"/>
          <w:szCs w:val="24"/>
        </w:rPr>
        <w:t>.</w:t>
      </w:r>
      <w:r w:rsidR="003A01E8" w:rsidRPr="00872293">
        <w:rPr>
          <w:rFonts w:ascii="Times New Roman" w:hAnsi="Times New Roman"/>
          <w:sz w:val="24"/>
          <w:szCs w:val="24"/>
        </w:rPr>
        <w:t xml:space="preserve"> A global Fine-Root Ecology Database to address below-ground challenges in plant ecology</w:t>
      </w:r>
      <w:r w:rsidR="003A01E8" w:rsidRPr="00872293">
        <w:rPr>
          <w:rFonts w:ascii="Times New Roman" w:hAnsi="Times New Roman"/>
          <w:i/>
          <w:sz w:val="24"/>
          <w:szCs w:val="24"/>
        </w:rPr>
        <w:t>. New Phytol</w:t>
      </w:r>
      <w:r w:rsidR="00A0755F" w:rsidRPr="00872293">
        <w:rPr>
          <w:rFonts w:ascii="Times New Roman" w:hAnsi="Times New Roman"/>
          <w:i/>
          <w:sz w:val="24"/>
          <w:szCs w:val="24"/>
        </w:rPr>
        <w:t>ogist</w:t>
      </w:r>
      <w:r w:rsidR="003A01E8" w:rsidRPr="00872293">
        <w:rPr>
          <w:rFonts w:ascii="Times New Roman" w:hAnsi="Times New Roman"/>
          <w:sz w:val="24"/>
          <w:szCs w:val="24"/>
        </w:rPr>
        <w:t xml:space="preserve"> </w:t>
      </w:r>
      <w:r w:rsidR="003A01E8" w:rsidRPr="00872293">
        <w:rPr>
          <w:rFonts w:ascii="Times New Roman" w:hAnsi="Times New Roman"/>
          <w:b/>
          <w:sz w:val="24"/>
          <w:szCs w:val="24"/>
        </w:rPr>
        <w:t>21</w:t>
      </w:r>
      <w:r w:rsidR="00930188" w:rsidRPr="00872293">
        <w:rPr>
          <w:rFonts w:ascii="Times New Roman" w:hAnsi="Times New Roman"/>
          <w:b/>
          <w:sz w:val="24"/>
          <w:szCs w:val="24"/>
        </w:rPr>
        <w:t>5:</w:t>
      </w:r>
      <w:r w:rsidR="003A01E8" w:rsidRPr="00872293">
        <w:rPr>
          <w:rFonts w:ascii="Times New Roman" w:hAnsi="Times New Roman"/>
          <w:sz w:val="24"/>
          <w:szCs w:val="24"/>
        </w:rPr>
        <w:t xml:space="preserve"> 15–26.</w:t>
      </w:r>
    </w:p>
    <w:p w14:paraId="6ED79806" w14:textId="77777777" w:rsidR="00461EE1" w:rsidRPr="00872293" w:rsidRDefault="00930188"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lastRenderedPageBreak/>
        <w:t xml:space="preserve">Jackson RB, </w:t>
      </w:r>
      <w:proofErr w:type="spellStart"/>
      <w:r w:rsidRPr="00872293">
        <w:rPr>
          <w:rFonts w:ascii="Times New Roman" w:hAnsi="Times New Roman"/>
          <w:b/>
          <w:sz w:val="24"/>
          <w:szCs w:val="24"/>
        </w:rPr>
        <w:t>Canadell</w:t>
      </w:r>
      <w:proofErr w:type="spellEnd"/>
      <w:r w:rsidRPr="00872293">
        <w:rPr>
          <w:rFonts w:ascii="Times New Roman" w:hAnsi="Times New Roman"/>
          <w:b/>
          <w:sz w:val="24"/>
          <w:szCs w:val="24"/>
        </w:rPr>
        <w:t xml:space="preserve"> J</w:t>
      </w:r>
      <w:r w:rsidR="0046601D" w:rsidRPr="00872293">
        <w:rPr>
          <w:rFonts w:ascii="Times New Roman" w:hAnsi="Times New Roman"/>
          <w:b/>
          <w:sz w:val="24"/>
          <w:szCs w:val="24"/>
        </w:rPr>
        <w:t>,</w:t>
      </w:r>
      <w:r w:rsidRPr="00872293">
        <w:rPr>
          <w:rFonts w:ascii="Times New Roman" w:hAnsi="Times New Roman"/>
          <w:b/>
          <w:sz w:val="24"/>
          <w:szCs w:val="24"/>
        </w:rPr>
        <w:t xml:space="preserve"> </w:t>
      </w:r>
      <w:proofErr w:type="spellStart"/>
      <w:r w:rsidRPr="00872293">
        <w:rPr>
          <w:rFonts w:ascii="Times New Roman" w:hAnsi="Times New Roman"/>
          <w:b/>
          <w:sz w:val="24"/>
          <w:szCs w:val="24"/>
        </w:rPr>
        <w:t>Ehleringer</w:t>
      </w:r>
      <w:proofErr w:type="spellEnd"/>
      <w:r w:rsidRPr="00872293">
        <w:rPr>
          <w:rFonts w:ascii="Times New Roman" w:hAnsi="Times New Roman"/>
          <w:b/>
          <w:sz w:val="24"/>
          <w:szCs w:val="24"/>
        </w:rPr>
        <w:t xml:space="preserve"> JR</w:t>
      </w:r>
      <w:r w:rsidR="0046601D" w:rsidRPr="00872293">
        <w:rPr>
          <w:rFonts w:ascii="Times New Roman" w:hAnsi="Times New Roman"/>
          <w:b/>
          <w:sz w:val="24"/>
          <w:szCs w:val="24"/>
        </w:rPr>
        <w:t>,</w:t>
      </w:r>
      <w:r w:rsidR="00C9087B" w:rsidRPr="00872293">
        <w:rPr>
          <w:rFonts w:ascii="Times New Roman" w:hAnsi="Times New Roman"/>
          <w:b/>
          <w:sz w:val="24"/>
          <w:szCs w:val="24"/>
        </w:rPr>
        <w:t xml:space="preserve"> Mooney HA</w:t>
      </w:r>
      <w:r w:rsidR="0046601D" w:rsidRPr="00872293">
        <w:rPr>
          <w:rFonts w:ascii="Times New Roman" w:hAnsi="Times New Roman"/>
          <w:b/>
          <w:sz w:val="24"/>
          <w:szCs w:val="24"/>
        </w:rPr>
        <w:t>,</w:t>
      </w:r>
      <w:r w:rsidR="003A01E8" w:rsidRPr="00872293">
        <w:rPr>
          <w:rFonts w:ascii="Times New Roman" w:hAnsi="Times New Roman"/>
          <w:b/>
          <w:sz w:val="24"/>
          <w:szCs w:val="24"/>
        </w:rPr>
        <w:t xml:space="preserve"> Sala</w:t>
      </w:r>
      <w:r w:rsidR="00C9087B" w:rsidRPr="00872293">
        <w:rPr>
          <w:rFonts w:ascii="Times New Roman" w:hAnsi="Times New Roman"/>
          <w:b/>
          <w:sz w:val="24"/>
          <w:szCs w:val="24"/>
        </w:rPr>
        <w:t xml:space="preserve"> OE</w:t>
      </w:r>
      <w:r w:rsidR="0046601D" w:rsidRPr="00872293">
        <w:rPr>
          <w:rFonts w:ascii="Times New Roman" w:hAnsi="Times New Roman"/>
          <w:b/>
          <w:sz w:val="24"/>
          <w:szCs w:val="24"/>
        </w:rPr>
        <w:t>,</w:t>
      </w:r>
      <w:r w:rsidR="003A01E8" w:rsidRPr="00872293">
        <w:rPr>
          <w:rFonts w:ascii="Times New Roman" w:hAnsi="Times New Roman"/>
          <w:b/>
          <w:sz w:val="24"/>
          <w:szCs w:val="24"/>
        </w:rPr>
        <w:t xml:space="preserve"> Schulze</w:t>
      </w:r>
      <w:r w:rsidR="00C9087B" w:rsidRPr="00872293">
        <w:rPr>
          <w:rFonts w:ascii="Times New Roman" w:hAnsi="Times New Roman"/>
          <w:b/>
          <w:sz w:val="24"/>
          <w:szCs w:val="24"/>
        </w:rPr>
        <w:t xml:space="preserve"> E</w:t>
      </w:r>
      <w:r w:rsidR="0046601D" w:rsidRPr="00872293">
        <w:rPr>
          <w:rFonts w:ascii="Times New Roman" w:hAnsi="Times New Roman"/>
          <w:b/>
          <w:sz w:val="24"/>
          <w:szCs w:val="24"/>
        </w:rPr>
        <w:t>D</w:t>
      </w:r>
      <w:r w:rsidR="003A01E8" w:rsidRPr="00872293">
        <w:rPr>
          <w:rFonts w:ascii="Times New Roman" w:hAnsi="Times New Roman"/>
          <w:b/>
          <w:sz w:val="24"/>
          <w:szCs w:val="24"/>
        </w:rPr>
        <w:t>. 1996.</w:t>
      </w:r>
      <w:r w:rsidR="003A01E8" w:rsidRPr="00872293">
        <w:rPr>
          <w:rFonts w:ascii="Times New Roman" w:hAnsi="Times New Roman"/>
          <w:sz w:val="24"/>
          <w:szCs w:val="24"/>
        </w:rPr>
        <w:t xml:space="preserve"> A global analysis of root distributions for terrestrial biomes. </w:t>
      </w:r>
      <w:proofErr w:type="spellStart"/>
      <w:r w:rsidR="003A01E8" w:rsidRPr="00872293">
        <w:rPr>
          <w:rFonts w:ascii="Times New Roman" w:hAnsi="Times New Roman"/>
          <w:i/>
          <w:iCs/>
          <w:sz w:val="24"/>
          <w:szCs w:val="24"/>
        </w:rPr>
        <w:t>Oecologia</w:t>
      </w:r>
      <w:proofErr w:type="spellEnd"/>
      <w:r w:rsidR="003A01E8" w:rsidRPr="00872293">
        <w:rPr>
          <w:rFonts w:ascii="Times New Roman" w:hAnsi="Times New Roman"/>
          <w:sz w:val="24"/>
          <w:szCs w:val="24"/>
        </w:rPr>
        <w:t xml:space="preserve"> </w:t>
      </w:r>
      <w:r w:rsidR="003A01E8" w:rsidRPr="00872293">
        <w:rPr>
          <w:rFonts w:ascii="Times New Roman" w:hAnsi="Times New Roman"/>
          <w:b/>
          <w:bCs/>
          <w:sz w:val="24"/>
          <w:szCs w:val="24"/>
        </w:rPr>
        <w:t>10</w:t>
      </w:r>
      <w:r w:rsidR="00C9087B" w:rsidRPr="00872293">
        <w:rPr>
          <w:rFonts w:ascii="Times New Roman" w:hAnsi="Times New Roman"/>
          <w:b/>
          <w:bCs/>
          <w:sz w:val="24"/>
          <w:szCs w:val="24"/>
        </w:rPr>
        <w:t>8:</w:t>
      </w:r>
      <w:r w:rsidR="003A01E8" w:rsidRPr="00872293">
        <w:rPr>
          <w:rFonts w:ascii="Times New Roman" w:hAnsi="Times New Roman"/>
          <w:sz w:val="24"/>
          <w:szCs w:val="24"/>
        </w:rPr>
        <w:t xml:space="preserve"> 389-411.</w:t>
      </w:r>
    </w:p>
    <w:p w14:paraId="5FEFFF5C" w14:textId="77777777" w:rsidR="00461EE1" w:rsidRPr="00872293" w:rsidRDefault="00F25C77"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Jia S, Wang Z</w:t>
      </w:r>
      <w:r w:rsidR="006D1D66" w:rsidRPr="00872293">
        <w:rPr>
          <w:rFonts w:ascii="Times New Roman" w:hAnsi="Times New Roman"/>
          <w:b/>
          <w:sz w:val="24"/>
          <w:szCs w:val="24"/>
        </w:rPr>
        <w:t>,</w:t>
      </w:r>
      <w:r w:rsidRPr="00872293">
        <w:rPr>
          <w:rFonts w:ascii="Times New Roman" w:hAnsi="Times New Roman"/>
          <w:b/>
          <w:sz w:val="24"/>
          <w:szCs w:val="24"/>
        </w:rPr>
        <w:t xml:space="preserve"> Li</w:t>
      </w:r>
      <w:r w:rsidR="003A01E8" w:rsidRPr="00872293">
        <w:rPr>
          <w:rFonts w:ascii="Times New Roman" w:hAnsi="Times New Roman"/>
          <w:b/>
          <w:sz w:val="24"/>
          <w:szCs w:val="24"/>
        </w:rPr>
        <w:t xml:space="preserve"> </w:t>
      </w:r>
      <w:r w:rsidRPr="00872293">
        <w:rPr>
          <w:rFonts w:ascii="Times New Roman" w:hAnsi="Times New Roman"/>
          <w:b/>
          <w:sz w:val="24"/>
          <w:szCs w:val="24"/>
        </w:rPr>
        <w:t>X</w:t>
      </w:r>
      <w:r w:rsidR="006D1D66" w:rsidRPr="00872293">
        <w:rPr>
          <w:rFonts w:ascii="Times New Roman" w:hAnsi="Times New Roman"/>
          <w:b/>
          <w:sz w:val="24"/>
          <w:szCs w:val="24"/>
        </w:rPr>
        <w:t xml:space="preserve">, </w:t>
      </w:r>
      <w:r w:rsidRPr="00872293">
        <w:rPr>
          <w:rFonts w:ascii="Times New Roman" w:hAnsi="Times New Roman"/>
          <w:b/>
          <w:sz w:val="24"/>
          <w:szCs w:val="24"/>
        </w:rPr>
        <w:t>Zhang X,</w:t>
      </w:r>
      <w:r w:rsidR="003A01E8" w:rsidRPr="00872293">
        <w:rPr>
          <w:rFonts w:ascii="Times New Roman" w:hAnsi="Times New Roman"/>
          <w:b/>
          <w:sz w:val="24"/>
          <w:szCs w:val="24"/>
        </w:rPr>
        <w:t xml:space="preserve"> McLaughlin</w:t>
      </w:r>
      <w:r w:rsidRPr="00872293">
        <w:rPr>
          <w:rFonts w:ascii="Times New Roman" w:hAnsi="Times New Roman"/>
          <w:b/>
          <w:sz w:val="24"/>
          <w:szCs w:val="24"/>
        </w:rPr>
        <w:t xml:space="preserve"> N</w:t>
      </w:r>
      <w:r w:rsidR="006D1D66" w:rsidRPr="00872293">
        <w:rPr>
          <w:rFonts w:ascii="Times New Roman" w:hAnsi="Times New Roman"/>
          <w:b/>
          <w:sz w:val="24"/>
          <w:szCs w:val="24"/>
        </w:rPr>
        <w:t>B.</w:t>
      </w:r>
      <w:r w:rsidR="003A01E8" w:rsidRPr="00872293">
        <w:rPr>
          <w:rFonts w:ascii="Times New Roman" w:hAnsi="Times New Roman"/>
          <w:b/>
          <w:sz w:val="24"/>
          <w:szCs w:val="24"/>
        </w:rPr>
        <w:t xml:space="preserve"> 201</w:t>
      </w:r>
      <w:r w:rsidR="00D90D36" w:rsidRPr="00872293">
        <w:rPr>
          <w:rFonts w:ascii="Times New Roman" w:hAnsi="Times New Roman"/>
          <w:b/>
          <w:sz w:val="24"/>
          <w:szCs w:val="24"/>
        </w:rPr>
        <w:t>1.</w:t>
      </w:r>
      <w:r w:rsidR="003A01E8" w:rsidRPr="00872293">
        <w:rPr>
          <w:rFonts w:ascii="Times New Roman" w:hAnsi="Times New Roman"/>
          <w:sz w:val="24"/>
          <w:szCs w:val="24"/>
        </w:rPr>
        <w:t xml:space="preserve"> Effect of nitrogen fertilizer, root branch order and temperature on respiration and tissue N concentration of fine roots in Larix </w:t>
      </w:r>
      <w:proofErr w:type="spellStart"/>
      <w:r w:rsidR="003A01E8" w:rsidRPr="00872293">
        <w:rPr>
          <w:rFonts w:ascii="Times New Roman" w:hAnsi="Times New Roman"/>
          <w:sz w:val="24"/>
          <w:szCs w:val="24"/>
        </w:rPr>
        <w:t>gmelinii</w:t>
      </w:r>
      <w:proofErr w:type="spellEnd"/>
      <w:r w:rsidR="003A01E8" w:rsidRPr="00872293">
        <w:rPr>
          <w:rFonts w:ascii="Times New Roman" w:hAnsi="Times New Roman"/>
          <w:sz w:val="24"/>
          <w:szCs w:val="24"/>
        </w:rPr>
        <w:t xml:space="preserve"> and Fraxinus </w:t>
      </w:r>
      <w:proofErr w:type="spellStart"/>
      <w:r w:rsidR="003A01E8" w:rsidRPr="00872293">
        <w:rPr>
          <w:rFonts w:ascii="Times New Roman" w:hAnsi="Times New Roman"/>
          <w:sz w:val="24"/>
          <w:szCs w:val="24"/>
        </w:rPr>
        <w:t>mandshurica</w:t>
      </w:r>
      <w:proofErr w:type="spellEnd"/>
      <w:r w:rsidR="003A01E8" w:rsidRPr="00872293">
        <w:rPr>
          <w:rFonts w:ascii="Times New Roman" w:hAnsi="Times New Roman"/>
          <w:sz w:val="24"/>
          <w:szCs w:val="24"/>
        </w:rPr>
        <w:t xml:space="preserve">. </w:t>
      </w:r>
      <w:r w:rsidR="003A01E8" w:rsidRPr="00872293">
        <w:rPr>
          <w:rFonts w:ascii="Times New Roman" w:hAnsi="Times New Roman"/>
          <w:i/>
          <w:iCs/>
          <w:sz w:val="24"/>
          <w:szCs w:val="24"/>
        </w:rPr>
        <w:t>Tree Physiology</w:t>
      </w:r>
      <w:r w:rsidR="003A01E8" w:rsidRPr="00872293">
        <w:rPr>
          <w:rFonts w:ascii="Times New Roman" w:hAnsi="Times New Roman"/>
          <w:sz w:val="24"/>
          <w:szCs w:val="24"/>
        </w:rPr>
        <w:t xml:space="preserve"> </w:t>
      </w:r>
      <w:r w:rsidR="003A01E8" w:rsidRPr="00872293">
        <w:rPr>
          <w:rFonts w:ascii="Times New Roman" w:hAnsi="Times New Roman"/>
          <w:b/>
          <w:bCs/>
          <w:sz w:val="24"/>
          <w:szCs w:val="24"/>
        </w:rPr>
        <w:t>3</w:t>
      </w:r>
      <w:r w:rsidRPr="00872293">
        <w:rPr>
          <w:rFonts w:ascii="Times New Roman" w:hAnsi="Times New Roman"/>
          <w:b/>
          <w:bCs/>
          <w:sz w:val="24"/>
          <w:szCs w:val="24"/>
        </w:rPr>
        <w:t>1:</w:t>
      </w:r>
      <w:r w:rsidR="003A01E8" w:rsidRPr="00872293">
        <w:rPr>
          <w:rFonts w:ascii="Times New Roman" w:hAnsi="Times New Roman"/>
          <w:sz w:val="24"/>
          <w:szCs w:val="24"/>
        </w:rPr>
        <w:t xml:space="preserve"> 718–726.</w:t>
      </w:r>
    </w:p>
    <w:p w14:paraId="15245CE4" w14:textId="77777777" w:rsidR="00461EE1" w:rsidRPr="00872293" w:rsidRDefault="003A01E8" w:rsidP="006503E9">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Kangas P. 1992.</w:t>
      </w:r>
      <w:r w:rsidRPr="00872293">
        <w:rPr>
          <w:rFonts w:ascii="Times New Roman" w:hAnsi="Times New Roman"/>
          <w:sz w:val="24"/>
          <w:szCs w:val="24"/>
        </w:rPr>
        <w:t xml:space="preserve"> Root Regrowth in a Subtropical Wet Forest in Puerto Rico. </w:t>
      </w:r>
      <w:proofErr w:type="spellStart"/>
      <w:r w:rsidRPr="00872293">
        <w:rPr>
          <w:rFonts w:ascii="Times New Roman" w:hAnsi="Times New Roman"/>
          <w:i/>
          <w:iCs/>
          <w:sz w:val="24"/>
          <w:szCs w:val="24"/>
        </w:rPr>
        <w:t>Biotropica</w:t>
      </w:r>
      <w:proofErr w:type="spellEnd"/>
      <w:r w:rsidRPr="00872293">
        <w:rPr>
          <w:rFonts w:ascii="Times New Roman" w:hAnsi="Times New Roman"/>
          <w:sz w:val="24"/>
          <w:szCs w:val="24"/>
        </w:rPr>
        <w:t xml:space="preserve"> </w:t>
      </w:r>
      <w:r w:rsidRPr="00872293">
        <w:rPr>
          <w:rFonts w:ascii="Times New Roman" w:hAnsi="Times New Roman"/>
          <w:b/>
          <w:sz w:val="24"/>
          <w:szCs w:val="24"/>
        </w:rPr>
        <w:t>2</w:t>
      </w:r>
      <w:r w:rsidR="00F25C77" w:rsidRPr="00872293">
        <w:rPr>
          <w:rFonts w:ascii="Times New Roman" w:hAnsi="Times New Roman"/>
          <w:b/>
          <w:sz w:val="24"/>
          <w:szCs w:val="24"/>
        </w:rPr>
        <w:t>4:</w:t>
      </w:r>
      <w:r w:rsidRPr="00872293">
        <w:rPr>
          <w:rFonts w:ascii="Times New Roman" w:hAnsi="Times New Roman"/>
          <w:sz w:val="24"/>
          <w:szCs w:val="24"/>
        </w:rPr>
        <w:t xml:space="preserve"> 463-465.</w:t>
      </w:r>
    </w:p>
    <w:p w14:paraId="2F0C62F5" w14:textId="621C06E6" w:rsidR="00461EE1" w:rsidRPr="00872293" w:rsidRDefault="00F25C77"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Kiers ET, Lovelock CE</w:t>
      </w:r>
      <w:r w:rsidR="00E976D0" w:rsidRPr="00872293">
        <w:rPr>
          <w:rFonts w:ascii="Times New Roman" w:hAnsi="Times New Roman"/>
          <w:b/>
          <w:sz w:val="24"/>
          <w:szCs w:val="24"/>
        </w:rPr>
        <w:t>,</w:t>
      </w:r>
      <w:r w:rsidR="003A01E8" w:rsidRPr="00872293">
        <w:rPr>
          <w:rFonts w:ascii="Times New Roman" w:hAnsi="Times New Roman"/>
          <w:b/>
          <w:sz w:val="24"/>
          <w:szCs w:val="24"/>
        </w:rPr>
        <w:t xml:space="preserve"> Kru</w:t>
      </w:r>
      <w:r w:rsidRPr="00872293">
        <w:rPr>
          <w:rFonts w:ascii="Times New Roman" w:hAnsi="Times New Roman"/>
          <w:b/>
          <w:sz w:val="24"/>
          <w:szCs w:val="24"/>
        </w:rPr>
        <w:t>eger EL</w:t>
      </w:r>
      <w:r w:rsidR="00E976D0" w:rsidRPr="00872293">
        <w:rPr>
          <w:rFonts w:ascii="Times New Roman" w:hAnsi="Times New Roman"/>
          <w:b/>
          <w:sz w:val="24"/>
          <w:szCs w:val="24"/>
        </w:rPr>
        <w:t>,</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Herre</w:t>
      </w:r>
      <w:proofErr w:type="spellEnd"/>
      <w:r w:rsidRPr="00872293">
        <w:rPr>
          <w:rFonts w:ascii="Times New Roman" w:hAnsi="Times New Roman"/>
          <w:b/>
          <w:sz w:val="24"/>
          <w:szCs w:val="24"/>
        </w:rPr>
        <w:t xml:space="preserve"> E</w:t>
      </w:r>
      <w:r w:rsidR="00E976D0" w:rsidRPr="00872293">
        <w:rPr>
          <w:rFonts w:ascii="Times New Roman" w:hAnsi="Times New Roman"/>
          <w:b/>
          <w:sz w:val="24"/>
          <w:szCs w:val="24"/>
        </w:rPr>
        <w:t>A</w:t>
      </w:r>
      <w:r w:rsidR="003A01E8" w:rsidRPr="00872293">
        <w:rPr>
          <w:rFonts w:ascii="Times New Roman" w:hAnsi="Times New Roman"/>
          <w:b/>
          <w:sz w:val="24"/>
          <w:szCs w:val="24"/>
        </w:rPr>
        <w:t>. 2000.</w:t>
      </w:r>
      <w:r w:rsidR="003A01E8" w:rsidRPr="00872293">
        <w:rPr>
          <w:rFonts w:ascii="Times New Roman" w:hAnsi="Times New Roman"/>
          <w:sz w:val="24"/>
          <w:szCs w:val="24"/>
        </w:rPr>
        <w:t xml:space="preserve"> Differential effects of tropical arbuscular mycorrhizal fungal </w:t>
      </w:r>
      <w:proofErr w:type="spellStart"/>
      <w:r w:rsidR="003A01E8" w:rsidRPr="00872293">
        <w:rPr>
          <w:rFonts w:ascii="Times New Roman" w:hAnsi="Times New Roman"/>
          <w:sz w:val="24"/>
          <w:szCs w:val="24"/>
        </w:rPr>
        <w:t>inocula</w:t>
      </w:r>
      <w:proofErr w:type="spellEnd"/>
      <w:r w:rsidR="003A01E8" w:rsidRPr="00872293">
        <w:rPr>
          <w:rFonts w:ascii="Times New Roman" w:hAnsi="Times New Roman"/>
          <w:sz w:val="24"/>
          <w:szCs w:val="24"/>
        </w:rPr>
        <w:t xml:space="preserve"> on root colonization and tree seedling growth: implications for tropical forest diversity. </w:t>
      </w:r>
      <w:r w:rsidR="003A01E8" w:rsidRPr="00872293">
        <w:rPr>
          <w:rFonts w:ascii="Times New Roman" w:hAnsi="Times New Roman"/>
          <w:i/>
          <w:iCs/>
          <w:sz w:val="24"/>
          <w:szCs w:val="24"/>
        </w:rPr>
        <w:t>Ecology Letters</w:t>
      </w:r>
      <w:r w:rsidR="003A01E8" w:rsidRPr="00872293">
        <w:rPr>
          <w:rFonts w:ascii="Times New Roman" w:hAnsi="Times New Roman"/>
          <w:sz w:val="24"/>
          <w:szCs w:val="24"/>
        </w:rPr>
        <w:t xml:space="preserve"> </w:t>
      </w:r>
      <w:r w:rsidRPr="00872293">
        <w:rPr>
          <w:rFonts w:ascii="Times New Roman" w:hAnsi="Times New Roman"/>
          <w:b/>
          <w:bCs/>
          <w:sz w:val="24"/>
          <w:szCs w:val="24"/>
        </w:rPr>
        <w:t>3:</w:t>
      </w:r>
      <w:r w:rsidR="003A01E8" w:rsidRPr="00872293">
        <w:rPr>
          <w:rFonts w:ascii="Times New Roman" w:hAnsi="Times New Roman"/>
          <w:sz w:val="24"/>
          <w:szCs w:val="24"/>
        </w:rPr>
        <w:t xml:space="preserve"> 106 - 113.</w:t>
      </w:r>
    </w:p>
    <w:p w14:paraId="68419ABE" w14:textId="37D54ED9" w:rsidR="00C90EEF" w:rsidRPr="00872293" w:rsidRDefault="00C90EEF" w:rsidP="00F8391C">
      <w:pPr>
        <w:spacing w:before="100" w:beforeAutospacing="1" w:after="100" w:afterAutospacing="1" w:line="360" w:lineRule="auto"/>
        <w:rPr>
          <w:rFonts w:ascii="Times New Roman" w:hAnsi="Times New Roman" w:cs="Times New Roman"/>
        </w:rPr>
      </w:pPr>
      <w:r w:rsidRPr="00872293">
        <w:rPr>
          <w:rFonts w:ascii="Times New Roman" w:eastAsia="Times New Roman" w:hAnsi="Times New Roman" w:cs="Times New Roman"/>
          <w:b/>
        </w:rPr>
        <w:t xml:space="preserve">Kimball BA, Alonso-Rodríguez AM, </w:t>
      </w:r>
      <w:proofErr w:type="spellStart"/>
      <w:r w:rsidRPr="00872293">
        <w:rPr>
          <w:rFonts w:ascii="Times New Roman" w:eastAsia="Times New Roman" w:hAnsi="Times New Roman" w:cs="Times New Roman"/>
          <w:b/>
        </w:rPr>
        <w:t>Cavaleri</w:t>
      </w:r>
      <w:proofErr w:type="spellEnd"/>
      <w:r w:rsidRPr="00872293">
        <w:rPr>
          <w:rFonts w:ascii="Times New Roman" w:eastAsia="Times New Roman" w:hAnsi="Times New Roman" w:cs="Times New Roman"/>
          <w:b/>
        </w:rPr>
        <w:t xml:space="preserve"> MA, Reed SC, González G, Wood TE. 2018.</w:t>
      </w:r>
      <w:r w:rsidRPr="00872293">
        <w:rPr>
          <w:rFonts w:ascii="Times New Roman" w:eastAsia="Times New Roman" w:hAnsi="Times New Roman" w:cs="Times New Roman"/>
        </w:rPr>
        <w:t xml:space="preserve"> Infrared heater system for warming tropical forest understory plants and soils. </w:t>
      </w:r>
      <w:r w:rsidRPr="00872293">
        <w:rPr>
          <w:rFonts w:ascii="Times New Roman" w:eastAsia="Times New Roman" w:hAnsi="Times New Roman" w:cs="Times New Roman"/>
          <w:i/>
        </w:rPr>
        <w:t>Ecology and Evolution</w:t>
      </w:r>
      <w:r w:rsidRPr="00872293">
        <w:rPr>
          <w:rFonts w:ascii="Times New Roman" w:eastAsia="Times New Roman" w:hAnsi="Times New Roman" w:cs="Times New Roman"/>
          <w:b/>
        </w:rPr>
        <w:t xml:space="preserve"> </w:t>
      </w:r>
      <w:r w:rsidRPr="00872293">
        <w:rPr>
          <w:rFonts w:ascii="Times New Roman" w:hAnsi="Times New Roman" w:cs="Times New Roman"/>
          <w:b/>
        </w:rPr>
        <w:t>8:</w:t>
      </w:r>
      <w:r w:rsidRPr="00872293">
        <w:rPr>
          <w:rFonts w:ascii="Times New Roman" w:hAnsi="Times New Roman" w:cs="Times New Roman"/>
        </w:rPr>
        <w:t xml:space="preserve"> 1932–1944. </w:t>
      </w:r>
    </w:p>
    <w:p w14:paraId="093D1977" w14:textId="77777777" w:rsidR="00461EE1" w:rsidRPr="00872293" w:rsidRDefault="00F25C77"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Kong D, Ma C</w:t>
      </w:r>
      <w:r w:rsidR="0005027C" w:rsidRPr="00872293">
        <w:rPr>
          <w:rFonts w:ascii="Times New Roman" w:hAnsi="Times New Roman"/>
          <w:b/>
          <w:sz w:val="24"/>
          <w:szCs w:val="24"/>
        </w:rPr>
        <w:t>,</w:t>
      </w:r>
      <w:r w:rsidRPr="00872293">
        <w:rPr>
          <w:rFonts w:ascii="Times New Roman" w:hAnsi="Times New Roman"/>
          <w:b/>
          <w:sz w:val="24"/>
          <w:szCs w:val="24"/>
        </w:rPr>
        <w:t xml:space="preserve"> Zhang Q</w:t>
      </w:r>
      <w:r w:rsidR="0005027C" w:rsidRPr="00872293">
        <w:rPr>
          <w:rFonts w:ascii="Times New Roman" w:hAnsi="Times New Roman"/>
          <w:b/>
          <w:sz w:val="24"/>
          <w:szCs w:val="24"/>
        </w:rPr>
        <w:t>,</w:t>
      </w:r>
      <w:r w:rsidR="003A01E8" w:rsidRPr="00872293">
        <w:rPr>
          <w:rFonts w:ascii="Times New Roman" w:hAnsi="Times New Roman"/>
          <w:b/>
          <w:sz w:val="24"/>
          <w:szCs w:val="24"/>
        </w:rPr>
        <w:t xml:space="preserve"> </w:t>
      </w:r>
      <w:r w:rsidRPr="00872293">
        <w:rPr>
          <w:rFonts w:ascii="Times New Roman" w:hAnsi="Times New Roman"/>
          <w:b/>
          <w:sz w:val="24"/>
          <w:szCs w:val="24"/>
        </w:rPr>
        <w:t>Li L</w:t>
      </w:r>
      <w:r w:rsidR="0005027C" w:rsidRPr="00872293">
        <w:rPr>
          <w:rFonts w:ascii="Times New Roman" w:hAnsi="Times New Roman"/>
          <w:b/>
          <w:sz w:val="24"/>
          <w:szCs w:val="24"/>
        </w:rPr>
        <w:t>,</w:t>
      </w:r>
      <w:r w:rsidRPr="00872293">
        <w:rPr>
          <w:rFonts w:ascii="Times New Roman" w:hAnsi="Times New Roman"/>
          <w:b/>
          <w:sz w:val="24"/>
          <w:szCs w:val="24"/>
        </w:rPr>
        <w:t xml:space="preserve"> Chen X</w:t>
      </w:r>
      <w:r w:rsidR="0005027C" w:rsidRPr="00872293">
        <w:rPr>
          <w:rFonts w:ascii="Times New Roman" w:hAnsi="Times New Roman"/>
          <w:b/>
          <w:sz w:val="24"/>
          <w:szCs w:val="24"/>
        </w:rPr>
        <w:t>,</w:t>
      </w:r>
      <w:r w:rsidRPr="00872293">
        <w:rPr>
          <w:rFonts w:ascii="Times New Roman" w:hAnsi="Times New Roman"/>
          <w:b/>
          <w:sz w:val="24"/>
          <w:szCs w:val="24"/>
        </w:rPr>
        <w:t xml:space="preserve"> Zeng H</w:t>
      </w:r>
      <w:r w:rsidR="0005027C" w:rsidRPr="00872293">
        <w:rPr>
          <w:rFonts w:ascii="Times New Roman" w:hAnsi="Times New Roman"/>
          <w:b/>
          <w:sz w:val="24"/>
          <w:szCs w:val="24"/>
        </w:rPr>
        <w:t>,</w:t>
      </w:r>
      <w:r w:rsidR="003A01E8" w:rsidRPr="00872293">
        <w:rPr>
          <w:rFonts w:ascii="Times New Roman" w:hAnsi="Times New Roman"/>
          <w:b/>
          <w:sz w:val="24"/>
          <w:szCs w:val="24"/>
        </w:rPr>
        <w:t xml:space="preserve"> Guo</w:t>
      </w:r>
      <w:r w:rsidR="0005027C" w:rsidRPr="00872293">
        <w:rPr>
          <w:rFonts w:ascii="Times New Roman" w:hAnsi="Times New Roman"/>
          <w:b/>
          <w:sz w:val="24"/>
          <w:szCs w:val="24"/>
        </w:rPr>
        <w:t xml:space="preserve"> D</w:t>
      </w:r>
      <w:r w:rsidR="003A01E8" w:rsidRPr="00872293">
        <w:rPr>
          <w:rFonts w:ascii="Times New Roman" w:hAnsi="Times New Roman"/>
          <w:b/>
          <w:sz w:val="24"/>
          <w:szCs w:val="24"/>
        </w:rPr>
        <w:t>. 2014.</w:t>
      </w:r>
      <w:r w:rsidR="003A01E8" w:rsidRPr="00872293">
        <w:rPr>
          <w:rFonts w:ascii="Times New Roman" w:hAnsi="Times New Roman"/>
          <w:sz w:val="24"/>
          <w:szCs w:val="24"/>
        </w:rPr>
        <w:t xml:space="preserve"> Leading dimensions in absorptive root trait variation across 96 subtropical forest species. </w:t>
      </w:r>
      <w:r w:rsidR="003A01E8" w:rsidRPr="00872293">
        <w:rPr>
          <w:rFonts w:ascii="Times New Roman" w:hAnsi="Times New Roman"/>
          <w:i/>
          <w:iCs/>
          <w:sz w:val="24"/>
          <w:szCs w:val="24"/>
        </w:rPr>
        <w:t>New Phytologist</w:t>
      </w:r>
      <w:r w:rsidR="003A01E8" w:rsidRPr="00872293">
        <w:rPr>
          <w:rFonts w:ascii="Times New Roman" w:hAnsi="Times New Roman"/>
          <w:sz w:val="24"/>
          <w:szCs w:val="24"/>
        </w:rPr>
        <w:t xml:space="preserve"> </w:t>
      </w:r>
      <w:r w:rsidR="003A01E8" w:rsidRPr="00872293">
        <w:rPr>
          <w:rFonts w:ascii="Times New Roman" w:hAnsi="Times New Roman"/>
          <w:b/>
          <w:bCs/>
          <w:sz w:val="24"/>
          <w:szCs w:val="24"/>
        </w:rPr>
        <w:t>20</w:t>
      </w:r>
      <w:r w:rsidRPr="00872293">
        <w:rPr>
          <w:rFonts w:ascii="Times New Roman" w:hAnsi="Times New Roman"/>
          <w:b/>
          <w:bCs/>
          <w:sz w:val="24"/>
          <w:szCs w:val="24"/>
        </w:rPr>
        <w:t xml:space="preserve">3: </w:t>
      </w:r>
      <w:r w:rsidR="003A01E8" w:rsidRPr="00872293">
        <w:rPr>
          <w:rFonts w:ascii="Times New Roman" w:hAnsi="Times New Roman"/>
          <w:sz w:val="24"/>
          <w:szCs w:val="24"/>
        </w:rPr>
        <w:t>863–872.</w:t>
      </w:r>
    </w:p>
    <w:p w14:paraId="08069026" w14:textId="0FBBEF3A" w:rsidR="00461EE1" w:rsidRPr="00872293" w:rsidRDefault="00F25C77" w:rsidP="00F8391C">
      <w:pPr>
        <w:pStyle w:val="NormalWeb"/>
        <w:spacing w:before="0" w:beforeAutospacing="0" w:after="240" w:afterAutospacing="0" w:line="360" w:lineRule="auto"/>
        <w:rPr>
          <w:rFonts w:ascii="Times New Roman" w:hAnsi="Times New Roman"/>
          <w:sz w:val="24"/>
          <w:szCs w:val="24"/>
        </w:rPr>
      </w:pPr>
      <w:proofErr w:type="spellStart"/>
      <w:r w:rsidRPr="00872293">
        <w:rPr>
          <w:rFonts w:ascii="Times New Roman" w:hAnsi="Times New Roman"/>
          <w:b/>
          <w:sz w:val="24"/>
          <w:szCs w:val="24"/>
        </w:rPr>
        <w:t>Lamanna</w:t>
      </w:r>
      <w:proofErr w:type="spellEnd"/>
      <w:r w:rsidRPr="00872293">
        <w:rPr>
          <w:rFonts w:ascii="Times New Roman" w:hAnsi="Times New Roman"/>
          <w:b/>
          <w:sz w:val="24"/>
          <w:szCs w:val="24"/>
        </w:rPr>
        <w:t xml:space="preserve"> CA, Blonder B</w:t>
      </w:r>
      <w:r w:rsidR="0079069B" w:rsidRPr="00872293">
        <w:rPr>
          <w:rFonts w:ascii="Times New Roman" w:hAnsi="Times New Roman"/>
          <w:b/>
          <w:sz w:val="24"/>
          <w:szCs w:val="24"/>
        </w:rPr>
        <w:t>,</w:t>
      </w:r>
      <w:r w:rsidRPr="00872293">
        <w:rPr>
          <w:rFonts w:ascii="Times New Roman" w:hAnsi="Times New Roman"/>
          <w:b/>
          <w:sz w:val="24"/>
          <w:szCs w:val="24"/>
        </w:rPr>
        <w:t xml:space="preserve"> </w:t>
      </w:r>
      <w:proofErr w:type="spellStart"/>
      <w:r w:rsidRPr="00872293">
        <w:rPr>
          <w:rFonts w:ascii="Times New Roman" w:hAnsi="Times New Roman"/>
          <w:b/>
          <w:sz w:val="24"/>
          <w:szCs w:val="24"/>
        </w:rPr>
        <w:t>Violle</w:t>
      </w:r>
      <w:proofErr w:type="spellEnd"/>
      <w:r w:rsidRPr="00872293">
        <w:rPr>
          <w:rFonts w:ascii="Times New Roman" w:hAnsi="Times New Roman"/>
          <w:b/>
          <w:sz w:val="24"/>
          <w:szCs w:val="24"/>
        </w:rPr>
        <w:t xml:space="preserve"> C</w:t>
      </w:r>
      <w:r w:rsidR="0079069B" w:rsidRPr="00872293">
        <w:rPr>
          <w:rFonts w:ascii="Times New Roman" w:hAnsi="Times New Roman"/>
          <w:b/>
          <w:sz w:val="24"/>
          <w:szCs w:val="24"/>
        </w:rPr>
        <w:t>,</w:t>
      </w:r>
      <w:r w:rsidRPr="00872293">
        <w:rPr>
          <w:rFonts w:ascii="Times New Roman" w:hAnsi="Times New Roman"/>
          <w:b/>
          <w:sz w:val="24"/>
          <w:szCs w:val="24"/>
        </w:rPr>
        <w:t xml:space="preserve"> Kraft NJB</w:t>
      </w:r>
      <w:r w:rsidR="0079069B" w:rsidRPr="00872293">
        <w:rPr>
          <w:rFonts w:ascii="Times New Roman" w:hAnsi="Times New Roman"/>
          <w:b/>
          <w:sz w:val="24"/>
          <w:szCs w:val="24"/>
        </w:rPr>
        <w:t>,</w:t>
      </w:r>
      <w:r w:rsidRPr="00872293">
        <w:rPr>
          <w:rFonts w:ascii="Times New Roman" w:hAnsi="Times New Roman"/>
          <w:b/>
          <w:sz w:val="24"/>
          <w:szCs w:val="24"/>
        </w:rPr>
        <w:t xml:space="preserve"> Sandel</w:t>
      </w:r>
      <w:r w:rsidR="003A01E8" w:rsidRPr="00872293">
        <w:rPr>
          <w:rFonts w:ascii="Times New Roman" w:hAnsi="Times New Roman"/>
          <w:b/>
          <w:sz w:val="24"/>
          <w:szCs w:val="24"/>
        </w:rPr>
        <w:t xml:space="preserve"> </w:t>
      </w:r>
      <w:r w:rsidRPr="00872293">
        <w:rPr>
          <w:rFonts w:ascii="Times New Roman" w:hAnsi="Times New Roman"/>
          <w:b/>
          <w:sz w:val="24"/>
          <w:szCs w:val="24"/>
        </w:rPr>
        <w:t>B</w:t>
      </w:r>
      <w:r w:rsidR="0079069B" w:rsidRPr="00872293">
        <w:rPr>
          <w:rFonts w:ascii="Times New Roman" w:hAnsi="Times New Roman"/>
          <w:b/>
          <w:sz w:val="24"/>
          <w:szCs w:val="24"/>
        </w:rPr>
        <w:t xml:space="preserve">, </w:t>
      </w:r>
      <w:proofErr w:type="spellStart"/>
      <w:r w:rsidRPr="00872293">
        <w:rPr>
          <w:rFonts w:ascii="Times New Roman" w:hAnsi="Times New Roman"/>
          <w:b/>
          <w:sz w:val="24"/>
          <w:szCs w:val="24"/>
        </w:rPr>
        <w:t>Simova</w:t>
      </w:r>
      <w:proofErr w:type="spellEnd"/>
      <w:r w:rsidRPr="00872293">
        <w:rPr>
          <w:rFonts w:ascii="Times New Roman" w:hAnsi="Times New Roman"/>
          <w:b/>
          <w:sz w:val="24"/>
          <w:szCs w:val="24"/>
        </w:rPr>
        <w:t xml:space="preserve"> I</w:t>
      </w:r>
      <w:r w:rsidR="0079069B" w:rsidRPr="00872293">
        <w:rPr>
          <w:rFonts w:ascii="Times New Roman" w:hAnsi="Times New Roman"/>
          <w:b/>
          <w:sz w:val="24"/>
          <w:szCs w:val="24"/>
        </w:rPr>
        <w:t>,</w:t>
      </w:r>
      <w:r w:rsidR="003A01E8" w:rsidRPr="00872293">
        <w:rPr>
          <w:rFonts w:ascii="Times New Roman" w:hAnsi="Times New Roman"/>
          <w:b/>
          <w:sz w:val="24"/>
          <w:szCs w:val="24"/>
        </w:rPr>
        <w:t xml:space="preserve"> Donoghu</w:t>
      </w:r>
      <w:r w:rsidRPr="00872293">
        <w:rPr>
          <w:rFonts w:ascii="Times New Roman" w:hAnsi="Times New Roman"/>
          <w:b/>
          <w:sz w:val="24"/>
          <w:szCs w:val="24"/>
        </w:rPr>
        <w:t>e II JC</w:t>
      </w:r>
      <w:r w:rsidR="0079069B" w:rsidRPr="00872293">
        <w:rPr>
          <w:rFonts w:ascii="Times New Roman" w:hAnsi="Times New Roman"/>
          <w:b/>
          <w:sz w:val="24"/>
          <w:szCs w:val="24"/>
        </w:rPr>
        <w:t>,</w:t>
      </w:r>
      <w:r w:rsidRPr="00872293">
        <w:rPr>
          <w:rFonts w:ascii="Times New Roman" w:hAnsi="Times New Roman"/>
          <w:b/>
          <w:sz w:val="24"/>
          <w:szCs w:val="24"/>
        </w:rPr>
        <w:t xml:space="preserve"> </w:t>
      </w:r>
      <w:proofErr w:type="spellStart"/>
      <w:r w:rsidRPr="00872293">
        <w:rPr>
          <w:rFonts w:ascii="Times New Roman" w:hAnsi="Times New Roman"/>
          <w:b/>
          <w:sz w:val="24"/>
          <w:szCs w:val="24"/>
        </w:rPr>
        <w:t>Svenning</w:t>
      </w:r>
      <w:proofErr w:type="spellEnd"/>
      <w:r w:rsidR="003A01E8" w:rsidRPr="00872293">
        <w:rPr>
          <w:rFonts w:ascii="Times New Roman" w:hAnsi="Times New Roman"/>
          <w:b/>
          <w:sz w:val="24"/>
          <w:szCs w:val="24"/>
        </w:rPr>
        <w:t xml:space="preserve"> </w:t>
      </w:r>
      <w:r w:rsidRPr="00872293">
        <w:rPr>
          <w:rFonts w:ascii="Times New Roman" w:hAnsi="Times New Roman"/>
          <w:b/>
          <w:sz w:val="24"/>
          <w:szCs w:val="24"/>
        </w:rPr>
        <w:t>J</w:t>
      </w:r>
      <w:r w:rsidR="0079069B" w:rsidRPr="00872293">
        <w:rPr>
          <w:rFonts w:ascii="Times New Roman" w:hAnsi="Times New Roman"/>
          <w:b/>
          <w:sz w:val="24"/>
          <w:szCs w:val="24"/>
        </w:rPr>
        <w:t xml:space="preserve">, </w:t>
      </w:r>
      <w:proofErr w:type="spellStart"/>
      <w:r w:rsidRPr="00872293">
        <w:rPr>
          <w:rFonts w:ascii="Times New Roman" w:hAnsi="Times New Roman"/>
          <w:b/>
          <w:sz w:val="24"/>
          <w:szCs w:val="24"/>
        </w:rPr>
        <w:t>Mcgill</w:t>
      </w:r>
      <w:proofErr w:type="spellEnd"/>
      <w:r w:rsidR="003A01E8" w:rsidRPr="00872293">
        <w:rPr>
          <w:rFonts w:ascii="Times New Roman" w:hAnsi="Times New Roman"/>
          <w:b/>
          <w:sz w:val="24"/>
          <w:szCs w:val="24"/>
        </w:rPr>
        <w:t xml:space="preserve"> </w:t>
      </w:r>
      <w:r w:rsidRPr="00872293">
        <w:rPr>
          <w:rFonts w:ascii="Times New Roman" w:hAnsi="Times New Roman"/>
          <w:b/>
          <w:sz w:val="24"/>
          <w:szCs w:val="24"/>
        </w:rPr>
        <w:t>BJ</w:t>
      </w:r>
      <w:r w:rsidR="0079069B" w:rsidRPr="00872293">
        <w:rPr>
          <w:rFonts w:ascii="Times New Roman" w:hAnsi="Times New Roman"/>
          <w:b/>
          <w:sz w:val="24"/>
          <w:szCs w:val="24"/>
        </w:rPr>
        <w:t xml:space="preserve">, </w:t>
      </w:r>
      <w:r w:rsidRPr="00872293">
        <w:rPr>
          <w:rFonts w:ascii="Times New Roman" w:hAnsi="Times New Roman"/>
          <w:b/>
          <w:sz w:val="24"/>
          <w:szCs w:val="24"/>
        </w:rPr>
        <w:t>Boyle</w:t>
      </w:r>
      <w:r w:rsidR="003A01E8" w:rsidRPr="00872293">
        <w:rPr>
          <w:rFonts w:ascii="Times New Roman" w:hAnsi="Times New Roman"/>
          <w:b/>
          <w:sz w:val="24"/>
          <w:szCs w:val="24"/>
        </w:rPr>
        <w:t xml:space="preserve"> </w:t>
      </w:r>
      <w:r w:rsidRPr="00872293">
        <w:rPr>
          <w:rFonts w:ascii="Times New Roman" w:hAnsi="Times New Roman"/>
          <w:b/>
          <w:sz w:val="24"/>
          <w:szCs w:val="24"/>
        </w:rPr>
        <w:t>B</w:t>
      </w:r>
      <w:r w:rsidR="0079069B" w:rsidRPr="00872293">
        <w:rPr>
          <w:rFonts w:ascii="Times New Roman" w:hAnsi="Times New Roman"/>
          <w:b/>
          <w:sz w:val="24"/>
          <w:szCs w:val="24"/>
        </w:rPr>
        <w:t xml:space="preserve">, </w:t>
      </w:r>
      <w:r w:rsidR="002124E4" w:rsidRPr="00872293">
        <w:rPr>
          <w:rFonts w:ascii="Times New Roman" w:hAnsi="Times New Roman"/>
          <w:b/>
          <w:i/>
          <w:iCs/>
          <w:sz w:val="24"/>
          <w:szCs w:val="24"/>
        </w:rPr>
        <w:t>et al</w:t>
      </w:r>
      <w:r w:rsidR="002124E4" w:rsidRPr="00872293">
        <w:rPr>
          <w:rFonts w:ascii="Times New Roman" w:hAnsi="Times New Roman"/>
          <w:b/>
          <w:sz w:val="24"/>
          <w:szCs w:val="24"/>
        </w:rPr>
        <w:t xml:space="preserve">. </w:t>
      </w:r>
      <w:r w:rsidR="003A01E8" w:rsidRPr="00872293">
        <w:rPr>
          <w:rFonts w:ascii="Times New Roman" w:hAnsi="Times New Roman"/>
          <w:b/>
          <w:sz w:val="24"/>
          <w:szCs w:val="24"/>
        </w:rPr>
        <w:t>2014.</w:t>
      </w:r>
      <w:r w:rsidR="003A01E8" w:rsidRPr="00872293">
        <w:rPr>
          <w:rFonts w:ascii="Times New Roman" w:hAnsi="Times New Roman"/>
          <w:sz w:val="24"/>
          <w:szCs w:val="24"/>
        </w:rPr>
        <w:t xml:space="preserve"> Functional trait space and the latitudinal diversity gradient. </w:t>
      </w:r>
      <w:r w:rsidR="003A01E8" w:rsidRPr="00872293">
        <w:rPr>
          <w:rFonts w:ascii="Times New Roman" w:hAnsi="Times New Roman"/>
          <w:i/>
          <w:iCs/>
          <w:sz w:val="24"/>
          <w:szCs w:val="24"/>
        </w:rPr>
        <w:t>Proceedings of the National Academy of Sciences of the United States of America</w:t>
      </w:r>
      <w:r w:rsidR="003A01E8" w:rsidRPr="00872293">
        <w:rPr>
          <w:rFonts w:ascii="Times New Roman" w:hAnsi="Times New Roman"/>
          <w:sz w:val="24"/>
          <w:szCs w:val="24"/>
        </w:rPr>
        <w:t xml:space="preserve"> </w:t>
      </w:r>
      <w:r w:rsidR="003A01E8" w:rsidRPr="00872293">
        <w:rPr>
          <w:rFonts w:ascii="Times New Roman" w:hAnsi="Times New Roman"/>
          <w:b/>
          <w:bCs/>
          <w:sz w:val="24"/>
          <w:szCs w:val="24"/>
        </w:rPr>
        <w:t>11</w:t>
      </w:r>
      <w:r w:rsidRPr="00872293">
        <w:rPr>
          <w:rFonts w:ascii="Times New Roman" w:hAnsi="Times New Roman"/>
          <w:b/>
          <w:bCs/>
          <w:sz w:val="24"/>
          <w:szCs w:val="24"/>
        </w:rPr>
        <w:t>1:</w:t>
      </w:r>
      <w:r w:rsidR="003A01E8" w:rsidRPr="00872293">
        <w:rPr>
          <w:rFonts w:ascii="Times New Roman" w:hAnsi="Times New Roman"/>
          <w:sz w:val="24"/>
          <w:szCs w:val="24"/>
        </w:rPr>
        <w:t xml:space="preserve"> 13745–13750.</w:t>
      </w:r>
    </w:p>
    <w:p w14:paraId="7ED4B1D5" w14:textId="77777777" w:rsidR="00461EE1" w:rsidRPr="00872293" w:rsidRDefault="00CC5912"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LaRue C</w:t>
      </w:r>
      <w:r w:rsidR="003A01E8" w:rsidRPr="00872293">
        <w:rPr>
          <w:rFonts w:ascii="Times New Roman" w:hAnsi="Times New Roman"/>
          <w:b/>
          <w:sz w:val="24"/>
          <w:szCs w:val="24"/>
        </w:rPr>
        <w:t>D. 1952.</w:t>
      </w:r>
      <w:r w:rsidR="003A01E8" w:rsidRPr="00872293">
        <w:rPr>
          <w:rFonts w:ascii="Times New Roman" w:hAnsi="Times New Roman"/>
          <w:sz w:val="24"/>
          <w:szCs w:val="24"/>
        </w:rPr>
        <w:t xml:space="preserve"> Root-Grafting in Tropical Trees. </w:t>
      </w:r>
      <w:r w:rsidR="003A01E8" w:rsidRPr="00872293">
        <w:rPr>
          <w:rFonts w:ascii="Times New Roman" w:hAnsi="Times New Roman"/>
          <w:i/>
          <w:iCs/>
          <w:sz w:val="24"/>
          <w:szCs w:val="24"/>
        </w:rPr>
        <w:t>Science</w:t>
      </w:r>
      <w:r w:rsidR="003A01E8" w:rsidRPr="00872293">
        <w:rPr>
          <w:rFonts w:ascii="Times New Roman" w:hAnsi="Times New Roman"/>
          <w:sz w:val="24"/>
          <w:szCs w:val="24"/>
        </w:rPr>
        <w:t xml:space="preserve"> </w:t>
      </w:r>
      <w:r w:rsidR="003A01E8" w:rsidRPr="00872293">
        <w:rPr>
          <w:rFonts w:ascii="Times New Roman" w:hAnsi="Times New Roman"/>
          <w:b/>
          <w:bCs/>
          <w:sz w:val="24"/>
          <w:szCs w:val="24"/>
        </w:rPr>
        <w:t>115</w:t>
      </w:r>
      <w:r w:rsidR="003A01E8" w:rsidRPr="00872293">
        <w:rPr>
          <w:rFonts w:ascii="Times New Roman" w:hAnsi="Times New Roman"/>
          <w:sz w:val="24"/>
          <w:szCs w:val="24"/>
        </w:rPr>
        <w:t xml:space="preserve"> (2985)</w:t>
      </w:r>
      <w:r w:rsidR="003B20C6" w:rsidRPr="00872293">
        <w:rPr>
          <w:rFonts w:ascii="Times New Roman" w:hAnsi="Times New Roman"/>
          <w:sz w:val="24"/>
          <w:szCs w:val="24"/>
        </w:rPr>
        <w:t>,</w:t>
      </w:r>
      <w:r w:rsidR="003A01E8" w:rsidRPr="00872293">
        <w:rPr>
          <w:rFonts w:ascii="Times New Roman" w:hAnsi="Times New Roman"/>
          <w:sz w:val="24"/>
          <w:szCs w:val="24"/>
        </w:rPr>
        <w:t xml:space="preserve"> 296.</w:t>
      </w:r>
    </w:p>
    <w:p w14:paraId="40B722C7" w14:textId="77777777" w:rsidR="00461EE1" w:rsidRPr="00872293" w:rsidRDefault="00E577B2" w:rsidP="00F8391C">
      <w:pPr>
        <w:pStyle w:val="NormalWeb"/>
        <w:spacing w:before="0" w:beforeAutospacing="0" w:after="240" w:afterAutospacing="0" w:line="360" w:lineRule="auto"/>
        <w:rPr>
          <w:rFonts w:ascii="Times New Roman" w:eastAsia="Times New Roman" w:hAnsi="Times New Roman"/>
          <w:sz w:val="24"/>
          <w:szCs w:val="24"/>
        </w:rPr>
      </w:pPr>
      <w:r w:rsidRPr="00872293">
        <w:rPr>
          <w:rFonts w:ascii="Times New Roman" w:eastAsia="Times New Roman" w:hAnsi="Times New Roman"/>
          <w:b/>
          <w:sz w:val="24"/>
          <w:szCs w:val="24"/>
        </w:rPr>
        <w:t xml:space="preserve">Li W, </w:t>
      </w:r>
      <w:proofErr w:type="spellStart"/>
      <w:r w:rsidRPr="00872293">
        <w:rPr>
          <w:rFonts w:ascii="Times New Roman" w:eastAsia="Times New Roman" w:hAnsi="Times New Roman"/>
          <w:b/>
          <w:sz w:val="24"/>
          <w:szCs w:val="24"/>
        </w:rPr>
        <w:t>Jin</w:t>
      </w:r>
      <w:proofErr w:type="spellEnd"/>
      <w:r w:rsidRPr="00872293">
        <w:rPr>
          <w:rFonts w:ascii="Times New Roman" w:eastAsia="Times New Roman" w:hAnsi="Times New Roman"/>
          <w:b/>
          <w:sz w:val="24"/>
          <w:szCs w:val="24"/>
        </w:rPr>
        <w:t xml:space="preserve"> C</w:t>
      </w:r>
      <w:r w:rsidR="003630CE" w:rsidRPr="00872293">
        <w:rPr>
          <w:rFonts w:ascii="Times New Roman" w:eastAsia="Times New Roman" w:hAnsi="Times New Roman"/>
          <w:b/>
          <w:sz w:val="24"/>
          <w:szCs w:val="24"/>
        </w:rPr>
        <w:t>,</w:t>
      </w:r>
      <w:r w:rsidRPr="00872293">
        <w:rPr>
          <w:rFonts w:ascii="Times New Roman" w:eastAsia="Times New Roman" w:hAnsi="Times New Roman"/>
          <w:b/>
          <w:sz w:val="24"/>
          <w:szCs w:val="24"/>
        </w:rPr>
        <w:t xml:space="preserve"> Guan D</w:t>
      </w:r>
      <w:r w:rsidR="003630CE" w:rsidRPr="00872293">
        <w:rPr>
          <w:rFonts w:ascii="Times New Roman" w:eastAsia="Times New Roman" w:hAnsi="Times New Roman"/>
          <w:b/>
          <w:sz w:val="24"/>
          <w:szCs w:val="24"/>
        </w:rPr>
        <w:t>,</w:t>
      </w:r>
      <w:r w:rsidRPr="00872293">
        <w:rPr>
          <w:rFonts w:ascii="Times New Roman" w:eastAsia="Times New Roman" w:hAnsi="Times New Roman"/>
          <w:b/>
          <w:sz w:val="24"/>
          <w:szCs w:val="24"/>
        </w:rPr>
        <w:t xml:space="preserve"> Wang Q</w:t>
      </w:r>
      <w:r w:rsidR="003630CE" w:rsidRPr="00872293">
        <w:rPr>
          <w:rFonts w:ascii="Times New Roman" w:eastAsia="Times New Roman" w:hAnsi="Times New Roman"/>
          <w:b/>
          <w:sz w:val="24"/>
          <w:szCs w:val="24"/>
        </w:rPr>
        <w:t>,</w:t>
      </w:r>
      <w:r w:rsidRPr="00872293">
        <w:rPr>
          <w:rFonts w:ascii="Times New Roman" w:eastAsia="Times New Roman" w:hAnsi="Times New Roman"/>
          <w:b/>
          <w:sz w:val="24"/>
          <w:szCs w:val="24"/>
        </w:rPr>
        <w:t xml:space="preserve"> Wang A</w:t>
      </w:r>
      <w:r w:rsidR="003630CE" w:rsidRPr="00872293">
        <w:rPr>
          <w:rFonts w:ascii="Times New Roman" w:eastAsia="Times New Roman" w:hAnsi="Times New Roman"/>
          <w:b/>
          <w:sz w:val="24"/>
          <w:szCs w:val="24"/>
        </w:rPr>
        <w:t>,</w:t>
      </w:r>
      <w:r w:rsidRPr="00872293">
        <w:rPr>
          <w:rFonts w:ascii="Times New Roman" w:eastAsia="Times New Roman" w:hAnsi="Times New Roman"/>
          <w:b/>
          <w:sz w:val="24"/>
          <w:szCs w:val="24"/>
        </w:rPr>
        <w:t xml:space="preserve"> Yuan F</w:t>
      </w:r>
      <w:r w:rsidR="003630CE" w:rsidRPr="00872293">
        <w:rPr>
          <w:rFonts w:ascii="Times New Roman" w:eastAsia="Times New Roman" w:hAnsi="Times New Roman"/>
          <w:b/>
          <w:sz w:val="24"/>
          <w:szCs w:val="24"/>
        </w:rPr>
        <w:t>,</w:t>
      </w:r>
      <w:r w:rsidR="003A01E8" w:rsidRPr="00872293">
        <w:rPr>
          <w:rFonts w:ascii="Times New Roman" w:eastAsia="Times New Roman" w:hAnsi="Times New Roman"/>
          <w:b/>
          <w:sz w:val="24"/>
          <w:szCs w:val="24"/>
        </w:rPr>
        <w:t xml:space="preserve"> Wu</w:t>
      </w:r>
      <w:r w:rsidR="003630CE" w:rsidRPr="00872293">
        <w:rPr>
          <w:rFonts w:ascii="Times New Roman" w:eastAsia="Times New Roman" w:hAnsi="Times New Roman"/>
          <w:b/>
          <w:sz w:val="24"/>
          <w:szCs w:val="24"/>
        </w:rPr>
        <w:t xml:space="preserve"> J</w:t>
      </w:r>
      <w:r w:rsidR="003A01E8" w:rsidRPr="00872293">
        <w:rPr>
          <w:rFonts w:ascii="Times New Roman" w:eastAsia="Times New Roman" w:hAnsi="Times New Roman"/>
          <w:b/>
          <w:sz w:val="24"/>
          <w:szCs w:val="24"/>
        </w:rPr>
        <w:t>. 2015.</w:t>
      </w:r>
      <w:r w:rsidR="003A01E8" w:rsidRPr="00872293">
        <w:rPr>
          <w:rFonts w:ascii="Times New Roman" w:eastAsia="Times New Roman" w:hAnsi="Times New Roman"/>
          <w:sz w:val="24"/>
          <w:szCs w:val="24"/>
        </w:rPr>
        <w:t xml:space="preserve"> The effects of simulated nitrogen deposition on plant root traits: A meta-analysis. </w:t>
      </w:r>
      <w:r w:rsidR="003A01E8" w:rsidRPr="00872293">
        <w:rPr>
          <w:rFonts w:ascii="Times New Roman" w:hAnsi="Times New Roman"/>
          <w:i/>
          <w:sz w:val="24"/>
          <w:szCs w:val="24"/>
        </w:rPr>
        <w:t>Soil Biology &amp; Biochemistry</w:t>
      </w:r>
      <w:r w:rsidR="003A01E8" w:rsidRPr="00872293">
        <w:rPr>
          <w:rFonts w:ascii="Times New Roman" w:hAnsi="Times New Roman"/>
          <w:sz w:val="24"/>
          <w:szCs w:val="24"/>
        </w:rPr>
        <w:t xml:space="preserve"> </w:t>
      </w:r>
      <w:r w:rsidR="003A01E8" w:rsidRPr="00872293">
        <w:rPr>
          <w:rFonts w:ascii="Times New Roman" w:hAnsi="Times New Roman"/>
          <w:b/>
          <w:sz w:val="24"/>
          <w:szCs w:val="24"/>
        </w:rPr>
        <w:t>8</w:t>
      </w:r>
      <w:r w:rsidRPr="00872293">
        <w:rPr>
          <w:rFonts w:ascii="Times New Roman" w:hAnsi="Times New Roman"/>
          <w:b/>
          <w:sz w:val="24"/>
          <w:szCs w:val="24"/>
        </w:rPr>
        <w:t>2:</w:t>
      </w:r>
      <w:r w:rsidR="003A01E8" w:rsidRPr="00872293">
        <w:rPr>
          <w:rFonts w:ascii="Times New Roman" w:hAnsi="Times New Roman"/>
          <w:sz w:val="24"/>
          <w:szCs w:val="24"/>
        </w:rPr>
        <w:t xml:space="preserve"> 112-118.</w:t>
      </w:r>
    </w:p>
    <w:p w14:paraId="4CBE036F" w14:textId="02A0BDEA" w:rsidR="000B6E61" w:rsidRPr="00872293" w:rsidRDefault="00E577B2"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Lodge DJ</w:t>
      </w:r>
      <w:r w:rsidR="003A01E8" w:rsidRPr="00872293">
        <w:rPr>
          <w:rFonts w:ascii="Times New Roman" w:hAnsi="Times New Roman"/>
          <w:b/>
          <w:sz w:val="24"/>
          <w:szCs w:val="24"/>
        </w:rPr>
        <w:t>, Winter</w:t>
      </w:r>
      <w:r w:rsidRPr="00872293">
        <w:rPr>
          <w:rFonts w:ascii="Times New Roman" w:hAnsi="Times New Roman"/>
          <w:b/>
          <w:sz w:val="24"/>
          <w:szCs w:val="24"/>
        </w:rPr>
        <w:t xml:space="preserve"> D, González G</w:t>
      </w:r>
      <w:r w:rsidR="00031309" w:rsidRPr="00872293">
        <w:rPr>
          <w:rFonts w:ascii="Times New Roman" w:hAnsi="Times New Roman"/>
          <w:b/>
          <w:sz w:val="24"/>
          <w:szCs w:val="24"/>
        </w:rPr>
        <w:t>,</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Clum</w:t>
      </w:r>
      <w:proofErr w:type="spellEnd"/>
      <w:r w:rsidR="00031309" w:rsidRPr="00872293">
        <w:rPr>
          <w:rFonts w:ascii="Times New Roman" w:hAnsi="Times New Roman"/>
          <w:b/>
          <w:sz w:val="24"/>
          <w:szCs w:val="24"/>
        </w:rPr>
        <w:t xml:space="preserve"> N</w:t>
      </w:r>
      <w:r w:rsidR="003A01E8" w:rsidRPr="00872293">
        <w:rPr>
          <w:rFonts w:ascii="Times New Roman" w:hAnsi="Times New Roman"/>
          <w:b/>
          <w:sz w:val="24"/>
          <w:szCs w:val="24"/>
        </w:rPr>
        <w:t>. 2016.</w:t>
      </w:r>
      <w:r w:rsidR="003A01E8" w:rsidRPr="00872293">
        <w:rPr>
          <w:rFonts w:ascii="Times New Roman" w:hAnsi="Times New Roman"/>
          <w:sz w:val="24"/>
          <w:szCs w:val="24"/>
        </w:rPr>
        <w:t xml:space="preserve"> Effects of hurricane-felled tree trunks on soil carbon, nitrogen, microbial biomass, and root length in a wet tropical forest. </w:t>
      </w:r>
      <w:r w:rsidR="003A01E8" w:rsidRPr="00872293">
        <w:rPr>
          <w:rFonts w:ascii="Times New Roman" w:hAnsi="Times New Roman"/>
          <w:i/>
          <w:sz w:val="24"/>
          <w:szCs w:val="24"/>
        </w:rPr>
        <w:t>Forests</w:t>
      </w:r>
      <w:r w:rsidR="003A01E8" w:rsidRPr="00872293">
        <w:rPr>
          <w:rFonts w:ascii="Times New Roman" w:hAnsi="Times New Roman"/>
          <w:sz w:val="24"/>
          <w:szCs w:val="24"/>
        </w:rPr>
        <w:t xml:space="preserve"> </w:t>
      </w:r>
      <w:r w:rsidRPr="00872293">
        <w:rPr>
          <w:rFonts w:ascii="Times New Roman" w:hAnsi="Times New Roman"/>
          <w:b/>
          <w:sz w:val="24"/>
          <w:szCs w:val="24"/>
        </w:rPr>
        <w:t>7:</w:t>
      </w:r>
      <w:r w:rsidR="003A01E8" w:rsidRPr="00872293">
        <w:rPr>
          <w:rFonts w:ascii="Times New Roman" w:hAnsi="Times New Roman"/>
          <w:sz w:val="24"/>
          <w:szCs w:val="24"/>
        </w:rPr>
        <w:t xml:space="preserve"> 264.</w:t>
      </w:r>
    </w:p>
    <w:p w14:paraId="30969CAE" w14:textId="77777777" w:rsidR="000B6E61" w:rsidRPr="00872293" w:rsidRDefault="00E577B2" w:rsidP="00F8391C">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lastRenderedPageBreak/>
        <w:t>Lugo A</w:t>
      </w:r>
      <w:r w:rsidR="003A01E8" w:rsidRPr="00872293">
        <w:rPr>
          <w:rFonts w:ascii="Times New Roman" w:hAnsi="Times New Roman"/>
          <w:b/>
          <w:sz w:val="24"/>
          <w:szCs w:val="24"/>
        </w:rPr>
        <w:t>E. 1992.</w:t>
      </w:r>
      <w:r w:rsidR="003A01E8" w:rsidRPr="00872293">
        <w:rPr>
          <w:rFonts w:ascii="Times New Roman" w:hAnsi="Times New Roman"/>
          <w:sz w:val="24"/>
          <w:szCs w:val="24"/>
        </w:rPr>
        <w:t xml:space="preserve"> Comparison of tropical tree plantations with secondary forests of similar age. </w:t>
      </w:r>
      <w:r w:rsidR="003A01E8" w:rsidRPr="00872293">
        <w:rPr>
          <w:rFonts w:ascii="Times New Roman" w:hAnsi="Times New Roman"/>
          <w:i/>
          <w:sz w:val="24"/>
          <w:szCs w:val="24"/>
        </w:rPr>
        <w:t>Ecol</w:t>
      </w:r>
      <w:r w:rsidR="0000773A" w:rsidRPr="00872293">
        <w:rPr>
          <w:rFonts w:ascii="Times New Roman" w:hAnsi="Times New Roman"/>
          <w:i/>
          <w:sz w:val="24"/>
          <w:szCs w:val="24"/>
        </w:rPr>
        <w:t>ogical</w:t>
      </w:r>
      <w:r w:rsidR="003A01E8" w:rsidRPr="00872293">
        <w:rPr>
          <w:rFonts w:ascii="Times New Roman" w:hAnsi="Times New Roman"/>
          <w:i/>
          <w:sz w:val="24"/>
          <w:szCs w:val="24"/>
        </w:rPr>
        <w:t xml:space="preserve"> Monogr</w:t>
      </w:r>
      <w:r w:rsidR="0000773A" w:rsidRPr="00872293">
        <w:rPr>
          <w:rFonts w:ascii="Times New Roman" w:hAnsi="Times New Roman"/>
          <w:i/>
          <w:sz w:val="24"/>
          <w:szCs w:val="24"/>
        </w:rPr>
        <w:t>aphs</w:t>
      </w:r>
      <w:r w:rsidR="003A01E8" w:rsidRPr="00872293">
        <w:rPr>
          <w:rFonts w:ascii="Times New Roman" w:hAnsi="Times New Roman"/>
          <w:sz w:val="24"/>
          <w:szCs w:val="24"/>
        </w:rPr>
        <w:t xml:space="preserve"> </w:t>
      </w:r>
      <w:r w:rsidR="003A01E8" w:rsidRPr="00872293">
        <w:rPr>
          <w:rFonts w:ascii="Times New Roman" w:hAnsi="Times New Roman"/>
          <w:b/>
          <w:sz w:val="24"/>
          <w:szCs w:val="24"/>
        </w:rPr>
        <w:t>6</w:t>
      </w:r>
      <w:r w:rsidRPr="00872293">
        <w:rPr>
          <w:rFonts w:ascii="Times New Roman" w:hAnsi="Times New Roman"/>
          <w:b/>
          <w:sz w:val="24"/>
          <w:szCs w:val="24"/>
        </w:rPr>
        <w:t xml:space="preserve">2: </w:t>
      </w:r>
      <w:r w:rsidR="003A01E8" w:rsidRPr="00872293">
        <w:rPr>
          <w:rFonts w:ascii="Times New Roman" w:hAnsi="Times New Roman"/>
          <w:sz w:val="24"/>
          <w:szCs w:val="24"/>
        </w:rPr>
        <w:t>1–41.</w:t>
      </w:r>
    </w:p>
    <w:p w14:paraId="1D059382" w14:textId="77777777" w:rsidR="000B6E61" w:rsidRPr="00872293" w:rsidRDefault="00E577B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Lugo A</w:t>
      </w:r>
      <w:r w:rsidR="003A01E8" w:rsidRPr="00872293">
        <w:rPr>
          <w:rFonts w:ascii="Times New Roman" w:hAnsi="Times New Roman"/>
          <w:b/>
          <w:sz w:val="24"/>
          <w:szCs w:val="24"/>
        </w:rPr>
        <w:t>E. 19</w:t>
      </w:r>
      <w:r w:rsidR="00C45E5F" w:rsidRPr="00872293">
        <w:rPr>
          <w:rFonts w:ascii="Times New Roman" w:hAnsi="Times New Roman"/>
          <w:b/>
          <w:sz w:val="24"/>
          <w:szCs w:val="24"/>
        </w:rPr>
        <w:t>8</w:t>
      </w:r>
      <w:r w:rsidR="003A01E8" w:rsidRPr="00872293">
        <w:rPr>
          <w:rFonts w:ascii="Times New Roman" w:hAnsi="Times New Roman"/>
          <w:b/>
          <w:sz w:val="24"/>
          <w:szCs w:val="24"/>
        </w:rPr>
        <w:t>3</w:t>
      </w:r>
      <w:r w:rsidR="003A01E8" w:rsidRPr="00872293">
        <w:rPr>
          <w:rFonts w:ascii="Times New Roman" w:hAnsi="Times New Roman"/>
          <w:sz w:val="24"/>
          <w:szCs w:val="24"/>
        </w:rPr>
        <w:t xml:space="preserve">. Los bosques de Puerto Rico. Instituto de </w:t>
      </w:r>
      <w:proofErr w:type="spellStart"/>
      <w:r w:rsidR="003A01E8" w:rsidRPr="00872293">
        <w:rPr>
          <w:rFonts w:ascii="Times New Roman" w:hAnsi="Times New Roman"/>
          <w:sz w:val="24"/>
          <w:szCs w:val="24"/>
        </w:rPr>
        <w:t>Dasonomía</w:t>
      </w:r>
      <w:proofErr w:type="spellEnd"/>
      <w:r w:rsidR="003A01E8" w:rsidRPr="00872293">
        <w:rPr>
          <w:rFonts w:ascii="Times New Roman" w:hAnsi="Times New Roman"/>
          <w:sz w:val="24"/>
          <w:szCs w:val="24"/>
        </w:rPr>
        <w:t xml:space="preserve"> Tropical. Rio Piedras. 321 pp.</w:t>
      </w:r>
    </w:p>
    <w:p w14:paraId="79F8A2F6" w14:textId="77777777" w:rsidR="000B6E61" w:rsidRPr="00872293" w:rsidRDefault="00E577B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Lugo AE,</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Scatena</w:t>
      </w:r>
      <w:proofErr w:type="spellEnd"/>
      <w:r w:rsidRPr="00872293">
        <w:rPr>
          <w:rFonts w:ascii="Times New Roman" w:hAnsi="Times New Roman"/>
          <w:b/>
          <w:sz w:val="24"/>
          <w:szCs w:val="24"/>
        </w:rPr>
        <w:t xml:space="preserve"> F</w:t>
      </w:r>
      <w:r w:rsidR="00305F6D" w:rsidRPr="00872293">
        <w:rPr>
          <w:rFonts w:ascii="Times New Roman" w:hAnsi="Times New Roman"/>
          <w:b/>
          <w:sz w:val="24"/>
          <w:szCs w:val="24"/>
        </w:rPr>
        <w:t>N</w:t>
      </w:r>
      <w:r w:rsidR="003A01E8" w:rsidRPr="00872293">
        <w:rPr>
          <w:rFonts w:ascii="Times New Roman" w:hAnsi="Times New Roman"/>
          <w:b/>
          <w:sz w:val="24"/>
          <w:szCs w:val="24"/>
        </w:rPr>
        <w:t>. 1995.</w:t>
      </w:r>
      <w:r w:rsidR="003A01E8" w:rsidRPr="00872293">
        <w:rPr>
          <w:rFonts w:ascii="Times New Roman" w:hAnsi="Times New Roman"/>
          <w:sz w:val="24"/>
          <w:szCs w:val="24"/>
        </w:rPr>
        <w:t xml:space="preserve"> Ecosystem-Level Properties of the Luquillo </w:t>
      </w:r>
      <w:proofErr w:type="spellStart"/>
      <w:r w:rsidR="003A01E8" w:rsidRPr="00872293">
        <w:rPr>
          <w:rFonts w:ascii="Times New Roman" w:hAnsi="Times New Roman"/>
          <w:sz w:val="24"/>
          <w:szCs w:val="24"/>
        </w:rPr>
        <w:t>Exerpimental</w:t>
      </w:r>
      <w:proofErr w:type="spellEnd"/>
      <w:r w:rsidR="003A01E8" w:rsidRPr="00872293">
        <w:rPr>
          <w:rFonts w:ascii="Times New Roman" w:hAnsi="Times New Roman"/>
          <w:sz w:val="24"/>
          <w:szCs w:val="24"/>
        </w:rPr>
        <w:t xml:space="preserve"> Forest with Emphasis on the Tabonuco Forest. </w:t>
      </w:r>
      <w:r w:rsidR="003A01E8" w:rsidRPr="00872293">
        <w:rPr>
          <w:rFonts w:ascii="Times New Roman" w:hAnsi="Times New Roman"/>
          <w:iCs/>
          <w:sz w:val="24"/>
          <w:szCs w:val="24"/>
        </w:rPr>
        <w:t>In</w:t>
      </w:r>
      <w:r w:rsidR="003A01E8" w:rsidRPr="00872293">
        <w:rPr>
          <w:rFonts w:ascii="Times New Roman" w:hAnsi="Times New Roman"/>
          <w:sz w:val="24"/>
          <w:szCs w:val="24"/>
        </w:rPr>
        <w:t xml:space="preserve"> A. E., Lugo, and C. Lowe (Eds.). </w:t>
      </w:r>
      <w:r w:rsidR="003A01E8" w:rsidRPr="00872293">
        <w:rPr>
          <w:rFonts w:ascii="Times New Roman" w:hAnsi="Times New Roman"/>
          <w:i/>
          <w:iCs/>
          <w:sz w:val="24"/>
          <w:szCs w:val="24"/>
        </w:rPr>
        <w:t>Tropical Forests: Management an Ecology</w:t>
      </w:r>
      <w:r w:rsidR="0067113C" w:rsidRPr="00872293">
        <w:rPr>
          <w:rFonts w:ascii="Times New Roman" w:hAnsi="Times New Roman"/>
          <w:sz w:val="24"/>
          <w:szCs w:val="24"/>
        </w:rPr>
        <w:t xml:space="preserve"> (</w:t>
      </w:r>
      <w:r w:rsidR="003A01E8" w:rsidRPr="00872293">
        <w:rPr>
          <w:rFonts w:ascii="Times New Roman" w:hAnsi="Times New Roman"/>
          <w:sz w:val="24"/>
          <w:szCs w:val="24"/>
        </w:rPr>
        <w:t>pp. 78-79</w:t>
      </w:r>
      <w:r w:rsidR="0067113C" w:rsidRPr="00872293">
        <w:rPr>
          <w:rFonts w:ascii="Times New Roman" w:hAnsi="Times New Roman"/>
          <w:sz w:val="24"/>
          <w:szCs w:val="24"/>
        </w:rPr>
        <w:t>)</w:t>
      </w:r>
      <w:r w:rsidR="003A01E8" w:rsidRPr="00872293">
        <w:rPr>
          <w:rFonts w:ascii="Times New Roman" w:hAnsi="Times New Roman"/>
          <w:sz w:val="24"/>
          <w:szCs w:val="24"/>
        </w:rPr>
        <w:t>. New York</w:t>
      </w:r>
      <w:r w:rsidR="00C73F83" w:rsidRPr="00872293">
        <w:rPr>
          <w:rFonts w:ascii="Times New Roman" w:hAnsi="Times New Roman"/>
          <w:sz w:val="24"/>
          <w:szCs w:val="24"/>
        </w:rPr>
        <w:t>: Springer-Verlag, New York Inc.</w:t>
      </w:r>
    </w:p>
    <w:p w14:paraId="5290B52C" w14:textId="3E49094B" w:rsidR="000B6E61" w:rsidRPr="00872293" w:rsidRDefault="00E577B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Lugo AE</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Abelleira</w:t>
      </w:r>
      <w:proofErr w:type="spellEnd"/>
      <w:r w:rsidR="00187E59" w:rsidRPr="00872293">
        <w:rPr>
          <w:rFonts w:ascii="Times New Roman" w:hAnsi="Times New Roman"/>
          <w:b/>
          <w:sz w:val="24"/>
          <w:szCs w:val="24"/>
        </w:rPr>
        <w:t xml:space="preserve"> O</w:t>
      </w:r>
      <w:r w:rsidRPr="00872293">
        <w:rPr>
          <w:rFonts w:ascii="Times New Roman" w:hAnsi="Times New Roman"/>
          <w:b/>
          <w:sz w:val="24"/>
          <w:szCs w:val="24"/>
        </w:rPr>
        <w:t>J,</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Collado</w:t>
      </w:r>
      <w:proofErr w:type="spellEnd"/>
      <w:r w:rsidRPr="00872293">
        <w:rPr>
          <w:rFonts w:ascii="Times New Roman" w:hAnsi="Times New Roman"/>
          <w:b/>
          <w:sz w:val="24"/>
          <w:szCs w:val="24"/>
        </w:rPr>
        <w:t xml:space="preserve"> A</w:t>
      </w:r>
      <w:r w:rsidR="003A01E8" w:rsidRPr="00872293">
        <w:rPr>
          <w:rFonts w:ascii="Times New Roman" w:hAnsi="Times New Roman"/>
          <w:b/>
          <w:sz w:val="24"/>
          <w:szCs w:val="24"/>
        </w:rPr>
        <w:t>, Viera</w:t>
      </w:r>
      <w:r w:rsidRPr="00872293">
        <w:rPr>
          <w:rFonts w:ascii="Times New Roman" w:hAnsi="Times New Roman"/>
          <w:b/>
          <w:sz w:val="24"/>
          <w:szCs w:val="24"/>
        </w:rPr>
        <w:t xml:space="preserve"> CA</w:t>
      </w:r>
      <w:r w:rsidR="003A01E8" w:rsidRPr="00872293">
        <w:rPr>
          <w:rFonts w:ascii="Times New Roman" w:hAnsi="Times New Roman"/>
          <w:b/>
          <w:sz w:val="24"/>
          <w:szCs w:val="24"/>
        </w:rPr>
        <w:t>, Santiago</w:t>
      </w:r>
      <w:r w:rsidRPr="00872293">
        <w:rPr>
          <w:rFonts w:ascii="Times New Roman" w:hAnsi="Times New Roman"/>
          <w:b/>
          <w:sz w:val="24"/>
          <w:szCs w:val="24"/>
        </w:rPr>
        <w:t xml:space="preserve"> C</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Vélez</w:t>
      </w:r>
      <w:proofErr w:type="spellEnd"/>
      <w:r w:rsidRPr="00872293">
        <w:rPr>
          <w:rFonts w:ascii="Times New Roman" w:hAnsi="Times New Roman"/>
          <w:b/>
          <w:sz w:val="24"/>
          <w:szCs w:val="24"/>
        </w:rPr>
        <w:t xml:space="preserve"> DO</w:t>
      </w:r>
      <w:r w:rsidR="003A01E8" w:rsidRPr="00872293">
        <w:rPr>
          <w:rFonts w:ascii="Times New Roman" w:hAnsi="Times New Roman"/>
          <w:b/>
          <w:sz w:val="24"/>
          <w:szCs w:val="24"/>
        </w:rPr>
        <w:t>, Soto</w:t>
      </w:r>
      <w:r w:rsidRPr="00872293">
        <w:rPr>
          <w:rFonts w:ascii="Times New Roman" w:hAnsi="Times New Roman"/>
          <w:b/>
          <w:sz w:val="24"/>
          <w:szCs w:val="24"/>
        </w:rPr>
        <w:t xml:space="preserve"> E</w:t>
      </w:r>
      <w:r w:rsidR="003A01E8" w:rsidRPr="00872293">
        <w:rPr>
          <w:rFonts w:ascii="Times New Roman" w:hAnsi="Times New Roman"/>
          <w:b/>
          <w:sz w:val="24"/>
          <w:szCs w:val="24"/>
        </w:rPr>
        <w:t>, Amaro</w:t>
      </w:r>
      <w:r w:rsidRPr="00872293">
        <w:rPr>
          <w:rFonts w:ascii="Times New Roman" w:hAnsi="Times New Roman"/>
          <w:b/>
          <w:sz w:val="24"/>
          <w:szCs w:val="24"/>
        </w:rPr>
        <w:t xml:space="preserve"> G</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Charón</w:t>
      </w:r>
      <w:proofErr w:type="spellEnd"/>
      <w:r w:rsidRPr="00872293">
        <w:rPr>
          <w:rFonts w:ascii="Times New Roman" w:hAnsi="Times New Roman"/>
          <w:b/>
          <w:sz w:val="24"/>
          <w:szCs w:val="24"/>
        </w:rPr>
        <w:t xml:space="preserve"> G</w:t>
      </w:r>
      <w:r w:rsidR="003A01E8" w:rsidRPr="00872293">
        <w:rPr>
          <w:rFonts w:ascii="Times New Roman" w:hAnsi="Times New Roman"/>
          <w:b/>
          <w:sz w:val="24"/>
          <w:szCs w:val="24"/>
        </w:rPr>
        <w:t>, Colón</w:t>
      </w:r>
      <w:r w:rsidRPr="00872293">
        <w:rPr>
          <w:rFonts w:ascii="Times New Roman" w:hAnsi="Times New Roman"/>
          <w:b/>
          <w:sz w:val="24"/>
          <w:szCs w:val="24"/>
        </w:rPr>
        <w:t xml:space="preserve"> H</w:t>
      </w:r>
      <w:r w:rsidR="003A01E8" w:rsidRPr="00872293">
        <w:rPr>
          <w:rFonts w:ascii="Times New Roman" w:hAnsi="Times New Roman"/>
          <w:b/>
          <w:sz w:val="24"/>
          <w:szCs w:val="24"/>
        </w:rPr>
        <w:t xml:space="preserve">, </w:t>
      </w:r>
      <w:r w:rsidR="002124E4" w:rsidRPr="00872293">
        <w:rPr>
          <w:rFonts w:ascii="Times New Roman" w:hAnsi="Times New Roman"/>
          <w:b/>
          <w:i/>
          <w:iCs/>
          <w:sz w:val="24"/>
          <w:szCs w:val="24"/>
        </w:rPr>
        <w:t>et al</w:t>
      </w:r>
      <w:r w:rsidR="002124E4" w:rsidRPr="00872293">
        <w:rPr>
          <w:rFonts w:ascii="Times New Roman" w:hAnsi="Times New Roman"/>
          <w:b/>
          <w:sz w:val="24"/>
          <w:szCs w:val="24"/>
        </w:rPr>
        <w:t xml:space="preserve">. </w:t>
      </w:r>
      <w:r w:rsidR="003A01E8" w:rsidRPr="00872293">
        <w:rPr>
          <w:rFonts w:ascii="Times New Roman" w:hAnsi="Times New Roman"/>
          <w:b/>
          <w:sz w:val="24"/>
          <w:szCs w:val="24"/>
        </w:rPr>
        <w:t>2011.</w:t>
      </w:r>
      <w:r w:rsidR="003A01E8" w:rsidRPr="00872293">
        <w:rPr>
          <w:rFonts w:ascii="Times New Roman" w:hAnsi="Times New Roman"/>
          <w:sz w:val="24"/>
          <w:szCs w:val="24"/>
        </w:rPr>
        <w:t xml:space="preserve"> Allometry, biomass, and chemical content of Novel African Tulip Tree (</w:t>
      </w:r>
      <w:proofErr w:type="spellStart"/>
      <w:r w:rsidR="003A01E8" w:rsidRPr="00872293">
        <w:rPr>
          <w:rFonts w:ascii="Times New Roman" w:hAnsi="Times New Roman"/>
          <w:sz w:val="24"/>
          <w:szCs w:val="24"/>
        </w:rPr>
        <w:t>Spathodea</w:t>
      </w:r>
      <w:proofErr w:type="spellEnd"/>
      <w:r w:rsidR="003A01E8" w:rsidRPr="00872293">
        <w:rPr>
          <w:rFonts w:ascii="Times New Roman" w:hAnsi="Times New Roman"/>
          <w:sz w:val="24"/>
          <w:szCs w:val="24"/>
        </w:rPr>
        <w:t xml:space="preserve"> </w:t>
      </w:r>
      <w:proofErr w:type="spellStart"/>
      <w:r w:rsidR="003A01E8" w:rsidRPr="00872293">
        <w:rPr>
          <w:rFonts w:ascii="Times New Roman" w:hAnsi="Times New Roman"/>
          <w:sz w:val="24"/>
          <w:szCs w:val="24"/>
        </w:rPr>
        <w:t>campanulata</w:t>
      </w:r>
      <w:proofErr w:type="spellEnd"/>
      <w:r w:rsidR="003A01E8" w:rsidRPr="00872293">
        <w:rPr>
          <w:rFonts w:ascii="Times New Roman" w:hAnsi="Times New Roman"/>
          <w:sz w:val="24"/>
          <w:szCs w:val="24"/>
        </w:rPr>
        <w:t xml:space="preserve">) Forests in Puerto Rico. </w:t>
      </w:r>
      <w:r w:rsidR="003A01E8" w:rsidRPr="00872293">
        <w:rPr>
          <w:rFonts w:ascii="Times New Roman" w:hAnsi="Times New Roman"/>
          <w:i/>
          <w:sz w:val="24"/>
          <w:szCs w:val="24"/>
        </w:rPr>
        <w:t>New Forests</w:t>
      </w:r>
      <w:r w:rsidRPr="00872293">
        <w:rPr>
          <w:rFonts w:ascii="Times New Roman" w:hAnsi="Times New Roman"/>
          <w:i/>
          <w:sz w:val="24"/>
          <w:szCs w:val="24"/>
        </w:rPr>
        <w:t xml:space="preserve"> </w:t>
      </w:r>
      <w:r w:rsidR="003A01E8" w:rsidRPr="00872293">
        <w:rPr>
          <w:rFonts w:ascii="Times New Roman" w:hAnsi="Times New Roman"/>
          <w:b/>
          <w:sz w:val="24"/>
          <w:szCs w:val="24"/>
        </w:rPr>
        <w:t>4</w:t>
      </w:r>
      <w:r w:rsidRPr="00872293">
        <w:rPr>
          <w:rFonts w:ascii="Times New Roman" w:hAnsi="Times New Roman"/>
          <w:b/>
          <w:sz w:val="24"/>
          <w:szCs w:val="24"/>
        </w:rPr>
        <w:t>2:</w:t>
      </w:r>
      <w:r w:rsidR="003A01E8" w:rsidRPr="00872293">
        <w:rPr>
          <w:rFonts w:ascii="Times New Roman" w:hAnsi="Times New Roman"/>
          <w:sz w:val="24"/>
          <w:szCs w:val="24"/>
        </w:rPr>
        <w:t xml:space="preserve"> 267–283.</w:t>
      </w:r>
    </w:p>
    <w:p w14:paraId="148331ED" w14:textId="77777777" w:rsidR="000B6E61" w:rsidRPr="00872293" w:rsidRDefault="00E577B2" w:rsidP="0060336F">
      <w:pPr>
        <w:pStyle w:val="NormalWeb"/>
        <w:spacing w:before="0" w:beforeAutospacing="0" w:after="240" w:afterAutospacing="0" w:line="360" w:lineRule="auto"/>
        <w:rPr>
          <w:rFonts w:ascii="Times New Roman" w:hAnsi="Times New Roman"/>
          <w:sz w:val="24"/>
          <w:szCs w:val="24"/>
          <w:lang w:val="es-BO"/>
        </w:rPr>
      </w:pPr>
      <w:proofErr w:type="spellStart"/>
      <w:r w:rsidRPr="00872293">
        <w:rPr>
          <w:rFonts w:ascii="Times New Roman" w:hAnsi="Times New Roman"/>
          <w:b/>
          <w:sz w:val="24"/>
          <w:szCs w:val="24"/>
        </w:rPr>
        <w:t>Luse</w:t>
      </w:r>
      <w:proofErr w:type="spellEnd"/>
      <w:r w:rsidR="003A01E8" w:rsidRPr="00872293">
        <w:rPr>
          <w:rFonts w:ascii="Times New Roman" w:hAnsi="Times New Roman"/>
          <w:b/>
          <w:sz w:val="24"/>
          <w:szCs w:val="24"/>
        </w:rPr>
        <w:t xml:space="preserve"> R. 1970.</w:t>
      </w:r>
      <w:r w:rsidR="003A01E8" w:rsidRPr="00872293">
        <w:rPr>
          <w:rFonts w:ascii="Times New Roman" w:hAnsi="Times New Roman"/>
          <w:sz w:val="24"/>
          <w:szCs w:val="24"/>
        </w:rPr>
        <w:t xml:space="preserve"> The phosphorus cycle in a tropical rain forest.</w:t>
      </w:r>
      <w:r w:rsidR="003A01E8" w:rsidRPr="00872293">
        <w:rPr>
          <w:rFonts w:ascii="Times New Roman" w:hAnsi="Times New Roman"/>
          <w:iCs/>
          <w:sz w:val="24"/>
          <w:szCs w:val="24"/>
        </w:rPr>
        <w:t xml:space="preserve"> </w:t>
      </w:r>
      <w:r w:rsidR="00387358" w:rsidRPr="00872293">
        <w:rPr>
          <w:rFonts w:ascii="Times New Roman" w:hAnsi="Times New Roman"/>
          <w:iCs/>
          <w:sz w:val="24"/>
          <w:szCs w:val="24"/>
        </w:rPr>
        <w:t>In</w:t>
      </w:r>
      <w:r w:rsidR="00387358" w:rsidRPr="00872293">
        <w:rPr>
          <w:rFonts w:ascii="Times New Roman" w:hAnsi="Times New Roman"/>
          <w:i/>
          <w:sz w:val="24"/>
          <w:szCs w:val="24"/>
        </w:rPr>
        <w:t xml:space="preserve"> </w:t>
      </w:r>
      <w:proofErr w:type="spellStart"/>
      <w:r w:rsidR="00387358" w:rsidRPr="00872293">
        <w:rPr>
          <w:rFonts w:ascii="Times New Roman" w:hAnsi="Times New Roman"/>
          <w:sz w:val="24"/>
          <w:szCs w:val="24"/>
        </w:rPr>
        <w:t>Odum</w:t>
      </w:r>
      <w:proofErr w:type="spellEnd"/>
      <w:r w:rsidR="00387358" w:rsidRPr="00872293">
        <w:rPr>
          <w:rFonts w:ascii="Times New Roman" w:hAnsi="Times New Roman"/>
          <w:sz w:val="24"/>
          <w:szCs w:val="24"/>
        </w:rPr>
        <w:t xml:space="preserve"> H.T. </w:t>
      </w:r>
      <w:r w:rsidR="00387358" w:rsidRPr="00872293">
        <w:rPr>
          <w:rFonts w:ascii="Times New Roman" w:hAnsi="Times New Roman"/>
          <w:i/>
          <w:iCs/>
          <w:sz w:val="24"/>
          <w:szCs w:val="24"/>
        </w:rPr>
        <w:t xml:space="preserve">A Tropical Rain Forest: A Study </w:t>
      </w:r>
      <w:proofErr w:type="gramStart"/>
      <w:r w:rsidR="00387358" w:rsidRPr="00872293">
        <w:rPr>
          <w:rFonts w:ascii="Times New Roman" w:hAnsi="Times New Roman"/>
          <w:i/>
          <w:iCs/>
          <w:sz w:val="24"/>
          <w:szCs w:val="24"/>
        </w:rPr>
        <w:t>Of</w:t>
      </w:r>
      <w:proofErr w:type="gramEnd"/>
      <w:r w:rsidR="00387358" w:rsidRPr="00872293">
        <w:rPr>
          <w:rFonts w:ascii="Times New Roman" w:hAnsi="Times New Roman"/>
          <w:i/>
          <w:iCs/>
          <w:sz w:val="24"/>
          <w:szCs w:val="24"/>
        </w:rPr>
        <w:t xml:space="preserve"> Irradiation and Ecology at El Verde, Puerto Rico</w:t>
      </w:r>
      <w:r w:rsidR="00551887" w:rsidRPr="00872293">
        <w:rPr>
          <w:rFonts w:ascii="Times New Roman" w:hAnsi="Times New Roman"/>
          <w:sz w:val="24"/>
          <w:szCs w:val="24"/>
        </w:rPr>
        <w:t xml:space="preserve"> (</w:t>
      </w:r>
      <w:r w:rsidR="00387358" w:rsidRPr="00872293">
        <w:rPr>
          <w:rFonts w:ascii="Times New Roman" w:hAnsi="Times New Roman"/>
          <w:sz w:val="24"/>
          <w:szCs w:val="24"/>
        </w:rPr>
        <w:t>pp H161-H176</w:t>
      </w:r>
      <w:r w:rsidR="00551887" w:rsidRPr="00872293">
        <w:rPr>
          <w:rFonts w:ascii="Times New Roman" w:hAnsi="Times New Roman"/>
          <w:sz w:val="24"/>
          <w:szCs w:val="24"/>
        </w:rPr>
        <w:t>)</w:t>
      </w:r>
      <w:r w:rsidR="00387358" w:rsidRPr="00872293">
        <w:rPr>
          <w:rFonts w:ascii="Times New Roman" w:hAnsi="Times New Roman"/>
          <w:sz w:val="24"/>
          <w:szCs w:val="24"/>
        </w:rPr>
        <w:t xml:space="preserve">. </w:t>
      </w:r>
      <w:r w:rsidR="00387358" w:rsidRPr="00872293">
        <w:rPr>
          <w:rFonts w:ascii="Times New Roman" w:hAnsi="Times New Roman"/>
          <w:sz w:val="24"/>
          <w:szCs w:val="24"/>
          <w:lang w:val="es-BO"/>
        </w:rPr>
        <w:t>Virginia</w:t>
      </w:r>
      <w:r w:rsidR="00551887" w:rsidRPr="00872293">
        <w:rPr>
          <w:rFonts w:ascii="Times New Roman" w:hAnsi="Times New Roman"/>
          <w:sz w:val="24"/>
          <w:szCs w:val="24"/>
          <w:lang w:val="es-BO"/>
        </w:rPr>
        <w:t xml:space="preserve">: </w:t>
      </w:r>
      <w:proofErr w:type="spellStart"/>
      <w:r w:rsidR="00551887" w:rsidRPr="00872293">
        <w:rPr>
          <w:rFonts w:ascii="Times New Roman" w:hAnsi="Times New Roman"/>
          <w:sz w:val="24"/>
          <w:szCs w:val="24"/>
          <w:lang w:val="es-BO"/>
        </w:rPr>
        <w:t>National</w:t>
      </w:r>
      <w:proofErr w:type="spellEnd"/>
      <w:r w:rsidR="00551887" w:rsidRPr="00872293">
        <w:rPr>
          <w:rFonts w:ascii="Times New Roman" w:hAnsi="Times New Roman"/>
          <w:sz w:val="24"/>
          <w:szCs w:val="24"/>
          <w:lang w:val="es-BO"/>
        </w:rPr>
        <w:t xml:space="preserve"> </w:t>
      </w:r>
      <w:proofErr w:type="spellStart"/>
      <w:r w:rsidR="00551887" w:rsidRPr="00872293">
        <w:rPr>
          <w:rFonts w:ascii="Times New Roman" w:hAnsi="Times New Roman"/>
          <w:sz w:val="24"/>
          <w:szCs w:val="24"/>
          <w:lang w:val="es-BO"/>
        </w:rPr>
        <w:t>Technical</w:t>
      </w:r>
      <w:proofErr w:type="spellEnd"/>
      <w:r w:rsidR="00551887" w:rsidRPr="00872293">
        <w:rPr>
          <w:rFonts w:ascii="Times New Roman" w:hAnsi="Times New Roman"/>
          <w:sz w:val="24"/>
          <w:szCs w:val="24"/>
          <w:lang w:val="es-BO"/>
        </w:rPr>
        <w:t xml:space="preserve"> </w:t>
      </w:r>
      <w:proofErr w:type="spellStart"/>
      <w:r w:rsidR="00551887" w:rsidRPr="00872293">
        <w:rPr>
          <w:rFonts w:ascii="Times New Roman" w:hAnsi="Times New Roman"/>
          <w:sz w:val="24"/>
          <w:szCs w:val="24"/>
          <w:lang w:val="es-BO"/>
        </w:rPr>
        <w:t>Information</w:t>
      </w:r>
      <w:proofErr w:type="spellEnd"/>
      <w:r w:rsidR="00551887" w:rsidRPr="00872293">
        <w:rPr>
          <w:rFonts w:ascii="Times New Roman" w:hAnsi="Times New Roman"/>
          <w:sz w:val="24"/>
          <w:szCs w:val="24"/>
          <w:lang w:val="es-BO"/>
        </w:rPr>
        <w:t xml:space="preserve"> </w:t>
      </w:r>
      <w:proofErr w:type="spellStart"/>
      <w:r w:rsidR="00551887" w:rsidRPr="00872293">
        <w:rPr>
          <w:rFonts w:ascii="Times New Roman" w:hAnsi="Times New Roman"/>
          <w:sz w:val="24"/>
          <w:szCs w:val="24"/>
          <w:lang w:val="es-BO"/>
        </w:rPr>
        <w:t>Service</w:t>
      </w:r>
      <w:proofErr w:type="spellEnd"/>
      <w:r w:rsidR="00551887" w:rsidRPr="00872293">
        <w:rPr>
          <w:rFonts w:ascii="Times New Roman" w:hAnsi="Times New Roman"/>
          <w:sz w:val="24"/>
          <w:szCs w:val="24"/>
          <w:lang w:val="es-BO"/>
        </w:rPr>
        <w:t>, Springfield.</w:t>
      </w:r>
    </w:p>
    <w:p w14:paraId="081F1BE1" w14:textId="77777777" w:rsidR="000B3DD7" w:rsidRPr="00872293" w:rsidRDefault="00E577B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shd w:val="clear" w:color="auto" w:fill="FFFFFF"/>
          <w:lang w:val="es-BO"/>
        </w:rPr>
        <w:t>Marcano Vega</w:t>
      </w:r>
      <w:r w:rsidR="000B3DD7" w:rsidRPr="00872293">
        <w:rPr>
          <w:rFonts w:ascii="Times New Roman" w:hAnsi="Times New Roman"/>
          <w:b/>
          <w:sz w:val="24"/>
          <w:szCs w:val="24"/>
          <w:shd w:val="clear" w:color="auto" w:fill="FFFFFF"/>
          <w:lang w:val="es-BO"/>
        </w:rPr>
        <w:t xml:space="preserve"> H. 2019.</w:t>
      </w:r>
      <w:r w:rsidR="000B3DD7" w:rsidRPr="00872293">
        <w:rPr>
          <w:rFonts w:ascii="Times New Roman" w:hAnsi="Times New Roman"/>
          <w:sz w:val="24"/>
          <w:szCs w:val="24"/>
          <w:shd w:val="clear" w:color="auto" w:fill="FFFFFF"/>
          <w:lang w:val="es-BO"/>
        </w:rPr>
        <w:t xml:space="preserve"> Los bosques de Puerto Rico, 2014. Boletín de Recursos SRS–224. Asheville, NC: Departamento de Agricultura de los Estados Unidos Servicio Forestal, Estación de Investigación del Sur. 90 </w:t>
      </w:r>
      <w:r w:rsidR="00AC077F" w:rsidRPr="00872293">
        <w:rPr>
          <w:rFonts w:ascii="Times New Roman" w:hAnsi="Times New Roman"/>
          <w:sz w:val="24"/>
          <w:szCs w:val="24"/>
          <w:shd w:val="clear" w:color="auto" w:fill="FFFFFF"/>
          <w:lang w:val="es-BO"/>
        </w:rPr>
        <w:t>p.</w:t>
      </w:r>
      <w:r w:rsidR="000B3DD7" w:rsidRPr="00872293">
        <w:rPr>
          <w:rFonts w:ascii="Times New Roman" w:hAnsi="Times New Roman"/>
          <w:sz w:val="24"/>
          <w:szCs w:val="24"/>
          <w:shd w:val="clear" w:color="auto" w:fill="FFFFFF"/>
          <w:lang w:val="es-BO"/>
        </w:rPr>
        <w:t> </w:t>
      </w:r>
      <w:hyperlink r:id="rId16" w:tgtFrame="_blank" w:history="1">
        <w:r w:rsidR="000B3DD7" w:rsidRPr="00872293">
          <w:rPr>
            <w:rStyle w:val="Hyperlink"/>
            <w:rFonts w:ascii="Times New Roman" w:hAnsi="Times New Roman"/>
            <w:color w:val="auto"/>
            <w:sz w:val="24"/>
            <w:szCs w:val="24"/>
            <w:shd w:val="clear" w:color="auto" w:fill="FFFFFF"/>
          </w:rPr>
          <w:t>https://www.fs.usda.gov/treesearch/pubs/58591</w:t>
        </w:r>
      </w:hyperlink>
    </w:p>
    <w:p w14:paraId="2C7D44DB" w14:textId="77777777" w:rsidR="000B3DD7" w:rsidRPr="00872293" w:rsidRDefault="00E577B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Marin-</w:t>
      </w:r>
      <w:proofErr w:type="spellStart"/>
      <w:r w:rsidRPr="00872293">
        <w:rPr>
          <w:rFonts w:ascii="Times New Roman" w:hAnsi="Times New Roman"/>
          <w:b/>
          <w:sz w:val="24"/>
          <w:szCs w:val="24"/>
        </w:rPr>
        <w:t>Spiotta</w:t>
      </w:r>
      <w:proofErr w:type="spellEnd"/>
      <w:r w:rsidRPr="00872293">
        <w:rPr>
          <w:rFonts w:ascii="Times New Roman" w:hAnsi="Times New Roman"/>
          <w:b/>
          <w:sz w:val="24"/>
          <w:szCs w:val="24"/>
        </w:rPr>
        <w:t xml:space="preserve"> E, Silver WL</w:t>
      </w:r>
      <w:r w:rsidR="00342EC4" w:rsidRPr="00872293">
        <w:rPr>
          <w:rFonts w:ascii="Times New Roman" w:hAnsi="Times New Roman"/>
          <w:b/>
          <w:sz w:val="24"/>
          <w:szCs w:val="24"/>
        </w:rPr>
        <w:t>,</w:t>
      </w:r>
      <w:r w:rsidRPr="00872293">
        <w:rPr>
          <w:rFonts w:ascii="Times New Roman" w:hAnsi="Times New Roman"/>
          <w:b/>
          <w:sz w:val="24"/>
          <w:szCs w:val="24"/>
        </w:rPr>
        <w:t xml:space="preserve"> Swanston</w:t>
      </w:r>
      <w:r w:rsidR="000B3DD7" w:rsidRPr="00872293">
        <w:rPr>
          <w:rFonts w:ascii="Times New Roman" w:hAnsi="Times New Roman"/>
          <w:b/>
          <w:sz w:val="24"/>
          <w:szCs w:val="24"/>
        </w:rPr>
        <w:t xml:space="preserve"> </w:t>
      </w:r>
      <w:r w:rsidRPr="00872293">
        <w:rPr>
          <w:rFonts w:ascii="Times New Roman" w:hAnsi="Times New Roman"/>
          <w:b/>
          <w:sz w:val="24"/>
          <w:szCs w:val="24"/>
        </w:rPr>
        <w:t>CW,</w:t>
      </w:r>
      <w:r w:rsidR="000B3DD7" w:rsidRPr="00872293">
        <w:rPr>
          <w:rFonts w:ascii="Times New Roman" w:hAnsi="Times New Roman"/>
          <w:b/>
          <w:sz w:val="24"/>
          <w:szCs w:val="24"/>
        </w:rPr>
        <w:t xml:space="preserve"> Ostertag</w:t>
      </w:r>
      <w:r w:rsidR="00342EC4" w:rsidRPr="00872293">
        <w:rPr>
          <w:rFonts w:ascii="Times New Roman" w:hAnsi="Times New Roman"/>
          <w:b/>
          <w:sz w:val="24"/>
          <w:szCs w:val="24"/>
        </w:rPr>
        <w:t xml:space="preserve"> R</w:t>
      </w:r>
      <w:r w:rsidR="000B3DD7" w:rsidRPr="00872293">
        <w:rPr>
          <w:rFonts w:ascii="Times New Roman" w:hAnsi="Times New Roman"/>
          <w:b/>
          <w:sz w:val="24"/>
          <w:szCs w:val="24"/>
        </w:rPr>
        <w:t>. 2009.</w:t>
      </w:r>
      <w:r w:rsidR="000B3DD7" w:rsidRPr="00872293">
        <w:rPr>
          <w:rFonts w:ascii="Times New Roman" w:hAnsi="Times New Roman"/>
          <w:sz w:val="24"/>
          <w:szCs w:val="24"/>
        </w:rPr>
        <w:t xml:space="preserve"> Soil organic matter dynamics during 80 years of reforestation of tropical pastures. </w:t>
      </w:r>
      <w:r w:rsidR="000B3DD7" w:rsidRPr="00872293">
        <w:rPr>
          <w:rFonts w:ascii="Times New Roman" w:hAnsi="Times New Roman"/>
          <w:i/>
          <w:sz w:val="24"/>
          <w:szCs w:val="24"/>
        </w:rPr>
        <w:t>Glob</w:t>
      </w:r>
      <w:r w:rsidR="00A51FBF" w:rsidRPr="00872293">
        <w:rPr>
          <w:rFonts w:ascii="Times New Roman" w:hAnsi="Times New Roman"/>
          <w:i/>
          <w:sz w:val="24"/>
          <w:szCs w:val="24"/>
        </w:rPr>
        <w:t>al</w:t>
      </w:r>
      <w:r w:rsidR="000B3DD7" w:rsidRPr="00872293">
        <w:rPr>
          <w:rFonts w:ascii="Times New Roman" w:hAnsi="Times New Roman"/>
          <w:i/>
          <w:sz w:val="24"/>
          <w:szCs w:val="24"/>
        </w:rPr>
        <w:t xml:space="preserve"> Chang</w:t>
      </w:r>
      <w:r w:rsidR="00A51FBF" w:rsidRPr="00872293">
        <w:rPr>
          <w:rFonts w:ascii="Times New Roman" w:hAnsi="Times New Roman"/>
          <w:i/>
          <w:sz w:val="24"/>
          <w:szCs w:val="24"/>
        </w:rPr>
        <w:t>e</w:t>
      </w:r>
      <w:r w:rsidR="000B3DD7" w:rsidRPr="00872293">
        <w:rPr>
          <w:rFonts w:ascii="Times New Roman" w:hAnsi="Times New Roman"/>
          <w:i/>
          <w:sz w:val="24"/>
          <w:szCs w:val="24"/>
        </w:rPr>
        <w:t xml:space="preserve"> Biol</w:t>
      </w:r>
      <w:r w:rsidR="00A51FBF" w:rsidRPr="00872293">
        <w:rPr>
          <w:rFonts w:ascii="Times New Roman" w:hAnsi="Times New Roman"/>
          <w:i/>
          <w:sz w:val="24"/>
          <w:szCs w:val="24"/>
        </w:rPr>
        <w:t>ogy</w:t>
      </w:r>
      <w:r w:rsidR="000B3DD7" w:rsidRPr="00872293">
        <w:rPr>
          <w:rFonts w:ascii="Times New Roman" w:hAnsi="Times New Roman"/>
          <w:sz w:val="24"/>
          <w:szCs w:val="24"/>
        </w:rPr>
        <w:t xml:space="preserve"> </w:t>
      </w:r>
      <w:r w:rsidR="000B3DD7" w:rsidRPr="00872293">
        <w:rPr>
          <w:rFonts w:ascii="Times New Roman" w:hAnsi="Times New Roman"/>
          <w:b/>
          <w:sz w:val="24"/>
          <w:szCs w:val="24"/>
        </w:rPr>
        <w:t>1</w:t>
      </w:r>
      <w:r w:rsidRPr="00872293">
        <w:rPr>
          <w:rFonts w:ascii="Times New Roman" w:hAnsi="Times New Roman"/>
          <w:b/>
          <w:sz w:val="24"/>
          <w:szCs w:val="24"/>
        </w:rPr>
        <w:t>5:</w:t>
      </w:r>
      <w:r w:rsidR="000B3DD7" w:rsidRPr="00872293">
        <w:rPr>
          <w:rFonts w:ascii="Times New Roman" w:hAnsi="Times New Roman"/>
          <w:sz w:val="24"/>
          <w:szCs w:val="24"/>
        </w:rPr>
        <w:t xml:space="preserve"> 1584–1597.</w:t>
      </w:r>
    </w:p>
    <w:p w14:paraId="5CC74F49" w14:textId="77777777" w:rsidR="000B3DD7" w:rsidRPr="00872293" w:rsidRDefault="00AE0B02" w:rsidP="0060336F">
      <w:pPr>
        <w:pStyle w:val="NormalWeb"/>
        <w:spacing w:before="0" w:beforeAutospacing="0" w:after="240" w:afterAutospacing="0" w:line="360" w:lineRule="auto"/>
        <w:rPr>
          <w:rFonts w:ascii="Times New Roman" w:hAnsi="Times New Roman"/>
          <w:sz w:val="24"/>
          <w:szCs w:val="24"/>
        </w:rPr>
      </w:pPr>
      <w:r w:rsidRPr="007515B5">
        <w:rPr>
          <w:rFonts w:ascii="Times New Roman" w:hAnsi="Times New Roman"/>
          <w:b/>
          <w:sz w:val="24"/>
          <w:szCs w:val="24"/>
          <w:lang w:val="pt-BR"/>
        </w:rPr>
        <w:t>Matsumoto LS</w:t>
      </w:r>
      <w:r w:rsidR="000B3DD7" w:rsidRPr="007515B5">
        <w:rPr>
          <w:rFonts w:ascii="Times New Roman" w:hAnsi="Times New Roman"/>
          <w:b/>
          <w:sz w:val="24"/>
          <w:szCs w:val="24"/>
          <w:lang w:val="pt-BR"/>
        </w:rPr>
        <w:t>, Martines</w:t>
      </w:r>
      <w:r w:rsidRPr="007515B5">
        <w:rPr>
          <w:rFonts w:ascii="Times New Roman" w:hAnsi="Times New Roman"/>
          <w:b/>
          <w:sz w:val="24"/>
          <w:szCs w:val="24"/>
          <w:lang w:val="pt-BR"/>
        </w:rPr>
        <w:t xml:space="preserve"> AM</w:t>
      </w:r>
      <w:r w:rsidR="000B3DD7" w:rsidRPr="007515B5">
        <w:rPr>
          <w:rFonts w:ascii="Times New Roman" w:hAnsi="Times New Roman"/>
          <w:b/>
          <w:sz w:val="24"/>
          <w:szCs w:val="24"/>
          <w:lang w:val="pt-BR"/>
        </w:rPr>
        <w:t>, Avanzi</w:t>
      </w:r>
      <w:r w:rsidRPr="007515B5">
        <w:rPr>
          <w:rFonts w:ascii="Times New Roman" w:hAnsi="Times New Roman"/>
          <w:b/>
          <w:sz w:val="24"/>
          <w:szCs w:val="24"/>
          <w:lang w:val="pt-BR"/>
        </w:rPr>
        <w:t xml:space="preserve"> MA</w:t>
      </w:r>
      <w:r w:rsidR="000B3DD7" w:rsidRPr="007515B5">
        <w:rPr>
          <w:rFonts w:ascii="Times New Roman" w:hAnsi="Times New Roman"/>
          <w:b/>
          <w:sz w:val="24"/>
          <w:szCs w:val="24"/>
          <w:lang w:val="pt-BR"/>
        </w:rPr>
        <w:t>, Albino</w:t>
      </w:r>
      <w:r w:rsidRPr="007515B5">
        <w:rPr>
          <w:rFonts w:ascii="Times New Roman" w:hAnsi="Times New Roman"/>
          <w:b/>
          <w:sz w:val="24"/>
          <w:szCs w:val="24"/>
          <w:lang w:val="pt-BR"/>
        </w:rPr>
        <w:t xml:space="preserve"> UB</w:t>
      </w:r>
      <w:r w:rsidR="000B3DD7" w:rsidRPr="007515B5">
        <w:rPr>
          <w:rFonts w:ascii="Times New Roman" w:hAnsi="Times New Roman"/>
          <w:b/>
          <w:sz w:val="24"/>
          <w:szCs w:val="24"/>
          <w:lang w:val="pt-BR"/>
        </w:rPr>
        <w:t>, Brasil</w:t>
      </w:r>
      <w:r w:rsidRPr="007515B5">
        <w:rPr>
          <w:rFonts w:ascii="Times New Roman" w:hAnsi="Times New Roman"/>
          <w:b/>
          <w:sz w:val="24"/>
          <w:szCs w:val="24"/>
          <w:lang w:val="pt-BR"/>
        </w:rPr>
        <w:t xml:space="preserve"> CB</w:t>
      </w:r>
      <w:r w:rsidR="000B3DD7" w:rsidRPr="007515B5">
        <w:rPr>
          <w:rFonts w:ascii="Times New Roman" w:hAnsi="Times New Roman"/>
          <w:b/>
          <w:sz w:val="24"/>
          <w:szCs w:val="24"/>
          <w:lang w:val="pt-BR"/>
        </w:rPr>
        <w:t>, Saridakis</w:t>
      </w:r>
      <w:r w:rsidRPr="007515B5">
        <w:rPr>
          <w:rFonts w:ascii="Times New Roman" w:hAnsi="Times New Roman"/>
          <w:b/>
          <w:sz w:val="24"/>
          <w:szCs w:val="24"/>
          <w:lang w:val="pt-BR"/>
        </w:rPr>
        <w:t xml:space="preserve"> DP</w:t>
      </w:r>
      <w:r w:rsidR="000B3DD7" w:rsidRPr="007515B5">
        <w:rPr>
          <w:rFonts w:ascii="Times New Roman" w:hAnsi="Times New Roman"/>
          <w:b/>
          <w:sz w:val="24"/>
          <w:szCs w:val="24"/>
          <w:lang w:val="pt-BR"/>
        </w:rPr>
        <w:t>, Rampazo</w:t>
      </w:r>
      <w:r w:rsidRPr="007515B5">
        <w:rPr>
          <w:rFonts w:ascii="Times New Roman" w:hAnsi="Times New Roman"/>
          <w:b/>
          <w:sz w:val="24"/>
          <w:szCs w:val="24"/>
          <w:lang w:val="pt-BR"/>
        </w:rPr>
        <w:t xml:space="preserve"> LGL</w:t>
      </w:r>
      <w:r w:rsidR="000B3DD7" w:rsidRPr="007515B5">
        <w:rPr>
          <w:rFonts w:ascii="Times New Roman" w:hAnsi="Times New Roman"/>
          <w:b/>
          <w:sz w:val="24"/>
          <w:szCs w:val="24"/>
          <w:lang w:val="pt-BR"/>
        </w:rPr>
        <w:t>, Zangaro</w:t>
      </w:r>
      <w:r w:rsidRPr="007515B5">
        <w:rPr>
          <w:rFonts w:ascii="Times New Roman" w:hAnsi="Times New Roman"/>
          <w:b/>
          <w:sz w:val="24"/>
          <w:szCs w:val="24"/>
          <w:lang w:val="pt-BR"/>
        </w:rPr>
        <w:t xml:space="preserve"> W,</w:t>
      </w:r>
      <w:r w:rsidR="000B3DD7" w:rsidRPr="007515B5">
        <w:rPr>
          <w:rFonts w:ascii="Times New Roman" w:hAnsi="Times New Roman"/>
          <w:b/>
          <w:sz w:val="24"/>
          <w:szCs w:val="24"/>
          <w:lang w:val="pt-BR"/>
        </w:rPr>
        <w:t xml:space="preserve"> Andrade</w:t>
      </w:r>
      <w:r w:rsidR="006608A4" w:rsidRPr="007515B5">
        <w:rPr>
          <w:rFonts w:ascii="Times New Roman" w:hAnsi="Times New Roman"/>
          <w:b/>
          <w:sz w:val="24"/>
          <w:szCs w:val="24"/>
          <w:lang w:val="pt-BR"/>
        </w:rPr>
        <w:t xml:space="preserve"> G</w:t>
      </w:r>
      <w:r w:rsidR="000B3DD7" w:rsidRPr="007515B5">
        <w:rPr>
          <w:rFonts w:ascii="Times New Roman" w:hAnsi="Times New Roman"/>
          <w:b/>
          <w:sz w:val="24"/>
          <w:szCs w:val="24"/>
          <w:lang w:val="pt-BR"/>
        </w:rPr>
        <w:t>. 2005.</w:t>
      </w:r>
      <w:r w:rsidR="000B3DD7" w:rsidRPr="007515B5">
        <w:rPr>
          <w:rFonts w:ascii="Times New Roman" w:hAnsi="Times New Roman"/>
          <w:sz w:val="24"/>
          <w:szCs w:val="24"/>
          <w:lang w:val="pt-BR"/>
        </w:rPr>
        <w:t xml:space="preserve"> </w:t>
      </w:r>
      <w:r w:rsidR="000B3DD7" w:rsidRPr="00872293">
        <w:rPr>
          <w:rFonts w:ascii="Times New Roman" w:hAnsi="Times New Roman"/>
          <w:sz w:val="24"/>
          <w:szCs w:val="24"/>
        </w:rPr>
        <w:t xml:space="preserve">Interactions among functional groups in the cycling of, carbon, </w:t>
      </w:r>
      <w:proofErr w:type="gramStart"/>
      <w:r w:rsidR="000B3DD7" w:rsidRPr="00872293">
        <w:rPr>
          <w:rFonts w:ascii="Times New Roman" w:hAnsi="Times New Roman"/>
          <w:sz w:val="24"/>
          <w:szCs w:val="24"/>
        </w:rPr>
        <w:t>nitrogen</w:t>
      </w:r>
      <w:proofErr w:type="gramEnd"/>
      <w:r w:rsidR="000B3DD7" w:rsidRPr="00872293">
        <w:rPr>
          <w:rFonts w:ascii="Times New Roman" w:hAnsi="Times New Roman"/>
          <w:sz w:val="24"/>
          <w:szCs w:val="24"/>
        </w:rPr>
        <w:t xml:space="preserve"> and phosphorus in the rhizosphere of three successional species of tropical woody trees. </w:t>
      </w:r>
      <w:r w:rsidR="000B3DD7" w:rsidRPr="00872293">
        <w:rPr>
          <w:rFonts w:ascii="Times New Roman" w:hAnsi="Times New Roman"/>
          <w:i/>
          <w:sz w:val="24"/>
          <w:szCs w:val="24"/>
        </w:rPr>
        <w:t>Appl</w:t>
      </w:r>
      <w:r w:rsidR="00731ECC" w:rsidRPr="00872293">
        <w:rPr>
          <w:rFonts w:ascii="Times New Roman" w:hAnsi="Times New Roman"/>
          <w:i/>
          <w:sz w:val="24"/>
          <w:szCs w:val="24"/>
        </w:rPr>
        <w:t>ied</w:t>
      </w:r>
      <w:r w:rsidR="000B3DD7" w:rsidRPr="00872293">
        <w:rPr>
          <w:rFonts w:ascii="Times New Roman" w:hAnsi="Times New Roman"/>
          <w:i/>
          <w:sz w:val="24"/>
          <w:szCs w:val="24"/>
        </w:rPr>
        <w:t xml:space="preserve"> Soil Ecol</w:t>
      </w:r>
      <w:r w:rsidR="00731ECC" w:rsidRPr="00872293">
        <w:rPr>
          <w:rFonts w:ascii="Times New Roman" w:hAnsi="Times New Roman"/>
          <w:i/>
          <w:sz w:val="24"/>
          <w:szCs w:val="24"/>
        </w:rPr>
        <w:t>ogy</w:t>
      </w:r>
      <w:r w:rsidR="000B3DD7" w:rsidRPr="00872293">
        <w:rPr>
          <w:rFonts w:ascii="Times New Roman" w:hAnsi="Times New Roman"/>
          <w:sz w:val="24"/>
          <w:szCs w:val="24"/>
        </w:rPr>
        <w:t xml:space="preserve"> </w:t>
      </w:r>
      <w:r w:rsidR="000B3DD7" w:rsidRPr="00872293">
        <w:rPr>
          <w:rFonts w:ascii="Times New Roman" w:hAnsi="Times New Roman"/>
          <w:b/>
          <w:sz w:val="24"/>
          <w:szCs w:val="24"/>
        </w:rPr>
        <w:t>2</w:t>
      </w:r>
      <w:r w:rsidR="00314C2A" w:rsidRPr="00872293">
        <w:rPr>
          <w:rFonts w:ascii="Times New Roman" w:hAnsi="Times New Roman"/>
          <w:b/>
          <w:sz w:val="24"/>
          <w:szCs w:val="24"/>
        </w:rPr>
        <w:t>8:</w:t>
      </w:r>
      <w:r w:rsidR="000B3DD7" w:rsidRPr="00872293">
        <w:rPr>
          <w:rFonts w:ascii="Times New Roman" w:hAnsi="Times New Roman"/>
          <w:sz w:val="24"/>
          <w:szCs w:val="24"/>
        </w:rPr>
        <w:t xml:space="preserve"> 57–65.</w:t>
      </w:r>
    </w:p>
    <w:p w14:paraId="65399988" w14:textId="7EC7C9AD" w:rsidR="00C66A51" w:rsidRPr="00872293" w:rsidRDefault="00314C2A"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 xml:space="preserve">McCormack ML, Guo D, Iversen CM, Chen W, </w:t>
      </w:r>
      <w:proofErr w:type="spellStart"/>
      <w:r w:rsidRPr="00872293">
        <w:rPr>
          <w:rFonts w:ascii="Times New Roman" w:hAnsi="Times New Roman"/>
          <w:b/>
          <w:sz w:val="24"/>
          <w:szCs w:val="24"/>
        </w:rPr>
        <w:t>Eissenstat</w:t>
      </w:r>
      <w:proofErr w:type="spellEnd"/>
      <w:r w:rsidRPr="00872293">
        <w:rPr>
          <w:rFonts w:ascii="Times New Roman" w:hAnsi="Times New Roman"/>
          <w:b/>
          <w:sz w:val="24"/>
          <w:szCs w:val="24"/>
        </w:rPr>
        <w:t xml:space="preserve"> DM, Fernandez CW, Li L, Ma C, Ma Z, </w:t>
      </w:r>
      <w:proofErr w:type="spellStart"/>
      <w:r w:rsidRPr="00872293">
        <w:rPr>
          <w:rFonts w:ascii="Times New Roman" w:hAnsi="Times New Roman"/>
          <w:b/>
          <w:sz w:val="24"/>
          <w:szCs w:val="24"/>
        </w:rPr>
        <w:t>Poorter</w:t>
      </w:r>
      <w:proofErr w:type="spellEnd"/>
      <w:r w:rsidRPr="00872293">
        <w:rPr>
          <w:rFonts w:ascii="Times New Roman" w:hAnsi="Times New Roman"/>
          <w:b/>
          <w:sz w:val="24"/>
          <w:szCs w:val="24"/>
        </w:rPr>
        <w:t xml:space="preserve"> H,</w:t>
      </w:r>
      <w:r w:rsidR="002124E4" w:rsidRPr="00872293">
        <w:rPr>
          <w:rFonts w:ascii="Times New Roman" w:hAnsi="Times New Roman"/>
          <w:b/>
          <w:i/>
          <w:iCs/>
        </w:rPr>
        <w:t xml:space="preserve"> </w:t>
      </w:r>
      <w:r w:rsidR="002124E4" w:rsidRPr="00872293">
        <w:rPr>
          <w:rFonts w:ascii="Times New Roman" w:hAnsi="Times New Roman"/>
          <w:b/>
          <w:i/>
          <w:iCs/>
          <w:sz w:val="24"/>
          <w:szCs w:val="24"/>
        </w:rPr>
        <w:t>et al</w:t>
      </w:r>
      <w:r w:rsidR="00BC7559" w:rsidRPr="00872293">
        <w:rPr>
          <w:rFonts w:ascii="Times New Roman" w:hAnsi="Times New Roman"/>
          <w:b/>
          <w:sz w:val="24"/>
          <w:szCs w:val="24"/>
        </w:rPr>
        <w:t>. 2017</w:t>
      </w:r>
      <w:r w:rsidR="00C66A51" w:rsidRPr="00872293">
        <w:rPr>
          <w:rFonts w:ascii="Times New Roman" w:hAnsi="Times New Roman"/>
          <w:b/>
          <w:sz w:val="24"/>
          <w:szCs w:val="24"/>
        </w:rPr>
        <w:t>.</w:t>
      </w:r>
      <w:r w:rsidR="00C66A51" w:rsidRPr="00872293">
        <w:rPr>
          <w:rFonts w:ascii="Times New Roman" w:hAnsi="Times New Roman"/>
          <w:sz w:val="24"/>
          <w:szCs w:val="24"/>
        </w:rPr>
        <w:t xml:space="preserve"> Building a better foundation: improving root-trait measurements to understand and model plant and ecosystem processes. </w:t>
      </w:r>
      <w:r w:rsidR="00C66A51" w:rsidRPr="00872293">
        <w:rPr>
          <w:rFonts w:ascii="Times New Roman" w:hAnsi="Times New Roman"/>
          <w:i/>
          <w:sz w:val="24"/>
          <w:szCs w:val="24"/>
        </w:rPr>
        <w:t>New Phytol</w:t>
      </w:r>
      <w:r w:rsidR="009D0186" w:rsidRPr="00872293">
        <w:rPr>
          <w:rFonts w:ascii="Times New Roman" w:hAnsi="Times New Roman"/>
          <w:i/>
          <w:sz w:val="24"/>
          <w:szCs w:val="24"/>
        </w:rPr>
        <w:t>ogist</w:t>
      </w:r>
      <w:r w:rsidR="00C66A51" w:rsidRPr="00872293">
        <w:rPr>
          <w:rFonts w:ascii="Times New Roman" w:hAnsi="Times New Roman"/>
          <w:b/>
          <w:sz w:val="24"/>
          <w:szCs w:val="24"/>
        </w:rPr>
        <w:t xml:space="preserve"> 21</w:t>
      </w:r>
      <w:r w:rsidRPr="00872293">
        <w:rPr>
          <w:rFonts w:ascii="Times New Roman" w:hAnsi="Times New Roman"/>
          <w:b/>
          <w:sz w:val="24"/>
          <w:szCs w:val="24"/>
        </w:rPr>
        <w:t>5:</w:t>
      </w:r>
      <w:r w:rsidR="00C66A51" w:rsidRPr="00872293">
        <w:rPr>
          <w:rFonts w:ascii="Times New Roman" w:hAnsi="Times New Roman"/>
          <w:sz w:val="24"/>
          <w:szCs w:val="24"/>
        </w:rPr>
        <w:t xml:space="preserve"> 27–37</w:t>
      </w:r>
      <w:r w:rsidR="009D0186" w:rsidRPr="00872293">
        <w:rPr>
          <w:rFonts w:ascii="Times New Roman" w:hAnsi="Times New Roman"/>
          <w:sz w:val="24"/>
          <w:szCs w:val="24"/>
        </w:rPr>
        <w:t>.</w:t>
      </w:r>
    </w:p>
    <w:p w14:paraId="6DC3D377" w14:textId="13A2EB96" w:rsidR="009D0186" w:rsidRPr="00872293" w:rsidRDefault="00314C2A"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lastRenderedPageBreak/>
        <w:t xml:space="preserve">McCormack ML, Dickie IA, </w:t>
      </w:r>
      <w:proofErr w:type="spellStart"/>
      <w:r w:rsidRPr="00872293">
        <w:rPr>
          <w:rFonts w:ascii="Times New Roman" w:hAnsi="Times New Roman"/>
          <w:b/>
          <w:sz w:val="24"/>
          <w:szCs w:val="24"/>
        </w:rPr>
        <w:t>Eissenstat</w:t>
      </w:r>
      <w:proofErr w:type="spellEnd"/>
      <w:r w:rsidRPr="00872293">
        <w:rPr>
          <w:rFonts w:ascii="Times New Roman" w:hAnsi="Times New Roman"/>
          <w:b/>
          <w:sz w:val="24"/>
          <w:szCs w:val="24"/>
        </w:rPr>
        <w:t xml:space="preserve"> DM, Fahey TJ, Fernandez CW, Guo D, </w:t>
      </w:r>
      <w:proofErr w:type="spellStart"/>
      <w:r w:rsidRPr="00872293">
        <w:rPr>
          <w:rFonts w:ascii="Times New Roman" w:hAnsi="Times New Roman"/>
          <w:b/>
          <w:sz w:val="24"/>
          <w:szCs w:val="24"/>
        </w:rPr>
        <w:t>Helmisaari</w:t>
      </w:r>
      <w:proofErr w:type="spellEnd"/>
      <w:r w:rsidRPr="00872293">
        <w:rPr>
          <w:rFonts w:ascii="Times New Roman" w:hAnsi="Times New Roman"/>
          <w:b/>
          <w:sz w:val="24"/>
          <w:szCs w:val="24"/>
        </w:rPr>
        <w:t xml:space="preserve"> HS, </w:t>
      </w:r>
      <w:proofErr w:type="spellStart"/>
      <w:r w:rsidRPr="00872293">
        <w:rPr>
          <w:rFonts w:ascii="Times New Roman" w:hAnsi="Times New Roman"/>
          <w:b/>
          <w:sz w:val="24"/>
          <w:szCs w:val="24"/>
        </w:rPr>
        <w:t>Hobbie</w:t>
      </w:r>
      <w:proofErr w:type="spellEnd"/>
      <w:r w:rsidRPr="00872293">
        <w:rPr>
          <w:rFonts w:ascii="Times New Roman" w:hAnsi="Times New Roman"/>
          <w:b/>
          <w:sz w:val="24"/>
          <w:szCs w:val="24"/>
        </w:rPr>
        <w:t xml:space="preserve"> EA, Iversen CM, Jackson RB, </w:t>
      </w:r>
      <w:r w:rsidR="00DF3480" w:rsidRPr="00872293">
        <w:rPr>
          <w:rFonts w:ascii="Times New Roman" w:hAnsi="Times New Roman"/>
          <w:b/>
          <w:i/>
          <w:iCs/>
          <w:sz w:val="24"/>
          <w:szCs w:val="24"/>
        </w:rPr>
        <w:t>et al</w:t>
      </w:r>
      <w:r w:rsidR="00BC7559" w:rsidRPr="00872293">
        <w:rPr>
          <w:rFonts w:ascii="Times New Roman" w:hAnsi="Times New Roman"/>
          <w:b/>
          <w:sz w:val="24"/>
          <w:szCs w:val="24"/>
        </w:rPr>
        <w:t>. 2015</w:t>
      </w:r>
      <w:r w:rsidR="009D0186" w:rsidRPr="00872293">
        <w:rPr>
          <w:rFonts w:ascii="Times New Roman" w:hAnsi="Times New Roman"/>
          <w:b/>
          <w:sz w:val="24"/>
          <w:szCs w:val="24"/>
        </w:rPr>
        <w:t>.</w:t>
      </w:r>
      <w:r w:rsidR="009D0186" w:rsidRPr="00872293">
        <w:rPr>
          <w:rFonts w:ascii="Times New Roman" w:hAnsi="Times New Roman"/>
          <w:sz w:val="24"/>
          <w:szCs w:val="24"/>
        </w:rPr>
        <w:t xml:space="preserve"> Redefining fine roots improves understanding of below-ground contributions to terrestrial biosphere processes. </w:t>
      </w:r>
      <w:r w:rsidR="009D0186" w:rsidRPr="00872293">
        <w:rPr>
          <w:rFonts w:ascii="Times New Roman" w:hAnsi="Times New Roman"/>
          <w:i/>
          <w:sz w:val="24"/>
          <w:szCs w:val="24"/>
        </w:rPr>
        <w:t>New Phytologist</w:t>
      </w:r>
      <w:r w:rsidR="009D0186" w:rsidRPr="00872293">
        <w:rPr>
          <w:rFonts w:ascii="Times New Roman" w:hAnsi="Times New Roman"/>
          <w:sz w:val="24"/>
          <w:szCs w:val="24"/>
        </w:rPr>
        <w:t xml:space="preserve"> </w:t>
      </w:r>
      <w:r w:rsidR="009D0186" w:rsidRPr="00872293">
        <w:rPr>
          <w:rFonts w:ascii="Times New Roman" w:hAnsi="Times New Roman"/>
          <w:b/>
          <w:sz w:val="24"/>
          <w:szCs w:val="24"/>
        </w:rPr>
        <w:t>20</w:t>
      </w:r>
      <w:r w:rsidRPr="00872293">
        <w:rPr>
          <w:rFonts w:ascii="Times New Roman" w:hAnsi="Times New Roman"/>
          <w:b/>
          <w:sz w:val="24"/>
          <w:szCs w:val="24"/>
        </w:rPr>
        <w:t>7:</w:t>
      </w:r>
      <w:r w:rsidR="009D0186" w:rsidRPr="00872293">
        <w:rPr>
          <w:rFonts w:ascii="Times New Roman" w:hAnsi="Times New Roman"/>
          <w:sz w:val="24"/>
          <w:szCs w:val="24"/>
        </w:rPr>
        <w:t xml:space="preserve"> 505–518.</w:t>
      </w:r>
    </w:p>
    <w:p w14:paraId="0C946D00" w14:textId="77777777" w:rsidR="00162042" w:rsidRPr="00872293" w:rsidRDefault="000F3102" w:rsidP="0060336F">
      <w:pPr>
        <w:pStyle w:val="NormalWeb"/>
        <w:spacing w:before="0" w:beforeAutospacing="0" w:after="240" w:afterAutospacing="0" w:line="360" w:lineRule="auto"/>
        <w:rPr>
          <w:rFonts w:ascii="Times New Roman" w:hAnsi="Times New Roman"/>
          <w:sz w:val="24"/>
          <w:szCs w:val="24"/>
        </w:rPr>
      </w:pPr>
      <w:r w:rsidRPr="00872293">
        <w:rPr>
          <w:rFonts w:ascii="Times New Roman" w:hAnsi="Times New Roman"/>
          <w:b/>
          <w:sz w:val="24"/>
          <w:szCs w:val="24"/>
        </w:rPr>
        <w:t>McCormack</w:t>
      </w:r>
      <w:r w:rsidR="00314C2A" w:rsidRPr="00872293">
        <w:rPr>
          <w:rFonts w:ascii="Times New Roman" w:hAnsi="Times New Roman"/>
          <w:b/>
          <w:sz w:val="24"/>
          <w:szCs w:val="24"/>
        </w:rPr>
        <w:t xml:space="preserve"> ML</w:t>
      </w:r>
      <w:r w:rsidR="003A01E8" w:rsidRPr="00872293">
        <w:rPr>
          <w:rFonts w:ascii="Times New Roman" w:hAnsi="Times New Roman"/>
          <w:b/>
          <w:sz w:val="24"/>
          <w:szCs w:val="24"/>
        </w:rPr>
        <w:t>, Adams</w:t>
      </w:r>
      <w:r w:rsidR="00314C2A" w:rsidRPr="00872293">
        <w:rPr>
          <w:rFonts w:ascii="Times New Roman" w:hAnsi="Times New Roman"/>
          <w:b/>
          <w:sz w:val="24"/>
          <w:szCs w:val="24"/>
        </w:rPr>
        <w:t xml:space="preserve"> TS</w:t>
      </w:r>
      <w:r w:rsidR="003A01E8" w:rsidRPr="00872293">
        <w:rPr>
          <w:rFonts w:ascii="Times New Roman" w:hAnsi="Times New Roman"/>
          <w:b/>
          <w:sz w:val="24"/>
          <w:szCs w:val="24"/>
        </w:rPr>
        <w:t>, Smithwick</w:t>
      </w:r>
      <w:r w:rsidR="00314C2A" w:rsidRPr="00872293">
        <w:rPr>
          <w:rFonts w:ascii="Times New Roman" w:hAnsi="Times New Roman"/>
          <w:b/>
          <w:sz w:val="24"/>
          <w:szCs w:val="24"/>
        </w:rPr>
        <w:t xml:space="preserve"> EAH,</w:t>
      </w:r>
      <w:r w:rsidR="003A01E8" w:rsidRPr="00872293">
        <w:rPr>
          <w:rFonts w:ascii="Times New Roman" w:hAnsi="Times New Roman"/>
          <w:b/>
          <w:sz w:val="24"/>
          <w:szCs w:val="24"/>
        </w:rPr>
        <w:t xml:space="preserve"> </w:t>
      </w:r>
      <w:proofErr w:type="spellStart"/>
      <w:r w:rsidR="003A01E8" w:rsidRPr="00872293">
        <w:rPr>
          <w:rFonts w:ascii="Times New Roman" w:hAnsi="Times New Roman"/>
          <w:b/>
          <w:sz w:val="24"/>
          <w:szCs w:val="24"/>
        </w:rPr>
        <w:t>Eissenstat</w:t>
      </w:r>
      <w:proofErr w:type="spellEnd"/>
      <w:r w:rsidR="00314C2A" w:rsidRPr="00872293">
        <w:rPr>
          <w:rFonts w:ascii="Times New Roman" w:hAnsi="Times New Roman"/>
          <w:b/>
          <w:sz w:val="24"/>
          <w:szCs w:val="24"/>
        </w:rPr>
        <w:t xml:space="preserve"> D</w:t>
      </w:r>
      <w:r w:rsidR="00CA068F" w:rsidRPr="00872293">
        <w:rPr>
          <w:rFonts w:ascii="Times New Roman" w:hAnsi="Times New Roman"/>
          <w:b/>
          <w:sz w:val="24"/>
          <w:szCs w:val="24"/>
        </w:rPr>
        <w:t>M</w:t>
      </w:r>
      <w:r w:rsidR="003A01E8" w:rsidRPr="00872293">
        <w:rPr>
          <w:rFonts w:ascii="Times New Roman" w:hAnsi="Times New Roman"/>
          <w:b/>
          <w:sz w:val="24"/>
          <w:szCs w:val="24"/>
        </w:rPr>
        <w:t>. 2012.</w:t>
      </w:r>
      <w:r w:rsidR="003A01E8" w:rsidRPr="00872293">
        <w:rPr>
          <w:rFonts w:ascii="Times New Roman" w:hAnsi="Times New Roman"/>
          <w:sz w:val="24"/>
          <w:szCs w:val="24"/>
        </w:rPr>
        <w:t xml:space="preserve"> Predicting fine root lifespan from plant functional traits in temperate trees. </w:t>
      </w:r>
      <w:r w:rsidR="003A01E8" w:rsidRPr="00872293">
        <w:rPr>
          <w:rFonts w:ascii="Times New Roman" w:hAnsi="Times New Roman"/>
          <w:i/>
          <w:iCs/>
          <w:sz w:val="24"/>
          <w:szCs w:val="24"/>
        </w:rPr>
        <w:t>New Phytol</w:t>
      </w:r>
      <w:r w:rsidR="00CA068F" w:rsidRPr="00872293">
        <w:rPr>
          <w:rFonts w:ascii="Times New Roman" w:hAnsi="Times New Roman"/>
          <w:i/>
          <w:iCs/>
          <w:sz w:val="24"/>
          <w:szCs w:val="24"/>
        </w:rPr>
        <w:t>ogist</w:t>
      </w:r>
      <w:r w:rsidR="003A01E8" w:rsidRPr="00872293">
        <w:rPr>
          <w:rFonts w:ascii="Times New Roman" w:hAnsi="Times New Roman"/>
          <w:sz w:val="24"/>
          <w:szCs w:val="24"/>
        </w:rPr>
        <w:t xml:space="preserve"> </w:t>
      </w:r>
      <w:r w:rsidR="003A01E8" w:rsidRPr="00872293">
        <w:rPr>
          <w:rFonts w:ascii="Times New Roman" w:hAnsi="Times New Roman"/>
          <w:b/>
          <w:sz w:val="24"/>
          <w:szCs w:val="24"/>
        </w:rPr>
        <w:t>19</w:t>
      </w:r>
      <w:r w:rsidR="00314C2A" w:rsidRPr="00872293">
        <w:rPr>
          <w:rFonts w:ascii="Times New Roman" w:hAnsi="Times New Roman"/>
          <w:b/>
          <w:sz w:val="24"/>
          <w:szCs w:val="24"/>
        </w:rPr>
        <w:t>5:</w:t>
      </w:r>
      <w:r w:rsidR="003A01E8" w:rsidRPr="00872293">
        <w:rPr>
          <w:rFonts w:ascii="Times New Roman" w:hAnsi="Times New Roman"/>
          <w:sz w:val="24"/>
          <w:szCs w:val="24"/>
        </w:rPr>
        <w:t xml:space="preserve"> 823–831.</w:t>
      </w:r>
    </w:p>
    <w:p w14:paraId="35265AB7" w14:textId="77777777" w:rsidR="000D5B76" w:rsidRPr="00872293" w:rsidRDefault="000D5B76" w:rsidP="0060336F">
      <w:pPr>
        <w:spacing w:before="100" w:beforeAutospacing="1" w:after="100" w:afterAutospacing="1" w:line="360" w:lineRule="auto"/>
        <w:rPr>
          <w:rFonts w:ascii="Times New Roman" w:eastAsia="Times New Roman" w:hAnsi="Times New Roman" w:cs="Times New Roman"/>
        </w:rPr>
      </w:pPr>
      <w:proofErr w:type="spellStart"/>
      <w:r w:rsidRPr="00872293">
        <w:rPr>
          <w:rFonts w:ascii="Times New Roman" w:eastAsia="Times New Roman" w:hAnsi="Times New Roman" w:cs="Times New Roman"/>
          <w:b/>
        </w:rPr>
        <w:t>Mc</w:t>
      </w:r>
      <w:r w:rsidR="00314C2A" w:rsidRPr="00872293">
        <w:rPr>
          <w:rFonts w:ascii="Times New Roman" w:eastAsia="Times New Roman" w:hAnsi="Times New Roman" w:cs="Times New Roman"/>
          <w:b/>
        </w:rPr>
        <w:t>Gorddy</w:t>
      </w:r>
      <w:proofErr w:type="spellEnd"/>
      <w:r w:rsidR="00314C2A" w:rsidRPr="00872293">
        <w:rPr>
          <w:rFonts w:ascii="Times New Roman" w:eastAsia="Times New Roman" w:hAnsi="Times New Roman" w:cs="Times New Roman"/>
          <w:b/>
        </w:rPr>
        <w:t xml:space="preserve"> M, Silver W</w:t>
      </w:r>
      <w:r w:rsidR="00904C69" w:rsidRPr="00872293">
        <w:rPr>
          <w:rFonts w:ascii="Times New Roman" w:eastAsia="Times New Roman" w:hAnsi="Times New Roman" w:cs="Times New Roman"/>
          <w:b/>
        </w:rPr>
        <w:t>L. 2000</w:t>
      </w:r>
      <w:r w:rsidRPr="00872293">
        <w:rPr>
          <w:rFonts w:ascii="Times New Roman" w:eastAsia="Times New Roman" w:hAnsi="Times New Roman" w:cs="Times New Roman"/>
          <w:b/>
        </w:rPr>
        <w:t>.</w:t>
      </w:r>
      <w:r w:rsidRPr="00872293">
        <w:rPr>
          <w:rFonts w:ascii="Times New Roman" w:eastAsia="Times New Roman" w:hAnsi="Times New Roman" w:cs="Times New Roman"/>
        </w:rPr>
        <w:t xml:space="preserve"> Variations in Belowground Carbon Storage and Soil CO2 Flux Rates along a Wet Tropical Climate Gradient. </w:t>
      </w:r>
      <w:proofErr w:type="spellStart"/>
      <w:r w:rsidRPr="00872293">
        <w:rPr>
          <w:rFonts w:ascii="Times New Roman" w:eastAsia="Times New Roman" w:hAnsi="Times New Roman" w:cs="Times New Roman"/>
          <w:i/>
          <w:iCs/>
        </w:rPr>
        <w:t>Biotropica</w:t>
      </w:r>
      <w:proofErr w:type="spellEnd"/>
      <w:r w:rsidRPr="00872293">
        <w:rPr>
          <w:rFonts w:ascii="Times New Roman" w:eastAsia="Times New Roman" w:hAnsi="Times New Roman" w:cs="Times New Roman"/>
          <w:i/>
          <w:iCs/>
        </w:rPr>
        <w:t xml:space="preserve"> </w:t>
      </w:r>
      <w:r w:rsidRPr="00872293">
        <w:rPr>
          <w:rFonts w:ascii="Times New Roman" w:eastAsia="Times New Roman" w:hAnsi="Times New Roman" w:cs="Times New Roman"/>
          <w:b/>
          <w:bCs/>
        </w:rPr>
        <w:t>3</w:t>
      </w:r>
      <w:r w:rsidR="00314C2A" w:rsidRPr="00872293">
        <w:rPr>
          <w:rFonts w:ascii="Times New Roman" w:eastAsia="Times New Roman" w:hAnsi="Times New Roman" w:cs="Times New Roman"/>
          <w:b/>
          <w:bCs/>
        </w:rPr>
        <w:t>2:</w:t>
      </w:r>
      <w:r w:rsidRPr="00872293">
        <w:rPr>
          <w:rFonts w:ascii="Times New Roman" w:eastAsia="Times New Roman" w:hAnsi="Times New Roman" w:cs="Times New Roman"/>
        </w:rPr>
        <w:t xml:space="preserve"> 6114-624.</w:t>
      </w:r>
    </w:p>
    <w:p w14:paraId="1B72DD6C" w14:textId="77777777" w:rsidR="000B6E61" w:rsidRPr="00872293" w:rsidRDefault="00314C2A" w:rsidP="0060336F">
      <w:pPr>
        <w:pStyle w:val="NormalWeb"/>
        <w:spacing w:before="0" w:beforeAutospacing="0" w:after="240" w:afterAutospacing="0" w:line="360" w:lineRule="auto"/>
        <w:ind w:left="43"/>
        <w:rPr>
          <w:rFonts w:ascii="Times New Roman" w:hAnsi="Times New Roman"/>
          <w:sz w:val="24"/>
          <w:szCs w:val="24"/>
        </w:rPr>
      </w:pPr>
      <w:proofErr w:type="spellStart"/>
      <w:r w:rsidRPr="00872293">
        <w:rPr>
          <w:rFonts w:ascii="Times New Roman" w:hAnsi="Times New Roman"/>
          <w:b/>
          <w:sz w:val="24"/>
          <w:szCs w:val="24"/>
        </w:rPr>
        <w:t>Malhi</w:t>
      </w:r>
      <w:proofErr w:type="spellEnd"/>
      <w:r w:rsidRPr="00872293">
        <w:rPr>
          <w:rFonts w:ascii="Times New Roman" w:hAnsi="Times New Roman"/>
          <w:b/>
          <w:sz w:val="24"/>
          <w:szCs w:val="24"/>
        </w:rPr>
        <w:t xml:space="preserve"> Y</w:t>
      </w:r>
      <w:r w:rsidR="003A01E8" w:rsidRPr="00872293">
        <w:rPr>
          <w:rFonts w:ascii="Times New Roman" w:hAnsi="Times New Roman"/>
          <w:b/>
          <w:sz w:val="24"/>
          <w:szCs w:val="24"/>
        </w:rPr>
        <w:t>, Doughty</w:t>
      </w:r>
      <w:r w:rsidRPr="00872293">
        <w:rPr>
          <w:rFonts w:ascii="Times New Roman" w:hAnsi="Times New Roman"/>
          <w:b/>
          <w:sz w:val="24"/>
          <w:szCs w:val="24"/>
        </w:rPr>
        <w:t xml:space="preserve"> C</w:t>
      </w:r>
      <w:r w:rsidR="003A01E8" w:rsidRPr="00872293">
        <w:rPr>
          <w:rFonts w:ascii="Times New Roman" w:hAnsi="Times New Roman"/>
          <w:b/>
          <w:sz w:val="24"/>
          <w:szCs w:val="24"/>
        </w:rPr>
        <w:t>, Galbraith</w:t>
      </w:r>
      <w:r w:rsidR="00AD21B7" w:rsidRPr="00872293">
        <w:rPr>
          <w:rFonts w:ascii="Times New Roman" w:hAnsi="Times New Roman"/>
          <w:b/>
          <w:sz w:val="24"/>
          <w:szCs w:val="24"/>
        </w:rPr>
        <w:t xml:space="preserve"> D</w:t>
      </w:r>
      <w:r w:rsidR="003A01E8" w:rsidRPr="00872293">
        <w:rPr>
          <w:rFonts w:ascii="Times New Roman" w:hAnsi="Times New Roman"/>
          <w:b/>
          <w:sz w:val="24"/>
          <w:szCs w:val="24"/>
        </w:rPr>
        <w:t>. 2011.</w:t>
      </w:r>
      <w:r w:rsidR="003A01E8" w:rsidRPr="00872293">
        <w:rPr>
          <w:rFonts w:ascii="Times New Roman" w:hAnsi="Times New Roman"/>
          <w:sz w:val="24"/>
          <w:szCs w:val="24"/>
        </w:rPr>
        <w:t xml:space="preserve"> The allocation of ecosystem net primary productivity in tropical forests. </w:t>
      </w:r>
      <w:r w:rsidR="003A01E8" w:rsidRPr="00872293">
        <w:rPr>
          <w:rFonts w:ascii="Times New Roman" w:hAnsi="Times New Roman"/>
          <w:i/>
          <w:sz w:val="24"/>
          <w:szCs w:val="24"/>
        </w:rPr>
        <w:t>Phil</w:t>
      </w:r>
      <w:r w:rsidR="006C539C" w:rsidRPr="00872293">
        <w:rPr>
          <w:rFonts w:ascii="Times New Roman" w:hAnsi="Times New Roman"/>
          <w:i/>
          <w:sz w:val="24"/>
          <w:szCs w:val="24"/>
        </w:rPr>
        <w:t>osophical</w:t>
      </w:r>
      <w:r w:rsidR="003A01E8" w:rsidRPr="00872293">
        <w:rPr>
          <w:rFonts w:ascii="Times New Roman" w:hAnsi="Times New Roman"/>
          <w:i/>
          <w:sz w:val="24"/>
          <w:szCs w:val="24"/>
        </w:rPr>
        <w:t xml:space="preserve"> </w:t>
      </w:r>
      <w:r w:rsidR="006C539C" w:rsidRPr="00872293">
        <w:rPr>
          <w:rFonts w:ascii="Times New Roman" w:hAnsi="Times New Roman"/>
          <w:i/>
          <w:sz w:val="24"/>
          <w:szCs w:val="24"/>
        </w:rPr>
        <w:t>T</w:t>
      </w:r>
      <w:r w:rsidR="003A01E8" w:rsidRPr="00872293">
        <w:rPr>
          <w:rFonts w:ascii="Times New Roman" w:hAnsi="Times New Roman"/>
          <w:i/>
          <w:sz w:val="24"/>
          <w:szCs w:val="24"/>
        </w:rPr>
        <w:t>rans</w:t>
      </w:r>
      <w:r w:rsidR="006C539C" w:rsidRPr="00872293">
        <w:rPr>
          <w:rFonts w:ascii="Times New Roman" w:hAnsi="Times New Roman"/>
          <w:i/>
          <w:sz w:val="24"/>
          <w:szCs w:val="24"/>
        </w:rPr>
        <w:t>actions</w:t>
      </w:r>
      <w:r w:rsidR="003A01E8" w:rsidRPr="00872293">
        <w:rPr>
          <w:rFonts w:ascii="Times New Roman" w:hAnsi="Times New Roman"/>
          <w:i/>
          <w:sz w:val="24"/>
          <w:szCs w:val="24"/>
        </w:rPr>
        <w:t xml:space="preserve"> </w:t>
      </w:r>
      <w:r w:rsidR="006C539C" w:rsidRPr="00872293">
        <w:rPr>
          <w:rFonts w:ascii="Times New Roman" w:hAnsi="Times New Roman"/>
          <w:i/>
          <w:sz w:val="24"/>
          <w:szCs w:val="24"/>
        </w:rPr>
        <w:t xml:space="preserve">of the </w:t>
      </w:r>
      <w:r w:rsidR="003A01E8" w:rsidRPr="00872293">
        <w:rPr>
          <w:rFonts w:ascii="Times New Roman" w:hAnsi="Times New Roman"/>
          <w:i/>
          <w:sz w:val="24"/>
          <w:szCs w:val="24"/>
        </w:rPr>
        <w:t>R</w:t>
      </w:r>
      <w:r w:rsidR="006C539C" w:rsidRPr="00872293">
        <w:rPr>
          <w:rFonts w:ascii="Times New Roman" w:hAnsi="Times New Roman"/>
          <w:i/>
          <w:sz w:val="24"/>
          <w:szCs w:val="24"/>
        </w:rPr>
        <w:t>oyal</w:t>
      </w:r>
      <w:r w:rsidR="003A01E8" w:rsidRPr="00872293">
        <w:rPr>
          <w:rFonts w:ascii="Times New Roman" w:hAnsi="Times New Roman"/>
          <w:i/>
          <w:sz w:val="24"/>
          <w:szCs w:val="24"/>
        </w:rPr>
        <w:t xml:space="preserve"> Soc</w:t>
      </w:r>
      <w:r w:rsidR="006C539C" w:rsidRPr="00872293">
        <w:rPr>
          <w:rFonts w:ascii="Times New Roman" w:hAnsi="Times New Roman"/>
          <w:i/>
          <w:sz w:val="24"/>
          <w:szCs w:val="24"/>
        </w:rPr>
        <w:t>iety of London</w:t>
      </w:r>
      <w:r w:rsidR="003A01E8" w:rsidRPr="00872293">
        <w:rPr>
          <w:rFonts w:ascii="Times New Roman" w:hAnsi="Times New Roman"/>
          <w:sz w:val="24"/>
          <w:szCs w:val="24"/>
        </w:rPr>
        <w:t xml:space="preserve"> </w:t>
      </w:r>
      <w:r w:rsidR="003A01E8" w:rsidRPr="00872293">
        <w:rPr>
          <w:rFonts w:ascii="Times New Roman" w:hAnsi="Times New Roman"/>
          <w:b/>
          <w:sz w:val="24"/>
          <w:szCs w:val="24"/>
        </w:rPr>
        <w:t>36</w:t>
      </w:r>
      <w:r w:rsidRPr="00872293">
        <w:rPr>
          <w:rFonts w:ascii="Times New Roman" w:hAnsi="Times New Roman"/>
          <w:b/>
          <w:sz w:val="24"/>
          <w:szCs w:val="24"/>
        </w:rPr>
        <w:t>6:</w:t>
      </w:r>
      <w:r w:rsidR="003A01E8" w:rsidRPr="00872293">
        <w:rPr>
          <w:rFonts w:ascii="Times New Roman" w:hAnsi="Times New Roman"/>
          <w:sz w:val="24"/>
          <w:szCs w:val="24"/>
        </w:rPr>
        <w:t xml:space="preserve"> 3225-3245.</w:t>
      </w:r>
    </w:p>
    <w:p w14:paraId="20A541E4" w14:textId="77777777" w:rsidR="003A01E8" w:rsidRPr="00872293" w:rsidRDefault="003A01E8" w:rsidP="0060336F">
      <w:pPr>
        <w:spacing w:after="240" w:line="360" w:lineRule="auto"/>
        <w:rPr>
          <w:rFonts w:ascii="Times New Roman" w:hAnsi="Times New Roman" w:cs="Times New Roman"/>
        </w:rPr>
      </w:pPr>
      <w:r w:rsidRPr="00872293">
        <w:rPr>
          <w:rFonts w:ascii="Times New Roman" w:hAnsi="Times New Roman" w:cs="Times New Roman"/>
          <w:b/>
        </w:rPr>
        <w:t>Miller</w:t>
      </w:r>
      <w:r w:rsidR="00A8289E" w:rsidRPr="00872293">
        <w:rPr>
          <w:rFonts w:ascii="Times New Roman" w:hAnsi="Times New Roman" w:cs="Times New Roman"/>
          <w:b/>
        </w:rPr>
        <w:t xml:space="preserve"> </w:t>
      </w:r>
      <w:r w:rsidR="00762A3F" w:rsidRPr="00872293">
        <w:rPr>
          <w:rFonts w:ascii="Times New Roman" w:hAnsi="Times New Roman" w:cs="Times New Roman"/>
          <w:b/>
        </w:rPr>
        <w:t>G L,</w:t>
      </w:r>
      <w:r w:rsidRPr="00872293">
        <w:rPr>
          <w:rFonts w:ascii="Times New Roman" w:hAnsi="Times New Roman" w:cs="Times New Roman"/>
          <w:b/>
        </w:rPr>
        <w:t xml:space="preserve"> Lugo</w:t>
      </w:r>
      <w:r w:rsidR="00762A3F" w:rsidRPr="00872293">
        <w:rPr>
          <w:rFonts w:ascii="Times New Roman" w:hAnsi="Times New Roman" w:cs="Times New Roman"/>
          <w:b/>
        </w:rPr>
        <w:t xml:space="preserve"> A</w:t>
      </w:r>
      <w:r w:rsidR="00235211" w:rsidRPr="00872293">
        <w:rPr>
          <w:rFonts w:ascii="Times New Roman" w:hAnsi="Times New Roman" w:cs="Times New Roman"/>
          <w:b/>
        </w:rPr>
        <w:t>E</w:t>
      </w:r>
      <w:r w:rsidRPr="00872293">
        <w:rPr>
          <w:rFonts w:ascii="Times New Roman" w:hAnsi="Times New Roman" w:cs="Times New Roman"/>
          <w:b/>
        </w:rPr>
        <w:t>. 2009</w:t>
      </w:r>
      <w:r w:rsidR="00904C69" w:rsidRPr="00872293">
        <w:rPr>
          <w:rFonts w:ascii="Times New Roman" w:hAnsi="Times New Roman" w:cs="Times New Roman"/>
          <w:b/>
        </w:rPr>
        <w:t>a</w:t>
      </w:r>
      <w:r w:rsidRPr="00872293">
        <w:rPr>
          <w:rFonts w:ascii="Times New Roman" w:hAnsi="Times New Roman" w:cs="Times New Roman"/>
          <w:b/>
        </w:rPr>
        <w:t>.</w:t>
      </w:r>
      <w:r w:rsidRPr="00872293">
        <w:rPr>
          <w:rFonts w:ascii="Times New Roman" w:hAnsi="Times New Roman" w:cs="Times New Roman"/>
        </w:rPr>
        <w:t xml:space="preserve"> Overview of Puerto Rico.</w:t>
      </w:r>
      <w:r w:rsidRPr="00872293">
        <w:rPr>
          <w:rFonts w:ascii="Times New Roman" w:hAnsi="Times New Roman" w:cs="Times New Roman"/>
          <w:iCs/>
        </w:rPr>
        <w:t xml:space="preserve"> In</w:t>
      </w:r>
      <w:r w:rsidRPr="00872293">
        <w:rPr>
          <w:rFonts w:ascii="Times New Roman" w:hAnsi="Times New Roman" w:cs="Times New Roman"/>
        </w:rPr>
        <w:t xml:space="preserve"> G.L. Miller, and A. E. Lugo. </w:t>
      </w:r>
      <w:r w:rsidRPr="00872293">
        <w:rPr>
          <w:rFonts w:ascii="Times New Roman" w:hAnsi="Times New Roman" w:cs="Times New Roman"/>
          <w:i/>
          <w:iCs/>
        </w:rPr>
        <w:t>Guide to the Ecological Systems of Puerto Rico</w:t>
      </w:r>
      <w:r w:rsidR="009142DB" w:rsidRPr="00872293">
        <w:rPr>
          <w:rFonts w:ascii="Times New Roman" w:hAnsi="Times New Roman" w:cs="Times New Roman"/>
        </w:rPr>
        <w:t xml:space="preserve"> (</w:t>
      </w:r>
      <w:r w:rsidRPr="00872293">
        <w:rPr>
          <w:rFonts w:ascii="Times New Roman" w:hAnsi="Times New Roman" w:cs="Times New Roman"/>
        </w:rPr>
        <w:t>pp 1-26</w:t>
      </w:r>
      <w:r w:rsidR="009142DB" w:rsidRPr="00872293">
        <w:rPr>
          <w:rFonts w:ascii="Times New Roman" w:hAnsi="Times New Roman" w:cs="Times New Roman"/>
        </w:rPr>
        <w:t>)</w:t>
      </w:r>
      <w:r w:rsidRPr="00872293">
        <w:rPr>
          <w:rFonts w:ascii="Times New Roman" w:hAnsi="Times New Roman" w:cs="Times New Roman"/>
        </w:rPr>
        <w:t xml:space="preserve">. USDA Forest Service, GTR-IITF-35. </w:t>
      </w:r>
    </w:p>
    <w:p w14:paraId="7EDD9081" w14:textId="77777777" w:rsidR="003A01E8" w:rsidRPr="00872293" w:rsidRDefault="003A01E8" w:rsidP="0060336F">
      <w:pPr>
        <w:spacing w:after="240" w:line="360" w:lineRule="auto"/>
        <w:rPr>
          <w:rFonts w:ascii="Times New Roman" w:hAnsi="Times New Roman" w:cs="Times New Roman"/>
        </w:rPr>
      </w:pPr>
      <w:r w:rsidRPr="00872293">
        <w:rPr>
          <w:rFonts w:ascii="Times New Roman" w:hAnsi="Times New Roman" w:cs="Times New Roman"/>
          <w:b/>
          <w:lang w:val="es-BO"/>
        </w:rPr>
        <w:t>Miller</w:t>
      </w:r>
      <w:r w:rsidR="00762A3F" w:rsidRPr="00872293">
        <w:rPr>
          <w:rFonts w:ascii="Times New Roman" w:hAnsi="Times New Roman" w:cs="Times New Roman"/>
          <w:b/>
          <w:lang w:val="es-BO"/>
        </w:rPr>
        <w:t xml:space="preserve"> GL,</w:t>
      </w:r>
      <w:r w:rsidRPr="00872293">
        <w:rPr>
          <w:rFonts w:ascii="Times New Roman" w:hAnsi="Times New Roman" w:cs="Times New Roman"/>
          <w:b/>
          <w:lang w:val="es-BO"/>
        </w:rPr>
        <w:t xml:space="preserve"> Lugo</w:t>
      </w:r>
      <w:r w:rsidR="00762A3F" w:rsidRPr="00872293">
        <w:rPr>
          <w:rFonts w:ascii="Times New Roman" w:hAnsi="Times New Roman" w:cs="Times New Roman"/>
          <w:b/>
          <w:lang w:val="es-BO"/>
        </w:rPr>
        <w:t xml:space="preserve"> A</w:t>
      </w:r>
      <w:r w:rsidR="00AC000B" w:rsidRPr="00872293">
        <w:rPr>
          <w:rFonts w:ascii="Times New Roman" w:hAnsi="Times New Roman" w:cs="Times New Roman"/>
          <w:b/>
          <w:lang w:val="es-BO"/>
        </w:rPr>
        <w:t>E</w:t>
      </w:r>
      <w:r w:rsidRPr="00872293">
        <w:rPr>
          <w:rFonts w:ascii="Times New Roman" w:hAnsi="Times New Roman" w:cs="Times New Roman"/>
          <w:b/>
          <w:lang w:val="es-BO"/>
        </w:rPr>
        <w:t>. 2009b.</w:t>
      </w:r>
      <w:r w:rsidRPr="00872293">
        <w:rPr>
          <w:rFonts w:ascii="Times New Roman" w:hAnsi="Times New Roman" w:cs="Times New Roman"/>
          <w:lang w:val="es-BO"/>
        </w:rPr>
        <w:t xml:space="preserve"> </w:t>
      </w:r>
      <w:r w:rsidRPr="00872293">
        <w:rPr>
          <w:rFonts w:ascii="Times New Roman" w:hAnsi="Times New Roman" w:cs="Times New Roman"/>
        </w:rPr>
        <w:t xml:space="preserve">Flora and Fauna of Puerto Rico and the Caribbean. </w:t>
      </w:r>
      <w:r w:rsidRPr="00872293">
        <w:rPr>
          <w:rFonts w:ascii="Times New Roman" w:hAnsi="Times New Roman" w:cs="Times New Roman"/>
          <w:iCs/>
        </w:rPr>
        <w:t>In</w:t>
      </w:r>
      <w:r w:rsidRPr="00872293">
        <w:rPr>
          <w:rFonts w:ascii="Times New Roman" w:hAnsi="Times New Roman" w:cs="Times New Roman"/>
          <w:i/>
        </w:rPr>
        <w:t xml:space="preserve"> </w:t>
      </w:r>
      <w:r w:rsidRPr="00872293">
        <w:rPr>
          <w:rFonts w:ascii="Times New Roman" w:hAnsi="Times New Roman" w:cs="Times New Roman"/>
        </w:rPr>
        <w:t xml:space="preserve">G.L. Miller, and A. E. Lugo. </w:t>
      </w:r>
      <w:r w:rsidRPr="00872293">
        <w:rPr>
          <w:rFonts w:ascii="Times New Roman" w:hAnsi="Times New Roman" w:cs="Times New Roman"/>
          <w:i/>
          <w:iCs/>
        </w:rPr>
        <w:t>Guide to the Ecological Systems of Puerto Rico</w:t>
      </w:r>
      <w:r w:rsidR="00901DE6" w:rsidRPr="00872293">
        <w:rPr>
          <w:rFonts w:ascii="Times New Roman" w:hAnsi="Times New Roman" w:cs="Times New Roman"/>
        </w:rPr>
        <w:t xml:space="preserve"> (</w:t>
      </w:r>
      <w:r w:rsidRPr="00872293">
        <w:rPr>
          <w:rFonts w:ascii="Times New Roman" w:hAnsi="Times New Roman" w:cs="Times New Roman"/>
        </w:rPr>
        <w:t>pp 27-36</w:t>
      </w:r>
      <w:r w:rsidR="00901DE6" w:rsidRPr="00872293">
        <w:rPr>
          <w:rFonts w:ascii="Times New Roman" w:hAnsi="Times New Roman" w:cs="Times New Roman"/>
        </w:rPr>
        <w:t>)</w:t>
      </w:r>
      <w:r w:rsidRPr="00872293">
        <w:rPr>
          <w:rFonts w:ascii="Times New Roman" w:hAnsi="Times New Roman" w:cs="Times New Roman"/>
        </w:rPr>
        <w:t>. USDA Forest Service, GTR-IITF-35.</w:t>
      </w:r>
    </w:p>
    <w:p w14:paraId="14FDAC69" w14:textId="77777777" w:rsidR="003A01E8" w:rsidRPr="00872293" w:rsidRDefault="00762A3F" w:rsidP="0060336F">
      <w:pPr>
        <w:spacing w:after="240" w:line="360" w:lineRule="auto"/>
        <w:rPr>
          <w:rFonts w:ascii="Times New Roman" w:hAnsi="Times New Roman" w:cs="Times New Roman"/>
        </w:rPr>
      </w:pPr>
      <w:proofErr w:type="spellStart"/>
      <w:r w:rsidRPr="00872293">
        <w:rPr>
          <w:rFonts w:ascii="Times New Roman" w:hAnsi="Times New Roman" w:cs="Times New Roman"/>
          <w:b/>
        </w:rPr>
        <w:t>Mokany</w:t>
      </w:r>
      <w:proofErr w:type="spellEnd"/>
      <w:r w:rsidRPr="00872293">
        <w:rPr>
          <w:rFonts w:ascii="Times New Roman" w:hAnsi="Times New Roman" w:cs="Times New Roman"/>
          <w:b/>
        </w:rPr>
        <w:t xml:space="preserve"> K</w:t>
      </w:r>
      <w:r w:rsidR="003A01E8" w:rsidRPr="00872293">
        <w:rPr>
          <w:rFonts w:ascii="Times New Roman" w:hAnsi="Times New Roman" w:cs="Times New Roman"/>
          <w:b/>
        </w:rPr>
        <w:t>, Raison</w:t>
      </w:r>
      <w:r w:rsidRPr="00872293">
        <w:rPr>
          <w:rFonts w:ascii="Times New Roman" w:hAnsi="Times New Roman" w:cs="Times New Roman"/>
          <w:b/>
        </w:rPr>
        <w:t xml:space="preserve"> R J,</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Prokushkin</w:t>
      </w:r>
      <w:proofErr w:type="spellEnd"/>
      <w:r w:rsidRPr="00872293">
        <w:rPr>
          <w:rFonts w:ascii="Times New Roman" w:hAnsi="Times New Roman" w:cs="Times New Roman"/>
          <w:b/>
        </w:rPr>
        <w:t xml:space="preserve"> A</w:t>
      </w:r>
      <w:r w:rsidR="00F360EE" w:rsidRPr="00872293">
        <w:rPr>
          <w:rFonts w:ascii="Times New Roman" w:hAnsi="Times New Roman" w:cs="Times New Roman"/>
          <w:b/>
        </w:rPr>
        <w:t>S</w:t>
      </w:r>
      <w:r w:rsidR="003A01E8" w:rsidRPr="00872293">
        <w:rPr>
          <w:rFonts w:ascii="Times New Roman" w:hAnsi="Times New Roman" w:cs="Times New Roman"/>
          <w:b/>
        </w:rPr>
        <w:t>. 2006.</w:t>
      </w:r>
      <w:r w:rsidR="003A01E8" w:rsidRPr="00872293">
        <w:rPr>
          <w:rFonts w:ascii="Times New Roman" w:hAnsi="Times New Roman" w:cs="Times New Roman"/>
        </w:rPr>
        <w:t xml:space="preserve"> Critical analysis of root: Shoot ratios in terrestrial biomes. </w:t>
      </w:r>
      <w:r w:rsidR="003A01E8" w:rsidRPr="00872293">
        <w:rPr>
          <w:rFonts w:ascii="Times New Roman" w:hAnsi="Times New Roman" w:cs="Times New Roman"/>
          <w:i/>
        </w:rPr>
        <w:t>Glob</w:t>
      </w:r>
      <w:r w:rsidR="008A276A" w:rsidRPr="00872293">
        <w:rPr>
          <w:rFonts w:ascii="Times New Roman" w:hAnsi="Times New Roman" w:cs="Times New Roman"/>
          <w:i/>
        </w:rPr>
        <w:t>al</w:t>
      </w:r>
      <w:r w:rsidR="003A01E8" w:rsidRPr="00872293">
        <w:rPr>
          <w:rFonts w:ascii="Times New Roman" w:hAnsi="Times New Roman" w:cs="Times New Roman"/>
          <w:i/>
        </w:rPr>
        <w:t xml:space="preserve"> Chang</w:t>
      </w:r>
      <w:r w:rsidR="008A276A" w:rsidRPr="00872293">
        <w:rPr>
          <w:rFonts w:ascii="Times New Roman" w:hAnsi="Times New Roman" w:cs="Times New Roman"/>
          <w:i/>
        </w:rPr>
        <w:t>e</w:t>
      </w:r>
      <w:r w:rsidR="003A01E8" w:rsidRPr="00872293">
        <w:rPr>
          <w:rFonts w:ascii="Times New Roman" w:hAnsi="Times New Roman" w:cs="Times New Roman"/>
          <w:i/>
        </w:rPr>
        <w:t xml:space="preserve"> Biol</w:t>
      </w:r>
      <w:r w:rsidR="008A276A" w:rsidRPr="00872293">
        <w:rPr>
          <w:rFonts w:ascii="Times New Roman" w:hAnsi="Times New Roman" w:cs="Times New Roman"/>
          <w:i/>
        </w:rPr>
        <w:t>ogy</w:t>
      </w:r>
      <w:r w:rsidR="003A01E8" w:rsidRPr="00872293">
        <w:rPr>
          <w:rFonts w:ascii="Times New Roman" w:hAnsi="Times New Roman" w:cs="Times New Roman"/>
        </w:rPr>
        <w:t xml:space="preserve"> </w:t>
      </w:r>
      <w:r w:rsidR="003A01E8" w:rsidRPr="00872293">
        <w:rPr>
          <w:rFonts w:ascii="Times New Roman" w:hAnsi="Times New Roman" w:cs="Times New Roman"/>
          <w:b/>
        </w:rPr>
        <w:t>1</w:t>
      </w:r>
      <w:r w:rsidRPr="00872293">
        <w:rPr>
          <w:rFonts w:ascii="Times New Roman" w:hAnsi="Times New Roman" w:cs="Times New Roman"/>
          <w:b/>
        </w:rPr>
        <w:t xml:space="preserve">2: </w:t>
      </w:r>
      <w:r w:rsidR="003A01E8" w:rsidRPr="00872293">
        <w:rPr>
          <w:rFonts w:ascii="Times New Roman" w:hAnsi="Times New Roman" w:cs="Times New Roman"/>
        </w:rPr>
        <w:t>84–96.</w:t>
      </w:r>
    </w:p>
    <w:p w14:paraId="62CC023F" w14:textId="77777777" w:rsidR="003A01E8" w:rsidRPr="00872293" w:rsidRDefault="00762A3F" w:rsidP="0060336F">
      <w:pPr>
        <w:spacing w:after="240" w:line="360" w:lineRule="auto"/>
        <w:rPr>
          <w:rFonts w:ascii="Times New Roman" w:hAnsi="Times New Roman" w:cs="Times New Roman"/>
        </w:rPr>
      </w:pPr>
      <w:r w:rsidRPr="00872293">
        <w:rPr>
          <w:rFonts w:ascii="Times New Roman" w:hAnsi="Times New Roman" w:cs="Times New Roman"/>
          <w:b/>
        </w:rPr>
        <w:t>Murphy PG</w:t>
      </w:r>
      <w:r w:rsidR="003A01E8" w:rsidRPr="00872293">
        <w:rPr>
          <w:rFonts w:ascii="Times New Roman" w:hAnsi="Times New Roman" w:cs="Times New Roman"/>
          <w:b/>
        </w:rPr>
        <w:t>, Lugo</w:t>
      </w:r>
      <w:r w:rsidRPr="00872293">
        <w:rPr>
          <w:rFonts w:ascii="Times New Roman" w:hAnsi="Times New Roman" w:cs="Times New Roman"/>
          <w:b/>
        </w:rPr>
        <w:t xml:space="preserve"> A</w:t>
      </w:r>
      <w:r w:rsidR="0048639E" w:rsidRPr="00872293">
        <w:rPr>
          <w:rFonts w:ascii="Times New Roman" w:hAnsi="Times New Roman" w:cs="Times New Roman"/>
          <w:b/>
        </w:rPr>
        <w:t>E</w:t>
      </w:r>
      <w:r w:rsidR="003A01E8" w:rsidRPr="00872293">
        <w:rPr>
          <w:rFonts w:ascii="Times New Roman" w:hAnsi="Times New Roman" w:cs="Times New Roman"/>
          <w:b/>
        </w:rPr>
        <w:t>. 1986</w:t>
      </w:r>
      <w:r w:rsidR="00904C69" w:rsidRPr="00872293">
        <w:rPr>
          <w:rFonts w:ascii="Times New Roman" w:hAnsi="Times New Roman" w:cs="Times New Roman"/>
          <w:b/>
        </w:rPr>
        <w:t>a</w:t>
      </w:r>
      <w:r w:rsidR="003A01E8" w:rsidRPr="00872293">
        <w:rPr>
          <w:rFonts w:ascii="Times New Roman" w:hAnsi="Times New Roman" w:cs="Times New Roman"/>
          <w:b/>
        </w:rPr>
        <w:t>.</w:t>
      </w:r>
      <w:r w:rsidR="003A01E8" w:rsidRPr="00872293">
        <w:rPr>
          <w:rFonts w:ascii="Times New Roman" w:hAnsi="Times New Roman" w:cs="Times New Roman"/>
        </w:rPr>
        <w:t xml:space="preserve"> Structure and Biomass of a Subtropical Dry Forest in Puerto Rico. </w:t>
      </w:r>
      <w:proofErr w:type="spellStart"/>
      <w:r w:rsidR="003A01E8" w:rsidRPr="00872293">
        <w:rPr>
          <w:rFonts w:ascii="Times New Roman" w:hAnsi="Times New Roman" w:cs="Times New Roman"/>
          <w:i/>
        </w:rPr>
        <w:t>Biotropica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1</w:t>
      </w:r>
      <w:r w:rsidRPr="00872293">
        <w:rPr>
          <w:rFonts w:ascii="Times New Roman" w:hAnsi="Times New Roman" w:cs="Times New Roman"/>
          <w:b/>
        </w:rPr>
        <w:t>8:</w:t>
      </w:r>
      <w:r w:rsidR="003A01E8" w:rsidRPr="00872293">
        <w:rPr>
          <w:rFonts w:ascii="Times New Roman" w:hAnsi="Times New Roman" w:cs="Times New Roman"/>
        </w:rPr>
        <w:t xml:space="preserve"> 89.</w:t>
      </w:r>
    </w:p>
    <w:p w14:paraId="477F1D61" w14:textId="77777777" w:rsidR="00F3629B" w:rsidRPr="00872293" w:rsidRDefault="00762A3F" w:rsidP="0060336F">
      <w:pPr>
        <w:spacing w:before="100" w:beforeAutospacing="1" w:after="100" w:afterAutospacing="1" w:line="360" w:lineRule="auto"/>
        <w:rPr>
          <w:rFonts w:ascii="Times New Roman" w:eastAsia="Times New Roman" w:hAnsi="Times New Roman" w:cs="Times New Roman"/>
        </w:rPr>
      </w:pPr>
      <w:r w:rsidRPr="00872293">
        <w:rPr>
          <w:rFonts w:ascii="Times New Roman" w:eastAsia="Times New Roman" w:hAnsi="Times New Roman" w:cs="Times New Roman"/>
          <w:b/>
        </w:rPr>
        <w:t>Murphy PG</w:t>
      </w:r>
      <w:r w:rsidR="005D5F29" w:rsidRPr="00872293">
        <w:rPr>
          <w:rFonts w:ascii="Times New Roman" w:eastAsia="Times New Roman" w:hAnsi="Times New Roman" w:cs="Times New Roman"/>
          <w:b/>
        </w:rPr>
        <w:t>, Lugo</w:t>
      </w:r>
      <w:r w:rsidRPr="00872293">
        <w:rPr>
          <w:rFonts w:ascii="Times New Roman" w:eastAsia="Times New Roman" w:hAnsi="Times New Roman" w:cs="Times New Roman"/>
          <w:b/>
        </w:rPr>
        <w:t xml:space="preserve"> A</w:t>
      </w:r>
      <w:r w:rsidR="00E53102" w:rsidRPr="00872293">
        <w:rPr>
          <w:rFonts w:ascii="Times New Roman" w:eastAsia="Times New Roman" w:hAnsi="Times New Roman" w:cs="Times New Roman"/>
          <w:b/>
        </w:rPr>
        <w:t>E</w:t>
      </w:r>
      <w:r w:rsidR="005D5F29" w:rsidRPr="00872293">
        <w:rPr>
          <w:rFonts w:ascii="Times New Roman" w:eastAsia="Times New Roman" w:hAnsi="Times New Roman" w:cs="Times New Roman"/>
          <w:b/>
        </w:rPr>
        <w:t>. 1986</w:t>
      </w:r>
      <w:r w:rsidR="009048CE" w:rsidRPr="00872293">
        <w:rPr>
          <w:rFonts w:ascii="Times New Roman" w:eastAsia="Times New Roman" w:hAnsi="Times New Roman" w:cs="Times New Roman"/>
          <w:b/>
        </w:rPr>
        <w:t>b</w:t>
      </w:r>
      <w:r w:rsidR="005D5F29" w:rsidRPr="00872293">
        <w:rPr>
          <w:rFonts w:ascii="Times New Roman" w:eastAsia="Times New Roman" w:hAnsi="Times New Roman" w:cs="Times New Roman"/>
          <w:b/>
        </w:rPr>
        <w:t>.</w:t>
      </w:r>
      <w:r w:rsidR="005D5F29" w:rsidRPr="00872293">
        <w:rPr>
          <w:rFonts w:ascii="Times New Roman" w:eastAsia="Times New Roman" w:hAnsi="Times New Roman" w:cs="Times New Roman"/>
        </w:rPr>
        <w:t xml:space="preserve"> Ecology of tropical dry forest. </w:t>
      </w:r>
      <w:r w:rsidR="005D5F29" w:rsidRPr="00872293">
        <w:rPr>
          <w:rFonts w:ascii="Times New Roman" w:eastAsia="Times New Roman" w:hAnsi="Times New Roman" w:cs="Times New Roman"/>
          <w:i/>
          <w:iCs/>
        </w:rPr>
        <w:t>Annu</w:t>
      </w:r>
      <w:r w:rsidR="000B781A" w:rsidRPr="00872293">
        <w:rPr>
          <w:rFonts w:ascii="Times New Roman" w:eastAsia="Times New Roman" w:hAnsi="Times New Roman" w:cs="Times New Roman"/>
          <w:i/>
          <w:iCs/>
        </w:rPr>
        <w:t>al</w:t>
      </w:r>
      <w:r w:rsidR="005D5F29" w:rsidRPr="00872293">
        <w:rPr>
          <w:rFonts w:ascii="Times New Roman" w:eastAsia="Times New Roman" w:hAnsi="Times New Roman" w:cs="Times New Roman"/>
          <w:i/>
          <w:iCs/>
        </w:rPr>
        <w:t xml:space="preserve"> Rev</w:t>
      </w:r>
      <w:r w:rsidR="000B781A" w:rsidRPr="00872293">
        <w:rPr>
          <w:rFonts w:ascii="Times New Roman" w:eastAsia="Times New Roman" w:hAnsi="Times New Roman" w:cs="Times New Roman"/>
          <w:i/>
          <w:iCs/>
        </w:rPr>
        <w:t>iew of</w:t>
      </w:r>
      <w:r w:rsidR="005D5F29" w:rsidRPr="00872293">
        <w:rPr>
          <w:rFonts w:ascii="Times New Roman" w:eastAsia="Times New Roman" w:hAnsi="Times New Roman" w:cs="Times New Roman"/>
          <w:i/>
          <w:iCs/>
        </w:rPr>
        <w:t xml:space="preserve"> Ecol</w:t>
      </w:r>
      <w:r w:rsidR="000B781A" w:rsidRPr="00872293">
        <w:rPr>
          <w:rFonts w:ascii="Times New Roman" w:eastAsia="Times New Roman" w:hAnsi="Times New Roman" w:cs="Times New Roman"/>
          <w:i/>
          <w:iCs/>
        </w:rPr>
        <w:t>ogy and</w:t>
      </w:r>
      <w:r w:rsidR="005D5F29" w:rsidRPr="00872293">
        <w:rPr>
          <w:rFonts w:ascii="Times New Roman" w:eastAsia="Times New Roman" w:hAnsi="Times New Roman" w:cs="Times New Roman"/>
          <w:i/>
          <w:iCs/>
        </w:rPr>
        <w:t xml:space="preserve"> Syst</w:t>
      </w:r>
      <w:r w:rsidR="000B781A" w:rsidRPr="00872293">
        <w:rPr>
          <w:rFonts w:ascii="Times New Roman" w:eastAsia="Times New Roman" w:hAnsi="Times New Roman" w:cs="Times New Roman"/>
          <w:i/>
          <w:iCs/>
        </w:rPr>
        <w:t>ematics</w:t>
      </w:r>
      <w:r w:rsidR="001702DE" w:rsidRPr="00872293">
        <w:rPr>
          <w:rFonts w:ascii="Times New Roman" w:eastAsia="Times New Roman" w:hAnsi="Times New Roman" w:cs="Times New Roman"/>
        </w:rPr>
        <w:t xml:space="preserve"> </w:t>
      </w:r>
      <w:r w:rsidR="005D5F29" w:rsidRPr="00872293">
        <w:rPr>
          <w:rFonts w:ascii="Times New Roman" w:eastAsia="Times New Roman" w:hAnsi="Times New Roman" w:cs="Times New Roman"/>
          <w:b/>
          <w:bCs/>
        </w:rPr>
        <w:t>1</w:t>
      </w:r>
      <w:r w:rsidRPr="00872293">
        <w:rPr>
          <w:rFonts w:ascii="Times New Roman" w:eastAsia="Times New Roman" w:hAnsi="Times New Roman" w:cs="Times New Roman"/>
          <w:b/>
          <w:bCs/>
        </w:rPr>
        <w:t>7:</w:t>
      </w:r>
      <w:r w:rsidR="001702DE" w:rsidRPr="00872293">
        <w:rPr>
          <w:rFonts w:ascii="Times New Roman" w:eastAsia="Times New Roman" w:hAnsi="Times New Roman" w:cs="Times New Roman"/>
        </w:rPr>
        <w:t xml:space="preserve"> 67-88.</w:t>
      </w:r>
    </w:p>
    <w:p w14:paraId="7296DAB1" w14:textId="77777777" w:rsidR="003A01E8" w:rsidRPr="00872293" w:rsidRDefault="00762A3F" w:rsidP="0060336F">
      <w:pPr>
        <w:spacing w:after="240" w:line="360" w:lineRule="auto"/>
        <w:rPr>
          <w:rFonts w:ascii="Times New Roman" w:hAnsi="Times New Roman" w:cs="Times New Roman"/>
        </w:rPr>
      </w:pPr>
      <w:proofErr w:type="spellStart"/>
      <w:r w:rsidRPr="00872293">
        <w:rPr>
          <w:rFonts w:ascii="Times New Roman" w:hAnsi="Times New Roman" w:cs="Times New Roman"/>
          <w:b/>
        </w:rPr>
        <w:t>Odum</w:t>
      </w:r>
      <w:proofErr w:type="spellEnd"/>
      <w:r w:rsidR="00004222" w:rsidRPr="00872293">
        <w:rPr>
          <w:rFonts w:ascii="Times New Roman" w:hAnsi="Times New Roman" w:cs="Times New Roman"/>
          <w:b/>
        </w:rPr>
        <w:t xml:space="preserve"> HT, </w:t>
      </w:r>
      <w:r w:rsidR="003A01E8" w:rsidRPr="00872293">
        <w:rPr>
          <w:rFonts w:ascii="Times New Roman" w:hAnsi="Times New Roman" w:cs="Times New Roman"/>
          <w:b/>
        </w:rPr>
        <w:t>Pigeon</w:t>
      </w:r>
      <w:r w:rsidR="00004222" w:rsidRPr="00872293">
        <w:rPr>
          <w:rFonts w:ascii="Times New Roman" w:hAnsi="Times New Roman" w:cs="Times New Roman"/>
          <w:b/>
        </w:rPr>
        <w:t xml:space="preserve"> R</w:t>
      </w:r>
      <w:r w:rsidR="00D2252F" w:rsidRPr="00872293">
        <w:rPr>
          <w:rFonts w:ascii="Times New Roman" w:hAnsi="Times New Roman" w:cs="Times New Roman"/>
          <w:b/>
        </w:rPr>
        <w:t>F</w:t>
      </w:r>
      <w:r w:rsidR="003A01E8" w:rsidRPr="00872293">
        <w:rPr>
          <w:rFonts w:ascii="Times New Roman" w:hAnsi="Times New Roman" w:cs="Times New Roman"/>
          <w:b/>
        </w:rPr>
        <w:t>. 1970.</w:t>
      </w:r>
      <w:r w:rsidR="003A01E8" w:rsidRPr="00872293">
        <w:rPr>
          <w:rFonts w:ascii="Times New Roman" w:hAnsi="Times New Roman" w:cs="Times New Roman"/>
        </w:rPr>
        <w:t xml:space="preserve"> A Tropical Rain Forest: A Study </w:t>
      </w:r>
      <w:proofErr w:type="gramStart"/>
      <w:r w:rsidR="003A01E8" w:rsidRPr="00872293">
        <w:rPr>
          <w:rFonts w:ascii="Times New Roman" w:hAnsi="Times New Roman" w:cs="Times New Roman"/>
        </w:rPr>
        <w:t>Of</w:t>
      </w:r>
      <w:proofErr w:type="gramEnd"/>
      <w:r w:rsidR="003A01E8" w:rsidRPr="00872293">
        <w:rPr>
          <w:rFonts w:ascii="Times New Roman" w:hAnsi="Times New Roman" w:cs="Times New Roman"/>
        </w:rPr>
        <w:t xml:space="preserve"> Irradiation and Ecology at El Verde, Puerto Rico. National Technical Information Service, Springfield, Virginia.</w:t>
      </w:r>
      <w:r w:rsidR="00387358" w:rsidRPr="00872293">
        <w:rPr>
          <w:rFonts w:ascii="Times New Roman" w:hAnsi="Times New Roman" w:cs="Times New Roman"/>
        </w:rPr>
        <w:t xml:space="preserve"> </w:t>
      </w:r>
    </w:p>
    <w:p w14:paraId="2050AAF1" w14:textId="77777777" w:rsidR="00643444" w:rsidRPr="00872293" w:rsidRDefault="00643444" w:rsidP="0060336F">
      <w:pPr>
        <w:spacing w:after="240" w:line="360" w:lineRule="auto"/>
        <w:rPr>
          <w:rFonts w:ascii="Times New Roman" w:hAnsi="Times New Roman" w:cs="Times New Roman"/>
        </w:rPr>
      </w:pPr>
      <w:proofErr w:type="spellStart"/>
      <w:r w:rsidRPr="00872293">
        <w:rPr>
          <w:rFonts w:ascii="Times New Roman" w:hAnsi="Times New Roman" w:cs="Times New Roman"/>
          <w:b/>
        </w:rPr>
        <w:lastRenderedPageBreak/>
        <w:t>Od</w:t>
      </w:r>
      <w:r w:rsidR="00004222" w:rsidRPr="00872293">
        <w:rPr>
          <w:rFonts w:ascii="Times New Roman" w:hAnsi="Times New Roman" w:cs="Times New Roman"/>
          <w:b/>
        </w:rPr>
        <w:t>um</w:t>
      </w:r>
      <w:proofErr w:type="spellEnd"/>
      <w:r w:rsidR="00004222" w:rsidRPr="00872293">
        <w:rPr>
          <w:rFonts w:ascii="Times New Roman" w:hAnsi="Times New Roman" w:cs="Times New Roman"/>
          <w:b/>
        </w:rPr>
        <w:t xml:space="preserve"> H</w:t>
      </w:r>
      <w:r w:rsidRPr="00872293">
        <w:rPr>
          <w:rFonts w:ascii="Times New Roman" w:hAnsi="Times New Roman" w:cs="Times New Roman"/>
          <w:b/>
        </w:rPr>
        <w:t>T. 1970</w:t>
      </w:r>
      <w:r w:rsidR="00775382" w:rsidRPr="00872293">
        <w:rPr>
          <w:rFonts w:ascii="Times New Roman" w:hAnsi="Times New Roman" w:cs="Times New Roman"/>
          <w:b/>
        </w:rPr>
        <w:t>a</w:t>
      </w:r>
      <w:r w:rsidRPr="00872293">
        <w:rPr>
          <w:rFonts w:ascii="Times New Roman" w:hAnsi="Times New Roman" w:cs="Times New Roman"/>
          <w:b/>
        </w:rPr>
        <w:t>.</w:t>
      </w:r>
      <w:r w:rsidRPr="00872293">
        <w:rPr>
          <w:rFonts w:ascii="Times New Roman" w:hAnsi="Times New Roman" w:cs="Times New Roman"/>
        </w:rPr>
        <w:t xml:space="preserve"> Summary: An emerging view of the ecological system at El Verde.</w:t>
      </w:r>
      <w:r w:rsidRPr="00872293">
        <w:rPr>
          <w:rFonts w:ascii="Times New Roman" w:hAnsi="Times New Roman" w:cs="Times New Roman"/>
          <w:iCs/>
        </w:rPr>
        <w:t xml:space="preserve"> In</w:t>
      </w:r>
      <w:r w:rsidRPr="00872293">
        <w:rPr>
          <w:rFonts w:ascii="Times New Roman" w:hAnsi="Times New Roman" w:cs="Times New Roman"/>
        </w:rPr>
        <w:t xml:space="preserve"> </w:t>
      </w:r>
      <w:proofErr w:type="spellStart"/>
      <w:r w:rsidRPr="00872293">
        <w:rPr>
          <w:rFonts w:ascii="Times New Roman" w:hAnsi="Times New Roman" w:cs="Times New Roman"/>
        </w:rPr>
        <w:t>Odum</w:t>
      </w:r>
      <w:proofErr w:type="spellEnd"/>
      <w:r w:rsidRPr="00872293">
        <w:rPr>
          <w:rFonts w:ascii="Times New Roman" w:hAnsi="Times New Roman" w:cs="Times New Roman"/>
        </w:rPr>
        <w:t xml:space="preserve"> H.T. </w:t>
      </w:r>
      <w:r w:rsidRPr="00872293">
        <w:rPr>
          <w:rFonts w:ascii="Times New Roman" w:hAnsi="Times New Roman" w:cs="Times New Roman"/>
          <w:i/>
          <w:iCs/>
        </w:rPr>
        <w:t xml:space="preserve">A Tropical Rain Forest: A Study </w:t>
      </w:r>
      <w:proofErr w:type="gramStart"/>
      <w:r w:rsidRPr="00872293">
        <w:rPr>
          <w:rFonts w:ascii="Times New Roman" w:hAnsi="Times New Roman" w:cs="Times New Roman"/>
          <w:i/>
          <w:iCs/>
        </w:rPr>
        <w:t>Of</w:t>
      </w:r>
      <w:proofErr w:type="gramEnd"/>
      <w:r w:rsidRPr="00872293">
        <w:rPr>
          <w:rFonts w:ascii="Times New Roman" w:hAnsi="Times New Roman" w:cs="Times New Roman"/>
          <w:i/>
          <w:iCs/>
        </w:rPr>
        <w:t xml:space="preserve"> Irradiation and Ecology at El Verde, Puerto Rico</w:t>
      </w:r>
      <w:r w:rsidR="005A5BB5" w:rsidRPr="00872293">
        <w:rPr>
          <w:rFonts w:ascii="Times New Roman" w:hAnsi="Times New Roman" w:cs="Times New Roman"/>
        </w:rPr>
        <w:t xml:space="preserve"> (</w:t>
      </w:r>
      <w:r w:rsidRPr="00872293">
        <w:rPr>
          <w:rFonts w:ascii="Times New Roman" w:hAnsi="Times New Roman" w:cs="Times New Roman"/>
        </w:rPr>
        <w:t>pp I191-I276</w:t>
      </w:r>
      <w:r w:rsidR="005A5BB5" w:rsidRPr="00872293">
        <w:rPr>
          <w:rFonts w:ascii="Times New Roman" w:hAnsi="Times New Roman" w:cs="Times New Roman"/>
        </w:rPr>
        <w:t>)</w:t>
      </w:r>
      <w:r w:rsidRPr="00872293">
        <w:rPr>
          <w:rFonts w:ascii="Times New Roman" w:hAnsi="Times New Roman" w:cs="Times New Roman"/>
        </w:rPr>
        <w:t>. Virginia</w:t>
      </w:r>
      <w:r w:rsidR="005A5BB5" w:rsidRPr="00872293">
        <w:rPr>
          <w:rFonts w:ascii="Times New Roman" w:hAnsi="Times New Roman" w:cs="Times New Roman"/>
        </w:rPr>
        <w:t>: National Technical Information Service, Springfield.</w:t>
      </w:r>
    </w:p>
    <w:p w14:paraId="51BAB618" w14:textId="77777777" w:rsidR="003659BB" w:rsidRPr="00872293" w:rsidRDefault="00004222" w:rsidP="0060336F">
      <w:pPr>
        <w:spacing w:after="240" w:line="360" w:lineRule="auto"/>
        <w:rPr>
          <w:rFonts w:ascii="Times New Roman" w:hAnsi="Times New Roman" w:cs="Times New Roman"/>
        </w:rPr>
      </w:pPr>
      <w:proofErr w:type="spellStart"/>
      <w:r w:rsidRPr="00872293">
        <w:rPr>
          <w:rFonts w:ascii="Times New Roman" w:hAnsi="Times New Roman" w:cs="Times New Roman"/>
          <w:b/>
        </w:rPr>
        <w:t>Odum</w:t>
      </w:r>
      <w:proofErr w:type="spellEnd"/>
      <w:r w:rsidRPr="00872293">
        <w:rPr>
          <w:rFonts w:ascii="Times New Roman" w:hAnsi="Times New Roman" w:cs="Times New Roman"/>
          <w:b/>
        </w:rPr>
        <w:t xml:space="preserve"> H</w:t>
      </w:r>
      <w:r w:rsidR="003659BB" w:rsidRPr="00872293">
        <w:rPr>
          <w:rFonts w:ascii="Times New Roman" w:hAnsi="Times New Roman" w:cs="Times New Roman"/>
          <w:b/>
        </w:rPr>
        <w:t>T. 1970</w:t>
      </w:r>
      <w:r w:rsidR="00755559" w:rsidRPr="00872293">
        <w:rPr>
          <w:rFonts w:ascii="Times New Roman" w:hAnsi="Times New Roman" w:cs="Times New Roman"/>
          <w:b/>
        </w:rPr>
        <w:t>b</w:t>
      </w:r>
      <w:r w:rsidR="003659BB" w:rsidRPr="00872293">
        <w:rPr>
          <w:rFonts w:ascii="Times New Roman" w:hAnsi="Times New Roman" w:cs="Times New Roman"/>
          <w:b/>
        </w:rPr>
        <w:t>.</w:t>
      </w:r>
      <w:r w:rsidR="003659BB" w:rsidRPr="00872293">
        <w:rPr>
          <w:rFonts w:ascii="Times New Roman" w:hAnsi="Times New Roman" w:cs="Times New Roman"/>
        </w:rPr>
        <w:t xml:space="preserve"> </w:t>
      </w:r>
      <w:r w:rsidR="00EA688E" w:rsidRPr="00872293">
        <w:rPr>
          <w:rFonts w:ascii="Times New Roman" w:hAnsi="Times New Roman" w:cs="Times New Roman"/>
        </w:rPr>
        <w:t>Rain forest structure and mineral-cycling homeostasis</w:t>
      </w:r>
      <w:r w:rsidR="003659BB" w:rsidRPr="00872293">
        <w:rPr>
          <w:rFonts w:ascii="Times New Roman" w:hAnsi="Times New Roman" w:cs="Times New Roman"/>
        </w:rPr>
        <w:t xml:space="preserve">. </w:t>
      </w:r>
      <w:r w:rsidR="003659BB" w:rsidRPr="00872293">
        <w:rPr>
          <w:rFonts w:ascii="Times New Roman" w:hAnsi="Times New Roman" w:cs="Times New Roman"/>
          <w:iCs/>
        </w:rPr>
        <w:t xml:space="preserve">In </w:t>
      </w:r>
      <w:proofErr w:type="spellStart"/>
      <w:r w:rsidR="003659BB" w:rsidRPr="00872293">
        <w:rPr>
          <w:rFonts w:ascii="Times New Roman" w:hAnsi="Times New Roman" w:cs="Times New Roman"/>
        </w:rPr>
        <w:t>Odum</w:t>
      </w:r>
      <w:proofErr w:type="spellEnd"/>
      <w:r w:rsidR="003659BB" w:rsidRPr="00872293">
        <w:rPr>
          <w:rFonts w:ascii="Times New Roman" w:hAnsi="Times New Roman" w:cs="Times New Roman"/>
        </w:rPr>
        <w:t xml:space="preserve"> H.T. </w:t>
      </w:r>
      <w:r w:rsidR="003659BB" w:rsidRPr="00872293">
        <w:rPr>
          <w:rFonts w:ascii="Times New Roman" w:hAnsi="Times New Roman" w:cs="Times New Roman"/>
          <w:i/>
          <w:iCs/>
        </w:rPr>
        <w:t xml:space="preserve">A Tropical Rain Forest: A Study </w:t>
      </w:r>
      <w:proofErr w:type="gramStart"/>
      <w:r w:rsidR="003659BB" w:rsidRPr="00872293">
        <w:rPr>
          <w:rFonts w:ascii="Times New Roman" w:hAnsi="Times New Roman" w:cs="Times New Roman"/>
          <w:i/>
          <w:iCs/>
        </w:rPr>
        <w:t>Of</w:t>
      </w:r>
      <w:proofErr w:type="gramEnd"/>
      <w:r w:rsidR="003659BB" w:rsidRPr="00872293">
        <w:rPr>
          <w:rFonts w:ascii="Times New Roman" w:hAnsi="Times New Roman" w:cs="Times New Roman"/>
          <w:i/>
          <w:iCs/>
        </w:rPr>
        <w:t xml:space="preserve"> Irradiation and Ecology at El Verde, Puerto Rico</w:t>
      </w:r>
      <w:r w:rsidR="00976D47" w:rsidRPr="00872293">
        <w:rPr>
          <w:rFonts w:ascii="Times New Roman" w:hAnsi="Times New Roman" w:cs="Times New Roman"/>
        </w:rPr>
        <w:t xml:space="preserve"> (</w:t>
      </w:r>
      <w:r w:rsidR="003659BB" w:rsidRPr="00872293">
        <w:rPr>
          <w:rFonts w:ascii="Times New Roman" w:hAnsi="Times New Roman" w:cs="Times New Roman"/>
        </w:rPr>
        <w:t>pp I191-I276</w:t>
      </w:r>
      <w:r w:rsidR="00976D47" w:rsidRPr="00872293">
        <w:rPr>
          <w:rFonts w:ascii="Times New Roman" w:hAnsi="Times New Roman" w:cs="Times New Roman"/>
        </w:rPr>
        <w:t>)</w:t>
      </w:r>
      <w:r w:rsidR="003659BB" w:rsidRPr="00872293">
        <w:rPr>
          <w:rFonts w:ascii="Times New Roman" w:hAnsi="Times New Roman" w:cs="Times New Roman"/>
        </w:rPr>
        <w:t>. Virginia</w:t>
      </w:r>
      <w:r w:rsidR="00976D47" w:rsidRPr="00872293">
        <w:rPr>
          <w:rFonts w:ascii="Times New Roman" w:hAnsi="Times New Roman" w:cs="Times New Roman"/>
        </w:rPr>
        <w:t>: National Technical Information Service, Springfield.</w:t>
      </w:r>
    </w:p>
    <w:p w14:paraId="02E888B2" w14:textId="77777777" w:rsidR="003A01E8" w:rsidRPr="00872293" w:rsidRDefault="003A01E8" w:rsidP="0060336F">
      <w:pPr>
        <w:spacing w:after="240" w:line="360" w:lineRule="auto"/>
        <w:rPr>
          <w:rFonts w:ascii="Times New Roman" w:hAnsi="Times New Roman" w:cs="Times New Roman"/>
        </w:rPr>
      </w:pPr>
      <w:r w:rsidRPr="00872293">
        <w:rPr>
          <w:rFonts w:ascii="Times New Roman" w:hAnsi="Times New Roman" w:cs="Times New Roman"/>
          <w:b/>
        </w:rPr>
        <w:t>Ovingto</w:t>
      </w:r>
      <w:r w:rsidR="00004222" w:rsidRPr="00872293">
        <w:rPr>
          <w:rFonts w:ascii="Times New Roman" w:hAnsi="Times New Roman" w:cs="Times New Roman"/>
          <w:b/>
        </w:rPr>
        <w:t>n JD,</w:t>
      </w:r>
      <w:r w:rsidRPr="00872293">
        <w:rPr>
          <w:rFonts w:ascii="Times New Roman" w:hAnsi="Times New Roman" w:cs="Times New Roman"/>
          <w:b/>
        </w:rPr>
        <w:t xml:space="preserve"> Olson</w:t>
      </w:r>
      <w:r w:rsidR="00004222" w:rsidRPr="00872293">
        <w:rPr>
          <w:rFonts w:ascii="Times New Roman" w:hAnsi="Times New Roman" w:cs="Times New Roman"/>
          <w:b/>
        </w:rPr>
        <w:t xml:space="preserve"> J</w:t>
      </w:r>
      <w:r w:rsidR="00FA4DA4" w:rsidRPr="00872293">
        <w:rPr>
          <w:rFonts w:ascii="Times New Roman" w:hAnsi="Times New Roman" w:cs="Times New Roman"/>
          <w:b/>
        </w:rPr>
        <w:t>S</w:t>
      </w:r>
      <w:r w:rsidRPr="00872293">
        <w:rPr>
          <w:rFonts w:ascii="Times New Roman" w:hAnsi="Times New Roman" w:cs="Times New Roman"/>
          <w:b/>
        </w:rPr>
        <w:t>. 1970.</w:t>
      </w:r>
      <w:r w:rsidRPr="00872293">
        <w:rPr>
          <w:rFonts w:ascii="Times New Roman" w:hAnsi="Times New Roman" w:cs="Times New Roman"/>
        </w:rPr>
        <w:t xml:space="preserve"> Biomass and chemical content of El Verde lower </w:t>
      </w:r>
      <w:r w:rsidR="007823A4" w:rsidRPr="00872293">
        <w:rPr>
          <w:rFonts w:ascii="Times New Roman" w:hAnsi="Times New Roman" w:cs="Times New Roman"/>
        </w:rPr>
        <w:t>mountain</w:t>
      </w:r>
      <w:r w:rsidRPr="00872293">
        <w:rPr>
          <w:rFonts w:ascii="Times New Roman" w:hAnsi="Times New Roman" w:cs="Times New Roman"/>
        </w:rPr>
        <w:t xml:space="preserve"> rain forest plants. </w:t>
      </w:r>
      <w:r w:rsidRPr="00872293">
        <w:rPr>
          <w:rFonts w:ascii="Times New Roman" w:hAnsi="Times New Roman" w:cs="Times New Roman"/>
          <w:iCs/>
        </w:rPr>
        <w:t>In</w:t>
      </w:r>
      <w:r w:rsidRPr="00872293">
        <w:rPr>
          <w:rFonts w:ascii="Times New Roman" w:hAnsi="Times New Roman" w:cs="Times New Roman"/>
        </w:rPr>
        <w:t xml:space="preserve"> </w:t>
      </w:r>
      <w:proofErr w:type="spellStart"/>
      <w:r w:rsidRPr="00872293">
        <w:rPr>
          <w:rFonts w:ascii="Times New Roman" w:hAnsi="Times New Roman" w:cs="Times New Roman"/>
        </w:rPr>
        <w:t>Odum</w:t>
      </w:r>
      <w:proofErr w:type="spellEnd"/>
      <w:r w:rsidRPr="00872293">
        <w:rPr>
          <w:rFonts w:ascii="Times New Roman" w:hAnsi="Times New Roman" w:cs="Times New Roman"/>
        </w:rPr>
        <w:t xml:space="preserve"> H.T. </w:t>
      </w:r>
      <w:r w:rsidRPr="00872293">
        <w:rPr>
          <w:rFonts w:ascii="Times New Roman" w:hAnsi="Times New Roman" w:cs="Times New Roman"/>
          <w:i/>
          <w:iCs/>
        </w:rPr>
        <w:t xml:space="preserve">A Tropical Rain Forest: A Study </w:t>
      </w:r>
      <w:proofErr w:type="gramStart"/>
      <w:r w:rsidRPr="00872293">
        <w:rPr>
          <w:rFonts w:ascii="Times New Roman" w:hAnsi="Times New Roman" w:cs="Times New Roman"/>
          <w:i/>
          <w:iCs/>
        </w:rPr>
        <w:t>Of</w:t>
      </w:r>
      <w:proofErr w:type="gramEnd"/>
      <w:r w:rsidRPr="00872293">
        <w:rPr>
          <w:rFonts w:ascii="Times New Roman" w:hAnsi="Times New Roman" w:cs="Times New Roman"/>
          <w:i/>
          <w:iCs/>
        </w:rPr>
        <w:t xml:space="preserve"> Irradiation and Ecology at El Verde, Puerto Rico</w:t>
      </w:r>
      <w:r w:rsidRPr="00872293">
        <w:rPr>
          <w:rFonts w:ascii="Times New Roman" w:hAnsi="Times New Roman" w:cs="Times New Roman"/>
        </w:rPr>
        <w:t xml:space="preserve"> </w:t>
      </w:r>
      <w:r w:rsidR="00FA4DA4" w:rsidRPr="00872293">
        <w:rPr>
          <w:rFonts w:ascii="Times New Roman" w:hAnsi="Times New Roman" w:cs="Times New Roman"/>
        </w:rPr>
        <w:t>(</w:t>
      </w:r>
      <w:r w:rsidRPr="00872293">
        <w:rPr>
          <w:rFonts w:ascii="Times New Roman" w:hAnsi="Times New Roman" w:cs="Times New Roman"/>
        </w:rPr>
        <w:t xml:space="preserve">pp </w:t>
      </w:r>
      <w:r w:rsidR="00D34076" w:rsidRPr="00872293">
        <w:rPr>
          <w:rFonts w:ascii="Times New Roman" w:hAnsi="Times New Roman" w:cs="Times New Roman"/>
        </w:rPr>
        <w:t>H</w:t>
      </w:r>
      <w:r w:rsidRPr="00872293">
        <w:rPr>
          <w:rFonts w:ascii="Times New Roman" w:hAnsi="Times New Roman" w:cs="Times New Roman"/>
        </w:rPr>
        <w:t>53-77</w:t>
      </w:r>
      <w:r w:rsidR="00FA4DA4" w:rsidRPr="00872293">
        <w:rPr>
          <w:rFonts w:ascii="Times New Roman" w:hAnsi="Times New Roman" w:cs="Times New Roman"/>
        </w:rPr>
        <w:t>)</w:t>
      </w:r>
      <w:r w:rsidRPr="00872293">
        <w:rPr>
          <w:rFonts w:ascii="Times New Roman" w:hAnsi="Times New Roman" w:cs="Times New Roman"/>
        </w:rPr>
        <w:t>. Virginia</w:t>
      </w:r>
      <w:r w:rsidR="00FA4DA4" w:rsidRPr="00872293">
        <w:rPr>
          <w:rFonts w:ascii="Times New Roman" w:hAnsi="Times New Roman" w:cs="Times New Roman"/>
        </w:rPr>
        <w:t>: National Technical Information Service, Springfield.</w:t>
      </w:r>
    </w:p>
    <w:p w14:paraId="2DD0BD34" w14:textId="682B2D4F" w:rsidR="003A01E8" w:rsidRPr="00872293" w:rsidRDefault="00004222" w:rsidP="00FE27EC">
      <w:pPr>
        <w:spacing w:after="240" w:line="360" w:lineRule="auto"/>
        <w:rPr>
          <w:rFonts w:ascii="Times New Roman" w:hAnsi="Times New Roman" w:cs="Times New Roman"/>
        </w:rPr>
      </w:pPr>
      <w:r w:rsidRPr="00872293">
        <w:rPr>
          <w:rFonts w:ascii="Times New Roman" w:hAnsi="Times New Roman" w:cs="Times New Roman"/>
          <w:b/>
        </w:rPr>
        <w:t>Ostertag R</w:t>
      </w:r>
      <w:r w:rsidR="003A01E8" w:rsidRPr="00872293">
        <w:rPr>
          <w:rFonts w:ascii="Times New Roman" w:hAnsi="Times New Roman" w:cs="Times New Roman"/>
          <w:b/>
        </w:rPr>
        <w:t>, Marín-</w:t>
      </w:r>
      <w:proofErr w:type="spellStart"/>
      <w:r w:rsidR="003A01E8" w:rsidRPr="00872293">
        <w:rPr>
          <w:rFonts w:ascii="Times New Roman" w:hAnsi="Times New Roman" w:cs="Times New Roman"/>
          <w:b/>
        </w:rPr>
        <w:t>Spiotta</w:t>
      </w:r>
      <w:proofErr w:type="spellEnd"/>
      <w:r w:rsidRPr="00872293">
        <w:rPr>
          <w:rFonts w:ascii="Times New Roman" w:hAnsi="Times New Roman" w:cs="Times New Roman"/>
          <w:b/>
        </w:rPr>
        <w:t xml:space="preserve"> E</w:t>
      </w:r>
      <w:r w:rsidR="003A01E8" w:rsidRPr="00872293">
        <w:rPr>
          <w:rFonts w:ascii="Times New Roman" w:hAnsi="Times New Roman" w:cs="Times New Roman"/>
          <w:b/>
        </w:rPr>
        <w:t>, Silver</w:t>
      </w:r>
      <w:r w:rsidRPr="00872293">
        <w:rPr>
          <w:rFonts w:ascii="Times New Roman" w:hAnsi="Times New Roman" w:cs="Times New Roman"/>
          <w:b/>
        </w:rPr>
        <w:t xml:space="preserve"> WL</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Schulten</w:t>
      </w:r>
      <w:proofErr w:type="spellEnd"/>
      <w:r w:rsidR="00827BB4" w:rsidRPr="00872293">
        <w:rPr>
          <w:rFonts w:ascii="Times New Roman" w:hAnsi="Times New Roman" w:cs="Times New Roman"/>
          <w:b/>
        </w:rPr>
        <w:t xml:space="preserve"> J</w:t>
      </w:r>
      <w:r w:rsidR="003A01E8" w:rsidRPr="00872293">
        <w:rPr>
          <w:rFonts w:ascii="Times New Roman" w:hAnsi="Times New Roman" w:cs="Times New Roman"/>
          <w:b/>
        </w:rPr>
        <w:t>. 2008.</w:t>
      </w:r>
      <w:r w:rsidR="003A01E8" w:rsidRPr="00872293">
        <w:rPr>
          <w:rFonts w:ascii="Times New Roman" w:hAnsi="Times New Roman" w:cs="Times New Roman"/>
        </w:rPr>
        <w:t xml:space="preserve"> Litterfall and decomposition in relation to soil carbon pools along a secondary forest </w:t>
      </w:r>
      <w:proofErr w:type="spellStart"/>
      <w:r w:rsidR="003A01E8" w:rsidRPr="00872293">
        <w:rPr>
          <w:rFonts w:ascii="Times New Roman" w:hAnsi="Times New Roman" w:cs="Times New Roman"/>
        </w:rPr>
        <w:t>chronosequence</w:t>
      </w:r>
      <w:proofErr w:type="spellEnd"/>
      <w:r w:rsidR="003A01E8" w:rsidRPr="00872293">
        <w:rPr>
          <w:rFonts w:ascii="Times New Roman" w:hAnsi="Times New Roman" w:cs="Times New Roman"/>
        </w:rPr>
        <w:t xml:space="preserve"> in Puerto Rico. </w:t>
      </w:r>
      <w:r w:rsidR="003A01E8" w:rsidRPr="00872293">
        <w:rPr>
          <w:rFonts w:ascii="Times New Roman" w:hAnsi="Times New Roman" w:cs="Times New Roman"/>
          <w:i/>
        </w:rPr>
        <w:t>Ecosystems</w:t>
      </w:r>
      <w:r w:rsidR="003A01E8" w:rsidRPr="00872293">
        <w:rPr>
          <w:rFonts w:ascii="Times New Roman" w:hAnsi="Times New Roman" w:cs="Times New Roman"/>
        </w:rPr>
        <w:t xml:space="preserve"> </w:t>
      </w:r>
      <w:r w:rsidR="003A01E8" w:rsidRPr="00872293">
        <w:rPr>
          <w:rFonts w:ascii="Times New Roman" w:hAnsi="Times New Roman" w:cs="Times New Roman"/>
          <w:b/>
        </w:rPr>
        <w:t>1</w:t>
      </w:r>
      <w:r w:rsidRPr="00872293">
        <w:rPr>
          <w:rFonts w:ascii="Times New Roman" w:hAnsi="Times New Roman" w:cs="Times New Roman"/>
          <w:b/>
        </w:rPr>
        <w:t>1:</w:t>
      </w:r>
      <w:r w:rsidR="003A01E8" w:rsidRPr="00872293">
        <w:rPr>
          <w:rFonts w:ascii="Times New Roman" w:hAnsi="Times New Roman" w:cs="Times New Roman"/>
        </w:rPr>
        <w:t xml:space="preserve"> 701–714.</w:t>
      </w:r>
    </w:p>
    <w:p w14:paraId="3BF731A2" w14:textId="77777777" w:rsidR="00646989" w:rsidRPr="00872293" w:rsidRDefault="00D61052" w:rsidP="00FE27EC">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Parrotta</w:t>
      </w:r>
      <w:proofErr w:type="spellEnd"/>
      <w:r w:rsidRPr="00872293">
        <w:rPr>
          <w:rFonts w:ascii="Times New Roman" w:hAnsi="Times New Roman" w:cs="Times New Roman"/>
          <w:b/>
        </w:rPr>
        <w:t xml:space="preserve"> J, Lodge</w:t>
      </w:r>
      <w:r w:rsidR="003A01E8" w:rsidRPr="00872293">
        <w:rPr>
          <w:rFonts w:ascii="Times New Roman" w:hAnsi="Times New Roman" w:cs="Times New Roman"/>
          <w:b/>
        </w:rPr>
        <w:t xml:space="preserve"> D. 1991.</w:t>
      </w:r>
      <w:r w:rsidR="003A01E8" w:rsidRPr="00872293">
        <w:rPr>
          <w:rFonts w:ascii="Times New Roman" w:hAnsi="Times New Roman" w:cs="Times New Roman"/>
        </w:rPr>
        <w:t xml:space="preserve"> Fine Root Dynamics in a Subtropical Wet Forest Following Hurricane Disturbance in Puerto Rico. </w:t>
      </w:r>
      <w:proofErr w:type="spellStart"/>
      <w:r w:rsidR="003A01E8" w:rsidRPr="00872293">
        <w:rPr>
          <w:rFonts w:ascii="Times New Roman" w:hAnsi="Times New Roman" w:cs="Times New Roman"/>
          <w:i/>
        </w:rPr>
        <w:t>Biotropica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2</w:t>
      </w:r>
      <w:r w:rsidRPr="00872293">
        <w:rPr>
          <w:rFonts w:ascii="Times New Roman" w:hAnsi="Times New Roman" w:cs="Times New Roman"/>
          <w:b/>
        </w:rPr>
        <w:t>3:</w:t>
      </w:r>
      <w:r w:rsidR="003A01E8" w:rsidRPr="00872293">
        <w:rPr>
          <w:rFonts w:ascii="Times New Roman" w:hAnsi="Times New Roman" w:cs="Times New Roman"/>
        </w:rPr>
        <w:t xml:space="preserve"> 343-347.</w:t>
      </w:r>
    </w:p>
    <w:p w14:paraId="1537F81C" w14:textId="77777777" w:rsidR="000329CB" w:rsidRPr="00872293" w:rsidRDefault="00D61052" w:rsidP="00FE27EC">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Parrotta</w:t>
      </w:r>
      <w:proofErr w:type="spellEnd"/>
      <w:r w:rsidRPr="00872293">
        <w:rPr>
          <w:rFonts w:ascii="Times New Roman" w:hAnsi="Times New Roman" w:cs="Times New Roman"/>
          <w:b/>
        </w:rPr>
        <w:t xml:space="preserve"> J</w:t>
      </w:r>
      <w:r w:rsidR="003A01E8" w:rsidRPr="00872293">
        <w:rPr>
          <w:rFonts w:ascii="Times New Roman" w:hAnsi="Times New Roman" w:cs="Times New Roman"/>
          <w:b/>
        </w:rPr>
        <w:t>A. 1999.</w:t>
      </w:r>
      <w:r w:rsidR="003A01E8" w:rsidRPr="00872293">
        <w:rPr>
          <w:rFonts w:ascii="Times New Roman" w:hAnsi="Times New Roman" w:cs="Times New Roman"/>
        </w:rPr>
        <w:t xml:space="preserve"> Productivity, nutrient cycling, and succession in single- and mixed-species plantations of </w:t>
      </w:r>
      <w:r w:rsidR="003A01E8" w:rsidRPr="00872293">
        <w:rPr>
          <w:rFonts w:ascii="Times New Roman" w:hAnsi="Times New Roman" w:cs="Times New Roman"/>
          <w:i/>
          <w:iCs/>
        </w:rPr>
        <w:t xml:space="preserve">Casuarina </w:t>
      </w:r>
      <w:proofErr w:type="spellStart"/>
      <w:r w:rsidR="003A01E8" w:rsidRPr="00872293">
        <w:rPr>
          <w:rFonts w:ascii="Times New Roman" w:hAnsi="Times New Roman" w:cs="Times New Roman"/>
          <w:i/>
          <w:iCs/>
        </w:rPr>
        <w:t>equisetifolia</w:t>
      </w:r>
      <w:proofErr w:type="spellEnd"/>
      <w:r w:rsidR="003A01E8" w:rsidRPr="00872293">
        <w:rPr>
          <w:rFonts w:ascii="Times New Roman" w:hAnsi="Times New Roman" w:cs="Times New Roman"/>
          <w:i/>
          <w:iCs/>
        </w:rPr>
        <w:t xml:space="preserve">, Eucalyptus </w:t>
      </w:r>
      <w:proofErr w:type="spellStart"/>
      <w:r w:rsidR="003A01E8" w:rsidRPr="00872293">
        <w:rPr>
          <w:rFonts w:ascii="Times New Roman" w:hAnsi="Times New Roman" w:cs="Times New Roman"/>
          <w:i/>
          <w:iCs/>
        </w:rPr>
        <w:t>robusta</w:t>
      </w:r>
      <w:proofErr w:type="spellEnd"/>
      <w:r w:rsidR="003A01E8" w:rsidRPr="00872293">
        <w:rPr>
          <w:rFonts w:ascii="Times New Roman" w:hAnsi="Times New Roman" w:cs="Times New Roman"/>
        </w:rPr>
        <w:t xml:space="preserve">, and </w:t>
      </w:r>
      <w:r w:rsidR="003A01E8" w:rsidRPr="00872293">
        <w:rPr>
          <w:rFonts w:ascii="Times New Roman" w:hAnsi="Times New Roman" w:cs="Times New Roman"/>
          <w:i/>
          <w:iCs/>
        </w:rPr>
        <w:t xml:space="preserve">Leucaena </w:t>
      </w:r>
      <w:proofErr w:type="spellStart"/>
      <w:r w:rsidR="003A01E8" w:rsidRPr="00872293">
        <w:rPr>
          <w:rFonts w:ascii="Times New Roman" w:hAnsi="Times New Roman" w:cs="Times New Roman"/>
          <w:i/>
          <w:iCs/>
        </w:rPr>
        <w:t>leucocephala</w:t>
      </w:r>
      <w:proofErr w:type="spellEnd"/>
      <w:r w:rsidR="003A01E8" w:rsidRPr="00872293">
        <w:rPr>
          <w:rFonts w:ascii="Times New Roman" w:hAnsi="Times New Roman" w:cs="Times New Roman"/>
        </w:rPr>
        <w:t xml:space="preserve"> in Puerto Rico. </w:t>
      </w:r>
      <w:r w:rsidR="003A01E8" w:rsidRPr="00872293">
        <w:rPr>
          <w:rFonts w:ascii="Times New Roman" w:hAnsi="Times New Roman" w:cs="Times New Roman"/>
          <w:i/>
        </w:rPr>
        <w:t>For</w:t>
      </w:r>
      <w:r w:rsidR="00432E87" w:rsidRPr="00872293">
        <w:rPr>
          <w:rFonts w:ascii="Times New Roman" w:hAnsi="Times New Roman" w:cs="Times New Roman"/>
          <w:i/>
        </w:rPr>
        <w:t>est</w:t>
      </w:r>
      <w:r w:rsidR="003A01E8" w:rsidRPr="00872293">
        <w:rPr>
          <w:rFonts w:ascii="Times New Roman" w:hAnsi="Times New Roman" w:cs="Times New Roman"/>
          <w:i/>
        </w:rPr>
        <w:t xml:space="preserve"> Ecol</w:t>
      </w:r>
      <w:r w:rsidR="00432E87" w:rsidRPr="00872293">
        <w:rPr>
          <w:rFonts w:ascii="Times New Roman" w:hAnsi="Times New Roman" w:cs="Times New Roman"/>
          <w:i/>
        </w:rPr>
        <w:t>ogy and</w:t>
      </w:r>
      <w:r w:rsidR="003A01E8" w:rsidRPr="00872293">
        <w:rPr>
          <w:rFonts w:ascii="Times New Roman" w:hAnsi="Times New Roman" w:cs="Times New Roman"/>
          <w:i/>
        </w:rPr>
        <w:t xml:space="preserve"> </w:t>
      </w:r>
      <w:r w:rsidR="00432E87" w:rsidRPr="00872293">
        <w:rPr>
          <w:rFonts w:ascii="Times New Roman" w:hAnsi="Times New Roman" w:cs="Times New Roman"/>
          <w:i/>
        </w:rPr>
        <w:t>Management</w:t>
      </w:r>
      <w:r w:rsidR="003A01E8" w:rsidRPr="00872293">
        <w:rPr>
          <w:rFonts w:ascii="Times New Roman" w:hAnsi="Times New Roman" w:cs="Times New Roman"/>
        </w:rPr>
        <w:t xml:space="preserve"> </w:t>
      </w:r>
      <w:r w:rsidR="003A01E8" w:rsidRPr="00872293">
        <w:rPr>
          <w:rFonts w:ascii="Times New Roman" w:hAnsi="Times New Roman" w:cs="Times New Roman"/>
          <w:b/>
        </w:rPr>
        <w:t>12</w:t>
      </w:r>
      <w:r w:rsidRPr="00872293">
        <w:rPr>
          <w:rFonts w:ascii="Times New Roman" w:hAnsi="Times New Roman" w:cs="Times New Roman"/>
          <w:b/>
        </w:rPr>
        <w:t>4:</w:t>
      </w:r>
      <w:r w:rsidR="003A01E8" w:rsidRPr="00872293">
        <w:rPr>
          <w:rFonts w:ascii="Times New Roman" w:hAnsi="Times New Roman" w:cs="Times New Roman"/>
        </w:rPr>
        <w:t xml:space="preserve"> 45-77.</w:t>
      </w:r>
    </w:p>
    <w:p w14:paraId="1F35FF00" w14:textId="77777777" w:rsidR="004774F2" w:rsidRPr="00872293" w:rsidRDefault="004774F2" w:rsidP="00FE27EC">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Pett</w:t>
      </w:r>
      <w:proofErr w:type="spellEnd"/>
      <w:r w:rsidR="00D61052" w:rsidRPr="00872293">
        <w:rPr>
          <w:rFonts w:ascii="Times New Roman" w:hAnsi="Times New Roman" w:cs="Times New Roman"/>
          <w:b/>
        </w:rPr>
        <w:t>-Ridge J, Silver W</w:t>
      </w:r>
      <w:r w:rsidR="00D629FC" w:rsidRPr="00872293">
        <w:rPr>
          <w:rFonts w:ascii="Times New Roman" w:hAnsi="Times New Roman" w:cs="Times New Roman"/>
          <w:b/>
        </w:rPr>
        <w:t>L. 2002</w:t>
      </w:r>
      <w:r w:rsidRPr="00872293">
        <w:rPr>
          <w:rFonts w:ascii="Times New Roman" w:hAnsi="Times New Roman" w:cs="Times New Roman"/>
          <w:b/>
        </w:rPr>
        <w:t>.</w:t>
      </w:r>
      <w:r w:rsidRPr="00872293">
        <w:rPr>
          <w:rFonts w:ascii="Times New Roman" w:hAnsi="Times New Roman" w:cs="Times New Roman"/>
        </w:rPr>
        <w:t xml:space="preserve"> Survival, Growth, and Ecosystem Dynamics of Displaced Bromeliads in a Montane Tropical Forest. </w:t>
      </w:r>
      <w:proofErr w:type="spellStart"/>
      <w:r w:rsidRPr="00872293">
        <w:rPr>
          <w:rFonts w:ascii="Times New Roman" w:hAnsi="Times New Roman" w:cs="Times New Roman"/>
          <w:i/>
          <w:iCs/>
        </w:rPr>
        <w:t>Biotropica</w:t>
      </w:r>
      <w:proofErr w:type="spellEnd"/>
      <w:r w:rsidRPr="00872293">
        <w:rPr>
          <w:rFonts w:ascii="Times New Roman" w:hAnsi="Times New Roman" w:cs="Times New Roman"/>
        </w:rPr>
        <w:t xml:space="preserve"> </w:t>
      </w:r>
      <w:r w:rsidRPr="00872293">
        <w:rPr>
          <w:rFonts w:ascii="Times New Roman" w:hAnsi="Times New Roman" w:cs="Times New Roman"/>
          <w:b/>
          <w:bCs/>
        </w:rPr>
        <w:t>3</w:t>
      </w:r>
      <w:r w:rsidR="007979AA" w:rsidRPr="00872293">
        <w:rPr>
          <w:rFonts w:ascii="Times New Roman" w:hAnsi="Times New Roman" w:cs="Times New Roman"/>
          <w:b/>
          <w:bCs/>
        </w:rPr>
        <w:t xml:space="preserve">4: </w:t>
      </w:r>
      <w:r w:rsidRPr="00872293">
        <w:rPr>
          <w:rFonts w:ascii="Times New Roman" w:hAnsi="Times New Roman" w:cs="Times New Roman"/>
        </w:rPr>
        <w:t>211-224.</w:t>
      </w:r>
    </w:p>
    <w:p w14:paraId="758458A5" w14:textId="77777777" w:rsidR="00646989" w:rsidRPr="00872293" w:rsidRDefault="007979AA" w:rsidP="00FE27EC">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Pregitzer</w:t>
      </w:r>
      <w:proofErr w:type="spellEnd"/>
      <w:r w:rsidRPr="00872293">
        <w:rPr>
          <w:rFonts w:ascii="Times New Roman" w:hAnsi="Times New Roman" w:cs="Times New Roman"/>
          <w:b/>
        </w:rPr>
        <w:t xml:space="preserve"> K</w:t>
      </w:r>
      <w:r w:rsidR="003A01E8" w:rsidRPr="00872293">
        <w:rPr>
          <w:rFonts w:ascii="Times New Roman" w:hAnsi="Times New Roman" w:cs="Times New Roman"/>
          <w:b/>
        </w:rPr>
        <w:t>S. 2002.</w:t>
      </w:r>
      <w:r w:rsidR="003A01E8" w:rsidRPr="00872293">
        <w:rPr>
          <w:rFonts w:ascii="Times New Roman" w:hAnsi="Times New Roman" w:cs="Times New Roman"/>
        </w:rPr>
        <w:t xml:space="preserve"> Fine roots of trees - A new perspective. </w:t>
      </w:r>
      <w:r w:rsidR="003A01E8" w:rsidRPr="00872293">
        <w:rPr>
          <w:rFonts w:ascii="Times New Roman" w:hAnsi="Times New Roman" w:cs="Times New Roman"/>
          <w:i/>
        </w:rPr>
        <w:t>New Phytol</w:t>
      </w:r>
      <w:r w:rsidR="003D1FCA" w:rsidRPr="00872293">
        <w:rPr>
          <w:rFonts w:ascii="Times New Roman" w:hAnsi="Times New Roman" w:cs="Times New Roman"/>
          <w:i/>
        </w:rPr>
        <w:t>ogist</w:t>
      </w:r>
      <w:r w:rsidR="003A01E8" w:rsidRPr="00872293">
        <w:rPr>
          <w:rFonts w:ascii="Times New Roman" w:hAnsi="Times New Roman" w:cs="Times New Roman"/>
        </w:rPr>
        <w:t xml:space="preserve"> </w:t>
      </w:r>
      <w:r w:rsidR="003A01E8" w:rsidRPr="00872293">
        <w:rPr>
          <w:rFonts w:ascii="Times New Roman" w:hAnsi="Times New Roman" w:cs="Times New Roman"/>
          <w:b/>
        </w:rPr>
        <w:t>15</w:t>
      </w:r>
      <w:r w:rsidRPr="00872293">
        <w:rPr>
          <w:rFonts w:ascii="Times New Roman" w:hAnsi="Times New Roman" w:cs="Times New Roman"/>
          <w:b/>
        </w:rPr>
        <w:t>4:</w:t>
      </w:r>
      <w:r w:rsidR="003A01E8" w:rsidRPr="00872293">
        <w:rPr>
          <w:rFonts w:ascii="Times New Roman" w:hAnsi="Times New Roman" w:cs="Times New Roman"/>
        </w:rPr>
        <w:t xml:space="preserve"> 267-270.</w:t>
      </w:r>
    </w:p>
    <w:p w14:paraId="7149B43D" w14:textId="77777777" w:rsidR="00D21F36" w:rsidRPr="00872293" w:rsidRDefault="00D21F36" w:rsidP="00FE27EC">
      <w:pPr>
        <w:pStyle w:val="NormalWeb"/>
        <w:spacing w:before="0" w:beforeAutospacing="0" w:after="240" w:afterAutospacing="0" w:line="360" w:lineRule="auto"/>
        <w:rPr>
          <w:rFonts w:ascii="Times New Roman" w:hAnsi="Times New Roman"/>
          <w:sz w:val="24"/>
          <w:szCs w:val="24"/>
          <w:lang w:val="es-BO"/>
        </w:rPr>
      </w:pPr>
      <w:r w:rsidRPr="00872293">
        <w:rPr>
          <w:rFonts w:ascii="Times New Roman" w:hAnsi="Times New Roman"/>
          <w:b/>
          <w:sz w:val="24"/>
          <w:szCs w:val="24"/>
        </w:rPr>
        <w:t>Rivera</w:t>
      </w:r>
      <w:r w:rsidR="007979AA" w:rsidRPr="00872293">
        <w:rPr>
          <w:rFonts w:ascii="Times New Roman" w:hAnsi="Times New Roman"/>
          <w:b/>
          <w:sz w:val="24"/>
          <w:szCs w:val="24"/>
        </w:rPr>
        <w:t xml:space="preserve"> ZE, Toro BL,</w:t>
      </w:r>
      <w:r w:rsidR="00157C11" w:rsidRPr="00872293">
        <w:rPr>
          <w:rFonts w:ascii="Times New Roman" w:hAnsi="Times New Roman"/>
          <w:b/>
          <w:sz w:val="24"/>
          <w:szCs w:val="24"/>
        </w:rPr>
        <w:t xml:space="preserve"> </w:t>
      </w:r>
      <w:r w:rsidRPr="00872293">
        <w:rPr>
          <w:rFonts w:ascii="Times New Roman" w:hAnsi="Times New Roman"/>
          <w:b/>
          <w:sz w:val="24"/>
          <w:szCs w:val="24"/>
        </w:rPr>
        <w:t>Gómez</w:t>
      </w:r>
      <w:r w:rsidR="00157C11" w:rsidRPr="00872293">
        <w:rPr>
          <w:rFonts w:ascii="Times New Roman" w:hAnsi="Times New Roman"/>
          <w:b/>
          <w:sz w:val="24"/>
          <w:szCs w:val="24"/>
        </w:rPr>
        <w:t xml:space="preserve"> R</w:t>
      </w:r>
      <w:r w:rsidRPr="00872293">
        <w:rPr>
          <w:rFonts w:ascii="Times New Roman" w:hAnsi="Times New Roman"/>
          <w:b/>
          <w:sz w:val="24"/>
          <w:szCs w:val="24"/>
        </w:rPr>
        <w:t>.</w:t>
      </w:r>
      <w:r w:rsidR="00743022" w:rsidRPr="00872293">
        <w:rPr>
          <w:rFonts w:ascii="Times New Roman" w:hAnsi="Times New Roman"/>
          <w:b/>
          <w:sz w:val="24"/>
          <w:szCs w:val="24"/>
        </w:rPr>
        <w:t xml:space="preserve"> 1983.</w:t>
      </w:r>
      <w:r w:rsidR="000815D1" w:rsidRPr="00872293">
        <w:rPr>
          <w:rFonts w:ascii="Times New Roman" w:hAnsi="Times New Roman"/>
          <w:sz w:val="24"/>
          <w:szCs w:val="24"/>
        </w:rPr>
        <w:t xml:space="preserve"> In A. E. Lugo (Ed.). </w:t>
      </w:r>
      <w:r w:rsidR="000815D1" w:rsidRPr="00872293">
        <w:rPr>
          <w:rFonts w:ascii="Times New Roman" w:hAnsi="Times New Roman"/>
          <w:i/>
          <w:iCs/>
          <w:sz w:val="24"/>
          <w:szCs w:val="24"/>
          <w:lang w:val="es-BO"/>
        </w:rPr>
        <w:t>Los bosques de Puerto Rico</w:t>
      </w:r>
      <w:r w:rsidR="00C25A77" w:rsidRPr="00872293">
        <w:rPr>
          <w:rFonts w:ascii="Times New Roman" w:hAnsi="Times New Roman"/>
          <w:sz w:val="24"/>
          <w:szCs w:val="24"/>
          <w:lang w:val="es-BO"/>
        </w:rPr>
        <w:t xml:space="preserve"> (</w:t>
      </w:r>
      <w:proofErr w:type="spellStart"/>
      <w:r w:rsidR="000815D1" w:rsidRPr="00872293">
        <w:rPr>
          <w:rFonts w:ascii="Times New Roman" w:hAnsi="Times New Roman"/>
          <w:sz w:val="24"/>
          <w:szCs w:val="24"/>
          <w:lang w:val="es-BO"/>
        </w:rPr>
        <w:t>pp</w:t>
      </w:r>
      <w:proofErr w:type="spellEnd"/>
      <w:r w:rsidR="000815D1" w:rsidRPr="00872293">
        <w:rPr>
          <w:rFonts w:ascii="Times New Roman" w:hAnsi="Times New Roman"/>
          <w:sz w:val="24"/>
          <w:szCs w:val="24"/>
          <w:lang w:val="es-BO"/>
        </w:rPr>
        <w:t xml:space="preserve"> 283-308</w:t>
      </w:r>
      <w:r w:rsidR="00C25A77" w:rsidRPr="00872293">
        <w:rPr>
          <w:rFonts w:ascii="Times New Roman" w:hAnsi="Times New Roman"/>
          <w:sz w:val="24"/>
          <w:szCs w:val="24"/>
          <w:lang w:val="es-BO"/>
        </w:rPr>
        <w:t>)</w:t>
      </w:r>
      <w:r w:rsidR="000815D1" w:rsidRPr="00872293">
        <w:rPr>
          <w:rFonts w:ascii="Times New Roman" w:hAnsi="Times New Roman"/>
          <w:sz w:val="24"/>
          <w:szCs w:val="24"/>
          <w:lang w:val="es-BO"/>
        </w:rPr>
        <w:t>. Instituto de Dasonomía Tropical. Rio Piedras Puerto Rico</w:t>
      </w:r>
      <w:r w:rsidR="00040E86" w:rsidRPr="00872293">
        <w:rPr>
          <w:rFonts w:ascii="Times New Roman" w:hAnsi="Times New Roman"/>
          <w:sz w:val="24"/>
          <w:szCs w:val="24"/>
          <w:lang w:val="es-BO"/>
        </w:rPr>
        <w:t>.</w:t>
      </w:r>
    </w:p>
    <w:p w14:paraId="33948391" w14:textId="77777777" w:rsidR="00E776B2" w:rsidRPr="00872293" w:rsidRDefault="002A51A1" w:rsidP="00FE27EC">
      <w:pPr>
        <w:spacing w:before="100" w:beforeAutospacing="1" w:after="100" w:afterAutospacing="1" w:line="360" w:lineRule="auto"/>
        <w:rPr>
          <w:rStyle w:val="gnkrckgcgsb"/>
          <w:rFonts w:ascii="Times New Roman" w:eastAsiaTheme="minorEastAsia" w:hAnsi="Times New Roman" w:cs="Times New Roman"/>
        </w:rPr>
      </w:pPr>
      <w:proofErr w:type="spellStart"/>
      <w:r w:rsidRPr="00872293">
        <w:rPr>
          <w:rStyle w:val="gnkrckgcgsb"/>
          <w:rFonts w:ascii="Times New Roman" w:hAnsi="Times New Roman" w:cs="Times New Roman"/>
          <w:b/>
          <w:bdr w:val="none" w:sz="0" w:space="0" w:color="auto" w:frame="1"/>
          <w:lang w:val="es-BO"/>
        </w:rPr>
        <w:t>RStudio</w:t>
      </w:r>
      <w:proofErr w:type="spellEnd"/>
      <w:r w:rsidRPr="00872293">
        <w:rPr>
          <w:rStyle w:val="gnkrckgcgsb"/>
          <w:rFonts w:ascii="Times New Roman" w:hAnsi="Times New Roman" w:cs="Times New Roman"/>
          <w:b/>
          <w:bdr w:val="none" w:sz="0" w:space="0" w:color="auto" w:frame="1"/>
          <w:lang w:val="es-BO"/>
        </w:rPr>
        <w:t xml:space="preserve"> </w:t>
      </w:r>
      <w:proofErr w:type="spellStart"/>
      <w:r w:rsidRPr="00872293">
        <w:rPr>
          <w:rStyle w:val="gnkrckgcgsb"/>
          <w:rFonts w:ascii="Times New Roman" w:hAnsi="Times New Roman" w:cs="Times New Roman"/>
          <w:b/>
          <w:bdr w:val="none" w:sz="0" w:space="0" w:color="auto" w:frame="1"/>
          <w:lang w:val="es-BO"/>
        </w:rPr>
        <w:t>Team</w:t>
      </w:r>
      <w:proofErr w:type="spellEnd"/>
      <w:r w:rsidRPr="00872293">
        <w:rPr>
          <w:rStyle w:val="gnkrckgcgsb"/>
          <w:rFonts w:ascii="Times New Roman" w:hAnsi="Times New Roman" w:cs="Times New Roman"/>
          <w:b/>
          <w:bdr w:val="none" w:sz="0" w:space="0" w:color="auto" w:frame="1"/>
          <w:lang w:val="es-BO"/>
        </w:rPr>
        <w:t>. 2016.</w:t>
      </w:r>
      <w:r w:rsidRPr="00872293">
        <w:rPr>
          <w:rStyle w:val="gnkrckgcgsb"/>
          <w:rFonts w:ascii="Times New Roman" w:hAnsi="Times New Roman" w:cs="Times New Roman"/>
          <w:bdr w:val="none" w:sz="0" w:space="0" w:color="auto" w:frame="1"/>
          <w:lang w:val="es-BO"/>
        </w:rPr>
        <w:t xml:space="preserve"> </w:t>
      </w:r>
      <w:r w:rsidRPr="00872293">
        <w:rPr>
          <w:rStyle w:val="gnkrckgcgsb"/>
          <w:rFonts w:ascii="Times New Roman" w:hAnsi="Times New Roman" w:cs="Times New Roman"/>
          <w:bdr w:val="none" w:sz="0" w:space="0" w:color="auto" w:frame="1"/>
        </w:rPr>
        <w:t>RStudio: Integrated Development for R. RStudio, Inc., Boston, MA</w:t>
      </w:r>
      <w:r w:rsidR="00524B55" w:rsidRPr="00872293">
        <w:rPr>
          <w:rStyle w:val="gnkrckgcgsb"/>
          <w:rFonts w:ascii="Times New Roman" w:hAnsi="Times New Roman" w:cs="Times New Roman"/>
          <w:bdr w:val="none" w:sz="0" w:space="0" w:color="auto" w:frame="1"/>
        </w:rPr>
        <w:t>.</w:t>
      </w:r>
      <w:r w:rsidR="00AC077F" w:rsidRPr="00872293">
        <w:rPr>
          <w:rStyle w:val="gnkrckgcgsb"/>
          <w:rFonts w:ascii="Times New Roman" w:hAnsi="Times New Roman" w:cs="Times New Roman"/>
          <w:bdr w:val="none" w:sz="0" w:space="0" w:color="auto" w:frame="1"/>
        </w:rPr>
        <w:t xml:space="preserve"> </w:t>
      </w:r>
      <w:hyperlink r:id="rId17" w:history="1">
        <w:r w:rsidR="00AC077F" w:rsidRPr="00872293">
          <w:rPr>
            <w:rStyle w:val="Hyperlink"/>
            <w:rFonts w:ascii="Times New Roman" w:hAnsi="Times New Roman" w:cs="Times New Roman"/>
            <w:color w:val="auto"/>
            <w:shd w:val="clear" w:color="auto" w:fill="FFFFFF"/>
          </w:rPr>
          <w:t>http://www.rstudio.com/</w:t>
        </w:r>
      </w:hyperlink>
    </w:p>
    <w:p w14:paraId="638831CF" w14:textId="77777777" w:rsidR="001F5B76" w:rsidRPr="00872293" w:rsidRDefault="007979AA" w:rsidP="00FE27EC">
      <w:pPr>
        <w:spacing w:before="100" w:beforeAutospacing="1" w:after="100" w:afterAutospacing="1" w:line="360" w:lineRule="auto"/>
        <w:rPr>
          <w:rFonts w:ascii="Times New Roman" w:eastAsia="Times New Roman" w:hAnsi="Times New Roman" w:cs="Times New Roman"/>
        </w:rPr>
      </w:pPr>
      <w:proofErr w:type="spellStart"/>
      <w:r w:rsidRPr="00872293">
        <w:rPr>
          <w:rFonts w:ascii="Times New Roman" w:eastAsia="Times New Roman" w:hAnsi="Times New Roman" w:cs="Times New Roman"/>
          <w:b/>
        </w:rPr>
        <w:lastRenderedPageBreak/>
        <w:t>Scatena</w:t>
      </w:r>
      <w:proofErr w:type="spellEnd"/>
      <w:r w:rsidRPr="00872293">
        <w:rPr>
          <w:rFonts w:ascii="Times New Roman" w:eastAsia="Times New Roman" w:hAnsi="Times New Roman" w:cs="Times New Roman"/>
          <w:b/>
        </w:rPr>
        <w:t xml:space="preserve"> FN</w:t>
      </w:r>
      <w:r w:rsidR="00557B5F" w:rsidRPr="00872293">
        <w:rPr>
          <w:rFonts w:ascii="Times New Roman" w:eastAsia="Times New Roman" w:hAnsi="Times New Roman" w:cs="Times New Roman"/>
          <w:b/>
        </w:rPr>
        <w:t>, Silver</w:t>
      </w:r>
      <w:r w:rsidRPr="00872293">
        <w:rPr>
          <w:rFonts w:ascii="Times New Roman" w:eastAsia="Times New Roman" w:hAnsi="Times New Roman" w:cs="Times New Roman"/>
          <w:b/>
        </w:rPr>
        <w:t xml:space="preserve"> W</w:t>
      </w:r>
      <w:r w:rsidR="00557B5F" w:rsidRPr="00872293">
        <w:rPr>
          <w:rFonts w:ascii="Times New Roman" w:eastAsia="Times New Roman" w:hAnsi="Times New Roman" w:cs="Times New Roman"/>
          <w:b/>
        </w:rPr>
        <w:t xml:space="preserve">, </w:t>
      </w:r>
      <w:proofErr w:type="spellStart"/>
      <w:r w:rsidR="00557B5F" w:rsidRPr="00872293">
        <w:rPr>
          <w:rFonts w:ascii="Times New Roman" w:eastAsia="Times New Roman" w:hAnsi="Times New Roman" w:cs="Times New Roman"/>
          <w:b/>
        </w:rPr>
        <w:t>Siccama</w:t>
      </w:r>
      <w:proofErr w:type="spellEnd"/>
      <w:r w:rsidRPr="00872293">
        <w:rPr>
          <w:rFonts w:ascii="Times New Roman" w:eastAsia="Times New Roman" w:hAnsi="Times New Roman" w:cs="Times New Roman"/>
          <w:b/>
        </w:rPr>
        <w:t xml:space="preserve"> T</w:t>
      </w:r>
      <w:r w:rsidR="00557B5F" w:rsidRPr="00872293">
        <w:rPr>
          <w:rFonts w:ascii="Times New Roman" w:eastAsia="Times New Roman" w:hAnsi="Times New Roman" w:cs="Times New Roman"/>
          <w:b/>
        </w:rPr>
        <w:t>, Johnson</w:t>
      </w:r>
      <w:r w:rsidRPr="00872293">
        <w:rPr>
          <w:rFonts w:ascii="Times New Roman" w:eastAsia="Times New Roman" w:hAnsi="Times New Roman" w:cs="Times New Roman"/>
          <w:b/>
        </w:rPr>
        <w:t xml:space="preserve"> A,</w:t>
      </w:r>
      <w:r w:rsidR="00557B5F" w:rsidRPr="00872293">
        <w:rPr>
          <w:rFonts w:ascii="Times New Roman" w:eastAsia="Times New Roman" w:hAnsi="Times New Roman" w:cs="Times New Roman"/>
          <w:b/>
        </w:rPr>
        <w:t xml:space="preserve"> Sanchez</w:t>
      </w:r>
      <w:r w:rsidRPr="00872293">
        <w:rPr>
          <w:rFonts w:ascii="Times New Roman" w:eastAsia="Times New Roman" w:hAnsi="Times New Roman" w:cs="Times New Roman"/>
          <w:b/>
        </w:rPr>
        <w:t xml:space="preserve"> M</w:t>
      </w:r>
      <w:r w:rsidR="00524B55" w:rsidRPr="00872293">
        <w:rPr>
          <w:rFonts w:ascii="Times New Roman" w:eastAsia="Times New Roman" w:hAnsi="Times New Roman" w:cs="Times New Roman"/>
          <w:b/>
        </w:rPr>
        <w:t>J</w:t>
      </w:r>
      <w:r w:rsidR="00557B5F" w:rsidRPr="00872293">
        <w:rPr>
          <w:rFonts w:ascii="Times New Roman" w:eastAsia="Times New Roman" w:hAnsi="Times New Roman" w:cs="Times New Roman"/>
          <w:b/>
        </w:rPr>
        <w:t>. 1993.</w:t>
      </w:r>
      <w:r w:rsidR="00557B5F" w:rsidRPr="00872293">
        <w:rPr>
          <w:rFonts w:ascii="Times New Roman" w:eastAsia="Times New Roman" w:hAnsi="Times New Roman" w:cs="Times New Roman"/>
        </w:rPr>
        <w:t xml:space="preserve"> Biomass and Nutrient Content of the Bisley Experimental Watersheds, Luquillo Experimental Forest, Puerto Rico, Before and After Hurricane Hugo, 1989. </w:t>
      </w:r>
      <w:proofErr w:type="spellStart"/>
      <w:r w:rsidR="00557B5F" w:rsidRPr="00872293">
        <w:rPr>
          <w:rFonts w:ascii="Times New Roman" w:eastAsia="Times New Roman" w:hAnsi="Times New Roman" w:cs="Times New Roman"/>
          <w:i/>
          <w:iCs/>
        </w:rPr>
        <w:t>Biotropica</w:t>
      </w:r>
      <w:proofErr w:type="spellEnd"/>
      <w:r w:rsidR="00986B2B" w:rsidRPr="00872293">
        <w:rPr>
          <w:rFonts w:ascii="Times New Roman" w:eastAsia="Times New Roman" w:hAnsi="Times New Roman" w:cs="Times New Roman"/>
          <w:i/>
          <w:iCs/>
        </w:rPr>
        <w:t xml:space="preserve"> </w:t>
      </w:r>
      <w:r w:rsidR="00986B2B" w:rsidRPr="00872293">
        <w:rPr>
          <w:rFonts w:ascii="Times New Roman" w:eastAsia="Times New Roman" w:hAnsi="Times New Roman" w:cs="Times New Roman"/>
          <w:b/>
          <w:bCs/>
          <w:i/>
          <w:iCs/>
        </w:rPr>
        <w:t>2</w:t>
      </w:r>
      <w:r w:rsidRPr="00872293">
        <w:rPr>
          <w:rFonts w:ascii="Times New Roman" w:eastAsia="Times New Roman" w:hAnsi="Times New Roman" w:cs="Times New Roman"/>
          <w:b/>
          <w:bCs/>
          <w:i/>
          <w:iCs/>
        </w:rPr>
        <w:t>5:</w:t>
      </w:r>
      <w:r w:rsidR="00986B2B" w:rsidRPr="00872293">
        <w:rPr>
          <w:rFonts w:ascii="Times New Roman" w:eastAsia="Times New Roman" w:hAnsi="Times New Roman" w:cs="Times New Roman"/>
          <w:i/>
          <w:iCs/>
        </w:rPr>
        <w:t xml:space="preserve"> </w:t>
      </w:r>
      <w:r w:rsidR="00986B2B" w:rsidRPr="00872293">
        <w:rPr>
          <w:rFonts w:ascii="Times New Roman" w:hAnsi="Times New Roman" w:cs="Times New Roman"/>
          <w:shd w:val="clear" w:color="auto" w:fill="FFFFFF"/>
        </w:rPr>
        <w:t>15-27.</w:t>
      </w:r>
    </w:p>
    <w:p w14:paraId="7AEBADC2" w14:textId="77777777" w:rsidR="00646989" w:rsidRPr="00872293" w:rsidRDefault="007979AA" w:rsidP="00FE27EC">
      <w:pPr>
        <w:spacing w:before="100" w:beforeAutospacing="1" w:after="240" w:line="360" w:lineRule="auto"/>
        <w:rPr>
          <w:rFonts w:ascii="Times New Roman" w:hAnsi="Times New Roman" w:cs="Times New Roman"/>
        </w:rPr>
      </w:pPr>
      <w:r w:rsidRPr="00872293">
        <w:rPr>
          <w:rFonts w:ascii="Times New Roman" w:hAnsi="Times New Roman" w:cs="Times New Roman"/>
          <w:b/>
        </w:rPr>
        <w:t>Schenk HJ,</w:t>
      </w:r>
      <w:r w:rsidR="003A01E8" w:rsidRPr="00872293">
        <w:rPr>
          <w:rFonts w:ascii="Times New Roman" w:hAnsi="Times New Roman" w:cs="Times New Roman"/>
          <w:b/>
        </w:rPr>
        <w:t xml:space="preserve"> Jackson</w:t>
      </w:r>
      <w:r w:rsidRPr="00872293">
        <w:rPr>
          <w:rFonts w:ascii="Times New Roman" w:hAnsi="Times New Roman" w:cs="Times New Roman"/>
          <w:b/>
        </w:rPr>
        <w:t xml:space="preserve"> R</w:t>
      </w:r>
      <w:r w:rsidR="0004196E" w:rsidRPr="00872293">
        <w:rPr>
          <w:rFonts w:ascii="Times New Roman" w:hAnsi="Times New Roman" w:cs="Times New Roman"/>
          <w:b/>
        </w:rPr>
        <w:t>B</w:t>
      </w:r>
      <w:r w:rsidR="003A01E8" w:rsidRPr="00872293">
        <w:rPr>
          <w:rFonts w:ascii="Times New Roman" w:hAnsi="Times New Roman" w:cs="Times New Roman"/>
          <w:b/>
        </w:rPr>
        <w:t>. 2002.</w:t>
      </w:r>
      <w:r w:rsidR="003A01E8" w:rsidRPr="00872293">
        <w:rPr>
          <w:rFonts w:ascii="Times New Roman" w:hAnsi="Times New Roman" w:cs="Times New Roman"/>
        </w:rPr>
        <w:t xml:space="preserve"> The global biogeography of roots. </w:t>
      </w:r>
      <w:r w:rsidR="003A01E8" w:rsidRPr="00872293">
        <w:rPr>
          <w:rFonts w:ascii="Times New Roman" w:hAnsi="Times New Roman" w:cs="Times New Roman"/>
          <w:i/>
        </w:rPr>
        <w:t>Ecol</w:t>
      </w:r>
      <w:r w:rsidR="0004196E" w:rsidRPr="00872293">
        <w:rPr>
          <w:rFonts w:ascii="Times New Roman" w:hAnsi="Times New Roman" w:cs="Times New Roman"/>
          <w:i/>
        </w:rPr>
        <w:t>ogical</w:t>
      </w:r>
      <w:r w:rsidR="002331A2" w:rsidRPr="00872293">
        <w:rPr>
          <w:rFonts w:ascii="Times New Roman" w:hAnsi="Times New Roman" w:cs="Times New Roman"/>
          <w:i/>
        </w:rPr>
        <w:t xml:space="preserve"> </w:t>
      </w:r>
      <w:r w:rsidR="003A01E8" w:rsidRPr="00872293">
        <w:rPr>
          <w:rFonts w:ascii="Times New Roman" w:hAnsi="Times New Roman" w:cs="Times New Roman"/>
          <w:i/>
        </w:rPr>
        <w:t>Monogr</w:t>
      </w:r>
      <w:r w:rsidR="0004196E" w:rsidRPr="00872293">
        <w:rPr>
          <w:rFonts w:ascii="Times New Roman" w:hAnsi="Times New Roman" w:cs="Times New Roman"/>
          <w:i/>
        </w:rPr>
        <w:t>aphs</w:t>
      </w:r>
      <w:r w:rsidR="003A01E8" w:rsidRPr="00872293">
        <w:rPr>
          <w:rFonts w:ascii="Times New Roman" w:hAnsi="Times New Roman" w:cs="Times New Roman"/>
        </w:rPr>
        <w:t xml:space="preserve"> </w:t>
      </w:r>
      <w:r w:rsidR="003A01E8" w:rsidRPr="00872293">
        <w:rPr>
          <w:rFonts w:ascii="Times New Roman" w:hAnsi="Times New Roman" w:cs="Times New Roman"/>
          <w:b/>
        </w:rPr>
        <w:t>7</w:t>
      </w:r>
      <w:r w:rsidRPr="00872293">
        <w:rPr>
          <w:rFonts w:ascii="Times New Roman" w:hAnsi="Times New Roman" w:cs="Times New Roman"/>
          <w:b/>
        </w:rPr>
        <w:t>2:</w:t>
      </w:r>
      <w:r w:rsidR="003A01E8" w:rsidRPr="00872293">
        <w:rPr>
          <w:rFonts w:ascii="Times New Roman" w:hAnsi="Times New Roman" w:cs="Times New Roman"/>
        </w:rPr>
        <w:t xml:space="preserve"> 311–328.</w:t>
      </w:r>
    </w:p>
    <w:p w14:paraId="3E75EA55" w14:textId="77777777" w:rsidR="00590095" w:rsidRPr="00872293" w:rsidRDefault="007979AA" w:rsidP="00FE27EC">
      <w:pPr>
        <w:spacing w:before="100" w:beforeAutospacing="1" w:after="240" w:line="360" w:lineRule="auto"/>
        <w:rPr>
          <w:rFonts w:ascii="Times New Roman" w:hAnsi="Times New Roman" w:cs="Times New Roman"/>
        </w:rPr>
      </w:pPr>
      <w:r w:rsidRPr="00872293">
        <w:rPr>
          <w:rFonts w:ascii="Times New Roman" w:hAnsi="Times New Roman" w:cs="Times New Roman"/>
          <w:b/>
        </w:rPr>
        <w:t>Schuur EA</w:t>
      </w:r>
      <w:r w:rsidR="00590095" w:rsidRPr="00872293">
        <w:rPr>
          <w:rFonts w:ascii="Times New Roman" w:hAnsi="Times New Roman" w:cs="Times New Roman"/>
          <w:b/>
        </w:rPr>
        <w:t>G. 2001.</w:t>
      </w:r>
      <w:r w:rsidR="00590095" w:rsidRPr="00872293">
        <w:rPr>
          <w:rFonts w:ascii="Times New Roman" w:hAnsi="Times New Roman" w:cs="Times New Roman"/>
        </w:rPr>
        <w:t xml:space="preserve"> The effect of water on decomposition dynamics in mesic to wet Hawaiian montane forests. </w:t>
      </w:r>
      <w:r w:rsidR="00590095" w:rsidRPr="00872293">
        <w:rPr>
          <w:rFonts w:ascii="Times New Roman" w:hAnsi="Times New Roman" w:cs="Times New Roman"/>
          <w:i/>
        </w:rPr>
        <w:t>Ecosystem</w:t>
      </w:r>
      <w:r w:rsidRPr="00872293">
        <w:rPr>
          <w:rFonts w:ascii="Times New Roman" w:hAnsi="Times New Roman" w:cs="Times New Roman"/>
          <w:i/>
        </w:rPr>
        <w:t>s</w:t>
      </w:r>
      <w:r w:rsidR="009B7E19" w:rsidRPr="00872293">
        <w:rPr>
          <w:rFonts w:ascii="Times New Roman" w:hAnsi="Times New Roman" w:cs="Times New Roman"/>
          <w:i/>
        </w:rPr>
        <w:t xml:space="preserve"> </w:t>
      </w:r>
      <w:r w:rsidRPr="00872293">
        <w:rPr>
          <w:rFonts w:ascii="Times New Roman" w:hAnsi="Times New Roman" w:cs="Times New Roman"/>
          <w:b/>
        </w:rPr>
        <w:t>4:</w:t>
      </w:r>
      <w:r w:rsidR="00590095" w:rsidRPr="00872293">
        <w:rPr>
          <w:rFonts w:ascii="Times New Roman" w:hAnsi="Times New Roman" w:cs="Times New Roman"/>
        </w:rPr>
        <w:t xml:space="preserve"> 259–273.</w:t>
      </w:r>
    </w:p>
    <w:p w14:paraId="4CAB8649" w14:textId="53DAD2D5" w:rsidR="00646989" w:rsidRPr="00872293" w:rsidRDefault="007979AA"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t>Siefert A</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Violle</w:t>
      </w:r>
      <w:proofErr w:type="spellEnd"/>
      <w:r w:rsidRPr="00872293">
        <w:rPr>
          <w:rFonts w:ascii="Times New Roman" w:hAnsi="Times New Roman" w:cs="Times New Roman"/>
          <w:b/>
        </w:rPr>
        <w:t xml:space="preserve"> C</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Chalmandrier</w:t>
      </w:r>
      <w:proofErr w:type="spellEnd"/>
      <w:r w:rsidRPr="00872293">
        <w:rPr>
          <w:rFonts w:ascii="Times New Roman" w:hAnsi="Times New Roman" w:cs="Times New Roman"/>
          <w:b/>
        </w:rPr>
        <w:t xml:space="preserve"> L</w:t>
      </w:r>
      <w:r w:rsidR="003A01E8" w:rsidRPr="00872293">
        <w:rPr>
          <w:rFonts w:ascii="Times New Roman" w:hAnsi="Times New Roman" w:cs="Times New Roman"/>
          <w:b/>
        </w:rPr>
        <w:t>, Albert</w:t>
      </w:r>
      <w:r w:rsidRPr="00872293">
        <w:rPr>
          <w:rFonts w:ascii="Times New Roman" w:hAnsi="Times New Roman" w:cs="Times New Roman"/>
          <w:b/>
        </w:rPr>
        <w:t xml:space="preserve"> CH</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Taudiere</w:t>
      </w:r>
      <w:proofErr w:type="spellEnd"/>
      <w:r w:rsidRPr="00872293">
        <w:rPr>
          <w:rFonts w:ascii="Times New Roman" w:hAnsi="Times New Roman" w:cs="Times New Roman"/>
          <w:b/>
        </w:rPr>
        <w:t xml:space="preserve"> A</w:t>
      </w:r>
      <w:r w:rsidR="003A01E8" w:rsidRPr="00872293">
        <w:rPr>
          <w:rFonts w:ascii="Times New Roman" w:hAnsi="Times New Roman" w:cs="Times New Roman"/>
          <w:b/>
        </w:rPr>
        <w:t>, Fajardo</w:t>
      </w:r>
      <w:r w:rsidRPr="00872293">
        <w:rPr>
          <w:rFonts w:ascii="Times New Roman" w:hAnsi="Times New Roman" w:cs="Times New Roman"/>
          <w:b/>
        </w:rPr>
        <w:t xml:space="preserve"> A</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Aarssen</w:t>
      </w:r>
      <w:proofErr w:type="spellEnd"/>
      <w:r w:rsidRPr="00872293">
        <w:rPr>
          <w:rFonts w:ascii="Times New Roman" w:hAnsi="Times New Roman" w:cs="Times New Roman"/>
          <w:b/>
        </w:rPr>
        <w:t xml:space="preserve"> LW</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Baraloto</w:t>
      </w:r>
      <w:proofErr w:type="spellEnd"/>
      <w:r w:rsidRPr="00872293">
        <w:rPr>
          <w:rFonts w:ascii="Times New Roman" w:hAnsi="Times New Roman" w:cs="Times New Roman"/>
          <w:b/>
        </w:rPr>
        <w:t xml:space="preserve"> C</w:t>
      </w:r>
      <w:r w:rsidR="003A01E8" w:rsidRPr="00872293">
        <w:rPr>
          <w:rFonts w:ascii="Times New Roman" w:hAnsi="Times New Roman" w:cs="Times New Roman"/>
          <w:b/>
        </w:rPr>
        <w:t>, Carlucci</w:t>
      </w:r>
      <w:r w:rsidRPr="00872293">
        <w:rPr>
          <w:rFonts w:ascii="Times New Roman" w:hAnsi="Times New Roman" w:cs="Times New Roman"/>
          <w:b/>
        </w:rPr>
        <w:t xml:space="preserve"> MB</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Cianciaruso</w:t>
      </w:r>
      <w:proofErr w:type="spellEnd"/>
      <w:r w:rsidRPr="00872293">
        <w:rPr>
          <w:rFonts w:ascii="Times New Roman" w:hAnsi="Times New Roman" w:cs="Times New Roman"/>
          <w:b/>
        </w:rPr>
        <w:t xml:space="preserve"> MV</w:t>
      </w:r>
      <w:r w:rsidR="003A01E8" w:rsidRPr="00872293">
        <w:rPr>
          <w:rFonts w:ascii="Times New Roman" w:hAnsi="Times New Roman" w:cs="Times New Roman"/>
          <w:b/>
        </w:rPr>
        <w:t xml:space="preserve">, </w:t>
      </w:r>
      <w:r w:rsidR="00DF3480" w:rsidRPr="00872293">
        <w:rPr>
          <w:rFonts w:ascii="Times New Roman" w:hAnsi="Times New Roman" w:cs="Times New Roman"/>
          <w:b/>
          <w:i/>
          <w:iCs/>
        </w:rPr>
        <w:t>et al</w:t>
      </w:r>
      <w:r w:rsidR="003A01E8" w:rsidRPr="00872293">
        <w:rPr>
          <w:rFonts w:ascii="Times New Roman" w:hAnsi="Times New Roman" w:cs="Times New Roman"/>
          <w:b/>
        </w:rPr>
        <w:t>. 2015.</w:t>
      </w:r>
      <w:r w:rsidR="003A01E8" w:rsidRPr="00872293">
        <w:rPr>
          <w:rFonts w:ascii="Times New Roman" w:hAnsi="Times New Roman" w:cs="Times New Roman"/>
        </w:rPr>
        <w:t xml:space="preserve"> A global meta-analysis of the relative extent of intraspecific trait variation in plant communities</w:t>
      </w:r>
      <w:r w:rsidR="003A01E8" w:rsidRPr="00872293">
        <w:rPr>
          <w:rFonts w:ascii="Times New Roman" w:hAnsi="Times New Roman" w:cs="Times New Roman"/>
          <w:i/>
        </w:rPr>
        <w:t>. Ecol</w:t>
      </w:r>
      <w:r w:rsidR="00924322" w:rsidRPr="00872293">
        <w:rPr>
          <w:rFonts w:ascii="Times New Roman" w:hAnsi="Times New Roman" w:cs="Times New Roman"/>
          <w:i/>
        </w:rPr>
        <w:t>ogy</w:t>
      </w:r>
      <w:r w:rsidR="003A01E8" w:rsidRPr="00872293">
        <w:rPr>
          <w:rFonts w:ascii="Times New Roman" w:hAnsi="Times New Roman" w:cs="Times New Roman"/>
          <w:i/>
        </w:rPr>
        <w:t xml:space="preserve"> Lett</w:t>
      </w:r>
      <w:r w:rsidR="00924322" w:rsidRPr="00872293">
        <w:rPr>
          <w:rFonts w:ascii="Times New Roman" w:hAnsi="Times New Roman" w:cs="Times New Roman"/>
          <w:i/>
        </w:rPr>
        <w:t>ers</w:t>
      </w:r>
      <w:r w:rsidR="00276877" w:rsidRPr="00872293">
        <w:rPr>
          <w:rFonts w:ascii="Times New Roman" w:hAnsi="Times New Roman" w:cs="Times New Roman"/>
          <w:i/>
        </w:rPr>
        <w:t xml:space="preserve"> </w:t>
      </w:r>
      <w:r w:rsidR="003A01E8" w:rsidRPr="00872293">
        <w:rPr>
          <w:rFonts w:ascii="Times New Roman" w:hAnsi="Times New Roman" w:cs="Times New Roman"/>
          <w:b/>
        </w:rPr>
        <w:t>1</w:t>
      </w:r>
      <w:r w:rsidR="00276877" w:rsidRPr="00872293">
        <w:rPr>
          <w:rFonts w:ascii="Times New Roman" w:hAnsi="Times New Roman" w:cs="Times New Roman"/>
          <w:b/>
        </w:rPr>
        <w:t>8:</w:t>
      </w:r>
      <w:r w:rsidR="003A01E8" w:rsidRPr="00872293">
        <w:rPr>
          <w:rFonts w:ascii="Times New Roman" w:hAnsi="Times New Roman" w:cs="Times New Roman"/>
        </w:rPr>
        <w:t xml:space="preserve"> 1406-1419.</w:t>
      </w:r>
    </w:p>
    <w:p w14:paraId="6B4B7C54" w14:textId="77777777" w:rsidR="00646989" w:rsidRPr="00872293" w:rsidRDefault="009E1D44"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t>Silver WL,</w:t>
      </w:r>
      <w:r w:rsidR="003A01E8" w:rsidRPr="00872293">
        <w:rPr>
          <w:rFonts w:ascii="Times New Roman" w:hAnsi="Times New Roman" w:cs="Times New Roman"/>
          <w:b/>
        </w:rPr>
        <w:t xml:space="preserve"> Vogt</w:t>
      </w:r>
      <w:r w:rsidRPr="00872293">
        <w:rPr>
          <w:rFonts w:ascii="Times New Roman" w:hAnsi="Times New Roman" w:cs="Times New Roman"/>
          <w:b/>
        </w:rPr>
        <w:t xml:space="preserve"> K</w:t>
      </w:r>
      <w:r w:rsidR="00FD42CD" w:rsidRPr="00872293">
        <w:rPr>
          <w:rFonts w:ascii="Times New Roman" w:hAnsi="Times New Roman" w:cs="Times New Roman"/>
          <w:b/>
        </w:rPr>
        <w:t>A</w:t>
      </w:r>
      <w:r w:rsidR="003A01E8" w:rsidRPr="00872293">
        <w:rPr>
          <w:rFonts w:ascii="Times New Roman" w:hAnsi="Times New Roman" w:cs="Times New Roman"/>
          <w:b/>
        </w:rPr>
        <w:t>. 1993.</w:t>
      </w:r>
      <w:r w:rsidR="003A01E8" w:rsidRPr="00872293">
        <w:rPr>
          <w:rFonts w:ascii="Times New Roman" w:hAnsi="Times New Roman" w:cs="Times New Roman"/>
        </w:rPr>
        <w:t xml:space="preserve"> Fine-Root Dynamics Following Single and Multiple Disturbances in a Subtropical Wet Forest Ecosystem. </w:t>
      </w:r>
      <w:r w:rsidR="003A01E8" w:rsidRPr="00872293">
        <w:rPr>
          <w:rFonts w:ascii="Times New Roman" w:hAnsi="Times New Roman" w:cs="Times New Roman"/>
          <w:i/>
        </w:rPr>
        <w:t>Journal of Ecology</w:t>
      </w:r>
      <w:r w:rsidR="003A01E8" w:rsidRPr="00872293">
        <w:rPr>
          <w:rFonts w:ascii="Times New Roman" w:hAnsi="Times New Roman" w:cs="Times New Roman"/>
        </w:rPr>
        <w:t xml:space="preserve"> </w:t>
      </w:r>
      <w:r w:rsidR="003A01E8" w:rsidRPr="00872293">
        <w:rPr>
          <w:rFonts w:ascii="Times New Roman" w:hAnsi="Times New Roman" w:cs="Times New Roman"/>
          <w:b/>
        </w:rPr>
        <w:t>8</w:t>
      </w:r>
      <w:r w:rsidRPr="00872293">
        <w:rPr>
          <w:rFonts w:ascii="Times New Roman" w:hAnsi="Times New Roman" w:cs="Times New Roman"/>
          <w:b/>
        </w:rPr>
        <w:t>1:</w:t>
      </w:r>
      <w:r w:rsidR="003A01E8" w:rsidRPr="00872293">
        <w:rPr>
          <w:rFonts w:ascii="Times New Roman" w:hAnsi="Times New Roman" w:cs="Times New Roman"/>
        </w:rPr>
        <w:t xml:space="preserve"> 729–738.</w:t>
      </w:r>
    </w:p>
    <w:p w14:paraId="49ED8C3D" w14:textId="77777777" w:rsidR="00646989" w:rsidRPr="00872293" w:rsidRDefault="009E1D44"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t>Silver WL,</w:t>
      </w:r>
      <w:r w:rsidR="00FD42CD" w:rsidRPr="00872293">
        <w:rPr>
          <w:rFonts w:ascii="Times New Roman" w:hAnsi="Times New Roman" w:cs="Times New Roman"/>
          <w:b/>
        </w:rPr>
        <w:t xml:space="preserve"> </w:t>
      </w:r>
      <w:r w:rsidR="003A01E8" w:rsidRPr="00872293">
        <w:rPr>
          <w:rFonts w:ascii="Times New Roman" w:hAnsi="Times New Roman" w:cs="Times New Roman"/>
          <w:b/>
        </w:rPr>
        <w:t>Miya</w:t>
      </w:r>
      <w:r w:rsidRPr="00872293">
        <w:rPr>
          <w:rFonts w:ascii="Times New Roman" w:hAnsi="Times New Roman" w:cs="Times New Roman"/>
          <w:b/>
        </w:rPr>
        <w:t xml:space="preserve"> R</w:t>
      </w:r>
      <w:r w:rsidR="00FD42CD" w:rsidRPr="00872293">
        <w:rPr>
          <w:rFonts w:ascii="Times New Roman" w:hAnsi="Times New Roman" w:cs="Times New Roman"/>
          <w:b/>
        </w:rPr>
        <w:t>K</w:t>
      </w:r>
      <w:r w:rsidR="003A01E8" w:rsidRPr="00872293">
        <w:rPr>
          <w:rFonts w:ascii="Times New Roman" w:hAnsi="Times New Roman" w:cs="Times New Roman"/>
          <w:b/>
        </w:rPr>
        <w:t>. 2001.</w:t>
      </w:r>
      <w:r w:rsidR="003A01E8" w:rsidRPr="00872293">
        <w:rPr>
          <w:rFonts w:ascii="Times New Roman" w:hAnsi="Times New Roman" w:cs="Times New Roman"/>
        </w:rPr>
        <w:t xml:space="preserve"> Global patterns in root decomposition: Comparisons of climate and litter quality effects. </w:t>
      </w:r>
      <w:proofErr w:type="spellStart"/>
      <w:r w:rsidR="003A01E8" w:rsidRPr="00872293">
        <w:rPr>
          <w:rFonts w:ascii="Times New Roman" w:hAnsi="Times New Roman" w:cs="Times New Roman"/>
          <w:i/>
        </w:rPr>
        <w:t>Oecologia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b/>
        </w:rPr>
        <w:t>12</w:t>
      </w:r>
      <w:r w:rsidRPr="00872293">
        <w:rPr>
          <w:rFonts w:ascii="Times New Roman" w:hAnsi="Times New Roman" w:cs="Times New Roman"/>
          <w:b/>
        </w:rPr>
        <w:t>9:</w:t>
      </w:r>
      <w:r w:rsidR="003A01E8" w:rsidRPr="00872293">
        <w:rPr>
          <w:rFonts w:ascii="Times New Roman" w:hAnsi="Times New Roman" w:cs="Times New Roman"/>
        </w:rPr>
        <w:t xml:space="preserve"> 407–419.</w:t>
      </w:r>
    </w:p>
    <w:p w14:paraId="3929E564" w14:textId="77777777" w:rsidR="00646989" w:rsidRPr="00872293" w:rsidRDefault="009E1D44"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t>Stone MM</w:t>
      </w:r>
      <w:r w:rsidR="003A01E8" w:rsidRPr="00872293">
        <w:rPr>
          <w:rFonts w:ascii="Times New Roman" w:hAnsi="Times New Roman" w:cs="Times New Roman"/>
          <w:b/>
        </w:rPr>
        <w:t>, Plante</w:t>
      </w:r>
      <w:r w:rsidRPr="00872293">
        <w:rPr>
          <w:rFonts w:ascii="Times New Roman" w:hAnsi="Times New Roman" w:cs="Times New Roman"/>
          <w:b/>
        </w:rPr>
        <w:t xml:space="preserve"> AF,</w:t>
      </w:r>
      <w:r w:rsidR="003A01E8" w:rsidRPr="00872293">
        <w:rPr>
          <w:rFonts w:ascii="Times New Roman" w:hAnsi="Times New Roman" w:cs="Times New Roman"/>
          <w:b/>
        </w:rPr>
        <w:t xml:space="preserve"> Casper</w:t>
      </w:r>
      <w:r w:rsidRPr="00872293">
        <w:rPr>
          <w:rFonts w:ascii="Times New Roman" w:hAnsi="Times New Roman" w:cs="Times New Roman"/>
          <w:b/>
        </w:rPr>
        <w:t xml:space="preserve"> B</w:t>
      </w:r>
      <w:r w:rsidR="00FD42CD" w:rsidRPr="00872293">
        <w:rPr>
          <w:rFonts w:ascii="Times New Roman" w:hAnsi="Times New Roman" w:cs="Times New Roman"/>
          <w:b/>
        </w:rPr>
        <w:t>B</w:t>
      </w:r>
      <w:r w:rsidR="003A01E8" w:rsidRPr="00872293">
        <w:rPr>
          <w:rFonts w:ascii="Times New Roman" w:hAnsi="Times New Roman" w:cs="Times New Roman"/>
          <w:b/>
        </w:rPr>
        <w:t>. 2013.</w:t>
      </w:r>
      <w:r w:rsidR="003A01E8" w:rsidRPr="00872293">
        <w:rPr>
          <w:rFonts w:ascii="Times New Roman" w:hAnsi="Times New Roman" w:cs="Times New Roman"/>
        </w:rPr>
        <w:t xml:space="preserve"> Plant and nutrient controls on microbial functional characteristics in a tropical </w:t>
      </w:r>
      <w:proofErr w:type="spellStart"/>
      <w:r w:rsidR="003A01E8" w:rsidRPr="00872293">
        <w:rPr>
          <w:rFonts w:ascii="Times New Roman" w:hAnsi="Times New Roman" w:cs="Times New Roman"/>
        </w:rPr>
        <w:t>Oxisol</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i/>
        </w:rPr>
        <w:t>Plant and Soil</w:t>
      </w:r>
      <w:r w:rsidR="003A01E8" w:rsidRPr="00872293">
        <w:rPr>
          <w:rFonts w:ascii="Times New Roman" w:hAnsi="Times New Roman" w:cs="Times New Roman"/>
        </w:rPr>
        <w:t xml:space="preserve"> </w:t>
      </w:r>
      <w:r w:rsidR="003A01E8" w:rsidRPr="00872293">
        <w:rPr>
          <w:rFonts w:ascii="Times New Roman" w:hAnsi="Times New Roman" w:cs="Times New Roman"/>
          <w:b/>
        </w:rPr>
        <w:t>37</w:t>
      </w:r>
      <w:r w:rsidRPr="00872293">
        <w:rPr>
          <w:rFonts w:ascii="Times New Roman" w:hAnsi="Times New Roman" w:cs="Times New Roman"/>
          <w:b/>
        </w:rPr>
        <w:t>3:</w:t>
      </w:r>
      <w:r w:rsidR="003A01E8" w:rsidRPr="00872293">
        <w:rPr>
          <w:rFonts w:ascii="Times New Roman" w:hAnsi="Times New Roman" w:cs="Times New Roman"/>
        </w:rPr>
        <w:t xml:space="preserve"> 893–905</w:t>
      </w:r>
    </w:p>
    <w:p w14:paraId="1751F004" w14:textId="77777777" w:rsidR="00646989" w:rsidRPr="00872293" w:rsidRDefault="009E1D44" w:rsidP="00CC69EF">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Teh</w:t>
      </w:r>
      <w:proofErr w:type="spellEnd"/>
      <w:r w:rsidRPr="00872293">
        <w:rPr>
          <w:rFonts w:ascii="Times New Roman" w:hAnsi="Times New Roman" w:cs="Times New Roman"/>
          <w:b/>
        </w:rPr>
        <w:t xml:space="preserve"> YA</w:t>
      </w:r>
      <w:r w:rsidR="003A01E8" w:rsidRPr="00872293">
        <w:rPr>
          <w:rFonts w:ascii="Times New Roman" w:hAnsi="Times New Roman" w:cs="Times New Roman"/>
          <w:b/>
        </w:rPr>
        <w:t>, Silver</w:t>
      </w:r>
      <w:r w:rsidRPr="00872293">
        <w:rPr>
          <w:rFonts w:ascii="Times New Roman" w:hAnsi="Times New Roman" w:cs="Times New Roman"/>
          <w:b/>
        </w:rPr>
        <w:t xml:space="preserve"> WL,</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Scatena</w:t>
      </w:r>
      <w:proofErr w:type="spellEnd"/>
      <w:r w:rsidRPr="00872293">
        <w:rPr>
          <w:rFonts w:ascii="Times New Roman" w:hAnsi="Times New Roman" w:cs="Times New Roman"/>
          <w:b/>
        </w:rPr>
        <w:t xml:space="preserve"> F</w:t>
      </w:r>
      <w:r w:rsidR="00426E53" w:rsidRPr="00872293">
        <w:rPr>
          <w:rFonts w:ascii="Times New Roman" w:hAnsi="Times New Roman" w:cs="Times New Roman"/>
          <w:b/>
        </w:rPr>
        <w:t>N</w:t>
      </w:r>
      <w:r w:rsidR="003A01E8" w:rsidRPr="00872293">
        <w:rPr>
          <w:rFonts w:ascii="Times New Roman" w:hAnsi="Times New Roman" w:cs="Times New Roman"/>
          <w:b/>
        </w:rPr>
        <w:t>. 2009.</w:t>
      </w:r>
      <w:r w:rsidR="003A01E8" w:rsidRPr="00872293">
        <w:rPr>
          <w:rFonts w:ascii="Times New Roman" w:hAnsi="Times New Roman" w:cs="Times New Roman"/>
        </w:rPr>
        <w:t xml:space="preserve"> A decade of belowground reorganization following multiple disturbances in a subtropical wet forest. </w:t>
      </w:r>
      <w:r w:rsidR="003A01E8" w:rsidRPr="00872293">
        <w:rPr>
          <w:rFonts w:ascii="Times New Roman" w:hAnsi="Times New Roman" w:cs="Times New Roman"/>
          <w:i/>
        </w:rPr>
        <w:t>Plant and Soil</w:t>
      </w:r>
      <w:r w:rsidR="003A01E8" w:rsidRPr="00872293">
        <w:rPr>
          <w:rFonts w:ascii="Times New Roman" w:hAnsi="Times New Roman" w:cs="Times New Roman"/>
        </w:rPr>
        <w:t xml:space="preserve"> </w:t>
      </w:r>
      <w:r w:rsidR="003A01E8" w:rsidRPr="00872293">
        <w:rPr>
          <w:rFonts w:ascii="Times New Roman" w:hAnsi="Times New Roman" w:cs="Times New Roman"/>
          <w:b/>
        </w:rPr>
        <w:t>32</w:t>
      </w:r>
      <w:r w:rsidRPr="00872293">
        <w:rPr>
          <w:rFonts w:ascii="Times New Roman" w:hAnsi="Times New Roman" w:cs="Times New Roman"/>
          <w:b/>
        </w:rPr>
        <w:t xml:space="preserve">3: </w:t>
      </w:r>
      <w:r w:rsidR="003A01E8" w:rsidRPr="00872293">
        <w:rPr>
          <w:rFonts w:ascii="Times New Roman" w:hAnsi="Times New Roman" w:cs="Times New Roman"/>
        </w:rPr>
        <w:t>197–212.</w:t>
      </w:r>
    </w:p>
    <w:p w14:paraId="3D719641" w14:textId="77777777" w:rsidR="00824DD4" w:rsidRPr="00872293" w:rsidRDefault="009E1D44" w:rsidP="00CC69EF">
      <w:pPr>
        <w:spacing w:before="100" w:beforeAutospacing="1" w:after="100" w:afterAutospacing="1" w:line="360" w:lineRule="auto"/>
        <w:rPr>
          <w:rFonts w:ascii="Times New Roman" w:eastAsia="Times New Roman" w:hAnsi="Times New Roman" w:cs="Times New Roman"/>
        </w:rPr>
      </w:pPr>
      <w:proofErr w:type="spellStart"/>
      <w:r w:rsidRPr="00872293">
        <w:rPr>
          <w:rFonts w:ascii="Times New Roman" w:eastAsia="Times New Roman" w:hAnsi="Times New Roman" w:cs="Times New Roman"/>
          <w:b/>
        </w:rPr>
        <w:t>Templer</w:t>
      </w:r>
      <w:proofErr w:type="spellEnd"/>
      <w:r w:rsidR="00824DD4" w:rsidRPr="00872293">
        <w:rPr>
          <w:rFonts w:ascii="Times New Roman" w:eastAsia="Times New Roman" w:hAnsi="Times New Roman" w:cs="Times New Roman"/>
          <w:b/>
        </w:rPr>
        <w:t xml:space="preserve"> </w:t>
      </w:r>
      <w:r w:rsidRPr="00872293">
        <w:rPr>
          <w:rFonts w:ascii="Times New Roman" w:eastAsia="Times New Roman" w:hAnsi="Times New Roman" w:cs="Times New Roman"/>
          <w:b/>
        </w:rPr>
        <w:t>PH,</w:t>
      </w:r>
      <w:r w:rsidR="00824DD4" w:rsidRPr="00872293">
        <w:rPr>
          <w:rFonts w:ascii="Times New Roman" w:eastAsia="Times New Roman" w:hAnsi="Times New Roman" w:cs="Times New Roman"/>
          <w:b/>
        </w:rPr>
        <w:t xml:space="preserve"> Silver</w:t>
      </w:r>
      <w:r w:rsidRPr="00872293">
        <w:rPr>
          <w:rFonts w:ascii="Times New Roman" w:eastAsia="Times New Roman" w:hAnsi="Times New Roman" w:cs="Times New Roman"/>
          <w:b/>
        </w:rPr>
        <w:t xml:space="preserve"> L</w:t>
      </w:r>
      <w:r w:rsidR="00824DD4" w:rsidRPr="00872293">
        <w:rPr>
          <w:rFonts w:ascii="Times New Roman" w:eastAsia="Times New Roman" w:hAnsi="Times New Roman" w:cs="Times New Roman"/>
          <w:b/>
        </w:rPr>
        <w:t xml:space="preserve">, </w:t>
      </w:r>
      <w:proofErr w:type="spellStart"/>
      <w:r w:rsidR="00824DD4" w:rsidRPr="00872293">
        <w:rPr>
          <w:rFonts w:ascii="Times New Roman" w:eastAsia="Times New Roman" w:hAnsi="Times New Roman" w:cs="Times New Roman"/>
          <w:b/>
        </w:rPr>
        <w:t>Pett</w:t>
      </w:r>
      <w:proofErr w:type="spellEnd"/>
      <w:r w:rsidR="00824DD4" w:rsidRPr="00872293">
        <w:rPr>
          <w:rFonts w:ascii="Times New Roman" w:eastAsia="Times New Roman" w:hAnsi="Times New Roman" w:cs="Times New Roman"/>
          <w:b/>
        </w:rPr>
        <w:t>-Ridge</w:t>
      </w:r>
      <w:r w:rsidRPr="00872293">
        <w:rPr>
          <w:rFonts w:ascii="Times New Roman" w:eastAsia="Times New Roman" w:hAnsi="Times New Roman" w:cs="Times New Roman"/>
          <w:b/>
        </w:rPr>
        <w:t xml:space="preserve"> J</w:t>
      </w:r>
      <w:r w:rsidR="00824DD4" w:rsidRPr="00872293">
        <w:rPr>
          <w:rFonts w:ascii="Times New Roman" w:eastAsia="Times New Roman" w:hAnsi="Times New Roman" w:cs="Times New Roman"/>
          <w:b/>
        </w:rPr>
        <w:t>, DeAngelis</w:t>
      </w:r>
      <w:r w:rsidRPr="00872293">
        <w:rPr>
          <w:rFonts w:ascii="Times New Roman" w:eastAsia="Times New Roman" w:hAnsi="Times New Roman" w:cs="Times New Roman"/>
          <w:b/>
        </w:rPr>
        <w:t xml:space="preserve"> KM</w:t>
      </w:r>
      <w:r w:rsidR="00824DD4" w:rsidRPr="00872293">
        <w:rPr>
          <w:rFonts w:ascii="Times New Roman" w:eastAsia="Times New Roman" w:hAnsi="Times New Roman" w:cs="Times New Roman"/>
          <w:b/>
        </w:rPr>
        <w:t>, Firestone</w:t>
      </w:r>
      <w:r w:rsidRPr="00872293">
        <w:rPr>
          <w:rFonts w:ascii="Times New Roman" w:eastAsia="Times New Roman" w:hAnsi="Times New Roman" w:cs="Times New Roman"/>
          <w:b/>
        </w:rPr>
        <w:t xml:space="preserve"> M</w:t>
      </w:r>
      <w:r w:rsidR="00634EF5" w:rsidRPr="00872293">
        <w:rPr>
          <w:rFonts w:ascii="Times New Roman" w:eastAsia="Times New Roman" w:hAnsi="Times New Roman" w:cs="Times New Roman"/>
          <w:b/>
        </w:rPr>
        <w:t>K</w:t>
      </w:r>
      <w:r w:rsidR="00824DD4" w:rsidRPr="00872293">
        <w:rPr>
          <w:rFonts w:ascii="Times New Roman" w:eastAsia="Times New Roman" w:hAnsi="Times New Roman" w:cs="Times New Roman"/>
          <w:b/>
        </w:rPr>
        <w:t>. 2008.</w:t>
      </w:r>
      <w:r w:rsidR="00824DD4" w:rsidRPr="00872293">
        <w:rPr>
          <w:rFonts w:ascii="Times New Roman" w:eastAsia="Times New Roman" w:hAnsi="Times New Roman" w:cs="Times New Roman"/>
        </w:rPr>
        <w:t xml:space="preserve"> Plant and microbial controls on nitrogen retention and loss in a humid tropical forest. </w:t>
      </w:r>
      <w:r w:rsidR="00824DD4" w:rsidRPr="00872293">
        <w:rPr>
          <w:rFonts w:ascii="Times New Roman" w:eastAsia="Times New Roman" w:hAnsi="Times New Roman" w:cs="Times New Roman"/>
          <w:i/>
          <w:iCs/>
        </w:rPr>
        <w:t>Ecology</w:t>
      </w:r>
      <w:r w:rsidR="00FD6202" w:rsidRPr="00872293">
        <w:rPr>
          <w:rFonts w:ascii="Times New Roman" w:eastAsia="Times New Roman" w:hAnsi="Times New Roman" w:cs="Times New Roman"/>
          <w:b/>
          <w:i/>
          <w:iCs/>
        </w:rPr>
        <w:t xml:space="preserve"> </w:t>
      </w:r>
      <w:r w:rsidR="00FD6202" w:rsidRPr="00872293">
        <w:rPr>
          <w:rFonts w:ascii="Times New Roman" w:eastAsia="Times New Roman" w:hAnsi="Times New Roman" w:cs="Times New Roman"/>
          <w:b/>
        </w:rPr>
        <w:t>8</w:t>
      </w:r>
      <w:r w:rsidRPr="00872293">
        <w:rPr>
          <w:rFonts w:ascii="Times New Roman" w:eastAsia="Times New Roman" w:hAnsi="Times New Roman" w:cs="Times New Roman"/>
          <w:b/>
        </w:rPr>
        <w:t>9:</w:t>
      </w:r>
      <w:r w:rsidR="00FD6202" w:rsidRPr="00872293">
        <w:rPr>
          <w:rFonts w:ascii="Times New Roman" w:eastAsia="Times New Roman" w:hAnsi="Times New Roman" w:cs="Times New Roman"/>
        </w:rPr>
        <w:t xml:space="preserve"> 3030-3040.</w:t>
      </w:r>
    </w:p>
    <w:p w14:paraId="499E1C6C" w14:textId="5B7625DC" w:rsidR="00646989" w:rsidRPr="00872293" w:rsidRDefault="009E1D44"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t>Tirado-</w:t>
      </w:r>
      <w:proofErr w:type="spellStart"/>
      <w:r w:rsidRPr="00872293">
        <w:rPr>
          <w:rFonts w:ascii="Times New Roman" w:hAnsi="Times New Roman" w:cs="Times New Roman"/>
          <w:b/>
        </w:rPr>
        <w:t>Corbalá</w:t>
      </w:r>
      <w:proofErr w:type="spellEnd"/>
      <w:r w:rsidRPr="00872293">
        <w:rPr>
          <w:rFonts w:ascii="Times New Roman" w:hAnsi="Times New Roman" w:cs="Times New Roman"/>
          <w:b/>
        </w:rPr>
        <w:t xml:space="preserve"> R</w:t>
      </w:r>
      <w:r w:rsidR="003A01E8" w:rsidRPr="00872293">
        <w:rPr>
          <w:rFonts w:ascii="Times New Roman" w:hAnsi="Times New Roman" w:cs="Times New Roman"/>
          <w:b/>
        </w:rPr>
        <w:t>, Slater</w:t>
      </w:r>
      <w:r w:rsidRPr="00872293">
        <w:rPr>
          <w:rFonts w:ascii="Times New Roman" w:hAnsi="Times New Roman" w:cs="Times New Roman"/>
          <w:b/>
        </w:rPr>
        <w:t xml:space="preserve"> B</w:t>
      </w:r>
      <w:r w:rsidR="001F5A9A" w:rsidRPr="00872293">
        <w:rPr>
          <w:rFonts w:ascii="Times New Roman" w:hAnsi="Times New Roman" w:cs="Times New Roman"/>
          <w:b/>
        </w:rPr>
        <w:t>K</w:t>
      </w:r>
      <w:r w:rsidR="003A01E8" w:rsidRPr="00872293">
        <w:rPr>
          <w:rFonts w:ascii="Times New Roman" w:hAnsi="Times New Roman" w:cs="Times New Roman"/>
          <w:b/>
        </w:rPr>
        <w:t>. 2010.</w:t>
      </w:r>
      <w:r w:rsidR="003A01E8" w:rsidRPr="00872293">
        <w:rPr>
          <w:rFonts w:ascii="Times New Roman" w:hAnsi="Times New Roman" w:cs="Times New Roman"/>
        </w:rPr>
        <w:t xml:space="preserve"> Soil compaction effects on the establishment of three tropical tree species. </w:t>
      </w:r>
      <w:r w:rsidR="003A01E8" w:rsidRPr="00872293">
        <w:rPr>
          <w:rFonts w:ascii="Times New Roman" w:hAnsi="Times New Roman" w:cs="Times New Roman"/>
          <w:i/>
        </w:rPr>
        <w:t>Arboric</w:t>
      </w:r>
      <w:r w:rsidR="009714DA" w:rsidRPr="00872293">
        <w:rPr>
          <w:rFonts w:ascii="Times New Roman" w:hAnsi="Times New Roman" w:cs="Times New Roman"/>
          <w:i/>
        </w:rPr>
        <w:t>ulture</w:t>
      </w:r>
      <w:r w:rsidR="003A01E8" w:rsidRPr="00872293">
        <w:rPr>
          <w:rFonts w:ascii="Times New Roman" w:hAnsi="Times New Roman" w:cs="Times New Roman"/>
          <w:i/>
        </w:rPr>
        <w:t xml:space="preserve"> Urban For</w:t>
      </w:r>
      <w:r w:rsidR="009714DA" w:rsidRPr="00872293">
        <w:rPr>
          <w:rFonts w:ascii="Times New Roman" w:hAnsi="Times New Roman" w:cs="Times New Roman"/>
          <w:i/>
        </w:rPr>
        <w:t>estry</w:t>
      </w:r>
      <w:r w:rsidR="003A01E8" w:rsidRPr="00872293">
        <w:rPr>
          <w:rFonts w:ascii="Times New Roman" w:hAnsi="Times New Roman" w:cs="Times New Roman"/>
        </w:rPr>
        <w:t xml:space="preserve"> </w:t>
      </w:r>
      <w:r w:rsidR="003A01E8" w:rsidRPr="00872293">
        <w:rPr>
          <w:rFonts w:ascii="Times New Roman" w:hAnsi="Times New Roman" w:cs="Times New Roman"/>
          <w:b/>
        </w:rPr>
        <w:t>3</w:t>
      </w:r>
      <w:r w:rsidRPr="00872293">
        <w:rPr>
          <w:rFonts w:ascii="Times New Roman" w:hAnsi="Times New Roman" w:cs="Times New Roman"/>
          <w:b/>
        </w:rPr>
        <w:t>6:</w:t>
      </w:r>
      <w:r w:rsidR="003A01E8" w:rsidRPr="00872293">
        <w:rPr>
          <w:rFonts w:ascii="Times New Roman" w:hAnsi="Times New Roman" w:cs="Times New Roman"/>
        </w:rPr>
        <w:t xml:space="preserve"> 164–170.</w:t>
      </w:r>
    </w:p>
    <w:p w14:paraId="51B528C9" w14:textId="77777777" w:rsidR="00646989" w:rsidRPr="00872293" w:rsidRDefault="009E1D44"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rPr>
        <w:lastRenderedPageBreak/>
        <w:t>Torres J</w:t>
      </w:r>
      <w:r w:rsidR="003A01E8" w:rsidRPr="00872293">
        <w:rPr>
          <w:rFonts w:ascii="Times New Roman" w:hAnsi="Times New Roman" w:cs="Times New Roman"/>
          <w:b/>
        </w:rPr>
        <w:t>A. 1994.</w:t>
      </w:r>
      <w:r w:rsidR="003A01E8" w:rsidRPr="00872293">
        <w:rPr>
          <w:rFonts w:ascii="Times New Roman" w:hAnsi="Times New Roman" w:cs="Times New Roman"/>
        </w:rPr>
        <w:t xml:space="preserve"> Wood Decomposition of Cyrilla racemiflora in a Tropical Montane Forest. </w:t>
      </w:r>
      <w:proofErr w:type="spellStart"/>
      <w:r w:rsidR="003A01E8" w:rsidRPr="00872293">
        <w:rPr>
          <w:rFonts w:ascii="Times New Roman" w:hAnsi="Times New Roman" w:cs="Times New Roman"/>
          <w:i/>
        </w:rPr>
        <w:t>Biotropica</w:t>
      </w:r>
      <w:proofErr w:type="spellEnd"/>
      <w:r w:rsidR="003A01E8" w:rsidRPr="00872293">
        <w:rPr>
          <w:rFonts w:ascii="Times New Roman" w:hAnsi="Times New Roman" w:cs="Times New Roman"/>
          <w:b/>
          <w:i/>
        </w:rPr>
        <w:t xml:space="preserve"> </w:t>
      </w:r>
      <w:r w:rsidR="003A01E8" w:rsidRPr="00872293">
        <w:rPr>
          <w:rFonts w:ascii="Times New Roman" w:hAnsi="Times New Roman" w:cs="Times New Roman"/>
          <w:b/>
        </w:rPr>
        <w:t>2</w:t>
      </w:r>
      <w:r w:rsidRPr="00872293">
        <w:rPr>
          <w:rFonts w:ascii="Times New Roman" w:hAnsi="Times New Roman" w:cs="Times New Roman"/>
          <w:b/>
        </w:rPr>
        <w:t>6:</w:t>
      </w:r>
      <w:r w:rsidR="003A01E8" w:rsidRPr="00872293">
        <w:rPr>
          <w:rFonts w:ascii="Times New Roman" w:hAnsi="Times New Roman" w:cs="Times New Roman"/>
        </w:rPr>
        <w:t xml:space="preserve"> 124-140</w:t>
      </w:r>
    </w:p>
    <w:p w14:paraId="2DEA80C9" w14:textId="77777777" w:rsidR="00646989" w:rsidRPr="00872293" w:rsidRDefault="009E1D44" w:rsidP="00CC69EF">
      <w:pPr>
        <w:spacing w:before="100" w:beforeAutospacing="1" w:after="240" w:line="360" w:lineRule="auto"/>
        <w:rPr>
          <w:rFonts w:ascii="Times New Roman" w:hAnsi="Times New Roman" w:cs="Times New Roman"/>
        </w:rPr>
      </w:pPr>
      <w:proofErr w:type="spellStart"/>
      <w:r w:rsidRPr="00872293">
        <w:rPr>
          <w:rFonts w:ascii="Times New Roman" w:hAnsi="Times New Roman" w:cs="Times New Roman"/>
          <w:b/>
        </w:rPr>
        <w:t>Treseder</w:t>
      </w:r>
      <w:proofErr w:type="spellEnd"/>
      <w:r w:rsidRPr="00872293">
        <w:rPr>
          <w:rFonts w:ascii="Times New Roman" w:hAnsi="Times New Roman" w:cs="Times New Roman"/>
          <w:b/>
        </w:rPr>
        <w:t xml:space="preserve"> KK,</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Vitousek</w:t>
      </w:r>
      <w:proofErr w:type="spellEnd"/>
      <w:r w:rsidRPr="00872293">
        <w:rPr>
          <w:rFonts w:ascii="Times New Roman" w:hAnsi="Times New Roman" w:cs="Times New Roman"/>
          <w:b/>
        </w:rPr>
        <w:t xml:space="preserve"> P</w:t>
      </w:r>
      <w:r w:rsidR="00586CAA" w:rsidRPr="00872293">
        <w:rPr>
          <w:rFonts w:ascii="Times New Roman" w:hAnsi="Times New Roman" w:cs="Times New Roman"/>
          <w:b/>
        </w:rPr>
        <w:t>M</w:t>
      </w:r>
      <w:r w:rsidR="003A01E8" w:rsidRPr="00872293">
        <w:rPr>
          <w:rFonts w:ascii="Times New Roman" w:hAnsi="Times New Roman" w:cs="Times New Roman"/>
          <w:b/>
        </w:rPr>
        <w:t>. 2001.</w:t>
      </w:r>
      <w:r w:rsidR="003A01E8" w:rsidRPr="00872293">
        <w:rPr>
          <w:rFonts w:ascii="Times New Roman" w:hAnsi="Times New Roman" w:cs="Times New Roman"/>
        </w:rPr>
        <w:t xml:space="preserve"> Effects of soil nutrient availability on investment in acquisition of N and P in Hawaiian rain forests. </w:t>
      </w:r>
      <w:r w:rsidR="003A01E8" w:rsidRPr="00872293">
        <w:rPr>
          <w:rFonts w:ascii="Times New Roman" w:hAnsi="Times New Roman" w:cs="Times New Roman"/>
          <w:i/>
        </w:rPr>
        <w:t>Ecology</w:t>
      </w:r>
      <w:r w:rsidR="003A01E8" w:rsidRPr="00872293">
        <w:rPr>
          <w:rFonts w:ascii="Times New Roman" w:hAnsi="Times New Roman" w:cs="Times New Roman"/>
        </w:rPr>
        <w:t xml:space="preserve"> </w:t>
      </w:r>
      <w:r w:rsidR="003A01E8" w:rsidRPr="00872293">
        <w:rPr>
          <w:rFonts w:ascii="Times New Roman" w:hAnsi="Times New Roman" w:cs="Times New Roman"/>
          <w:b/>
        </w:rPr>
        <w:t>8</w:t>
      </w:r>
      <w:r w:rsidRPr="00872293">
        <w:rPr>
          <w:rFonts w:ascii="Times New Roman" w:hAnsi="Times New Roman" w:cs="Times New Roman"/>
          <w:b/>
        </w:rPr>
        <w:t>2:</w:t>
      </w:r>
      <w:r w:rsidR="003A01E8" w:rsidRPr="00872293">
        <w:rPr>
          <w:rFonts w:ascii="Times New Roman" w:hAnsi="Times New Roman" w:cs="Times New Roman"/>
        </w:rPr>
        <w:t xml:space="preserve"> 946–954.</w:t>
      </w:r>
    </w:p>
    <w:p w14:paraId="185B69BA" w14:textId="77777777" w:rsidR="00646989" w:rsidRPr="00872293" w:rsidRDefault="009E1D44" w:rsidP="00CC69EF">
      <w:pPr>
        <w:spacing w:before="100" w:beforeAutospacing="1" w:after="240" w:line="360" w:lineRule="auto"/>
        <w:rPr>
          <w:rFonts w:ascii="Times New Roman" w:hAnsi="Times New Roman" w:cs="Times New Roman"/>
          <w:lang w:val="es-BO"/>
        </w:rPr>
      </w:pPr>
      <w:r w:rsidRPr="00872293">
        <w:rPr>
          <w:rFonts w:ascii="Times New Roman" w:hAnsi="Times New Roman" w:cs="Times New Roman"/>
          <w:b/>
        </w:rPr>
        <w:t>Valverde-</w:t>
      </w:r>
      <w:proofErr w:type="spellStart"/>
      <w:r w:rsidRPr="00872293">
        <w:rPr>
          <w:rFonts w:ascii="Times New Roman" w:hAnsi="Times New Roman" w:cs="Times New Roman"/>
          <w:b/>
        </w:rPr>
        <w:t>Barrantes</w:t>
      </w:r>
      <w:proofErr w:type="spellEnd"/>
      <w:r w:rsidRPr="00872293">
        <w:rPr>
          <w:rFonts w:ascii="Times New Roman" w:hAnsi="Times New Roman" w:cs="Times New Roman"/>
          <w:b/>
        </w:rPr>
        <w:t xml:space="preserve"> OJ</w:t>
      </w:r>
      <w:r w:rsidR="003A01E8" w:rsidRPr="00872293">
        <w:rPr>
          <w:rFonts w:ascii="Times New Roman" w:hAnsi="Times New Roman" w:cs="Times New Roman"/>
          <w:b/>
        </w:rPr>
        <w:t>, Raich</w:t>
      </w:r>
      <w:r w:rsidRPr="00872293">
        <w:rPr>
          <w:rFonts w:ascii="Times New Roman" w:hAnsi="Times New Roman" w:cs="Times New Roman"/>
          <w:b/>
        </w:rPr>
        <w:t xml:space="preserve"> JW,</w:t>
      </w:r>
      <w:r w:rsidR="003A01E8" w:rsidRPr="00872293">
        <w:rPr>
          <w:rFonts w:ascii="Times New Roman" w:hAnsi="Times New Roman" w:cs="Times New Roman"/>
          <w:b/>
        </w:rPr>
        <w:t xml:space="preserve"> Russell</w:t>
      </w:r>
      <w:r w:rsidRPr="00872293">
        <w:rPr>
          <w:rFonts w:ascii="Times New Roman" w:hAnsi="Times New Roman" w:cs="Times New Roman"/>
          <w:b/>
        </w:rPr>
        <w:t xml:space="preserve"> A</w:t>
      </w:r>
      <w:r w:rsidR="00586CAA" w:rsidRPr="00872293">
        <w:rPr>
          <w:rFonts w:ascii="Times New Roman" w:hAnsi="Times New Roman" w:cs="Times New Roman"/>
          <w:b/>
        </w:rPr>
        <w:t>E</w:t>
      </w:r>
      <w:r w:rsidR="003A01E8" w:rsidRPr="00872293">
        <w:rPr>
          <w:rFonts w:ascii="Times New Roman" w:hAnsi="Times New Roman" w:cs="Times New Roman"/>
          <w:b/>
        </w:rPr>
        <w:t>. 2007.</w:t>
      </w:r>
      <w:r w:rsidR="003A01E8" w:rsidRPr="00872293">
        <w:rPr>
          <w:rFonts w:ascii="Times New Roman" w:hAnsi="Times New Roman" w:cs="Times New Roman"/>
        </w:rPr>
        <w:t xml:space="preserve"> Fine-root mass, </w:t>
      </w:r>
      <w:proofErr w:type="gramStart"/>
      <w:r w:rsidR="003A01E8" w:rsidRPr="00872293">
        <w:rPr>
          <w:rFonts w:ascii="Times New Roman" w:hAnsi="Times New Roman" w:cs="Times New Roman"/>
        </w:rPr>
        <w:t>growth</w:t>
      </w:r>
      <w:proofErr w:type="gramEnd"/>
      <w:r w:rsidR="003A01E8" w:rsidRPr="00872293">
        <w:rPr>
          <w:rFonts w:ascii="Times New Roman" w:hAnsi="Times New Roman" w:cs="Times New Roman"/>
        </w:rPr>
        <w:t xml:space="preserve"> and nitrogen content for six tropical tree species. </w:t>
      </w:r>
      <w:proofErr w:type="spellStart"/>
      <w:r w:rsidR="003A01E8" w:rsidRPr="00872293">
        <w:rPr>
          <w:rFonts w:ascii="Times New Roman" w:hAnsi="Times New Roman" w:cs="Times New Roman"/>
          <w:i/>
          <w:lang w:val="es-BO"/>
        </w:rPr>
        <w:t>Plant</w:t>
      </w:r>
      <w:proofErr w:type="spellEnd"/>
      <w:r w:rsidR="003A01E8" w:rsidRPr="00872293">
        <w:rPr>
          <w:rFonts w:ascii="Times New Roman" w:hAnsi="Times New Roman" w:cs="Times New Roman"/>
          <w:i/>
          <w:lang w:val="es-BO"/>
        </w:rPr>
        <w:t xml:space="preserve"> and </w:t>
      </w:r>
      <w:proofErr w:type="spellStart"/>
      <w:r w:rsidR="003A01E8" w:rsidRPr="00872293">
        <w:rPr>
          <w:rFonts w:ascii="Times New Roman" w:hAnsi="Times New Roman" w:cs="Times New Roman"/>
          <w:i/>
          <w:lang w:val="es-BO"/>
        </w:rPr>
        <w:t>Soil</w:t>
      </w:r>
      <w:proofErr w:type="spellEnd"/>
      <w:r w:rsidR="003A01E8" w:rsidRPr="00872293">
        <w:rPr>
          <w:rFonts w:ascii="Times New Roman" w:hAnsi="Times New Roman" w:cs="Times New Roman"/>
          <w:lang w:val="es-BO"/>
        </w:rPr>
        <w:t xml:space="preserve"> </w:t>
      </w:r>
      <w:r w:rsidR="003A01E8" w:rsidRPr="00872293">
        <w:rPr>
          <w:rFonts w:ascii="Times New Roman" w:hAnsi="Times New Roman" w:cs="Times New Roman"/>
          <w:b/>
          <w:lang w:val="es-BO"/>
        </w:rPr>
        <w:t>29</w:t>
      </w:r>
      <w:r w:rsidRPr="00872293">
        <w:rPr>
          <w:rFonts w:ascii="Times New Roman" w:hAnsi="Times New Roman" w:cs="Times New Roman"/>
          <w:b/>
          <w:lang w:val="es-BO"/>
        </w:rPr>
        <w:t>0:</w:t>
      </w:r>
      <w:r w:rsidR="003A01E8" w:rsidRPr="00872293">
        <w:rPr>
          <w:rFonts w:ascii="Times New Roman" w:hAnsi="Times New Roman" w:cs="Times New Roman"/>
          <w:lang w:val="es-BO"/>
        </w:rPr>
        <w:t xml:space="preserve"> 357–370.</w:t>
      </w:r>
    </w:p>
    <w:p w14:paraId="05F3BBB9" w14:textId="5E9753EB" w:rsidR="00734F6F" w:rsidRPr="00872293" w:rsidRDefault="00734F6F" w:rsidP="00CC69EF">
      <w:pPr>
        <w:spacing w:before="100" w:beforeAutospacing="1" w:after="240" w:line="360" w:lineRule="auto"/>
        <w:rPr>
          <w:rFonts w:ascii="Times New Roman" w:hAnsi="Times New Roman" w:cs="Times New Roman"/>
        </w:rPr>
      </w:pPr>
      <w:r w:rsidRPr="00872293">
        <w:rPr>
          <w:rFonts w:ascii="Times New Roman" w:hAnsi="Times New Roman" w:cs="Times New Roman"/>
          <w:b/>
          <w:lang w:val="es-BO"/>
        </w:rPr>
        <w:t>Viera Martínez</w:t>
      </w:r>
      <w:r w:rsidR="008D2451" w:rsidRPr="00872293">
        <w:rPr>
          <w:rFonts w:ascii="Times New Roman" w:hAnsi="Times New Roman" w:cs="Times New Roman"/>
          <w:b/>
          <w:lang w:val="es-BO"/>
        </w:rPr>
        <w:t xml:space="preserve"> C</w:t>
      </w:r>
      <w:r w:rsidRPr="00872293">
        <w:rPr>
          <w:rFonts w:ascii="Times New Roman" w:hAnsi="Times New Roman" w:cs="Times New Roman"/>
          <w:b/>
          <w:lang w:val="es-BO"/>
        </w:rPr>
        <w:t>, Abelleira Martínez</w:t>
      </w:r>
      <w:r w:rsidR="008D2451" w:rsidRPr="00872293">
        <w:rPr>
          <w:rFonts w:ascii="Times New Roman" w:hAnsi="Times New Roman" w:cs="Times New Roman"/>
          <w:b/>
          <w:lang w:val="es-BO"/>
        </w:rPr>
        <w:t xml:space="preserve"> O</w:t>
      </w:r>
      <w:r w:rsidRPr="00872293">
        <w:rPr>
          <w:rFonts w:ascii="Times New Roman" w:hAnsi="Times New Roman" w:cs="Times New Roman"/>
          <w:b/>
          <w:lang w:val="es-BO"/>
        </w:rPr>
        <w:t>, Lugo</w:t>
      </w:r>
      <w:r w:rsidR="008D2451" w:rsidRPr="00872293">
        <w:rPr>
          <w:rFonts w:ascii="Times New Roman" w:hAnsi="Times New Roman" w:cs="Times New Roman"/>
          <w:b/>
          <w:lang w:val="es-BO"/>
        </w:rPr>
        <w:t xml:space="preserve"> A</w:t>
      </w:r>
      <w:r w:rsidR="002F6EEF" w:rsidRPr="00872293">
        <w:rPr>
          <w:rFonts w:ascii="Times New Roman" w:hAnsi="Times New Roman" w:cs="Times New Roman"/>
          <w:b/>
          <w:lang w:val="es-BO"/>
        </w:rPr>
        <w:t>E</w:t>
      </w:r>
      <w:r w:rsidRPr="00872293">
        <w:rPr>
          <w:rFonts w:ascii="Times New Roman" w:hAnsi="Times New Roman" w:cs="Times New Roman"/>
          <w:b/>
          <w:lang w:val="es-BO"/>
        </w:rPr>
        <w:t>. 2008.</w:t>
      </w:r>
      <w:r w:rsidRPr="00872293">
        <w:rPr>
          <w:rFonts w:ascii="Times New Roman" w:hAnsi="Times New Roman" w:cs="Times New Roman"/>
          <w:lang w:val="es-BO"/>
        </w:rPr>
        <w:t xml:space="preserve"> Estructura y química del suelo en un bosque de castilla el</w:t>
      </w:r>
      <w:r w:rsidR="002F6EEF" w:rsidRPr="00872293">
        <w:rPr>
          <w:rFonts w:ascii="Times New Roman" w:hAnsi="Times New Roman" w:cs="Times New Roman"/>
          <w:lang w:val="es-BO"/>
        </w:rPr>
        <w:t>á</w:t>
      </w:r>
      <w:r w:rsidRPr="00872293">
        <w:rPr>
          <w:rFonts w:ascii="Times New Roman" w:hAnsi="Times New Roman" w:cs="Times New Roman"/>
          <w:lang w:val="es-BO"/>
        </w:rPr>
        <w:t xml:space="preserve">stica en el </w:t>
      </w:r>
      <w:proofErr w:type="spellStart"/>
      <w:r w:rsidR="002F6EEF" w:rsidRPr="00872293">
        <w:rPr>
          <w:rFonts w:ascii="Times New Roman" w:hAnsi="Times New Roman" w:cs="Times New Roman"/>
          <w:lang w:val="es-BO"/>
        </w:rPr>
        <w:t>k</w:t>
      </w:r>
      <w:r w:rsidRPr="00872293">
        <w:rPr>
          <w:rFonts w:ascii="Times New Roman" w:hAnsi="Times New Roman" w:cs="Times New Roman"/>
          <w:lang w:val="es-BO"/>
        </w:rPr>
        <w:t>arso</w:t>
      </w:r>
      <w:proofErr w:type="spellEnd"/>
      <w:r w:rsidRPr="00872293">
        <w:rPr>
          <w:rFonts w:ascii="Times New Roman" w:hAnsi="Times New Roman" w:cs="Times New Roman"/>
          <w:lang w:val="es-BO"/>
        </w:rPr>
        <w:t xml:space="preserve"> del norte de Puerto Rico: resultados de una calicata. </w:t>
      </w:r>
      <w:r w:rsidRPr="00872293">
        <w:rPr>
          <w:rFonts w:ascii="Times New Roman" w:hAnsi="Times New Roman" w:cs="Times New Roman"/>
          <w:i/>
        </w:rPr>
        <w:t xml:space="preserve">Acta </w:t>
      </w:r>
      <w:proofErr w:type="spellStart"/>
      <w:r w:rsidRPr="00872293">
        <w:rPr>
          <w:rFonts w:ascii="Times New Roman" w:hAnsi="Times New Roman" w:cs="Times New Roman"/>
          <w:i/>
        </w:rPr>
        <w:t>científica</w:t>
      </w:r>
      <w:proofErr w:type="spellEnd"/>
      <w:r w:rsidRPr="00872293">
        <w:rPr>
          <w:rFonts w:ascii="Times New Roman" w:hAnsi="Times New Roman" w:cs="Times New Roman"/>
        </w:rPr>
        <w:t xml:space="preserve"> </w:t>
      </w:r>
      <w:r w:rsidRPr="00872293">
        <w:rPr>
          <w:rFonts w:ascii="Times New Roman" w:hAnsi="Times New Roman" w:cs="Times New Roman"/>
          <w:b/>
        </w:rPr>
        <w:t>2</w:t>
      </w:r>
      <w:r w:rsidR="008D2451" w:rsidRPr="00872293">
        <w:rPr>
          <w:rFonts w:ascii="Times New Roman" w:hAnsi="Times New Roman" w:cs="Times New Roman"/>
          <w:b/>
        </w:rPr>
        <w:t>2:</w:t>
      </w:r>
      <w:r w:rsidRPr="00872293">
        <w:rPr>
          <w:rFonts w:ascii="Times New Roman" w:hAnsi="Times New Roman" w:cs="Times New Roman"/>
        </w:rPr>
        <w:t xml:space="preserve"> 29-35. </w:t>
      </w:r>
    </w:p>
    <w:p w14:paraId="72754FB1" w14:textId="77777777" w:rsidR="009868AC" w:rsidRPr="00872293" w:rsidRDefault="008D2451" w:rsidP="00CC69EF">
      <w:pPr>
        <w:spacing w:before="100" w:beforeAutospacing="1" w:after="100" w:afterAutospacing="1" w:line="360" w:lineRule="auto"/>
        <w:rPr>
          <w:rFonts w:ascii="Times New Roman" w:eastAsia="Times New Roman" w:hAnsi="Times New Roman" w:cs="Times New Roman"/>
        </w:rPr>
      </w:pPr>
      <w:proofErr w:type="spellStart"/>
      <w:r w:rsidRPr="00872293">
        <w:rPr>
          <w:rFonts w:ascii="Times New Roman" w:eastAsia="Times New Roman" w:hAnsi="Times New Roman" w:cs="Times New Roman"/>
          <w:b/>
        </w:rPr>
        <w:t>Violle</w:t>
      </w:r>
      <w:proofErr w:type="spellEnd"/>
      <w:r w:rsidRPr="00872293">
        <w:rPr>
          <w:rFonts w:ascii="Times New Roman" w:eastAsia="Times New Roman" w:hAnsi="Times New Roman" w:cs="Times New Roman"/>
          <w:b/>
        </w:rPr>
        <w:t xml:space="preserve"> C</w:t>
      </w:r>
      <w:r w:rsidR="009868AC" w:rsidRPr="00872293">
        <w:rPr>
          <w:rFonts w:ascii="Times New Roman" w:eastAsia="Times New Roman" w:hAnsi="Times New Roman" w:cs="Times New Roman"/>
          <w:b/>
        </w:rPr>
        <w:t xml:space="preserve">, </w:t>
      </w:r>
      <w:proofErr w:type="spellStart"/>
      <w:r w:rsidR="009868AC" w:rsidRPr="00872293">
        <w:rPr>
          <w:rFonts w:ascii="Times New Roman" w:eastAsia="Times New Roman" w:hAnsi="Times New Roman" w:cs="Times New Roman"/>
          <w:b/>
        </w:rPr>
        <w:t>Navas</w:t>
      </w:r>
      <w:proofErr w:type="spellEnd"/>
      <w:r w:rsidRPr="00872293">
        <w:rPr>
          <w:rFonts w:ascii="Times New Roman" w:eastAsia="Times New Roman" w:hAnsi="Times New Roman" w:cs="Times New Roman"/>
          <w:b/>
        </w:rPr>
        <w:t xml:space="preserve"> ML</w:t>
      </w:r>
      <w:r w:rsidR="009868AC" w:rsidRPr="00872293">
        <w:rPr>
          <w:rFonts w:ascii="Times New Roman" w:eastAsia="Times New Roman" w:hAnsi="Times New Roman" w:cs="Times New Roman"/>
          <w:b/>
        </w:rPr>
        <w:t>, Vile</w:t>
      </w:r>
      <w:r w:rsidRPr="00872293">
        <w:rPr>
          <w:rFonts w:ascii="Times New Roman" w:eastAsia="Times New Roman" w:hAnsi="Times New Roman" w:cs="Times New Roman"/>
          <w:b/>
        </w:rPr>
        <w:t xml:space="preserve"> D</w:t>
      </w:r>
      <w:r w:rsidR="009868AC" w:rsidRPr="00872293">
        <w:rPr>
          <w:rFonts w:ascii="Times New Roman" w:eastAsia="Times New Roman" w:hAnsi="Times New Roman" w:cs="Times New Roman"/>
          <w:b/>
        </w:rPr>
        <w:t xml:space="preserve">, </w:t>
      </w:r>
      <w:proofErr w:type="spellStart"/>
      <w:r w:rsidR="009868AC" w:rsidRPr="00872293">
        <w:rPr>
          <w:rFonts w:ascii="Times New Roman" w:eastAsia="Times New Roman" w:hAnsi="Times New Roman" w:cs="Times New Roman"/>
          <w:b/>
        </w:rPr>
        <w:t>Kazakou</w:t>
      </w:r>
      <w:proofErr w:type="spellEnd"/>
      <w:r w:rsidRPr="00872293">
        <w:rPr>
          <w:rFonts w:ascii="Times New Roman" w:eastAsia="Times New Roman" w:hAnsi="Times New Roman" w:cs="Times New Roman"/>
          <w:b/>
        </w:rPr>
        <w:t xml:space="preserve"> E</w:t>
      </w:r>
      <w:r w:rsidR="009868AC" w:rsidRPr="00872293">
        <w:rPr>
          <w:rFonts w:ascii="Times New Roman" w:eastAsia="Times New Roman" w:hAnsi="Times New Roman" w:cs="Times New Roman"/>
          <w:b/>
        </w:rPr>
        <w:t xml:space="preserve">, </w:t>
      </w:r>
      <w:proofErr w:type="spellStart"/>
      <w:r w:rsidR="009868AC" w:rsidRPr="00872293">
        <w:rPr>
          <w:rFonts w:ascii="Times New Roman" w:eastAsia="Times New Roman" w:hAnsi="Times New Roman" w:cs="Times New Roman"/>
          <w:b/>
        </w:rPr>
        <w:t>Fortunel</w:t>
      </w:r>
      <w:proofErr w:type="spellEnd"/>
      <w:r w:rsidRPr="00872293">
        <w:rPr>
          <w:rFonts w:ascii="Times New Roman" w:eastAsia="Times New Roman" w:hAnsi="Times New Roman" w:cs="Times New Roman"/>
          <w:b/>
        </w:rPr>
        <w:t xml:space="preserve"> C</w:t>
      </w:r>
      <w:r w:rsidR="009868AC" w:rsidRPr="00872293">
        <w:rPr>
          <w:rFonts w:ascii="Times New Roman" w:eastAsia="Times New Roman" w:hAnsi="Times New Roman" w:cs="Times New Roman"/>
          <w:b/>
        </w:rPr>
        <w:t>, Hummel</w:t>
      </w:r>
      <w:r w:rsidRPr="00872293">
        <w:rPr>
          <w:rFonts w:ascii="Times New Roman" w:eastAsia="Times New Roman" w:hAnsi="Times New Roman" w:cs="Times New Roman"/>
          <w:b/>
        </w:rPr>
        <w:t xml:space="preserve"> I,</w:t>
      </w:r>
      <w:r w:rsidR="009868AC" w:rsidRPr="00872293">
        <w:rPr>
          <w:rFonts w:ascii="Times New Roman" w:eastAsia="Times New Roman" w:hAnsi="Times New Roman" w:cs="Times New Roman"/>
          <w:b/>
        </w:rPr>
        <w:t xml:space="preserve"> Garnier</w:t>
      </w:r>
      <w:r w:rsidR="00925D30" w:rsidRPr="00872293">
        <w:rPr>
          <w:rFonts w:ascii="Times New Roman" w:eastAsia="Times New Roman" w:hAnsi="Times New Roman" w:cs="Times New Roman"/>
          <w:b/>
        </w:rPr>
        <w:t xml:space="preserve"> E</w:t>
      </w:r>
      <w:r w:rsidR="009868AC" w:rsidRPr="00872293">
        <w:rPr>
          <w:rFonts w:ascii="Times New Roman" w:eastAsia="Times New Roman" w:hAnsi="Times New Roman" w:cs="Times New Roman"/>
          <w:b/>
        </w:rPr>
        <w:t>. 2007.</w:t>
      </w:r>
      <w:r w:rsidR="009868AC" w:rsidRPr="00872293">
        <w:rPr>
          <w:rFonts w:ascii="Times New Roman" w:eastAsia="Times New Roman" w:hAnsi="Times New Roman" w:cs="Times New Roman"/>
        </w:rPr>
        <w:t xml:space="preserve"> Let the concept of trait be functional! </w:t>
      </w:r>
      <w:r w:rsidR="009868AC" w:rsidRPr="00872293">
        <w:rPr>
          <w:rFonts w:ascii="Times New Roman" w:eastAsia="Times New Roman" w:hAnsi="Times New Roman" w:cs="Times New Roman"/>
          <w:i/>
          <w:iCs/>
        </w:rPr>
        <w:t>Oikos</w:t>
      </w:r>
      <w:r w:rsidR="00E57929" w:rsidRPr="00872293">
        <w:rPr>
          <w:rFonts w:ascii="Times New Roman" w:eastAsia="Times New Roman" w:hAnsi="Times New Roman" w:cs="Times New Roman"/>
        </w:rPr>
        <w:t xml:space="preserve"> </w:t>
      </w:r>
      <w:r w:rsidR="00E57929" w:rsidRPr="00872293">
        <w:rPr>
          <w:rFonts w:ascii="Times New Roman" w:eastAsia="Times New Roman" w:hAnsi="Times New Roman" w:cs="Times New Roman"/>
          <w:b/>
        </w:rPr>
        <w:t>11</w:t>
      </w:r>
      <w:r w:rsidRPr="00872293">
        <w:rPr>
          <w:rFonts w:ascii="Times New Roman" w:eastAsia="Times New Roman" w:hAnsi="Times New Roman" w:cs="Times New Roman"/>
          <w:b/>
        </w:rPr>
        <w:t>6:</w:t>
      </w:r>
      <w:r w:rsidR="00E57929" w:rsidRPr="00872293">
        <w:rPr>
          <w:rFonts w:ascii="Times New Roman" w:eastAsia="Times New Roman" w:hAnsi="Times New Roman" w:cs="Times New Roman"/>
        </w:rPr>
        <w:t xml:space="preserve"> </w:t>
      </w:r>
      <w:r w:rsidR="00E57929" w:rsidRPr="00872293">
        <w:rPr>
          <w:rFonts w:ascii="Times New Roman" w:hAnsi="Times New Roman" w:cs="Times New Roman"/>
          <w:shd w:val="clear" w:color="auto" w:fill="FFFFFF"/>
        </w:rPr>
        <w:t>882-892.</w:t>
      </w:r>
    </w:p>
    <w:p w14:paraId="197F2EF1" w14:textId="77777777" w:rsidR="00734F6F" w:rsidRPr="00872293" w:rsidRDefault="00734F6F" w:rsidP="00933DE1">
      <w:pPr>
        <w:spacing w:before="100" w:beforeAutospacing="1" w:after="240" w:line="360" w:lineRule="auto"/>
        <w:rPr>
          <w:rFonts w:ascii="Times New Roman" w:hAnsi="Times New Roman" w:cs="Times New Roman"/>
        </w:rPr>
      </w:pPr>
      <w:r w:rsidRPr="00872293">
        <w:rPr>
          <w:rFonts w:ascii="Times New Roman" w:hAnsi="Times New Roman" w:cs="Times New Roman"/>
          <w:b/>
        </w:rPr>
        <w:t>Vogt K</w:t>
      </w:r>
      <w:r w:rsidR="00546D2D" w:rsidRPr="00872293">
        <w:rPr>
          <w:rFonts w:ascii="Times New Roman" w:hAnsi="Times New Roman" w:cs="Times New Roman"/>
          <w:b/>
        </w:rPr>
        <w:t>.</w:t>
      </w:r>
      <w:r w:rsidRPr="00872293">
        <w:rPr>
          <w:rFonts w:ascii="Times New Roman" w:hAnsi="Times New Roman" w:cs="Times New Roman"/>
          <w:b/>
        </w:rPr>
        <w:t xml:space="preserve"> Persson</w:t>
      </w:r>
      <w:r w:rsidR="008D2451" w:rsidRPr="00872293">
        <w:rPr>
          <w:rFonts w:ascii="Times New Roman" w:hAnsi="Times New Roman" w:cs="Times New Roman"/>
          <w:b/>
        </w:rPr>
        <w:t xml:space="preserve"> </w:t>
      </w:r>
      <w:r w:rsidRPr="00872293">
        <w:rPr>
          <w:rFonts w:ascii="Times New Roman" w:hAnsi="Times New Roman" w:cs="Times New Roman"/>
          <w:b/>
        </w:rPr>
        <w:t>H. 1991.</w:t>
      </w:r>
      <w:r w:rsidRPr="00872293">
        <w:rPr>
          <w:rFonts w:ascii="Times New Roman" w:hAnsi="Times New Roman" w:cs="Times New Roman"/>
        </w:rPr>
        <w:t xml:space="preserve"> Measuring growth and development of roots. </w:t>
      </w:r>
      <w:r w:rsidRPr="00872293">
        <w:rPr>
          <w:rFonts w:ascii="Times New Roman" w:hAnsi="Times New Roman" w:cs="Times New Roman"/>
          <w:iCs/>
        </w:rPr>
        <w:t xml:space="preserve">In </w:t>
      </w:r>
      <w:r w:rsidRPr="00872293">
        <w:rPr>
          <w:rFonts w:ascii="Times New Roman" w:hAnsi="Times New Roman" w:cs="Times New Roman"/>
        </w:rPr>
        <w:t xml:space="preserve">J. P. </w:t>
      </w:r>
      <w:proofErr w:type="spellStart"/>
      <w:r w:rsidRPr="00872293">
        <w:rPr>
          <w:rFonts w:ascii="Times New Roman" w:hAnsi="Times New Roman" w:cs="Times New Roman"/>
        </w:rPr>
        <w:t>Lassoie</w:t>
      </w:r>
      <w:proofErr w:type="spellEnd"/>
      <w:r w:rsidRPr="00872293">
        <w:rPr>
          <w:rFonts w:ascii="Times New Roman" w:hAnsi="Times New Roman" w:cs="Times New Roman"/>
        </w:rPr>
        <w:t xml:space="preserve">, and T. </w:t>
      </w:r>
      <w:proofErr w:type="spellStart"/>
      <w:r w:rsidRPr="00872293">
        <w:rPr>
          <w:rFonts w:ascii="Times New Roman" w:hAnsi="Times New Roman" w:cs="Times New Roman"/>
        </w:rPr>
        <w:t>Hineley</w:t>
      </w:r>
      <w:proofErr w:type="spellEnd"/>
      <w:r w:rsidR="00491D5B" w:rsidRPr="00872293">
        <w:rPr>
          <w:rFonts w:ascii="Times New Roman" w:hAnsi="Times New Roman" w:cs="Times New Roman"/>
        </w:rPr>
        <w:t xml:space="preserve"> </w:t>
      </w:r>
      <w:r w:rsidRPr="00872293">
        <w:rPr>
          <w:rFonts w:ascii="Times New Roman" w:hAnsi="Times New Roman" w:cs="Times New Roman"/>
        </w:rPr>
        <w:t xml:space="preserve">(Eds.). </w:t>
      </w:r>
      <w:r w:rsidRPr="00872293">
        <w:rPr>
          <w:rFonts w:ascii="Times New Roman" w:hAnsi="Times New Roman" w:cs="Times New Roman"/>
          <w:i/>
          <w:iCs/>
        </w:rPr>
        <w:t>Techniques and approaches in forest tree ecophysiology</w:t>
      </w:r>
      <w:r w:rsidR="00C04D68" w:rsidRPr="00872293">
        <w:rPr>
          <w:rFonts w:ascii="Times New Roman" w:hAnsi="Times New Roman" w:cs="Times New Roman"/>
        </w:rPr>
        <w:t xml:space="preserve"> (</w:t>
      </w:r>
      <w:r w:rsidRPr="00872293">
        <w:rPr>
          <w:rFonts w:ascii="Times New Roman" w:hAnsi="Times New Roman" w:cs="Times New Roman"/>
        </w:rPr>
        <w:t>pp 477-501</w:t>
      </w:r>
      <w:r w:rsidR="00C04D68" w:rsidRPr="00872293">
        <w:rPr>
          <w:rFonts w:ascii="Times New Roman" w:hAnsi="Times New Roman" w:cs="Times New Roman"/>
        </w:rPr>
        <w:t>)</w:t>
      </w:r>
      <w:r w:rsidRPr="00872293">
        <w:rPr>
          <w:rFonts w:ascii="Times New Roman" w:hAnsi="Times New Roman" w:cs="Times New Roman"/>
        </w:rPr>
        <w:t>. Florida</w:t>
      </w:r>
      <w:r w:rsidR="00C04D68" w:rsidRPr="00872293">
        <w:rPr>
          <w:rFonts w:ascii="Times New Roman" w:hAnsi="Times New Roman" w:cs="Times New Roman"/>
        </w:rPr>
        <w:t>: CRS Press, Inc.</w:t>
      </w:r>
    </w:p>
    <w:p w14:paraId="3F388DEC" w14:textId="77777777" w:rsidR="00734F6F" w:rsidRPr="00872293" w:rsidRDefault="008D2451" w:rsidP="00933DE1">
      <w:pPr>
        <w:spacing w:before="100" w:beforeAutospacing="1" w:after="240" w:line="360" w:lineRule="auto"/>
        <w:rPr>
          <w:rFonts w:ascii="Times New Roman" w:hAnsi="Times New Roman" w:cs="Times New Roman"/>
        </w:rPr>
      </w:pPr>
      <w:r w:rsidRPr="00872293">
        <w:rPr>
          <w:rFonts w:ascii="Times New Roman" w:hAnsi="Times New Roman" w:cs="Times New Roman"/>
          <w:b/>
        </w:rPr>
        <w:t>Vogt KA</w:t>
      </w:r>
      <w:r w:rsidR="00734F6F" w:rsidRPr="00872293">
        <w:rPr>
          <w:rFonts w:ascii="Times New Roman" w:hAnsi="Times New Roman" w:cs="Times New Roman"/>
          <w:b/>
        </w:rPr>
        <w:t>, Vogt</w:t>
      </w:r>
      <w:r w:rsidRPr="00872293">
        <w:rPr>
          <w:rFonts w:ascii="Times New Roman" w:hAnsi="Times New Roman" w:cs="Times New Roman"/>
          <w:b/>
        </w:rPr>
        <w:t xml:space="preserve"> DJ</w:t>
      </w:r>
      <w:r w:rsidR="00734F6F" w:rsidRPr="00872293">
        <w:rPr>
          <w:rFonts w:ascii="Times New Roman" w:hAnsi="Times New Roman" w:cs="Times New Roman"/>
          <w:b/>
        </w:rPr>
        <w:t xml:space="preserve">, </w:t>
      </w:r>
      <w:proofErr w:type="spellStart"/>
      <w:r w:rsidR="00734F6F" w:rsidRPr="00872293">
        <w:rPr>
          <w:rFonts w:ascii="Times New Roman" w:hAnsi="Times New Roman" w:cs="Times New Roman"/>
          <w:b/>
        </w:rPr>
        <w:t>Palmiotto</w:t>
      </w:r>
      <w:proofErr w:type="spellEnd"/>
      <w:r w:rsidRPr="00872293">
        <w:rPr>
          <w:rFonts w:ascii="Times New Roman" w:hAnsi="Times New Roman" w:cs="Times New Roman"/>
          <w:b/>
        </w:rPr>
        <w:t xml:space="preserve"> PA</w:t>
      </w:r>
      <w:r w:rsidR="00734F6F" w:rsidRPr="00872293">
        <w:rPr>
          <w:rFonts w:ascii="Times New Roman" w:hAnsi="Times New Roman" w:cs="Times New Roman"/>
          <w:b/>
        </w:rPr>
        <w:t>, Boon</w:t>
      </w:r>
      <w:r w:rsidRPr="00872293">
        <w:rPr>
          <w:rFonts w:ascii="Times New Roman" w:hAnsi="Times New Roman" w:cs="Times New Roman"/>
          <w:b/>
        </w:rPr>
        <w:t xml:space="preserve"> P</w:t>
      </w:r>
      <w:r w:rsidR="00734F6F" w:rsidRPr="00872293">
        <w:rPr>
          <w:rFonts w:ascii="Times New Roman" w:hAnsi="Times New Roman" w:cs="Times New Roman"/>
          <w:b/>
        </w:rPr>
        <w:t>, O’Hara</w:t>
      </w:r>
      <w:r w:rsidR="00B8468A" w:rsidRPr="00872293">
        <w:rPr>
          <w:rFonts w:ascii="Times New Roman" w:hAnsi="Times New Roman" w:cs="Times New Roman"/>
          <w:b/>
        </w:rPr>
        <w:t xml:space="preserve"> J</w:t>
      </w:r>
      <w:r w:rsidR="00734F6F" w:rsidRPr="00872293">
        <w:rPr>
          <w:rFonts w:ascii="Times New Roman" w:hAnsi="Times New Roman" w:cs="Times New Roman"/>
          <w:b/>
        </w:rPr>
        <w:t xml:space="preserve">, </w:t>
      </w:r>
      <w:proofErr w:type="spellStart"/>
      <w:r w:rsidR="00734F6F" w:rsidRPr="00872293">
        <w:rPr>
          <w:rFonts w:ascii="Times New Roman" w:hAnsi="Times New Roman" w:cs="Times New Roman"/>
          <w:b/>
        </w:rPr>
        <w:t>Asbjornsen</w:t>
      </w:r>
      <w:proofErr w:type="spellEnd"/>
      <w:r w:rsidR="00B8468A" w:rsidRPr="00872293">
        <w:rPr>
          <w:rFonts w:ascii="Times New Roman" w:hAnsi="Times New Roman" w:cs="Times New Roman"/>
          <w:b/>
        </w:rPr>
        <w:t xml:space="preserve"> </w:t>
      </w:r>
      <w:r w:rsidR="00D13FF3" w:rsidRPr="00872293">
        <w:rPr>
          <w:rFonts w:ascii="Times New Roman" w:hAnsi="Times New Roman" w:cs="Times New Roman"/>
          <w:b/>
        </w:rPr>
        <w:t>H</w:t>
      </w:r>
      <w:r w:rsidR="00734F6F" w:rsidRPr="00872293">
        <w:rPr>
          <w:rFonts w:ascii="Times New Roman" w:hAnsi="Times New Roman" w:cs="Times New Roman"/>
          <w:b/>
        </w:rPr>
        <w:t>. 1995.</w:t>
      </w:r>
      <w:r w:rsidR="00734F6F" w:rsidRPr="00872293">
        <w:rPr>
          <w:rFonts w:ascii="Times New Roman" w:hAnsi="Times New Roman" w:cs="Times New Roman"/>
        </w:rPr>
        <w:t xml:space="preserve"> Review of root dynamics in forest ecosystems grouped by climate, climatic forest type and species. </w:t>
      </w:r>
      <w:r w:rsidR="00734F6F" w:rsidRPr="00872293">
        <w:rPr>
          <w:rFonts w:ascii="Times New Roman" w:hAnsi="Times New Roman" w:cs="Times New Roman"/>
          <w:i/>
        </w:rPr>
        <w:t>Plant and Soil</w:t>
      </w:r>
      <w:r w:rsidR="00734F6F" w:rsidRPr="00872293">
        <w:rPr>
          <w:rFonts w:ascii="Times New Roman" w:hAnsi="Times New Roman" w:cs="Times New Roman"/>
        </w:rPr>
        <w:t xml:space="preserve"> </w:t>
      </w:r>
      <w:r w:rsidR="00734F6F" w:rsidRPr="00872293">
        <w:rPr>
          <w:rFonts w:ascii="Times New Roman" w:hAnsi="Times New Roman" w:cs="Times New Roman"/>
          <w:b/>
        </w:rPr>
        <w:t>18</w:t>
      </w:r>
      <w:r w:rsidR="00B8468A" w:rsidRPr="00872293">
        <w:rPr>
          <w:rFonts w:ascii="Times New Roman" w:hAnsi="Times New Roman" w:cs="Times New Roman"/>
          <w:b/>
        </w:rPr>
        <w:t xml:space="preserve">7: </w:t>
      </w:r>
      <w:r w:rsidR="00734F6F" w:rsidRPr="00872293">
        <w:rPr>
          <w:rFonts w:ascii="Times New Roman" w:hAnsi="Times New Roman" w:cs="Times New Roman"/>
        </w:rPr>
        <w:t>159-219.</w:t>
      </w:r>
    </w:p>
    <w:p w14:paraId="77A95D50" w14:textId="77777777" w:rsidR="00646989" w:rsidRPr="00872293" w:rsidRDefault="00B8468A" w:rsidP="00933DE1">
      <w:pPr>
        <w:spacing w:before="100" w:beforeAutospacing="1" w:after="240" w:line="360" w:lineRule="auto"/>
        <w:rPr>
          <w:rFonts w:ascii="Times New Roman" w:hAnsi="Times New Roman" w:cs="Times New Roman"/>
        </w:rPr>
      </w:pPr>
      <w:r w:rsidRPr="00872293">
        <w:rPr>
          <w:rFonts w:ascii="Times New Roman" w:hAnsi="Times New Roman" w:cs="Times New Roman"/>
          <w:b/>
        </w:rPr>
        <w:t>Warren JM</w:t>
      </w:r>
      <w:r w:rsidR="003A01E8" w:rsidRPr="00872293">
        <w:rPr>
          <w:rFonts w:ascii="Times New Roman" w:hAnsi="Times New Roman" w:cs="Times New Roman"/>
          <w:b/>
        </w:rPr>
        <w:t>, Hanson</w:t>
      </w:r>
      <w:r w:rsidRPr="00872293">
        <w:rPr>
          <w:rFonts w:ascii="Times New Roman" w:hAnsi="Times New Roman" w:cs="Times New Roman"/>
          <w:b/>
        </w:rPr>
        <w:t xml:space="preserve"> PJ</w:t>
      </w:r>
      <w:r w:rsidR="003A01E8" w:rsidRPr="00872293">
        <w:rPr>
          <w:rFonts w:ascii="Times New Roman" w:hAnsi="Times New Roman" w:cs="Times New Roman"/>
          <w:b/>
        </w:rPr>
        <w:t>, Iversen</w:t>
      </w:r>
      <w:r w:rsidRPr="00872293">
        <w:rPr>
          <w:rFonts w:ascii="Times New Roman" w:hAnsi="Times New Roman" w:cs="Times New Roman"/>
          <w:b/>
        </w:rPr>
        <w:t xml:space="preserve"> CM</w:t>
      </w:r>
      <w:r w:rsidR="003A01E8" w:rsidRPr="00872293">
        <w:rPr>
          <w:rFonts w:ascii="Times New Roman" w:hAnsi="Times New Roman" w:cs="Times New Roman"/>
          <w:b/>
        </w:rPr>
        <w:t>, Kumar</w:t>
      </w:r>
      <w:r w:rsidRPr="00872293">
        <w:rPr>
          <w:rFonts w:ascii="Times New Roman" w:hAnsi="Times New Roman" w:cs="Times New Roman"/>
          <w:b/>
        </w:rPr>
        <w:t xml:space="preserve"> J</w:t>
      </w:r>
      <w:r w:rsidR="003A01E8" w:rsidRPr="00872293">
        <w:rPr>
          <w:rFonts w:ascii="Times New Roman" w:hAnsi="Times New Roman" w:cs="Times New Roman"/>
          <w:b/>
        </w:rPr>
        <w:t>, Walker</w:t>
      </w:r>
      <w:r w:rsidRPr="00872293">
        <w:rPr>
          <w:rFonts w:ascii="Times New Roman" w:hAnsi="Times New Roman" w:cs="Times New Roman"/>
          <w:b/>
        </w:rPr>
        <w:t xml:space="preserve"> AP,</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Wullschleger</w:t>
      </w:r>
      <w:proofErr w:type="spellEnd"/>
      <w:r w:rsidRPr="00872293">
        <w:rPr>
          <w:rFonts w:ascii="Times New Roman" w:hAnsi="Times New Roman" w:cs="Times New Roman"/>
          <w:b/>
        </w:rPr>
        <w:t xml:space="preserve"> S</w:t>
      </w:r>
      <w:r w:rsidR="00063D10" w:rsidRPr="00872293">
        <w:rPr>
          <w:rFonts w:ascii="Times New Roman" w:hAnsi="Times New Roman" w:cs="Times New Roman"/>
          <w:b/>
        </w:rPr>
        <w:t>D</w:t>
      </w:r>
      <w:r w:rsidR="003A01E8" w:rsidRPr="00872293">
        <w:rPr>
          <w:rFonts w:ascii="Times New Roman" w:hAnsi="Times New Roman" w:cs="Times New Roman"/>
          <w:b/>
        </w:rPr>
        <w:t xml:space="preserve">. 2015. </w:t>
      </w:r>
      <w:r w:rsidR="003A01E8" w:rsidRPr="00872293">
        <w:rPr>
          <w:rFonts w:ascii="Times New Roman" w:hAnsi="Times New Roman" w:cs="Times New Roman"/>
        </w:rPr>
        <w:t xml:space="preserve">Root structural and functional dynamics in terrestrial biosphere models - evaluation and recommendations. </w:t>
      </w:r>
      <w:r w:rsidR="003A01E8" w:rsidRPr="00872293">
        <w:rPr>
          <w:rFonts w:ascii="Times New Roman" w:hAnsi="Times New Roman" w:cs="Times New Roman"/>
          <w:i/>
        </w:rPr>
        <w:t>New Phytol</w:t>
      </w:r>
      <w:r w:rsidR="00063D10" w:rsidRPr="00872293">
        <w:rPr>
          <w:rFonts w:ascii="Times New Roman" w:hAnsi="Times New Roman" w:cs="Times New Roman"/>
          <w:i/>
        </w:rPr>
        <w:t>ogist</w:t>
      </w:r>
      <w:r w:rsidR="003A01E8" w:rsidRPr="00872293">
        <w:rPr>
          <w:rFonts w:ascii="Times New Roman" w:hAnsi="Times New Roman" w:cs="Times New Roman"/>
        </w:rPr>
        <w:t xml:space="preserve"> </w:t>
      </w:r>
      <w:r w:rsidR="003A01E8" w:rsidRPr="00872293">
        <w:rPr>
          <w:rFonts w:ascii="Times New Roman" w:hAnsi="Times New Roman" w:cs="Times New Roman"/>
          <w:b/>
        </w:rPr>
        <w:t>20</w:t>
      </w:r>
      <w:r w:rsidRPr="00872293">
        <w:rPr>
          <w:rFonts w:ascii="Times New Roman" w:hAnsi="Times New Roman" w:cs="Times New Roman"/>
          <w:b/>
        </w:rPr>
        <w:t>5:</w:t>
      </w:r>
      <w:r w:rsidR="003A01E8" w:rsidRPr="00872293">
        <w:rPr>
          <w:rFonts w:ascii="Times New Roman" w:hAnsi="Times New Roman" w:cs="Times New Roman"/>
        </w:rPr>
        <w:t xml:space="preserve"> 59–78</w:t>
      </w:r>
    </w:p>
    <w:p w14:paraId="376DCA50" w14:textId="77777777" w:rsidR="00D4454E" w:rsidRPr="00872293" w:rsidRDefault="00D4454E" w:rsidP="00933DE1">
      <w:pPr>
        <w:spacing w:before="100" w:beforeAutospacing="1" w:after="240" w:line="360" w:lineRule="auto"/>
        <w:rPr>
          <w:rFonts w:ascii="Times New Roman" w:hAnsi="Times New Roman" w:cs="Times New Roman"/>
        </w:rPr>
      </w:pPr>
      <w:r w:rsidRPr="00872293">
        <w:rPr>
          <w:rFonts w:ascii="Times New Roman" w:hAnsi="Times New Roman" w:cs="Times New Roman"/>
          <w:b/>
          <w:shd w:val="clear" w:color="auto" w:fill="FFFFFF"/>
        </w:rPr>
        <w:t>Wari</w:t>
      </w:r>
      <w:r w:rsidR="00B8468A" w:rsidRPr="00872293">
        <w:rPr>
          <w:rFonts w:ascii="Times New Roman" w:hAnsi="Times New Roman" w:cs="Times New Roman"/>
          <w:b/>
          <w:shd w:val="clear" w:color="auto" w:fill="FFFFFF"/>
        </w:rPr>
        <w:t>ng B</w:t>
      </w:r>
      <w:r w:rsidR="00CD3F88" w:rsidRPr="00872293">
        <w:rPr>
          <w:rFonts w:ascii="Times New Roman" w:hAnsi="Times New Roman" w:cs="Times New Roman"/>
          <w:b/>
          <w:shd w:val="clear" w:color="auto" w:fill="FFFFFF"/>
        </w:rPr>
        <w:t>G, Powers J</w:t>
      </w:r>
      <w:r w:rsidR="00AD1F4A" w:rsidRPr="00872293">
        <w:rPr>
          <w:rFonts w:ascii="Times New Roman" w:hAnsi="Times New Roman" w:cs="Times New Roman"/>
          <w:b/>
          <w:shd w:val="clear" w:color="auto" w:fill="FFFFFF"/>
        </w:rPr>
        <w:t>S. 2017</w:t>
      </w:r>
      <w:r w:rsidRPr="00872293">
        <w:rPr>
          <w:rFonts w:ascii="Times New Roman" w:hAnsi="Times New Roman" w:cs="Times New Roman"/>
          <w:b/>
          <w:shd w:val="clear" w:color="auto" w:fill="FFFFFF"/>
        </w:rPr>
        <w:t>.</w:t>
      </w:r>
      <w:r w:rsidRPr="00872293">
        <w:rPr>
          <w:rFonts w:ascii="Times New Roman" w:hAnsi="Times New Roman" w:cs="Times New Roman"/>
          <w:shd w:val="clear" w:color="auto" w:fill="FFFFFF"/>
        </w:rPr>
        <w:t xml:space="preserve"> Overlooking what is underground: </w:t>
      </w:r>
      <w:proofErr w:type="spellStart"/>
      <w:r w:rsidRPr="00872293">
        <w:rPr>
          <w:rFonts w:ascii="Times New Roman" w:hAnsi="Times New Roman" w:cs="Times New Roman"/>
          <w:shd w:val="clear" w:color="auto" w:fill="FFFFFF"/>
        </w:rPr>
        <w:t>root:shoot</w:t>
      </w:r>
      <w:proofErr w:type="spellEnd"/>
      <w:r w:rsidRPr="00872293">
        <w:rPr>
          <w:rFonts w:ascii="Times New Roman" w:hAnsi="Times New Roman" w:cs="Times New Roman"/>
          <w:shd w:val="clear" w:color="auto" w:fill="FFFFFF"/>
        </w:rPr>
        <w:t xml:space="preserve"> ratios and coarse root allometric equations for tropical forests. </w:t>
      </w:r>
      <w:r w:rsidRPr="00872293">
        <w:rPr>
          <w:rFonts w:ascii="Times New Roman" w:hAnsi="Times New Roman" w:cs="Times New Roman"/>
          <w:i/>
          <w:iCs/>
          <w:shd w:val="clear" w:color="auto" w:fill="FFFFFF"/>
        </w:rPr>
        <w:t>Forest Ecology and Management</w:t>
      </w:r>
      <w:r w:rsidRPr="00872293">
        <w:rPr>
          <w:rFonts w:ascii="Times New Roman" w:hAnsi="Times New Roman" w:cs="Times New Roman"/>
          <w:shd w:val="clear" w:color="auto" w:fill="FFFFFF"/>
        </w:rPr>
        <w:t xml:space="preserve"> </w:t>
      </w:r>
      <w:r w:rsidRPr="00872293">
        <w:rPr>
          <w:rFonts w:ascii="Times New Roman" w:hAnsi="Times New Roman" w:cs="Times New Roman"/>
          <w:b/>
          <w:bCs/>
          <w:shd w:val="clear" w:color="auto" w:fill="FFFFFF"/>
        </w:rPr>
        <w:t>38</w:t>
      </w:r>
      <w:r w:rsidR="00CD3F88" w:rsidRPr="00872293">
        <w:rPr>
          <w:rFonts w:ascii="Times New Roman" w:hAnsi="Times New Roman" w:cs="Times New Roman"/>
          <w:b/>
          <w:bCs/>
          <w:shd w:val="clear" w:color="auto" w:fill="FFFFFF"/>
        </w:rPr>
        <w:t xml:space="preserve">5: </w:t>
      </w:r>
      <w:r w:rsidRPr="00872293">
        <w:rPr>
          <w:rFonts w:ascii="Times New Roman" w:hAnsi="Times New Roman" w:cs="Times New Roman"/>
          <w:shd w:val="clear" w:color="auto" w:fill="FFFFFF"/>
        </w:rPr>
        <w:t>10-15.</w:t>
      </w:r>
    </w:p>
    <w:p w14:paraId="09F72978" w14:textId="77777777" w:rsidR="004A6FFF" w:rsidRPr="00872293" w:rsidRDefault="00CD3F88" w:rsidP="00933DE1">
      <w:pPr>
        <w:spacing w:before="100" w:beforeAutospacing="1" w:after="240" w:line="360" w:lineRule="auto"/>
        <w:rPr>
          <w:rFonts w:ascii="Times New Roman" w:hAnsi="Times New Roman" w:cs="Times New Roman"/>
        </w:rPr>
      </w:pPr>
      <w:r w:rsidRPr="00872293">
        <w:rPr>
          <w:rFonts w:ascii="Times New Roman" w:hAnsi="Times New Roman" w:cs="Times New Roman"/>
          <w:b/>
        </w:rPr>
        <w:t>White DG,</w:t>
      </w:r>
      <w:r w:rsidR="00F8696C" w:rsidRPr="00872293">
        <w:rPr>
          <w:rFonts w:ascii="Times New Roman" w:hAnsi="Times New Roman" w:cs="Times New Roman"/>
          <w:b/>
        </w:rPr>
        <w:t xml:space="preserve"> </w:t>
      </w:r>
      <w:r w:rsidR="004A6FFF" w:rsidRPr="00872293">
        <w:rPr>
          <w:rFonts w:ascii="Times New Roman" w:hAnsi="Times New Roman" w:cs="Times New Roman"/>
          <w:b/>
        </w:rPr>
        <w:t>Childers</w:t>
      </w:r>
      <w:r w:rsidRPr="00872293">
        <w:rPr>
          <w:rFonts w:ascii="Times New Roman" w:hAnsi="Times New Roman" w:cs="Times New Roman"/>
          <w:b/>
        </w:rPr>
        <w:t xml:space="preserve"> N</w:t>
      </w:r>
      <w:r w:rsidR="00F8696C" w:rsidRPr="00872293">
        <w:rPr>
          <w:rFonts w:ascii="Times New Roman" w:hAnsi="Times New Roman" w:cs="Times New Roman"/>
          <w:b/>
        </w:rPr>
        <w:t>F</w:t>
      </w:r>
      <w:r w:rsidR="004A6FFF" w:rsidRPr="00872293">
        <w:rPr>
          <w:rFonts w:ascii="Times New Roman" w:hAnsi="Times New Roman" w:cs="Times New Roman"/>
          <w:b/>
        </w:rPr>
        <w:t>. 1945.</w:t>
      </w:r>
      <w:r w:rsidR="004A6FFF" w:rsidRPr="00872293">
        <w:rPr>
          <w:rFonts w:ascii="Times New Roman" w:hAnsi="Times New Roman" w:cs="Times New Roman"/>
        </w:rPr>
        <w:t xml:space="preserve"> Bamboo for controlling soil erosion. </w:t>
      </w:r>
      <w:r w:rsidR="004E5F5B" w:rsidRPr="00872293">
        <w:rPr>
          <w:rFonts w:ascii="Times New Roman" w:hAnsi="Times New Roman" w:cs="Times New Roman"/>
          <w:i/>
          <w:iCs/>
        </w:rPr>
        <w:t>Journal of the American Society of Agronomy</w:t>
      </w:r>
      <w:r w:rsidR="004E5F5B" w:rsidRPr="00872293">
        <w:rPr>
          <w:rFonts w:ascii="Times New Roman" w:hAnsi="Times New Roman" w:cs="Times New Roman"/>
        </w:rPr>
        <w:t xml:space="preserve"> 839-847.</w:t>
      </w:r>
    </w:p>
    <w:p w14:paraId="69FEA23B" w14:textId="77777777" w:rsidR="003A01E8" w:rsidRPr="00872293" w:rsidRDefault="00CD3F88" w:rsidP="00933DE1">
      <w:pPr>
        <w:spacing w:before="100" w:beforeAutospacing="1" w:after="240" w:line="360" w:lineRule="auto"/>
        <w:rPr>
          <w:rFonts w:ascii="Times New Roman" w:eastAsia="Times New Roman" w:hAnsi="Times New Roman" w:cs="Times New Roman"/>
        </w:rPr>
      </w:pPr>
      <w:r w:rsidRPr="00872293">
        <w:rPr>
          <w:rFonts w:ascii="Times New Roman" w:eastAsia="Times New Roman" w:hAnsi="Times New Roman" w:cs="Times New Roman"/>
          <w:b/>
        </w:rPr>
        <w:lastRenderedPageBreak/>
        <w:t>Whittaker R</w:t>
      </w:r>
      <w:r w:rsidR="003A01E8" w:rsidRPr="00872293">
        <w:rPr>
          <w:rFonts w:ascii="Times New Roman" w:eastAsia="Times New Roman" w:hAnsi="Times New Roman" w:cs="Times New Roman"/>
          <w:b/>
        </w:rPr>
        <w:t>H. 1954.</w:t>
      </w:r>
      <w:r w:rsidR="003A01E8" w:rsidRPr="00872293">
        <w:rPr>
          <w:rFonts w:ascii="Times New Roman" w:eastAsia="Times New Roman" w:hAnsi="Times New Roman" w:cs="Times New Roman"/>
        </w:rPr>
        <w:t xml:space="preserve"> The ecology of serpentine soils. IV. The vegetational response to serpentine soils. </w:t>
      </w:r>
      <w:r w:rsidR="003A01E8" w:rsidRPr="00872293">
        <w:rPr>
          <w:rFonts w:ascii="Times New Roman" w:eastAsia="Times New Roman" w:hAnsi="Times New Roman" w:cs="Times New Roman"/>
          <w:i/>
        </w:rPr>
        <w:t>Ecology</w:t>
      </w:r>
      <w:r w:rsidR="003A01E8" w:rsidRPr="00872293">
        <w:rPr>
          <w:rFonts w:ascii="Times New Roman" w:eastAsia="Times New Roman" w:hAnsi="Times New Roman" w:cs="Times New Roman"/>
        </w:rPr>
        <w:t xml:space="preserve"> </w:t>
      </w:r>
      <w:r w:rsidR="003A01E8" w:rsidRPr="00872293">
        <w:rPr>
          <w:rFonts w:ascii="Times New Roman" w:eastAsia="Times New Roman" w:hAnsi="Times New Roman" w:cs="Times New Roman"/>
          <w:b/>
        </w:rPr>
        <w:t>3</w:t>
      </w:r>
      <w:r w:rsidRPr="00872293">
        <w:rPr>
          <w:rFonts w:ascii="Times New Roman" w:eastAsia="Times New Roman" w:hAnsi="Times New Roman" w:cs="Times New Roman"/>
          <w:b/>
        </w:rPr>
        <w:t>5:</w:t>
      </w:r>
      <w:r w:rsidR="003A01E8" w:rsidRPr="00872293">
        <w:rPr>
          <w:rFonts w:ascii="Times New Roman" w:eastAsia="Times New Roman" w:hAnsi="Times New Roman" w:cs="Times New Roman"/>
        </w:rPr>
        <w:t xml:space="preserve"> 275-288.</w:t>
      </w:r>
    </w:p>
    <w:p w14:paraId="68A28FC4" w14:textId="0CEF0CAD" w:rsidR="00734F6F" w:rsidRPr="00872293" w:rsidRDefault="00CD3F88" w:rsidP="00933DE1">
      <w:pPr>
        <w:spacing w:before="100" w:beforeAutospacing="1" w:after="240" w:line="360" w:lineRule="auto"/>
        <w:rPr>
          <w:rFonts w:ascii="Times New Roman" w:eastAsia="Times New Roman" w:hAnsi="Times New Roman" w:cs="Times New Roman"/>
        </w:rPr>
      </w:pPr>
      <w:r w:rsidRPr="00872293">
        <w:rPr>
          <w:rFonts w:ascii="Times New Roman" w:hAnsi="Times New Roman" w:cs="Times New Roman"/>
          <w:b/>
        </w:rPr>
        <w:t>Wright SJ</w:t>
      </w:r>
      <w:r w:rsidR="00734F6F" w:rsidRPr="00872293">
        <w:rPr>
          <w:rFonts w:ascii="Times New Roman" w:hAnsi="Times New Roman" w:cs="Times New Roman"/>
          <w:b/>
        </w:rPr>
        <w:t xml:space="preserve">, </w:t>
      </w:r>
      <w:proofErr w:type="spellStart"/>
      <w:r w:rsidR="00734F6F" w:rsidRPr="00872293">
        <w:rPr>
          <w:rFonts w:ascii="Times New Roman" w:hAnsi="Times New Roman" w:cs="Times New Roman"/>
          <w:b/>
        </w:rPr>
        <w:t>Yavitt</w:t>
      </w:r>
      <w:proofErr w:type="spellEnd"/>
      <w:r w:rsidRPr="00872293">
        <w:rPr>
          <w:rFonts w:ascii="Times New Roman" w:hAnsi="Times New Roman" w:cs="Times New Roman"/>
          <w:b/>
        </w:rPr>
        <w:t xml:space="preserve"> JB</w:t>
      </w:r>
      <w:r w:rsidR="00734F6F" w:rsidRPr="00872293">
        <w:rPr>
          <w:rFonts w:ascii="Times New Roman" w:hAnsi="Times New Roman" w:cs="Times New Roman"/>
          <w:b/>
        </w:rPr>
        <w:t>, Wurzburger</w:t>
      </w:r>
      <w:r w:rsidRPr="00872293">
        <w:rPr>
          <w:rFonts w:ascii="Times New Roman" w:hAnsi="Times New Roman" w:cs="Times New Roman"/>
          <w:b/>
        </w:rPr>
        <w:t xml:space="preserve"> N</w:t>
      </w:r>
      <w:r w:rsidR="00734F6F" w:rsidRPr="00872293">
        <w:rPr>
          <w:rFonts w:ascii="Times New Roman" w:hAnsi="Times New Roman" w:cs="Times New Roman"/>
          <w:b/>
        </w:rPr>
        <w:t>, Turner</w:t>
      </w:r>
      <w:r w:rsidRPr="00872293">
        <w:rPr>
          <w:rFonts w:ascii="Times New Roman" w:hAnsi="Times New Roman" w:cs="Times New Roman"/>
          <w:b/>
        </w:rPr>
        <w:t xml:space="preserve"> BI</w:t>
      </w:r>
      <w:r w:rsidR="00734F6F" w:rsidRPr="00872293">
        <w:rPr>
          <w:rFonts w:ascii="Times New Roman" w:hAnsi="Times New Roman" w:cs="Times New Roman"/>
          <w:b/>
        </w:rPr>
        <w:t>, Tanner</w:t>
      </w:r>
      <w:r w:rsidRPr="00872293">
        <w:rPr>
          <w:rFonts w:ascii="Times New Roman" w:hAnsi="Times New Roman" w:cs="Times New Roman"/>
          <w:b/>
        </w:rPr>
        <w:t xml:space="preserve"> EVJ</w:t>
      </w:r>
      <w:r w:rsidR="00734F6F" w:rsidRPr="00872293">
        <w:rPr>
          <w:rFonts w:ascii="Times New Roman" w:hAnsi="Times New Roman" w:cs="Times New Roman"/>
          <w:b/>
        </w:rPr>
        <w:t>, Sayer</w:t>
      </w:r>
      <w:r w:rsidRPr="00872293">
        <w:rPr>
          <w:rFonts w:ascii="Times New Roman" w:hAnsi="Times New Roman" w:cs="Times New Roman"/>
          <w:b/>
        </w:rPr>
        <w:t xml:space="preserve"> EJ</w:t>
      </w:r>
      <w:r w:rsidR="00734F6F" w:rsidRPr="00872293">
        <w:rPr>
          <w:rFonts w:ascii="Times New Roman" w:hAnsi="Times New Roman" w:cs="Times New Roman"/>
          <w:b/>
        </w:rPr>
        <w:t>, Santiago</w:t>
      </w:r>
      <w:r w:rsidRPr="00872293">
        <w:rPr>
          <w:rFonts w:ascii="Times New Roman" w:hAnsi="Times New Roman" w:cs="Times New Roman"/>
          <w:b/>
        </w:rPr>
        <w:t xml:space="preserve"> LS</w:t>
      </w:r>
      <w:r w:rsidR="00734F6F" w:rsidRPr="00872293">
        <w:rPr>
          <w:rFonts w:ascii="Times New Roman" w:hAnsi="Times New Roman" w:cs="Times New Roman"/>
          <w:b/>
        </w:rPr>
        <w:t xml:space="preserve">, </w:t>
      </w:r>
      <w:proofErr w:type="spellStart"/>
      <w:r w:rsidR="00734F6F" w:rsidRPr="00872293">
        <w:rPr>
          <w:rFonts w:ascii="Times New Roman" w:hAnsi="Times New Roman" w:cs="Times New Roman"/>
          <w:b/>
        </w:rPr>
        <w:t>Kaspari</w:t>
      </w:r>
      <w:proofErr w:type="spellEnd"/>
      <w:r w:rsidRPr="00872293">
        <w:rPr>
          <w:rFonts w:ascii="Times New Roman" w:hAnsi="Times New Roman" w:cs="Times New Roman"/>
          <w:b/>
        </w:rPr>
        <w:t xml:space="preserve"> M</w:t>
      </w:r>
      <w:r w:rsidR="00734F6F" w:rsidRPr="00872293">
        <w:rPr>
          <w:rFonts w:ascii="Times New Roman" w:hAnsi="Times New Roman" w:cs="Times New Roman"/>
          <w:b/>
        </w:rPr>
        <w:t>, Hedin</w:t>
      </w:r>
      <w:r w:rsidRPr="00872293">
        <w:rPr>
          <w:rFonts w:ascii="Times New Roman" w:hAnsi="Times New Roman" w:cs="Times New Roman"/>
          <w:b/>
        </w:rPr>
        <w:t xml:space="preserve"> LO</w:t>
      </w:r>
      <w:r w:rsidR="00734F6F" w:rsidRPr="00872293">
        <w:rPr>
          <w:rFonts w:ascii="Times New Roman" w:hAnsi="Times New Roman" w:cs="Times New Roman"/>
          <w:b/>
        </w:rPr>
        <w:t>, Harms</w:t>
      </w:r>
      <w:r w:rsidRPr="00872293">
        <w:rPr>
          <w:rFonts w:ascii="Times New Roman" w:hAnsi="Times New Roman" w:cs="Times New Roman"/>
          <w:b/>
        </w:rPr>
        <w:t xml:space="preserve"> KE</w:t>
      </w:r>
      <w:r w:rsidR="00734F6F" w:rsidRPr="00872293">
        <w:rPr>
          <w:rFonts w:ascii="Times New Roman" w:hAnsi="Times New Roman" w:cs="Times New Roman"/>
          <w:b/>
        </w:rPr>
        <w:t xml:space="preserve">, </w:t>
      </w:r>
      <w:r w:rsidR="00DF3480" w:rsidRPr="00872293">
        <w:rPr>
          <w:rFonts w:ascii="Times New Roman" w:hAnsi="Times New Roman" w:cs="Times New Roman"/>
          <w:b/>
          <w:i/>
          <w:iCs/>
        </w:rPr>
        <w:t>et al</w:t>
      </w:r>
      <w:r w:rsidR="00734F6F" w:rsidRPr="00872293">
        <w:rPr>
          <w:rFonts w:ascii="Times New Roman" w:hAnsi="Times New Roman" w:cs="Times New Roman"/>
          <w:b/>
          <w:i/>
          <w:iCs/>
        </w:rPr>
        <w:t>.</w:t>
      </w:r>
      <w:r w:rsidR="00734F6F" w:rsidRPr="00872293">
        <w:rPr>
          <w:rFonts w:ascii="Times New Roman" w:hAnsi="Times New Roman" w:cs="Times New Roman"/>
          <w:b/>
        </w:rPr>
        <w:t xml:space="preserve"> 2011.</w:t>
      </w:r>
      <w:r w:rsidR="00734F6F" w:rsidRPr="00872293">
        <w:rPr>
          <w:rFonts w:ascii="Times New Roman" w:hAnsi="Times New Roman" w:cs="Times New Roman"/>
        </w:rPr>
        <w:t xml:space="preserve"> Potassium, phosphorus, or nitrogen limit root allocation, tree growth, or litter production in a lowland tropical forest. </w:t>
      </w:r>
      <w:r w:rsidR="00734F6F" w:rsidRPr="00872293">
        <w:rPr>
          <w:rFonts w:ascii="Times New Roman" w:hAnsi="Times New Roman" w:cs="Times New Roman"/>
          <w:i/>
        </w:rPr>
        <w:t>Ecology</w:t>
      </w:r>
      <w:r w:rsidR="00734F6F" w:rsidRPr="00872293">
        <w:rPr>
          <w:rFonts w:ascii="Times New Roman" w:hAnsi="Times New Roman" w:cs="Times New Roman"/>
        </w:rPr>
        <w:t xml:space="preserve"> </w:t>
      </w:r>
      <w:r w:rsidR="00734F6F" w:rsidRPr="00872293">
        <w:rPr>
          <w:rFonts w:ascii="Times New Roman" w:hAnsi="Times New Roman" w:cs="Times New Roman"/>
          <w:b/>
        </w:rPr>
        <w:t>9</w:t>
      </w:r>
      <w:r w:rsidRPr="00872293">
        <w:rPr>
          <w:rFonts w:ascii="Times New Roman" w:hAnsi="Times New Roman" w:cs="Times New Roman"/>
          <w:b/>
        </w:rPr>
        <w:t xml:space="preserve">2: </w:t>
      </w:r>
      <w:r w:rsidR="00734F6F" w:rsidRPr="00872293">
        <w:rPr>
          <w:rFonts w:ascii="Times New Roman" w:hAnsi="Times New Roman" w:cs="Times New Roman"/>
        </w:rPr>
        <w:t>1616–1625.</w:t>
      </w:r>
    </w:p>
    <w:p w14:paraId="3F724658" w14:textId="77777777" w:rsidR="003A01E8" w:rsidRPr="00872293" w:rsidRDefault="00CD3F88" w:rsidP="00933DE1">
      <w:pPr>
        <w:spacing w:after="240" w:line="360" w:lineRule="auto"/>
        <w:rPr>
          <w:rFonts w:ascii="Times New Roman" w:hAnsi="Times New Roman" w:cs="Times New Roman"/>
        </w:rPr>
      </w:pPr>
      <w:r w:rsidRPr="00872293">
        <w:rPr>
          <w:rFonts w:ascii="Times New Roman" w:hAnsi="Times New Roman" w:cs="Times New Roman"/>
          <w:b/>
        </w:rPr>
        <w:t>Xia M</w:t>
      </w:r>
      <w:r w:rsidR="003A01E8" w:rsidRPr="00872293">
        <w:rPr>
          <w:rFonts w:ascii="Times New Roman" w:hAnsi="Times New Roman" w:cs="Times New Roman"/>
          <w:b/>
        </w:rPr>
        <w:t>, Guo</w:t>
      </w:r>
      <w:r w:rsidRPr="00872293">
        <w:rPr>
          <w:rFonts w:ascii="Times New Roman" w:hAnsi="Times New Roman" w:cs="Times New Roman"/>
          <w:b/>
        </w:rPr>
        <w:t xml:space="preserve"> D,</w:t>
      </w:r>
      <w:r w:rsidR="003A01E8" w:rsidRPr="00872293">
        <w:rPr>
          <w:rFonts w:ascii="Times New Roman" w:hAnsi="Times New Roman" w:cs="Times New Roman"/>
          <w:b/>
        </w:rPr>
        <w:t xml:space="preserve"> </w:t>
      </w:r>
      <w:proofErr w:type="spellStart"/>
      <w:r w:rsidR="003A01E8" w:rsidRPr="00872293">
        <w:rPr>
          <w:rFonts w:ascii="Times New Roman" w:hAnsi="Times New Roman" w:cs="Times New Roman"/>
          <w:b/>
        </w:rPr>
        <w:t>Pregitzer</w:t>
      </w:r>
      <w:proofErr w:type="spellEnd"/>
      <w:r w:rsidRPr="00872293">
        <w:rPr>
          <w:rFonts w:ascii="Times New Roman" w:hAnsi="Times New Roman" w:cs="Times New Roman"/>
          <w:b/>
        </w:rPr>
        <w:t xml:space="preserve"> K</w:t>
      </w:r>
      <w:r w:rsidR="00357093" w:rsidRPr="00872293">
        <w:rPr>
          <w:rFonts w:ascii="Times New Roman" w:hAnsi="Times New Roman" w:cs="Times New Roman"/>
          <w:b/>
        </w:rPr>
        <w:t>S</w:t>
      </w:r>
      <w:r w:rsidR="003A01E8" w:rsidRPr="00872293">
        <w:rPr>
          <w:rFonts w:ascii="Times New Roman" w:hAnsi="Times New Roman" w:cs="Times New Roman"/>
          <w:b/>
        </w:rPr>
        <w:t>. 2010.</w:t>
      </w:r>
      <w:r w:rsidR="003A01E8" w:rsidRPr="00872293">
        <w:rPr>
          <w:rFonts w:ascii="Times New Roman" w:hAnsi="Times New Roman" w:cs="Times New Roman"/>
        </w:rPr>
        <w:t xml:space="preserve"> Ephemeral root modules in Fraxinus </w:t>
      </w:r>
      <w:proofErr w:type="spellStart"/>
      <w:r w:rsidR="003A01E8" w:rsidRPr="00872293">
        <w:rPr>
          <w:rFonts w:ascii="Times New Roman" w:hAnsi="Times New Roman" w:cs="Times New Roman"/>
        </w:rPr>
        <w:t>mandshurica</w:t>
      </w:r>
      <w:proofErr w:type="spellEnd"/>
      <w:r w:rsidR="003A01E8" w:rsidRPr="00872293">
        <w:rPr>
          <w:rFonts w:ascii="Times New Roman" w:hAnsi="Times New Roman" w:cs="Times New Roman"/>
        </w:rPr>
        <w:t xml:space="preserve">. </w:t>
      </w:r>
      <w:r w:rsidR="003A01E8" w:rsidRPr="00872293">
        <w:rPr>
          <w:rFonts w:ascii="Times New Roman" w:hAnsi="Times New Roman" w:cs="Times New Roman"/>
          <w:i/>
        </w:rPr>
        <w:t>New Phytol</w:t>
      </w:r>
      <w:r w:rsidR="00357093" w:rsidRPr="00872293">
        <w:rPr>
          <w:rFonts w:ascii="Times New Roman" w:hAnsi="Times New Roman" w:cs="Times New Roman"/>
          <w:i/>
        </w:rPr>
        <w:t>ogist</w:t>
      </w:r>
      <w:r w:rsidRPr="00872293">
        <w:rPr>
          <w:rFonts w:ascii="Times New Roman" w:hAnsi="Times New Roman" w:cs="Times New Roman"/>
          <w:i/>
        </w:rPr>
        <w:t xml:space="preserve"> </w:t>
      </w:r>
      <w:r w:rsidR="003A01E8" w:rsidRPr="00872293">
        <w:rPr>
          <w:rFonts w:ascii="Times New Roman" w:hAnsi="Times New Roman" w:cs="Times New Roman"/>
          <w:b/>
        </w:rPr>
        <w:t>18</w:t>
      </w:r>
      <w:r w:rsidRPr="00872293">
        <w:rPr>
          <w:rFonts w:ascii="Times New Roman" w:hAnsi="Times New Roman" w:cs="Times New Roman"/>
          <w:b/>
        </w:rPr>
        <w:t>8:</w:t>
      </w:r>
      <w:r w:rsidR="003A01E8" w:rsidRPr="00872293">
        <w:rPr>
          <w:rFonts w:ascii="Times New Roman" w:hAnsi="Times New Roman" w:cs="Times New Roman"/>
        </w:rPr>
        <w:t xml:space="preserve"> 1065–1074.</w:t>
      </w:r>
    </w:p>
    <w:p w14:paraId="1E016647" w14:textId="77777777" w:rsidR="006A235E" w:rsidRPr="00872293" w:rsidRDefault="006A235E" w:rsidP="00933DE1">
      <w:pPr>
        <w:spacing w:after="240" w:line="360" w:lineRule="auto"/>
        <w:rPr>
          <w:rFonts w:ascii="Times New Roman" w:hAnsi="Times New Roman" w:cs="Times New Roman"/>
          <w:lang w:val="pt-BR"/>
        </w:rPr>
      </w:pPr>
      <w:r w:rsidRPr="00872293">
        <w:rPr>
          <w:rFonts w:ascii="Times New Roman" w:hAnsi="Times New Roman" w:cs="Times New Roman"/>
        </w:rPr>
        <w:t xml:space="preserve">[dataset] </w:t>
      </w:r>
      <w:r w:rsidR="00AD1F4A" w:rsidRPr="00872293">
        <w:rPr>
          <w:rFonts w:ascii="Times New Roman" w:hAnsi="Times New Roman" w:cs="Times New Roman"/>
          <w:b/>
          <w:shd w:val="clear" w:color="auto" w:fill="FFFFFF"/>
        </w:rPr>
        <w:t>Yaffar D. 2020</w:t>
      </w:r>
      <w:r w:rsidRPr="00872293">
        <w:rPr>
          <w:rFonts w:ascii="Times New Roman" w:hAnsi="Times New Roman" w:cs="Times New Roman"/>
          <w:b/>
          <w:shd w:val="clear" w:color="auto" w:fill="FFFFFF"/>
        </w:rPr>
        <w:t>.</w:t>
      </w:r>
      <w:r w:rsidRPr="00872293">
        <w:rPr>
          <w:rFonts w:ascii="Times New Roman" w:hAnsi="Times New Roman" w:cs="Times New Roman"/>
          <w:shd w:val="clear" w:color="auto" w:fill="FFFFFF"/>
        </w:rPr>
        <w:t xml:space="preserve"> Root production Minirhizotron analysis from the TRACE_PR plot in </w:t>
      </w:r>
      <w:proofErr w:type="spellStart"/>
      <w:r w:rsidRPr="00872293">
        <w:rPr>
          <w:rFonts w:ascii="Times New Roman" w:hAnsi="Times New Roman" w:cs="Times New Roman"/>
          <w:shd w:val="clear" w:color="auto" w:fill="FFFFFF"/>
        </w:rPr>
        <w:t>Sabana</w:t>
      </w:r>
      <w:proofErr w:type="spellEnd"/>
      <w:r w:rsidRPr="00872293">
        <w:rPr>
          <w:rFonts w:ascii="Times New Roman" w:hAnsi="Times New Roman" w:cs="Times New Roman"/>
          <w:shd w:val="clear" w:color="auto" w:fill="FFFFFF"/>
        </w:rPr>
        <w:t xml:space="preserve">, Puerto Rico. </w:t>
      </w:r>
      <w:r w:rsidRPr="00872293">
        <w:rPr>
          <w:rFonts w:ascii="Times New Roman" w:hAnsi="Times New Roman" w:cs="Times New Roman"/>
          <w:shd w:val="clear" w:color="auto" w:fill="FFFFFF"/>
          <w:lang w:val="pt-BR"/>
        </w:rPr>
        <w:t xml:space="preserve">NGEE Tropics Data Collection. </w:t>
      </w:r>
      <w:hyperlink r:id="rId18" w:history="1">
        <w:r w:rsidRPr="00872293">
          <w:rPr>
            <w:rStyle w:val="Hyperlink"/>
            <w:rFonts w:ascii="Times New Roman" w:hAnsi="Times New Roman" w:cs="Times New Roman"/>
            <w:color w:val="auto"/>
            <w:lang w:val="pt-BR"/>
          </w:rPr>
          <w:t>http://dx.doi.org/10.15486/ngt/1582598</w:t>
        </w:r>
      </w:hyperlink>
      <w:r w:rsidRPr="00872293">
        <w:rPr>
          <w:rFonts w:ascii="Times New Roman" w:hAnsi="Times New Roman" w:cs="Times New Roman"/>
          <w:shd w:val="clear" w:color="auto" w:fill="FFFFFF"/>
          <w:lang w:val="pt-BR"/>
        </w:rPr>
        <w:t>.</w:t>
      </w:r>
    </w:p>
    <w:p w14:paraId="36BD7022" w14:textId="77777777" w:rsidR="000B2B35" w:rsidRPr="00872293" w:rsidRDefault="00B879B3" w:rsidP="00933DE1">
      <w:pPr>
        <w:spacing w:after="240" w:line="360" w:lineRule="auto"/>
        <w:rPr>
          <w:rFonts w:ascii="Times New Roman" w:hAnsi="Times New Roman" w:cs="Times New Roman"/>
        </w:rPr>
      </w:pPr>
      <w:r w:rsidRPr="00872293">
        <w:rPr>
          <w:rFonts w:ascii="Times New Roman" w:hAnsi="Times New Roman" w:cs="Times New Roman"/>
          <w:lang w:val="pt-BR"/>
        </w:rPr>
        <w:t>[dataset]</w:t>
      </w:r>
      <w:r w:rsidR="003B7578" w:rsidRPr="00872293">
        <w:rPr>
          <w:rFonts w:ascii="Times New Roman" w:hAnsi="Times New Roman" w:cs="Times New Roman"/>
          <w:lang w:val="pt-BR"/>
        </w:rPr>
        <w:t xml:space="preserve"> </w:t>
      </w:r>
      <w:r w:rsidR="00CD3F88" w:rsidRPr="00872293">
        <w:rPr>
          <w:rFonts w:ascii="Times New Roman" w:hAnsi="Times New Roman" w:cs="Times New Roman"/>
          <w:b/>
          <w:lang w:val="pt-BR"/>
        </w:rPr>
        <w:t>Yaffar D, Lugo AE, Cuevas E</w:t>
      </w:r>
      <w:r w:rsidR="00491D5B" w:rsidRPr="00872293">
        <w:rPr>
          <w:rFonts w:ascii="Times New Roman" w:hAnsi="Times New Roman" w:cs="Times New Roman"/>
          <w:b/>
          <w:lang w:val="pt-BR"/>
        </w:rPr>
        <w:t>, Sil</w:t>
      </w:r>
      <w:r w:rsidR="00CD3F88" w:rsidRPr="00872293">
        <w:rPr>
          <w:rFonts w:ascii="Times New Roman" w:hAnsi="Times New Roman" w:cs="Times New Roman"/>
          <w:b/>
          <w:lang w:val="pt-BR"/>
        </w:rPr>
        <w:t>ver WL, Molina Colón</w:t>
      </w:r>
      <w:r w:rsidR="00AD1F4A" w:rsidRPr="00872293">
        <w:rPr>
          <w:rFonts w:ascii="Times New Roman" w:hAnsi="Times New Roman" w:cs="Times New Roman"/>
          <w:b/>
          <w:lang w:val="pt-BR"/>
        </w:rPr>
        <w:t xml:space="preserve"> S. </w:t>
      </w:r>
      <w:r w:rsidR="002010DB" w:rsidRPr="00872293">
        <w:rPr>
          <w:rFonts w:ascii="Times New Roman" w:hAnsi="Times New Roman" w:cs="Times New Roman"/>
          <w:b/>
          <w:lang w:val="pt-BR"/>
        </w:rPr>
        <w:t>2019</w:t>
      </w:r>
      <w:r w:rsidR="00491D5B" w:rsidRPr="00872293">
        <w:rPr>
          <w:rFonts w:ascii="Times New Roman" w:hAnsi="Times New Roman" w:cs="Times New Roman"/>
          <w:b/>
          <w:lang w:val="pt-BR"/>
        </w:rPr>
        <w:t>.</w:t>
      </w:r>
      <w:r w:rsidR="002010DB" w:rsidRPr="00872293">
        <w:rPr>
          <w:rFonts w:ascii="Times New Roman" w:hAnsi="Times New Roman" w:cs="Times New Roman"/>
          <w:lang w:val="pt-BR"/>
        </w:rPr>
        <w:t xml:space="preserve"> </w:t>
      </w:r>
      <w:r w:rsidR="002010DB" w:rsidRPr="00872293">
        <w:rPr>
          <w:rFonts w:ascii="Times New Roman" w:hAnsi="Times New Roman" w:cs="Times New Roman"/>
        </w:rPr>
        <w:t xml:space="preserve">Plant trait measurements raw data, 1962-2018, Island of Puerto Rico. 1.0. NGEE Tropics Data Collection. </w:t>
      </w:r>
      <w:hyperlink r:id="rId19" w:history="1">
        <w:r w:rsidR="000B2B35" w:rsidRPr="00872293">
          <w:rPr>
            <w:rStyle w:val="Hyperlink"/>
            <w:rFonts w:ascii="Times New Roman" w:hAnsi="Times New Roman" w:cs="Times New Roman"/>
            <w:color w:val="auto"/>
          </w:rPr>
          <w:t>http://dx.doi.org/10.15486/ngt/1558773</w:t>
        </w:r>
      </w:hyperlink>
    </w:p>
    <w:p w14:paraId="1C83A6FD" w14:textId="77777777" w:rsidR="00F02F99" w:rsidRPr="00872293" w:rsidRDefault="00F02F99" w:rsidP="00BE331C">
      <w:pPr>
        <w:spacing w:after="240" w:line="360" w:lineRule="auto"/>
        <w:ind w:left="576" w:hanging="720"/>
        <w:rPr>
          <w:rFonts w:ascii="Times New Roman" w:hAnsi="Times New Roman" w:cs="Times New Roman"/>
        </w:rPr>
      </w:pPr>
    </w:p>
    <w:p w14:paraId="01A9FB33" w14:textId="77777777" w:rsidR="00BB3A48" w:rsidRPr="00872293" w:rsidRDefault="00BB3A48" w:rsidP="003C456F">
      <w:pPr>
        <w:spacing w:after="240" w:line="360" w:lineRule="auto"/>
        <w:rPr>
          <w:rFonts w:ascii="Times New Roman" w:eastAsia="Times New Roman" w:hAnsi="Times New Roman" w:cs="Times New Roman"/>
        </w:rPr>
      </w:pPr>
      <w:r w:rsidRPr="00872293">
        <w:rPr>
          <w:rFonts w:ascii="Times New Roman" w:eastAsia="Times New Roman" w:hAnsi="Times New Roman" w:cs="Times New Roman"/>
        </w:rPr>
        <w:br w:type="page"/>
      </w:r>
    </w:p>
    <w:p w14:paraId="71168B59" w14:textId="77777777" w:rsidR="00731636" w:rsidRPr="00872293" w:rsidRDefault="00606E40" w:rsidP="00B849D5">
      <w:pPr>
        <w:pStyle w:val="Heading2"/>
        <w:spacing w:before="0" w:after="0" w:line="360" w:lineRule="auto"/>
      </w:pPr>
      <w:bookmarkStart w:id="37" w:name="_Toc53689072"/>
      <w:r w:rsidRPr="00872293">
        <w:lastRenderedPageBreak/>
        <w:t>Appendix</w:t>
      </w:r>
      <w:bookmarkEnd w:id="37"/>
    </w:p>
    <w:p w14:paraId="08ECBB8A" w14:textId="61A7E2FD" w:rsidR="00731636" w:rsidRPr="00872293" w:rsidRDefault="000C511B" w:rsidP="00B849D5">
      <w:pPr>
        <w:pStyle w:val="Caption"/>
        <w:spacing w:before="240" w:after="240"/>
        <w:rPr>
          <w:rFonts w:ascii="Times New Roman" w:hAnsi="Times New Roman" w:cs="Times New Roman"/>
          <w:color w:val="auto"/>
          <w:sz w:val="24"/>
          <w:szCs w:val="24"/>
        </w:rPr>
      </w:pPr>
      <w:bookmarkStart w:id="38" w:name="_Toc53755743"/>
      <w:r w:rsidRPr="00872293">
        <w:rPr>
          <w:rFonts w:ascii="Times New Roman" w:hAnsi="Times New Roman" w:cs="Times New Roman"/>
          <w:color w:val="auto"/>
          <w:sz w:val="24"/>
          <w:szCs w:val="24"/>
        </w:rPr>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1</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Total root biomass (</w:t>
      </w:r>
      <w:proofErr w:type="spellStart"/>
      <w:r w:rsidRPr="00872293">
        <w:rPr>
          <w:rFonts w:ascii="Times New Roman" w:hAnsi="Times New Roman" w:cs="Times New Roman"/>
          <w:color w:val="auto"/>
          <w:sz w:val="24"/>
          <w:szCs w:val="24"/>
        </w:rPr>
        <w:t>fine+coarse</w:t>
      </w:r>
      <w:proofErr w:type="spellEnd"/>
      <w:r w:rsidRPr="00872293">
        <w:rPr>
          <w:rFonts w:ascii="Times New Roman" w:hAnsi="Times New Roman" w:cs="Times New Roman"/>
          <w:color w:val="auto"/>
          <w:sz w:val="24"/>
          <w:szCs w:val="24"/>
        </w:rPr>
        <w:t>) by depth, forest type, and site. This data is a compilation of studies (each chapter/author) from Lugo (1983).</w:t>
      </w:r>
      <w:bookmarkEnd w:id="38"/>
    </w:p>
    <w:tbl>
      <w:tblPr>
        <w:tblW w:w="9350" w:type="dxa"/>
        <w:tblLayout w:type="fixed"/>
        <w:tblLook w:val="04A0" w:firstRow="1" w:lastRow="0" w:firstColumn="1" w:lastColumn="0" w:noHBand="0" w:noVBand="1"/>
      </w:tblPr>
      <w:tblGrid>
        <w:gridCol w:w="869"/>
        <w:gridCol w:w="843"/>
        <w:gridCol w:w="1403"/>
        <w:gridCol w:w="1229"/>
        <w:gridCol w:w="1430"/>
        <w:gridCol w:w="963"/>
        <w:gridCol w:w="843"/>
        <w:gridCol w:w="1043"/>
        <w:gridCol w:w="727"/>
      </w:tblGrid>
      <w:tr w:rsidR="00872293" w:rsidRPr="00872293" w14:paraId="7BC5CBB8" w14:textId="77777777" w:rsidTr="001F1294">
        <w:trPr>
          <w:trHeight w:val="900"/>
        </w:trPr>
        <w:tc>
          <w:tcPr>
            <w:tcW w:w="869" w:type="dxa"/>
            <w:tcBorders>
              <w:top w:val="single" w:sz="4" w:space="0" w:color="auto"/>
              <w:left w:val="single" w:sz="4" w:space="0" w:color="auto"/>
              <w:bottom w:val="single" w:sz="4" w:space="0" w:color="auto"/>
              <w:right w:val="nil"/>
            </w:tcBorders>
            <w:shd w:val="clear" w:color="auto" w:fill="auto"/>
            <w:vAlign w:val="center"/>
            <w:hideMark/>
          </w:tcPr>
          <w:p w14:paraId="2B680030"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Forest</w:t>
            </w:r>
          </w:p>
        </w:tc>
        <w:tc>
          <w:tcPr>
            <w:tcW w:w="843" w:type="dxa"/>
            <w:tcBorders>
              <w:top w:val="single" w:sz="4" w:space="0" w:color="auto"/>
              <w:left w:val="nil"/>
              <w:bottom w:val="single" w:sz="4" w:space="0" w:color="auto"/>
              <w:right w:val="nil"/>
            </w:tcBorders>
            <w:shd w:val="clear" w:color="auto" w:fill="auto"/>
            <w:vAlign w:val="center"/>
            <w:hideMark/>
          </w:tcPr>
          <w:p w14:paraId="4FDC0DD3" w14:textId="77777777" w:rsidR="002E4495" w:rsidRPr="00872293" w:rsidRDefault="002E4495" w:rsidP="002E4495">
            <w:pPr>
              <w:jc w:val="center"/>
              <w:rPr>
                <w:rFonts w:ascii="Times New Roman" w:eastAsia="Times New Roman" w:hAnsi="Times New Roman" w:cs="Times New Roman"/>
                <w:b/>
                <w:bCs/>
                <w:sz w:val="22"/>
                <w:szCs w:val="22"/>
              </w:rPr>
            </w:pPr>
            <w:proofErr w:type="spellStart"/>
            <w:r w:rsidRPr="00872293">
              <w:rPr>
                <w:rFonts w:ascii="Times New Roman" w:eastAsia="Times New Roman" w:hAnsi="Times New Roman" w:cs="Times New Roman"/>
                <w:b/>
                <w:bCs/>
                <w:sz w:val="22"/>
                <w:szCs w:val="22"/>
              </w:rPr>
              <w:t>MAP</w:t>
            </w:r>
            <w:r w:rsidRPr="00872293">
              <w:rPr>
                <w:rFonts w:ascii="Times New Roman" w:eastAsia="Times New Roman" w:hAnsi="Times New Roman" w:cs="Times New Roman"/>
                <w:b/>
                <w:bCs/>
                <w:sz w:val="22"/>
                <w:szCs w:val="22"/>
                <w:vertAlign w:val="superscript"/>
              </w:rPr>
              <w:t>a</w:t>
            </w:r>
            <w:proofErr w:type="spellEnd"/>
            <w:r w:rsidRPr="00872293">
              <w:rPr>
                <w:rFonts w:ascii="Times New Roman" w:eastAsia="Times New Roman" w:hAnsi="Times New Roman" w:cs="Times New Roman"/>
                <w:b/>
                <w:bCs/>
                <w:sz w:val="22"/>
                <w:szCs w:val="22"/>
              </w:rPr>
              <w:t xml:space="preserve"> (mm)</w:t>
            </w:r>
          </w:p>
        </w:tc>
        <w:tc>
          <w:tcPr>
            <w:tcW w:w="1403" w:type="dxa"/>
            <w:tcBorders>
              <w:top w:val="single" w:sz="4" w:space="0" w:color="auto"/>
              <w:left w:val="nil"/>
              <w:bottom w:val="single" w:sz="4" w:space="0" w:color="auto"/>
              <w:right w:val="nil"/>
            </w:tcBorders>
            <w:shd w:val="clear" w:color="auto" w:fill="auto"/>
            <w:vAlign w:val="center"/>
            <w:hideMark/>
          </w:tcPr>
          <w:p w14:paraId="480B3011"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Site</w:t>
            </w:r>
          </w:p>
        </w:tc>
        <w:tc>
          <w:tcPr>
            <w:tcW w:w="1229" w:type="dxa"/>
            <w:tcBorders>
              <w:top w:val="single" w:sz="4" w:space="0" w:color="auto"/>
              <w:left w:val="nil"/>
              <w:bottom w:val="single" w:sz="4" w:space="0" w:color="auto"/>
              <w:right w:val="nil"/>
            </w:tcBorders>
            <w:shd w:val="clear" w:color="auto" w:fill="auto"/>
            <w:vAlign w:val="center"/>
            <w:hideMark/>
          </w:tcPr>
          <w:p w14:paraId="703FE2E6"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Type</w:t>
            </w:r>
          </w:p>
        </w:tc>
        <w:tc>
          <w:tcPr>
            <w:tcW w:w="1430" w:type="dxa"/>
            <w:tcBorders>
              <w:top w:val="single" w:sz="4" w:space="0" w:color="auto"/>
              <w:left w:val="nil"/>
              <w:bottom w:val="single" w:sz="4" w:space="0" w:color="auto"/>
              <w:right w:val="nil"/>
            </w:tcBorders>
            <w:shd w:val="clear" w:color="auto" w:fill="auto"/>
            <w:vAlign w:val="center"/>
            <w:hideMark/>
          </w:tcPr>
          <w:p w14:paraId="5DF092E1"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Dominant species</w:t>
            </w:r>
          </w:p>
        </w:tc>
        <w:tc>
          <w:tcPr>
            <w:tcW w:w="963" w:type="dxa"/>
            <w:tcBorders>
              <w:top w:val="single" w:sz="4" w:space="0" w:color="auto"/>
              <w:left w:val="nil"/>
              <w:bottom w:val="single" w:sz="4" w:space="0" w:color="auto"/>
              <w:right w:val="nil"/>
            </w:tcBorders>
            <w:shd w:val="clear" w:color="auto" w:fill="auto"/>
            <w:vAlign w:val="center"/>
            <w:hideMark/>
          </w:tcPr>
          <w:p w14:paraId="713FAF5B"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Author</w:t>
            </w:r>
          </w:p>
        </w:tc>
        <w:tc>
          <w:tcPr>
            <w:tcW w:w="843" w:type="dxa"/>
            <w:tcBorders>
              <w:top w:val="single" w:sz="4" w:space="0" w:color="auto"/>
              <w:left w:val="nil"/>
              <w:bottom w:val="single" w:sz="4" w:space="0" w:color="auto"/>
              <w:right w:val="nil"/>
            </w:tcBorders>
            <w:shd w:val="clear" w:color="auto" w:fill="auto"/>
            <w:vAlign w:val="center"/>
            <w:hideMark/>
          </w:tcPr>
          <w:p w14:paraId="33372C4C"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Depth</w:t>
            </w:r>
          </w:p>
        </w:tc>
        <w:tc>
          <w:tcPr>
            <w:tcW w:w="1043" w:type="dxa"/>
            <w:tcBorders>
              <w:top w:val="single" w:sz="4" w:space="0" w:color="auto"/>
              <w:left w:val="nil"/>
              <w:bottom w:val="single" w:sz="4" w:space="0" w:color="auto"/>
              <w:right w:val="nil"/>
            </w:tcBorders>
            <w:shd w:val="clear" w:color="auto" w:fill="auto"/>
            <w:vAlign w:val="center"/>
            <w:hideMark/>
          </w:tcPr>
          <w:p w14:paraId="66AB2B5C" w14:textId="7264B7F0"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Root biomass Mg</w:t>
            </w:r>
            <w:r w:rsidR="007C77B9" w:rsidRPr="00872293">
              <w:rPr>
                <w:rFonts w:ascii="Times New Roman" w:hAnsi="Times New Roman" w:cs="Times New Roman"/>
              </w:rPr>
              <w:t xml:space="preserve"> </w:t>
            </w:r>
            <w:proofErr w:type="gramStart"/>
            <w:r w:rsidR="007C77B9" w:rsidRPr="007C77B9">
              <w:rPr>
                <w:rFonts w:ascii="Times New Roman" w:hAnsi="Times New Roman" w:cs="Times New Roman"/>
                <w:b/>
                <w:bCs/>
              </w:rPr>
              <w:t>ha</w:t>
            </w:r>
            <w:r w:rsidR="007C77B9" w:rsidRPr="007C77B9">
              <w:rPr>
                <w:rFonts w:ascii="Times New Roman" w:hAnsi="Times New Roman" w:cs="Times New Roman"/>
                <w:b/>
                <w:bCs/>
                <w:vertAlign w:val="superscript"/>
              </w:rPr>
              <w:t>-1</w:t>
            </w:r>
            <w:proofErr w:type="gramEnd"/>
          </w:p>
        </w:tc>
        <w:tc>
          <w:tcPr>
            <w:tcW w:w="727" w:type="dxa"/>
            <w:tcBorders>
              <w:top w:val="single" w:sz="4" w:space="0" w:color="auto"/>
              <w:left w:val="nil"/>
              <w:bottom w:val="single" w:sz="4" w:space="0" w:color="auto"/>
              <w:right w:val="single" w:sz="4" w:space="0" w:color="auto"/>
            </w:tcBorders>
            <w:shd w:val="clear" w:color="auto" w:fill="auto"/>
            <w:vAlign w:val="center"/>
            <w:hideMark/>
          </w:tcPr>
          <w:p w14:paraId="4FAB5AC3" w14:textId="77777777" w:rsidR="002E4495" w:rsidRPr="00872293" w:rsidRDefault="002E4495" w:rsidP="002E4495">
            <w:pPr>
              <w:jc w:val="center"/>
              <w:rPr>
                <w:rFonts w:ascii="Times New Roman" w:eastAsia="Times New Roman" w:hAnsi="Times New Roman" w:cs="Times New Roman"/>
                <w:b/>
                <w:bCs/>
                <w:sz w:val="22"/>
                <w:szCs w:val="22"/>
              </w:rPr>
            </w:pPr>
            <w:proofErr w:type="spellStart"/>
            <w:r w:rsidRPr="00872293">
              <w:rPr>
                <w:rFonts w:ascii="Times New Roman" w:eastAsia="Times New Roman" w:hAnsi="Times New Roman" w:cs="Times New Roman"/>
                <w:b/>
                <w:bCs/>
                <w:sz w:val="22"/>
                <w:szCs w:val="22"/>
              </w:rPr>
              <w:t>SE</w:t>
            </w:r>
            <w:r w:rsidRPr="00872293">
              <w:rPr>
                <w:rFonts w:ascii="Times New Roman" w:eastAsia="Times New Roman" w:hAnsi="Times New Roman" w:cs="Times New Roman"/>
                <w:b/>
                <w:bCs/>
                <w:sz w:val="22"/>
                <w:szCs w:val="22"/>
                <w:vertAlign w:val="superscript"/>
              </w:rPr>
              <w:t>b</w:t>
            </w:r>
            <w:proofErr w:type="spellEnd"/>
          </w:p>
        </w:tc>
      </w:tr>
      <w:tr w:rsidR="00872293" w:rsidRPr="00872293" w14:paraId="21F2E599" w14:textId="77777777" w:rsidTr="001F1294">
        <w:trPr>
          <w:trHeight w:val="1080"/>
        </w:trPr>
        <w:tc>
          <w:tcPr>
            <w:tcW w:w="869" w:type="dxa"/>
            <w:tcBorders>
              <w:top w:val="single" w:sz="4" w:space="0" w:color="auto"/>
              <w:left w:val="single" w:sz="8" w:space="0" w:color="auto"/>
              <w:bottom w:val="nil"/>
              <w:right w:val="nil"/>
            </w:tcBorders>
            <w:shd w:val="clear" w:color="auto" w:fill="auto"/>
            <w:vAlign w:val="center"/>
            <w:hideMark/>
          </w:tcPr>
          <w:p w14:paraId="6E254CB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27FD513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3870-4700</w:t>
            </w:r>
          </w:p>
        </w:tc>
        <w:tc>
          <w:tcPr>
            <w:tcW w:w="1403" w:type="dxa"/>
            <w:tcBorders>
              <w:top w:val="single" w:sz="4" w:space="0" w:color="auto"/>
              <w:left w:val="nil"/>
              <w:bottom w:val="nil"/>
              <w:right w:val="nil"/>
            </w:tcBorders>
            <w:shd w:val="clear" w:color="auto" w:fill="auto"/>
            <w:vAlign w:val="center"/>
            <w:hideMark/>
          </w:tcPr>
          <w:p w14:paraId="3C21762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229" w:type="dxa"/>
            <w:tcBorders>
              <w:top w:val="single" w:sz="4" w:space="0" w:color="auto"/>
              <w:left w:val="nil"/>
              <w:bottom w:val="nil"/>
              <w:right w:val="nil"/>
            </w:tcBorders>
            <w:shd w:val="clear" w:color="auto" w:fill="auto"/>
            <w:vAlign w:val="center"/>
            <w:hideMark/>
          </w:tcPr>
          <w:p w14:paraId="6ABDD74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Mature</w:t>
            </w:r>
          </w:p>
        </w:tc>
        <w:tc>
          <w:tcPr>
            <w:tcW w:w="1430" w:type="dxa"/>
            <w:tcBorders>
              <w:top w:val="single" w:sz="4" w:space="0" w:color="auto"/>
              <w:left w:val="nil"/>
              <w:bottom w:val="nil"/>
              <w:right w:val="nil"/>
            </w:tcBorders>
            <w:shd w:val="clear" w:color="auto" w:fill="auto"/>
            <w:vAlign w:val="center"/>
            <w:hideMark/>
          </w:tcPr>
          <w:p w14:paraId="0FF9CD31"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Prestoea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montana</w:t>
            </w:r>
            <w:proofErr w:type="spellEnd"/>
          </w:p>
        </w:tc>
        <w:tc>
          <w:tcPr>
            <w:tcW w:w="963" w:type="dxa"/>
            <w:tcBorders>
              <w:top w:val="single" w:sz="4" w:space="0" w:color="auto"/>
              <w:left w:val="nil"/>
              <w:bottom w:val="nil"/>
              <w:right w:val="nil"/>
            </w:tcBorders>
            <w:shd w:val="clear" w:color="auto" w:fill="auto"/>
            <w:vAlign w:val="center"/>
            <w:hideMark/>
          </w:tcPr>
          <w:p w14:paraId="7D417BF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Berrios &amp; Perez</w:t>
            </w:r>
          </w:p>
        </w:tc>
        <w:tc>
          <w:tcPr>
            <w:tcW w:w="843" w:type="dxa"/>
            <w:tcBorders>
              <w:top w:val="single" w:sz="4" w:space="0" w:color="auto"/>
              <w:left w:val="nil"/>
              <w:bottom w:val="nil"/>
              <w:right w:val="nil"/>
            </w:tcBorders>
            <w:shd w:val="clear" w:color="auto" w:fill="auto"/>
            <w:vAlign w:val="center"/>
            <w:hideMark/>
          </w:tcPr>
          <w:p w14:paraId="543D57D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0-25</w:t>
            </w:r>
            <w:r w:rsidRPr="00872293">
              <w:rPr>
                <w:rFonts w:ascii="Times New Roman" w:eastAsia="Times New Roman" w:hAnsi="Times New Roman" w:cs="Times New Roman"/>
                <w:b/>
                <w:bCs/>
                <w:sz w:val="22"/>
                <w:szCs w:val="22"/>
                <w:vertAlign w:val="superscript"/>
              </w:rPr>
              <w:t>c</w:t>
            </w:r>
          </w:p>
        </w:tc>
        <w:tc>
          <w:tcPr>
            <w:tcW w:w="1043" w:type="dxa"/>
            <w:tcBorders>
              <w:top w:val="single" w:sz="4" w:space="0" w:color="auto"/>
              <w:left w:val="nil"/>
              <w:bottom w:val="nil"/>
              <w:right w:val="nil"/>
            </w:tcBorders>
            <w:shd w:val="clear" w:color="auto" w:fill="auto"/>
            <w:vAlign w:val="center"/>
            <w:hideMark/>
          </w:tcPr>
          <w:p w14:paraId="505EE9D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3.42</w:t>
            </w:r>
          </w:p>
        </w:tc>
        <w:tc>
          <w:tcPr>
            <w:tcW w:w="727" w:type="dxa"/>
            <w:tcBorders>
              <w:top w:val="single" w:sz="4" w:space="0" w:color="auto"/>
              <w:left w:val="nil"/>
              <w:bottom w:val="nil"/>
              <w:right w:val="single" w:sz="8" w:space="0" w:color="auto"/>
            </w:tcBorders>
            <w:shd w:val="clear" w:color="auto" w:fill="auto"/>
            <w:vAlign w:val="center"/>
            <w:hideMark/>
          </w:tcPr>
          <w:p w14:paraId="643D625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w:t>
            </w:r>
          </w:p>
        </w:tc>
      </w:tr>
      <w:tr w:rsidR="00872293" w:rsidRPr="00872293" w14:paraId="1A59BF6D" w14:textId="77777777" w:rsidTr="002E4495">
        <w:trPr>
          <w:trHeight w:val="370"/>
        </w:trPr>
        <w:tc>
          <w:tcPr>
            <w:tcW w:w="869" w:type="dxa"/>
            <w:tcBorders>
              <w:top w:val="nil"/>
              <w:left w:val="single" w:sz="8" w:space="0" w:color="auto"/>
              <w:bottom w:val="nil"/>
              <w:right w:val="nil"/>
            </w:tcBorders>
            <w:shd w:val="clear" w:color="auto" w:fill="auto"/>
            <w:vAlign w:val="center"/>
            <w:hideMark/>
          </w:tcPr>
          <w:p w14:paraId="7E5EDC5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18372968"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173C38C0"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7C59D98A"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1DFB8164"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549F8F5A"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084B481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0-30</w:t>
            </w:r>
            <w:r w:rsidRPr="00872293">
              <w:rPr>
                <w:rFonts w:ascii="Times New Roman" w:eastAsia="Times New Roman" w:hAnsi="Times New Roman" w:cs="Times New Roman"/>
                <w:b/>
                <w:bCs/>
                <w:sz w:val="22"/>
                <w:szCs w:val="22"/>
                <w:vertAlign w:val="superscript"/>
              </w:rPr>
              <w:t>d</w:t>
            </w:r>
          </w:p>
        </w:tc>
        <w:tc>
          <w:tcPr>
            <w:tcW w:w="1043" w:type="dxa"/>
            <w:tcBorders>
              <w:top w:val="nil"/>
              <w:left w:val="nil"/>
              <w:bottom w:val="nil"/>
              <w:right w:val="nil"/>
            </w:tcBorders>
            <w:shd w:val="clear" w:color="auto" w:fill="auto"/>
            <w:vAlign w:val="center"/>
            <w:hideMark/>
          </w:tcPr>
          <w:p w14:paraId="4B1A40E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12.78</w:t>
            </w:r>
          </w:p>
        </w:tc>
        <w:tc>
          <w:tcPr>
            <w:tcW w:w="727" w:type="dxa"/>
            <w:tcBorders>
              <w:top w:val="nil"/>
              <w:left w:val="nil"/>
              <w:bottom w:val="nil"/>
              <w:right w:val="single" w:sz="8" w:space="0" w:color="auto"/>
            </w:tcBorders>
            <w:shd w:val="clear" w:color="auto" w:fill="auto"/>
            <w:vAlign w:val="center"/>
            <w:hideMark/>
          </w:tcPr>
          <w:p w14:paraId="4938928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4.34</w:t>
            </w:r>
          </w:p>
        </w:tc>
      </w:tr>
      <w:tr w:rsidR="00872293" w:rsidRPr="00872293" w14:paraId="065225D3" w14:textId="77777777" w:rsidTr="002E4495">
        <w:trPr>
          <w:trHeight w:val="310"/>
        </w:trPr>
        <w:tc>
          <w:tcPr>
            <w:tcW w:w="869" w:type="dxa"/>
            <w:vMerge w:val="restart"/>
            <w:tcBorders>
              <w:top w:val="nil"/>
              <w:left w:val="single" w:sz="8" w:space="0" w:color="auto"/>
              <w:bottom w:val="nil"/>
              <w:right w:val="nil"/>
            </w:tcBorders>
            <w:shd w:val="clear" w:color="auto" w:fill="auto"/>
            <w:vAlign w:val="center"/>
            <w:hideMark/>
          </w:tcPr>
          <w:p w14:paraId="00117A8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vMerge w:val="restart"/>
            <w:tcBorders>
              <w:top w:val="nil"/>
              <w:left w:val="nil"/>
              <w:bottom w:val="nil"/>
              <w:right w:val="nil"/>
            </w:tcBorders>
            <w:shd w:val="clear" w:color="auto" w:fill="auto"/>
            <w:vAlign w:val="center"/>
            <w:hideMark/>
          </w:tcPr>
          <w:p w14:paraId="3996AD9D"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vMerge w:val="restart"/>
            <w:tcBorders>
              <w:top w:val="nil"/>
              <w:left w:val="nil"/>
              <w:bottom w:val="nil"/>
              <w:right w:val="nil"/>
            </w:tcBorders>
            <w:shd w:val="clear" w:color="auto" w:fill="auto"/>
            <w:vAlign w:val="center"/>
            <w:hideMark/>
          </w:tcPr>
          <w:p w14:paraId="648F43B0"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vMerge w:val="restart"/>
            <w:tcBorders>
              <w:top w:val="nil"/>
              <w:left w:val="nil"/>
              <w:bottom w:val="nil"/>
              <w:right w:val="nil"/>
            </w:tcBorders>
            <w:shd w:val="clear" w:color="auto" w:fill="auto"/>
            <w:vAlign w:val="center"/>
            <w:hideMark/>
          </w:tcPr>
          <w:p w14:paraId="6724B4BD"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vMerge w:val="restart"/>
            <w:tcBorders>
              <w:top w:val="nil"/>
              <w:left w:val="nil"/>
              <w:bottom w:val="nil"/>
              <w:right w:val="nil"/>
            </w:tcBorders>
            <w:shd w:val="clear" w:color="auto" w:fill="auto"/>
            <w:vAlign w:val="center"/>
            <w:hideMark/>
          </w:tcPr>
          <w:p w14:paraId="0636B5E4"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7BECAFA3"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vMerge w:val="restart"/>
            <w:tcBorders>
              <w:top w:val="nil"/>
              <w:left w:val="nil"/>
              <w:bottom w:val="nil"/>
              <w:right w:val="nil"/>
            </w:tcBorders>
            <w:shd w:val="clear" w:color="auto" w:fill="auto"/>
            <w:vAlign w:val="center"/>
            <w:hideMark/>
          </w:tcPr>
          <w:p w14:paraId="421AE8D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0-30</w:t>
            </w:r>
            <w:r w:rsidRPr="00872293">
              <w:rPr>
                <w:rFonts w:ascii="Times New Roman" w:eastAsia="Times New Roman" w:hAnsi="Times New Roman" w:cs="Times New Roman"/>
                <w:b/>
                <w:bCs/>
                <w:sz w:val="22"/>
                <w:szCs w:val="22"/>
                <w:vertAlign w:val="superscript"/>
              </w:rPr>
              <w:t>e</w:t>
            </w:r>
          </w:p>
        </w:tc>
        <w:tc>
          <w:tcPr>
            <w:tcW w:w="1043" w:type="dxa"/>
            <w:vMerge w:val="restart"/>
            <w:tcBorders>
              <w:top w:val="nil"/>
              <w:left w:val="nil"/>
              <w:bottom w:val="nil"/>
              <w:right w:val="nil"/>
            </w:tcBorders>
            <w:shd w:val="clear" w:color="auto" w:fill="auto"/>
            <w:vAlign w:val="center"/>
            <w:hideMark/>
          </w:tcPr>
          <w:p w14:paraId="1D62634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29.18</w:t>
            </w:r>
          </w:p>
        </w:tc>
        <w:tc>
          <w:tcPr>
            <w:tcW w:w="727" w:type="dxa"/>
            <w:vMerge w:val="restart"/>
            <w:tcBorders>
              <w:top w:val="nil"/>
              <w:left w:val="nil"/>
              <w:bottom w:val="nil"/>
              <w:right w:val="single" w:sz="8" w:space="0" w:color="auto"/>
            </w:tcBorders>
            <w:shd w:val="clear" w:color="auto" w:fill="auto"/>
            <w:vAlign w:val="center"/>
            <w:hideMark/>
          </w:tcPr>
          <w:p w14:paraId="6287945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2.47</w:t>
            </w:r>
          </w:p>
        </w:tc>
      </w:tr>
      <w:tr w:rsidR="00872293" w:rsidRPr="00872293" w14:paraId="6A2BB1F8" w14:textId="77777777" w:rsidTr="001F1294">
        <w:trPr>
          <w:trHeight w:val="310"/>
        </w:trPr>
        <w:tc>
          <w:tcPr>
            <w:tcW w:w="869" w:type="dxa"/>
            <w:vMerge/>
            <w:tcBorders>
              <w:top w:val="nil"/>
              <w:left w:val="single" w:sz="8" w:space="0" w:color="auto"/>
              <w:bottom w:val="single" w:sz="4" w:space="0" w:color="auto"/>
              <w:right w:val="nil"/>
            </w:tcBorders>
            <w:vAlign w:val="center"/>
            <w:hideMark/>
          </w:tcPr>
          <w:p w14:paraId="1881B1D3" w14:textId="77777777" w:rsidR="002E4495" w:rsidRPr="00872293" w:rsidRDefault="002E4495" w:rsidP="002E4495">
            <w:pPr>
              <w:rPr>
                <w:rFonts w:ascii="Times New Roman" w:eastAsia="Times New Roman" w:hAnsi="Times New Roman" w:cs="Times New Roman"/>
                <w:sz w:val="22"/>
                <w:szCs w:val="22"/>
              </w:rPr>
            </w:pPr>
          </w:p>
        </w:tc>
        <w:tc>
          <w:tcPr>
            <w:tcW w:w="843" w:type="dxa"/>
            <w:vMerge/>
            <w:tcBorders>
              <w:top w:val="nil"/>
              <w:left w:val="nil"/>
              <w:bottom w:val="single" w:sz="4" w:space="0" w:color="auto"/>
              <w:right w:val="nil"/>
            </w:tcBorders>
            <w:vAlign w:val="center"/>
            <w:hideMark/>
          </w:tcPr>
          <w:p w14:paraId="428F9889" w14:textId="77777777" w:rsidR="002E4495" w:rsidRPr="00872293" w:rsidRDefault="002E4495" w:rsidP="002E4495">
            <w:pPr>
              <w:rPr>
                <w:rFonts w:ascii="Times New Roman" w:eastAsia="Times New Roman" w:hAnsi="Times New Roman" w:cs="Times New Roman"/>
                <w:sz w:val="22"/>
                <w:szCs w:val="22"/>
              </w:rPr>
            </w:pPr>
          </w:p>
        </w:tc>
        <w:tc>
          <w:tcPr>
            <w:tcW w:w="1403" w:type="dxa"/>
            <w:vMerge/>
            <w:tcBorders>
              <w:top w:val="nil"/>
              <w:left w:val="nil"/>
              <w:bottom w:val="single" w:sz="4" w:space="0" w:color="auto"/>
              <w:right w:val="nil"/>
            </w:tcBorders>
            <w:vAlign w:val="center"/>
            <w:hideMark/>
          </w:tcPr>
          <w:p w14:paraId="19DB920B" w14:textId="77777777" w:rsidR="002E4495" w:rsidRPr="00872293" w:rsidRDefault="002E4495" w:rsidP="002E4495">
            <w:pPr>
              <w:rPr>
                <w:rFonts w:ascii="Times New Roman" w:eastAsia="Times New Roman" w:hAnsi="Times New Roman" w:cs="Times New Roman"/>
                <w:sz w:val="22"/>
                <w:szCs w:val="22"/>
              </w:rPr>
            </w:pPr>
          </w:p>
        </w:tc>
        <w:tc>
          <w:tcPr>
            <w:tcW w:w="1229" w:type="dxa"/>
            <w:vMerge/>
            <w:tcBorders>
              <w:top w:val="nil"/>
              <w:left w:val="nil"/>
              <w:bottom w:val="single" w:sz="4" w:space="0" w:color="auto"/>
              <w:right w:val="nil"/>
            </w:tcBorders>
            <w:vAlign w:val="center"/>
            <w:hideMark/>
          </w:tcPr>
          <w:p w14:paraId="177E7469" w14:textId="77777777" w:rsidR="002E4495" w:rsidRPr="00872293" w:rsidRDefault="002E4495" w:rsidP="002E4495">
            <w:pPr>
              <w:rPr>
                <w:rFonts w:ascii="Times New Roman" w:eastAsia="Times New Roman" w:hAnsi="Times New Roman" w:cs="Times New Roman"/>
                <w:sz w:val="22"/>
                <w:szCs w:val="22"/>
              </w:rPr>
            </w:pPr>
          </w:p>
        </w:tc>
        <w:tc>
          <w:tcPr>
            <w:tcW w:w="1430" w:type="dxa"/>
            <w:vMerge/>
            <w:tcBorders>
              <w:top w:val="nil"/>
              <w:left w:val="nil"/>
              <w:bottom w:val="single" w:sz="4" w:space="0" w:color="auto"/>
              <w:right w:val="nil"/>
            </w:tcBorders>
            <w:vAlign w:val="center"/>
            <w:hideMark/>
          </w:tcPr>
          <w:p w14:paraId="69448D66" w14:textId="77777777" w:rsidR="002E4495" w:rsidRPr="00872293" w:rsidRDefault="002E4495" w:rsidP="002E4495">
            <w:pPr>
              <w:rPr>
                <w:rFonts w:ascii="Times New Roman" w:eastAsia="Times New Roman" w:hAnsi="Times New Roman" w:cs="Times New Roman"/>
                <w:sz w:val="22"/>
                <w:szCs w:val="22"/>
              </w:rPr>
            </w:pPr>
          </w:p>
        </w:tc>
        <w:tc>
          <w:tcPr>
            <w:tcW w:w="963" w:type="dxa"/>
            <w:tcBorders>
              <w:top w:val="nil"/>
              <w:left w:val="nil"/>
              <w:bottom w:val="single" w:sz="4" w:space="0" w:color="auto"/>
              <w:right w:val="nil"/>
            </w:tcBorders>
            <w:shd w:val="clear" w:color="auto" w:fill="auto"/>
            <w:vAlign w:val="center"/>
            <w:hideMark/>
          </w:tcPr>
          <w:p w14:paraId="05F1772C"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vMerge/>
            <w:tcBorders>
              <w:top w:val="nil"/>
              <w:left w:val="nil"/>
              <w:bottom w:val="single" w:sz="4" w:space="0" w:color="auto"/>
              <w:right w:val="nil"/>
            </w:tcBorders>
            <w:vAlign w:val="center"/>
            <w:hideMark/>
          </w:tcPr>
          <w:p w14:paraId="1B7582CB" w14:textId="77777777" w:rsidR="002E4495" w:rsidRPr="00872293" w:rsidRDefault="002E4495" w:rsidP="002E4495">
            <w:pPr>
              <w:rPr>
                <w:rFonts w:ascii="Times New Roman" w:eastAsia="Times New Roman" w:hAnsi="Times New Roman" w:cs="Times New Roman"/>
                <w:sz w:val="22"/>
                <w:szCs w:val="22"/>
              </w:rPr>
            </w:pPr>
          </w:p>
        </w:tc>
        <w:tc>
          <w:tcPr>
            <w:tcW w:w="1043" w:type="dxa"/>
            <w:vMerge/>
            <w:tcBorders>
              <w:top w:val="nil"/>
              <w:left w:val="nil"/>
              <w:bottom w:val="single" w:sz="4" w:space="0" w:color="auto"/>
              <w:right w:val="nil"/>
            </w:tcBorders>
            <w:vAlign w:val="center"/>
            <w:hideMark/>
          </w:tcPr>
          <w:p w14:paraId="062754E1" w14:textId="77777777" w:rsidR="002E4495" w:rsidRPr="00872293" w:rsidRDefault="002E4495" w:rsidP="002E4495">
            <w:pPr>
              <w:rPr>
                <w:rFonts w:ascii="Times New Roman" w:eastAsia="Times New Roman" w:hAnsi="Times New Roman" w:cs="Times New Roman"/>
                <w:sz w:val="22"/>
                <w:szCs w:val="22"/>
              </w:rPr>
            </w:pPr>
          </w:p>
        </w:tc>
        <w:tc>
          <w:tcPr>
            <w:tcW w:w="727" w:type="dxa"/>
            <w:vMerge/>
            <w:tcBorders>
              <w:top w:val="nil"/>
              <w:left w:val="nil"/>
              <w:bottom w:val="single" w:sz="4" w:space="0" w:color="auto"/>
              <w:right w:val="single" w:sz="8" w:space="0" w:color="auto"/>
            </w:tcBorders>
            <w:vAlign w:val="center"/>
            <w:hideMark/>
          </w:tcPr>
          <w:p w14:paraId="2DEFF8E2" w14:textId="77777777" w:rsidR="002E4495" w:rsidRPr="00872293" w:rsidRDefault="002E4495" w:rsidP="002E4495">
            <w:pPr>
              <w:rPr>
                <w:rFonts w:ascii="Times New Roman" w:eastAsia="Times New Roman" w:hAnsi="Times New Roman" w:cs="Times New Roman"/>
                <w:sz w:val="22"/>
                <w:szCs w:val="22"/>
              </w:rPr>
            </w:pPr>
          </w:p>
        </w:tc>
      </w:tr>
      <w:tr w:rsidR="00872293" w:rsidRPr="00872293" w14:paraId="7CDA4539" w14:textId="77777777" w:rsidTr="001F1294">
        <w:trPr>
          <w:trHeight w:val="620"/>
        </w:trPr>
        <w:tc>
          <w:tcPr>
            <w:tcW w:w="869" w:type="dxa"/>
            <w:tcBorders>
              <w:top w:val="single" w:sz="4" w:space="0" w:color="auto"/>
              <w:left w:val="single" w:sz="4" w:space="0" w:color="auto"/>
              <w:bottom w:val="nil"/>
              <w:right w:val="nil"/>
            </w:tcBorders>
            <w:shd w:val="clear" w:color="auto" w:fill="auto"/>
            <w:vAlign w:val="center"/>
            <w:hideMark/>
          </w:tcPr>
          <w:p w14:paraId="295755F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168949D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2520</w:t>
            </w:r>
          </w:p>
        </w:tc>
        <w:tc>
          <w:tcPr>
            <w:tcW w:w="1403" w:type="dxa"/>
            <w:tcBorders>
              <w:top w:val="single" w:sz="4" w:space="0" w:color="auto"/>
              <w:left w:val="nil"/>
              <w:bottom w:val="nil"/>
              <w:right w:val="nil"/>
            </w:tcBorders>
            <w:shd w:val="clear" w:color="auto" w:fill="auto"/>
            <w:vAlign w:val="center"/>
            <w:hideMark/>
          </w:tcPr>
          <w:p w14:paraId="2BE24234" w14:textId="77777777" w:rsidR="002E4495" w:rsidRPr="00872293" w:rsidRDefault="002E4495" w:rsidP="002E4495">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Maricao</w:t>
            </w:r>
            <w:proofErr w:type="spellEnd"/>
          </w:p>
        </w:tc>
        <w:tc>
          <w:tcPr>
            <w:tcW w:w="1229" w:type="dxa"/>
            <w:tcBorders>
              <w:top w:val="single" w:sz="4" w:space="0" w:color="auto"/>
              <w:left w:val="nil"/>
              <w:bottom w:val="nil"/>
              <w:right w:val="nil"/>
            </w:tcBorders>
            <w:shd w:val="clear" w:color="auto" w:fill="auto"/>
            <w:vAlign w:val="center"/>
            <w:hideMark/>
          </w:tcPr>
          <w:p w14:paraId="221285D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Mature</w:t>
            </w:r>
          </w:p>
        </w:tc>
        <w:tc>
          <w:tcPr>
            <w:tcW w:w="1430" w:type="dxa"/>
            <w:tcBorders>
              <w:top w:val="single" w:sz="4" w:space="0" w:color="auto"/>
              <w:left w:val="nil"/>
              <w:bottom w:val="nil"/>
              <w:right w:val="nil"/>
            </w:tcBorders>
            <w:shd w:val="clear" w:color="auto" w:fill="auto"/>
            <w:vAlign w:val="center"/>
            <w:hideMark/>
          </w:tcPr>
          <w:p w14:paraId="3BA5E88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Mixed</w:t>
            </w:r>
          </w:p>
        </w:tc>
        <w:tc>
          <w:tcPr>
            <w:tcW w:w="963" w:type="dxa"/>
            <w:tcBorders>
              <w:top w:val="single" w:sz="4" w:space="0" w:color="auto"/>
              <w:left w:val="nil"/>
              <w:bottom w:val="nil"/>
              <w:right w:val="nil"/>
            </w:tcBorders>
            <w:shd w:val="clear" w:color="auto" w:fill="auto"/>
            <w:vAlign w:val="center"/>
            <w:hideMark/>
          </w:tcPr>
          <w:p w14:paraId="66D6E8F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Rivera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5DB569E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13ADD3D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6.86</w:t>
            </w:r>
          </w:p>
        </w:tc>
        <w:tc>
          <w:tcPr>
            <w:tcW w:w="727" w:type="dxa"/>
            <w:tcBorders>
              <w:top w:val="single" w:sz="4" w:space="0" w:color="auto"/>
              <w:left w:val="nil"/>
              <w:bottom w:val="nil"/>
              <w:right w:val="single" w:sz="4" w:space="0" w:color="auto"/>
            </w:tcBorders>
            <w:shd w:val="clear" w:color="auto" w:fill="auto"/>
            <w:vAlign w:val="center"/>
            <w:hideMark/>
          </w:tcPr>
          <w:p w14:paraId="0EA5773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2.94</w:t>
            </w:r>
          </w:p>
        </w:tc>
      </w:tr>
      <w:tr w:rsidR="00872293" w:rsidRPr="00872293" w14:paraId="1938A4E0"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5C9EA54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4D375B26"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5FB0B026"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18627880"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14B5800C"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11FE1305"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5B2C654E" w14:textId="3AB7406B"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51374DE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2.04</w:t>
            </w:r>
          </w:p>
        </w:tc>
        <w:tc>
          <w:tcPr>
            <w:tcW w:w="727" w:type="dxa"/>
            <w:tcBorders>
              <w:top w:val="nil"/>
              <w:left w:val="nil"/>
              <w:bottom w:val="nil"/>
              <w:right w:val="single" w:sz="4" w:space="0" w:color="auto"/>
            </w:tcBorders>
            <w:shd w:val="clear" w:color="auto" w:fill="auto"/>
            <w:vAlign w:val="center"/>
            <w:hideMark/>
          </w:tcPr>
          <w:p w14:paraId="51B49EB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1.08</w:t>
            </w:r>
          </w:p>
        </w:tc>
      </w:tr>
      <w:tr w:rsidR="00872293" w:rsidRPr="00872293" w14:paraId="33FF09AC"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2D19DE2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546D0BAF"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76662046"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46F10641"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2789C9F3"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6C153D0D"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05D40A6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nil"/>
              <w:right w:val="nil"/>
            </w:tcBorders>
            <w:shd w:val="clear" w:color="auto" w:fill="auto"/>
            <w:vAlign w:val="center"/>
            <w:hideMark/>
          </w:tcPr>
          <w:p w14:paraId="329F831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1.11</w:t>
            </w:r>
          </w:p>
        </w:tc>
        <w:tc>
          <w:tcPr>
            <w:tcW w:w="727" w:type="dxa"/>
            <w:tcBorders>
              <w:top w:val="nil"/>
              <w:left w:val="nil"/>
              <w:bottom w:val="nil"/>
              <w:right w:val="single" w:sz="4" w:space="0" w:color="auto"/>
            </w:tcBorders>
            <w:shd w:val="clear" w:color="auto" w:fill="auto"/>
            <w:vAlign w:val="center"/>
            <w:hideMark/>
          </w:tcPr>
          <w:p w14:paraId="2C75886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0.79</w:t>
            </w:r>
          </w:p>
        </w:tc>
      </w:tr>
      <w:tr w:rsidR="00872293" w:rsidRPr="00872293" w14:paraId="1386386F"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5A22EA0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08798AAE"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39C9F127"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13354B00"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7E8AECB4"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32A7ADF4"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65C9272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nil"/>
              <w:left w:val="nil"/>
              <w:bottom w:val="nil"/>
              <w:right w:val="nil"/>
            </w:tcBorders>
            <w:shd w:val="clear" w:color="auto" w:fill="auto"/>
            <w:vAlign w:val="center"/>
            <w:hideMark/>
          </w:tcPr>
          <w:p w14:paraId="70F0083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1.58</w:t>
            </w:r>
          </w:p>
        </w:tc>
        <w:tc>
          <w:tcPr>
            <w:tcW w:w="727" w:type="dxa"/>
            <w:tcBorders>
              <w:top w:val="nil"/>
              <w:left w:val="nil"/>
              <w:bottom w:val="nil"/>
              <w:right w:val="single" w:sz="4" w:space="0" w:color="auto"/>
            </w:tcBorders>
            <w:shd w:val="clear" w:color="auto" w:fill="auto"/>
            <w:vAlign w:val="center"/>
            <w:hideMark/>
          </w:tcPr>
          <w:p w14:paraId="4378FCC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w:t>
            </w:r>
          </w:p>
        </w:tc>
      </w:tr>
      <w:tr w:rsidR="00872293" w:rsidRPr="00872293" w14:paraId="574F2506"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1F2FC18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061F6123"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7CDE2512"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71412DEE"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6C8BF02E"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4F8A0421"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7CCD43B8" w14:textId="017154A4"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69ABF2F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2.89</w:t>
            </w:r>
          </w:p>
        </w:tc>
        <w:tc>
          <w:tcPr>
            <w:tcW w:w="727" w:type="dxa"/>
            <w:tcBorders>
              <w:top w:val="nil"/>
              <w:left w:val="nil"/>
              <w:bottom w:val="nil"/>
              <w:right w:val="single" w:sz="4" w:space="0" w:color="auto"/>
            </w:tcBorders>
            <w:shd w:val="clear" w:color="auto" w:fill="auto"/>
            <w:vAlign w:val="center"/>
            <w:hideMark/>
          </w:tcPr>
          <w:p w14:paraId="0494B0C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0.94</w:t>
            </w:r>
          </w:p>
        </w:tc>
      </w:tr>
      <w:tr w:rsidR="00872293" w:rsidRPr="00872293" w14:paraId="0FBF90D2" w14:textId="77777777" w:rsidTr="001F1294">
        <w:trPr>
          <w:trHeight w:val="310"/>
        </w:trPr>
        <w:tc>
          <w:tcPr>
            <w:tcW w:w="869" w:type="dxa"/>
            <w:tcBorders>
              <w:top w:val="nil"/>
              <w:left w:val="single" w:sz="4" w:space="0" w:color="auto"/>
              <w:bottom w:val="single" w:sz="4" w:space="0" w:color="auto"/>
              <w:right w:val="nil"/>
            </w:tcBorders>
            <w:shd w:val="clear" w:color="auto" w:fill="auto"/>
            <w:vAlign w:val="center"/>
            <w:hideMark/>
          </w:tcPr>
          <w:p w14:paraId="124C49C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13B5F3D0"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single" w:sz="4" w:space="0" w:color="auto"/>
              <w:right w:val="nil"/>
            </w:tcBorders>
            <w:shd w:val="clear" w:color="auto" w:fill="auto"/>
            <w:vAlign w:val="center"/>
            <w:hideMark/>
          </w:tcPr>
          <w:p w14:paraId="46573AB8"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1B747B9D"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single" w:sz="4" w:space="0" w:color="auto"/>
              <w:right w:val="nil"/>
            </w:tcBorders>
            <w:shd w:val="clear" w:color="auto" w:fill="auto"/>
            <w:vAlign w:val="center"/>
            <w:hideMark/>
          </w:tcPr>
          <w:p w14:paraId="5EB6F68C"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single" w:sz="4" w:space="0" w:color="auto"/>
              <w:right w:val="nil"/>
            </w:tcBorders>
            <w:shd w:val="clear" w:color="auto" w:fill="auto"/>
            <w:vAlign w:val="center"/>
            <w:hideMark/>
          </w:tcPr>
          <w:p w14:paraId="2C1D41C3"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797094B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6F05A67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w:t>
            </w:r>
          </w:p>
        </w:tc>
        <w:tc>
          <w:tcPr>
            <w:tcW w:w="727" w:type="dxa"/>
            <w:tcBorders>
              <w:top w:val="nil"/>
              <w:left w:val="nil"/>
              <w:bottom w:val="single" w:sz="4" w:space="0" w:color="auto"/>
              <w:right w:val="single" w:sz="4" w:space="0" w:color="auto"/>
            </w:tcBorders>
            <w:shd w:val="clear" w:color="auto" w:fill="auto"/>
            <w:vAlign w:val="center"/>
            <w:hideMark/>
          </w:tcPr>
          <w:p w14:paraId="46CF0A0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w:t>
            </w:r>
          </w:p>
        </w:tc>
      </w:tr>
      <w:tr w:rsidR="00872293" w:rsidRPr="00872293" w14:paraId="75F1C7A5" w14:textId="77777777" w:rsidTr="001F1294">
        <w:trPr>
          <w:trHeight w:val="828"/>
        </w:trPr>
        <w:tc>
          <w:tcPr>
            <w:tcW w:w="869" w:type="dxa"/>
            <w:tcBorders>
              <w:top w:val="single" w:sz="4" w:space="0" w:color="auto"/>
              <w:left w:val="single" w:sz="4" w:space="0" w:color="auto"/>
              <w:bottom w:val="nil"/>
              <w:right w:val="nil"/>
            </w:tcBorders>
            <w:shd w:val="clear" w:color="auto" w:fill="auto"/>
            <w:vAlign w:val="center"/>
            <w:hideMark/>
          </w:tcPr>
          <w:p w14:paraId="4323949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4707551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4700</w:t>
            </w:r>
          </w:p>
        </w:tc>
        <w:tc>
          <w:tcPr>
            <w:tcW w:w="1403" w:type="dxa"/>
            <w:tcBorders>
              <w:top w:val="single" w:sz="4" w:space="0" w:color="auto"/>
              <w:left w:val="nil"/>
              <w:bottom w:val="nil"/>
              <w:right w:val="nil"/>
            </w:tcBorders>
            <w:shd w:val="clear" w:color="auto" w:fill="auto"/>
            <w:vAlign w:val="center"/>
            <w:hideMark/>
          </w:tcPr>
          <w:p w14:paraId="7F57579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229" w:type="dxa"/>
            <w:tcBorders>
              <w:top w:val="single" w:sz="4" w:space="0" w:color="auto"/>
              <w:left w:val="nil"/>
              <w:bottom w:val="nil"/>
              <w:right w:val="nil"/>
            </w:tcBorders>
            <w:shd w:val="clear" w:color="auto" w:fill="auto"/>
            <w:vAlign w:val="center"/>
            <w:hideMark/>
          </w:tcPr>
          <w:p w14:paraId="54C7798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plantation</w:t>
            </w:r>
          </w:p>
        </w:tc>
        <w:tc>
          <w:tcPr>
            <w:tcW w:w="1430" w:type="dxa"/>
            <w:tcBorders>
              <w:top w:val="single" w:sz="4" w:space="0" w:color="auto"/>
              <w:left w:val="nil"/>
              <w:bottom w:val="nil"/>
              <w:right w:val="nil"/>
            </w:tcBorders>
            <w:shd w:val="clear" w:color="auto" w:fill="auto"/>
            <w:vAlign w:val="center"/>
            <w:hideMark/>
          </w:tcPr>
          <w:p w14:paraId="038EACEE"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Switenia</w:t>
            </w:r>
            <w:proofErr w:type="spellEnd"/>
            <w:r w:rsidRPr="00872293">
              <w:rPr>
                <w:rFonts w:ascii="Times New Roman" w:eastAsia="Times New Roman" w:hAnsi="Times New Roman" w:cs="Times New Roman"/>
                <w:i/>
                <w:iCs/>
                <w:sz w:val="22"/>
                <w:szCs w:val="22"/>
              </w:rPr>
              <w:t xml:space="preserve"> macrophylla</w:t>
            </w:r>
          </w:p>
        </w:tc>
        <w:tc>
          <w:tcPr>
            <w:tcW w:w="963" w:type="dxa"/>
            <w:tcBorders>
              <w:top w:val="single" w:sz="4" w:space="0" w:color="auto"/>
              <w:left w:val="nil"/>
              <w:bottom w:val="nil"/>
              <w:right w:val="nil"/>
            </w:tcBorders>
            <w:shd w:val="clear" w:color="auto" w:fill="auto"/>
            <w:vAlign w:val="center"/>
            <w:hideMark/>
          </w:tcPr>
          <w:p w14:paraId="138CDB5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Perez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1DC83B6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259BB63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8.03</w:t>
            </w:r>
          </w:p>
        </w:tc>
        <w:tc>
          <w:tcPr>
            <w:tcW w:w="727" w:type="dxa"/>
            <w:tcBorders>
              <w:top w:val="single" w:sz="4" w:space="0" w:color="auto"/>
              <w:left w:val="nil"/>
              <w:bottom w:val="nil"/>
              <w:right w:val="single" w:sz="4" w:space="0" w:color="auto"/>
            </w:tcBorders>
            <w:shd w:val="clear" w:color="auto" w:fill="auto"/>
            <w:vAlign w:val="center"/>
            <w:hideMark/>
          </w:tcPr>
          <w:p w14:paraId="61AAF12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2.74</w:t>
            </w:r>
          </w:p>
        </w:tc>
      </w:tr>
      <w:tr w:rsidR="00872293" w:rsidRPr="00872293" w14:paraId="2FD613AC"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5784EF6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21E193B2"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65EBD380"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231DCC6A"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4937BC19"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7A37F0C2"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4F1C2EF9" w14:textId="0E1BBA2E"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0742E0E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4.74</w:t>
            </w:r>
          </w:p>
        </w:tc>
        <w:tc>
          <w:tcPr>
            <w:tcW w:w="727" w:type="dxa"/>
            <w:tcBorders>
              <w:top w:val="nil"/>
              <w:left w:val="nil"/>
              <w:bottom w:val="nil"/>
              <w:right w:val="single" w:sz="4" w:space="0" w:color="auto"/>
            </w:tcBorders>
            <w:shd w:val="clear" w:color="auto" w:fill="auto"/>
            <w:vAlign w:val="center"/>
            <w:hideMark/>
          </w:tcPr>
          <w:p w14:paraId="2BBA944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0.21</w:t>
            </w:r>
          </w:p>
        </w:tc>
      </w:tr>
      <w:tr w:rsidR="00872293" w:rsidRPr="00872293" w14:paraId="714055D6" w14:textId="77777777" w:rsidTr="001F1294">
        <w:trPr>
          <w:trHeight w:val="310"/>
        </w:trPr>
        <w:tc>
          <w:tcPr>
            <w:tcW w:w="869" w:type="dxa"/>
            <w:tcBorders>
              <w:top w:val="nil"/>
              <w:left w:val="single" w:sz="4" w:space="0" w:color="auto"/>
              <w:bottom w:val="single" w:sz="4" w:space="0" w:color="auto"/>
              <w:right w:val="nil"/>
            </w:tcBorders>
            <w:shd w:val="clear" w:color="auto" w:fill="auto"/>
            <w:vAlign w:val="center"/>
            <w:hideMark/>
          </w:tcPr>
          <w:p w14:paraId="42BD7EB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7AB2BBB2"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single" w:sz="4" w:space="0" w:color="auto"/>
              <w:right w:val="nil"/>
            </w:tcBorders>
            <w:shd w:val="clear" w:color="auto" w:fill="auto"/>
            <w:vAlign w:val="center"/>
            <w:hideMark/>
          </w:tcPr>
          <w:p w14:paraId="35D7829E"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27BAB10E"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single" w:sz="4" w:space="0" w:color="auto"/>
              <w:right w:val="nil"/>
            </w:tcBorders>
            <w:shd w:val="clear" w:color="auto" w:fill="auto"/>
            <w:vAlign w:val="center"/>
            <w:hideMark/>
          </w:tcPr>
          <w:p w14:paraId="40272EC4"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single" w:sz="4" w:space="0" w:color="auto"/>
              <w:right w:val="nil"/>
            </w:tcBorders>
            <w:shd w:val="clear" w:color="auto" w:fill="auto"/>
            <w:vAlign w:val="center"/>
            <w:hideMark/>
          </w:tcPr>
          <w:p w14:paraId="3A39F663"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5CADFDF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19F5E4C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5.03</w:t>
            </w:r>
          </w:p>
        </w:tc>
        <w:tc>
          <w:tcPr>
            <w:tcW w:w="727" w:type="dxa"/>
            <w:tcBorders>
              <w:top w:val="nil"/>
              <w:left w:val="nil"/>
              <w:bottom w:val="single" w:sz="4" w:space="0" w:color="auto"/>
              <w:right w:val="single" w:sz="4" w:space="0" w:color="auto"/>
            </w:tcBorders>
            <w:shd w:val="clear" w:color="auto" w:fill="auto"/>
            <w:vAlign w:val="center"/>
            <w:hideMark/>
          </w:tcPr>
          <w:p w14:paraId="095732B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0.46</w:t>
            </w:r>
          </w:p>
        </w:tc>
      </w:tr>
      <w:tr w:rsidR="00872293" w:rsidRPr="00872293" w14:paraId="4FAA3D3F" w14:textId="77777777" w:rsidTr="001F1294">
        <w:trPr>
          <w:trHeight w:val="792"/>
        </w:trPr>
        <w:tc>
          <w:tcPr>
            <w:tcW w:w="869" w:type="dxa"/>
            <w:tcBorders>
              <w:top w:val="single" w:sz="4" w:space="0" w:color="auto"/>
              <w:left w:val="single" w:sz="4" w:space="0" w:color="auto"/>
              <w:bottom w:val="nil"/>
              <w:right w:val="nil"/>
            </w:tcBorders>
            <w:shd w:val="clear" w:color="auto" w:fill="auto"/>
            <w:vAlign w:val="center"/>
            <w:hideMark/>
          </w:tcPr>
          <w:p w14:paraId="4C29F30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005CDF7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3920</w:t>
            </w:r>
          </w:p>
        </w:tc>
        <w:tc>
          <w:tcPr>
            <w:tcW w:w="1403" w:type="dxa"/>
            <w:tcBorders>
              <w:top w:val="single" w:sz="4" w:space="0" w:color="auto"/>
              <w:left w:val="nil"/>
              <w:bottom w:val="nil"/>
              <w:right w:val="nil"/>
            </w:tcBorders>
            <w:shd w:val="clear" w:color="auto" w:fill="auto"/>
            <w:vAlign w:val="center"/>
            <w:hideMark/>
          </w:tcPr>
          <w:p w14:paraId="05F560C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229" w:type="dxa"/>
            <w:tcBorders>
              <w:top w:val="single" w:sz="4" w:space="0" w:color="auto"/>
              <w:left w:val="nil"/>
              <w:bottom w:val="nil"/>
              <w:right w:val="nil"/>
            </w:tcBorders>
            <w:shd w:val="clear" w:color="auto" w:fill="auto"/>
            <w:vAlign w:val="center"/>
            <w:hideMark/>
          </w:tcPr>
          <w:p w14:paraId="318E5A8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plantation</w:t>
            </w:r>
          </w:p>
        </w:tc>
        <w:tc>
          <w:tcPr>
            <w:tcW w:w="1430" w:type="dxa"/>
            <w:tcBorders>
              <w:top w:val="single" w:sz="4" w:space="0" w:color="auto"/>
              <w:left w:val="nil"/>
              <w:bottom w:val="nil"/>
              <w:right w:val="nil"/>
            </w:tcBorders>
            <w:shd w:val="clear" w:color="auto" w:fill="auto"/>
            <w:vAlign w:val="center"/>
            <w:hideMark/>
          </w:tcPr>
          <w:p w14:paraId="3D33EA03"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Switenia</w:t>
            </w:r>
            <w:proofErr w:type="spellEnd"/>
            <w:r w:rsidRPr="00872293">
              <w:rPr>
                <w:rFonts w:ascii="Times New Roman" w:eastAsia="Times New Roman" w:hAnsi="Times New Roman" w:cs="Times New Roman"/>
                <w:i/>
                <w:iCs/>
                <w:sz w:val="22"/>
                <w:szCs w:val="22"/>
              </w:rPr>
              <w:t xml:space="preserve"> macrophylla</w:t>
            </w:r>
          </w:p>
        </w:tc>
        <w:tc>
          <w:tcPr>
            <w:tcW w:w="963" w:type="dxa"/>
            <w:tcBorders>
              <w:top w:val="single" w:sz="4" w:space="0" w:color="auto"/>
              <w:left w:val="nil"/>
              <w:bottom w:val="nil"/>
              <w:right w:val="nil"/>
            </w:tcBorders>
            <w:shd w:val="clear" w:color="auto" w:fill="auto"/>
            <w:vAlign w:val="center"/>
            <w:hideMark/>
          </w:tcPr>
          <w:p w14:paraId="0BA5372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Perez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5C412B2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4B21778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8.04</w:t>
            </w:r>
          </w:p>
        </w:tc>
        <w:tc>
          <w:tcPr>
            <w:tcW w:w="727" w:type="dxa"/>
            <w:tcBorders>
              <w:top w:val="single" w:sz="4" w:space="0" w:color="auto"/>
              <w:left w:val="nil"/>
              <w:bottom w:val="nil"/>
              <w:right w:val="single" w:sz="4" w:space="0" w:color="auto"/>
            </w:tcBorders>
            <w:shd w:val="clear" w:color="auto" w:fill="auto"/>
            <w:vAlign w:val="center"/>
            <w:hideMark/>
          </w:tcPr>
          <w:p w14:paraId="5DF308E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2.55</w:t>
            </w:r>
          </w:p>
        </w:tc>
      </w:tr>
      <w:tr w:rsidR="00872293" w:rsidRPr="00872293" w14:paraId="7D18758F" w14:textId="77777777" w:rsidTr="001F1294">
        <w:trPr>
          <w:trHeight w:val="310"/>
        </w:trPr>
        <w:tc>
          <w:tcPr>
            <w:tcW w:w="869" w:type="dxa"/>
            <w:tcBorders>
              <w:top w:val="nil"/>
              <w:left w:val="single" w:sz="4" w:space="0" w:color="auto"/>
              <w:bottom w:val="nil"/>
              <w:right w:val="nil"/>
            </w:tcBorders>
            <w:shd w:val="clear" w:color="auto" w:fill="auto"/>
            <w:vAlign w:val="center"/>
            <w:hideMark/>
          </w:tcPr>
          <w:p w14:paraId="50FC68D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7E4FAAFE"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515FC1C4"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619960D5"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5424A30B"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1C8FCAC5"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53629F03" w14:textId="65FCA53C"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097B1FD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4.62</w:t>
            </w:r>
          </w:p>
        </w:tc>
        <w:tc>
          <w:tcPr>
            <w:tcW w:w="727" w:type="dxa"/>
            <w:tcBorders>
              <w:top w:val="nil"/>
              <w:left w:val="nil"/>
              <w:bottom w:val="nil"/>
              <w:right w:val="single" w:sz="4" w:space="0" w:color="auto"/>
            </w:tcBorders>
            <w:shd w:val="clear" w:color="auto" w:fill="auto"/>
            <w:vAlign w:val="center"/>
            <w:hideMark/>
          </w:tcPr>
          <w:p w14:paraId="538053B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0.27</w:t>
            </w:r>
          </w:p>
        </w:tc>
      </w:tr>
      <w:tr w:rsidR="00872293" w:rsidRPr="00872293" w14:paraId="3A2D3625" w14:textId="77777777" w:rsidTr="001F1294">
        <w:trPr>
          <w:trHeight w:val="310"/>
        </w:trPr>
        <w:tc>
          <w:tcPr>
            <w:tcW w:w="869" w:type="dxa"/>
            <w:tcBorders>
              <w:top w:val="nil"/>
              <w:left w:val="single" w:sz="4" w:space="0" w:color="auto"/>
              <w:bottom w:val="single" w:sz="4" w:space="0" w:color="auto"/>
              <w:right w:val="nil"/>
            </w:tcBorders>
            <w:shd w:val="clear" w:color="auto" w:fill="auto"/>
            <w:vAlign w:val="center"/>
            <w:hideMark/>
          </w:tcPr>
          <w:p w14:paraId="2E62E63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23276C3B"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single" w:sz="4" w:space="0" w:color="auto"/>
              <w:right w:val="nil"/>
            </w:tcBorders>
            <w:shd w:val="clear" w:color="auto" w:fill="auto"/>
            <w:vAlign w:val="center"/>
            <w:hideMark/>
          </w:tcPr>
          <w:p w14:paraId="3A6FE482"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719E173B"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single" w:sz="4" w:space="0" w:color="auto"/>
              <w:right w:val="nil"/>
            </w:tcBorders>
            <w:shd w:val="clear" w:color="auto" w:fill="auto"/>
            <w:vAlign w:val="center"/>
            <w:hideMark/>
          </w:tcPr>
          <w:p w14:paraId="58EE21A0"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single" w:sz="4" w:space="0" w:color="auto"/>
              <w:right w:val="nil"/>
            </w:tcBorders>
            <w:shd w:val="clear" w:color="auto" w:fill="auto"/>
            <w:vAlign w:val="center"/>
            <w:hideMark/>
          </w:tcPr>
          <w:p w14:paraId="428CE63E"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3269C0A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1E1172C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6.19</w:t>
            </w:r>
          </w:p>
        </w:tc>
        <w:tc>
          <w:tcPr>
            <w:tcW w:w="727" w:type="dxa"/>
            <w:tcBorders>
              <w:top w:val="nil"/>
              <w:left w:val="nil"/>
              <w:bottom w:val="single" w:sz="4" w:space="0" w:color="auto"/>
              <w:right w:val="single" w:sz="4" w:space="0" w:color="auto"/>
            </w:tcBorders>
            <w:shd w:val="clear" w:color="auto" w:fill="auto"/>
            <w:vAlign w:val="center"/>
            <w:hideMark/>
          </w:tcPr>
          <w:p w14:paraId="1E6C420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1.31</w:t>
            </w:r>
          </w:p>
        </w:tc>
      </w:tr>
      <w:tr w:rsidR="00872293" w:rsidRPr="00872293" w14:paraId="5F4181E4" w14:textId="77777777" w:rsidTr="001F1294">
        <w:trPr>
          <w:trHeight w:val="963"/>
        </w:trPr>
        <w:tc>
          <w:tcPr>
            <w:tcW w:w="869" w:type="dxa"/>
            <w:tcBorders>
              <w:top w:val="single" w:sz="4" w:space="0" w:color="auto"/>
              <w:left w:val="single" w:sz="8" w:space="0" w:color="auto"/>
              <w:bottom w:val="nil"/>
              <w:right w:val="nil"/>
            </w:tcBorders>
            <w:shd w:val="clear" w:color="auto" w:fill="auto"/>
            <w:vAlign w:val="center"/>
            <w:hideMark/>
          </w:tcPr>
          <w:p w14:paraId="7383071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Karst</w:t>
            </w:r>
          </w:p>
        </w:tc>
        <w:tc>
          <w:tcPr>
            <w:tcW w:w="843" w:type="dxa"/>
            <w:tcBorders>
              <w:top w:val="single" w:sz="4" w:space="0" w:color="auto"/>
              <w:left w:val="nil"/>
              <w:bottom w:val="nil"/>
              <w:right w:val="nil"/>
            </w:tcBorders>
            <w:shd w:val="clear" w:color="auto" w:fill="auto"/>
            <w:vAlign w:val="center"/>
            <w:hideMark/>
          </w:tcPr>
          <w:p w14:paraId="04B44C3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1411</w:t>
            </w:r>
          </w:p>
        </w:tc>
        <w:tc>
          <w:tcPr>
            <w:tcW w:w="1403" w:type="dxa"/>
            <w:tcBorders>
              <w:top w:val="single" w:sz="4" w:space="0" w:color="auto"/>
              <w:left w:val="nil"/>
              <w:bottom w:val="nil"/>
              <w:right w:val="nil"/>
            </w:tcBorders>
            <w:shd w:val="clear" w:color="auto" w:fill="auto"/>
            <w:vAlign w:val="center"/>
            <w:hideMark/>
          </w:tcPr>
          <w:p w14:paraId="13DD60E8" w14:textId="77777777" w:rsidR="002E4495" w:rsidRPr="00872293" w:rsidRDefault="002E4495" w:rsidP="002E4495">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Cambalache</w:t>
            </w:r>
            <w:proofErr w:type="spellEnd"/>
          </w:p>
        </w:tc>
        <w:tc>
          <w:tcPr>
            <w:tcW w:w="1229" w:type="dxa"/>
            <w:tcBorders>
              <w:top w:val="single" w:sz="4" w:space="0" w:color="auto"/>
              <w:left w:val="nil"/>
              <w:bottom w:val="nil"/>
              <w:right w:val="nil"/>
            </w:tcBorders>
            <w:shd w:val="clear" w:color="auto" w:fill="auto"/>
            <w:vAlign w:val="center"/>
            <w:hideMark/>
          </w:tcPr>
          <w:p w14:paraId="2EDB663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w:t>
            </w:r>
          </w:p>
        </w:tc>
        <w:tc>
          <w:tcPr>
            <w:tcW w:w="1430" w:type="dxa"/>
            <w:tcBorders>
              <w:top w:val="single" w:sz="4" w:space="0" w:color="auto"/>
              <w:left w:val="nil"/>
              <w:bottom w:val="nil"/>
              <w:right w:val="nil"/>
            </w:tcBorders>
            <w:shd w:val="clear" w:color="auto" w:fill="auto"/>
            <w:vAlign w:val="center"/>
            <w:hideMark/>
          </w:tcPr>
          <w:p w14:paraId="31ED4631"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Coccoloba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diversifolia</w:t>
            </w:r>
            <w:proofErr w:type="spellEnd"/>
          </w:p>
        </w:tc>
        <w:tc>
          <w:tcPr>
            <w:tcW w:w="963" w:type="dxa"/>
            <w:tcBorders>
              <w:top w:val="single" w:sz="4" w:space="0" w:color="auto"/>
              <w:left w:val="nil"/>
              <w:bottom w:val="nil"/>
              <w:right w:val="nil"/>
            </w:tcBorders>
            <w:shd w:val="clear" w:color="auto" w:fill="auto"/>
            <w:vAlign w:val="center"/>
            <w:hideMark/>
          </w:tcPr>
          <w:p w14:paraId="76AA831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Serrano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0673F98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c>
          <w:tcPr>
            <w:tcW w:w="1043" w:type="dxa"/>
            <w:tcBorders>
              <w:top w:val="single" w:sz="4" w:space="0" w:color="auto"/>
              <w:left w:val="nil"/>
              <w:bottom w:val="nil"/>
              <w:right w:val="nil"/>
            </w:tcBorders>
            <w:shd w:val="clear" w:color="auto" w:fill="auto"/>
            <w:vAlign w:val="center"/>
            <w:hideMark/>
          </w:tcPr>
          <w:p w14:paraId="2A38606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6.25</w:t>
            </w:r>
          </w:p>
        </w:tc>
        <w:tc>
          <w:tcPr>
            <w:tcW w:w="727" w:type="dxa"/>
            <w:tcBorders>
              <w:top w:val="single" w:sz="4" w:space="0" w:color="auto"/>
              <w:left w:val="nil"/>
              <w:bottom w:val="nil"/>
              <w:right w:val="single" w:sz="8" w:space="0" w:color="auto"/>
            </w:tcBorders>
            <w:shd w:val="clear" w:color="auto" w:fill="auto"/>
            <w:vAlign w:val="center"/>
            <w:hideMark/>
          </w:tcPr>
          <w:p w14:paraId="4FD5FC6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2.25</w:t>
            </w:r>
          </w:p>
        </w:tc>
      </w:tr>
      <w:tr w:rsidR="00872293" w:rsidRPr="00872293" w14:paraId="5F0923FB" w14:textId="77777777" w:rsidTr="002E4495">
        <w:trPr>
          <w:trHeight w:val="310"/>
        </w:trPr>
        <w:tc>
          <w:tcPr>
            <w:tcW w:w="869" w:type="dxa"/>
            <w:tcBorders>
              <w:top w:val="nil"/>
              <w:left w:val="single" w:sz="8" w:space="0" w:color="auto"/>
              <w:bottom w:val="nil"/>
              <w:right w:val="nil"/>
            </w:tcBorders>
            <w:shd w:val="clear" w:color="auto" w:fill="auto"/>
            <w:vAlign w:val="center"/>
            <w:hideMark/>
          </w:tcPr>
          <w:p w14:paraId="6F20ECA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5D24BBC8"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6544C923"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1AE5299F"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647A6D6F"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47C52FC3"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72C63004" w14:textId="092A829D"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5-15</w:t>
            </w:r>
          </w:p>
        </w:tc>
        <w:tc>
          <w:tcPr>
            <w:tcW w:w="1043" w:type="dxa"/>
            <w:tcBorders>
              <w:top w:val="nil"/>
              <w:left w:val="nil"/>
              <w:bottom w:val="nil"/>
              <w:right w:val="nil"/>
            </w:tcBorders>
            <w:shd w:val="clear" w:color="auto" w:fill="auto"/>
            <w:vAlign w:val="center"/>
            <w:hideMark/>
          </w:tcPr>
          <w:p w14:paraId="382D040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w:t>
            </w:r>
          </w:p>
        </w:tc>
        <w:tc>
          <w:tcPr>
            <w:tcW w:w="727" w:type="dxa"/>
            <w:tcBorders>
              <w:top w:val="nil"/>
              <w:left w:val="nil"/>
              <w:bottom w:val="nil"/>
              <w:right w:val="single" w:sz="8" w:space="0" w:color="auto"/>
            </w:tcBorders>
            <w:shd w:val="clear" w:color="auto" w:fill="auto"/>
            <w:vAlign w:val="center"/>
            <w:hideMark/>
          </w:tcPr>
          <w:p w14:paraId="3200AD6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0.12</w:t>
            </w:r>
          </w:p>
        </w:tc>
      </w:tr>
      <w:tr w:rsidR="00872293" w:rsidRPr="00872293" w14:paraId="512F001C" w14:textId="77777777" w:rsidTr="002E4495">
        <w:trPr>
          <w:trHeight w:val="310"/>
        </w:trPr>
        <w:tc>
          <w:tcPr>
            <w:tcW w:w="869" w:type="dxa"/>
            <w:tcBorders>
              <w:top w:val="nil"/>
              <w:left w:val="single" w:sz="8" w:space="0" w:color="auto"/>
              <w:bottom w:val="nil"/>
              <w:right w:val="nil"/>
            </w:tcBorders>
            <w:shd w:val="clear" w:color="auto" w:fill="auto"/>
            <w:vAlign w:val="center"/>
            <w:hideMark/>
          </w:tcPr>
          <w:p w14:paraId="7CB62CA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73DCB02D" w14:textId="77777777" w:rsidR="002E4495" w:rsidRPr="00872293" w:rsidRDefault="002E4495" w:rsidP="002E4495">
            <w:pPr>
              <w:jc w:val="center"/>
              <w:rPr>
                <w:rFonts w:ascii="Times New Roman" w:eastAsia="Times New Roman" w:hAnsi="Times New Roman" w:cs="Times New Roman"/>
                <w:sz w:val="22"/>
                <w:szCs w:val="22"/>
              </w:rPr>
            </w:pPr>
          </w:p>
        </w:tc>
        <w:tc>
          <w:tcPr>
            <w:tcW w:w="1403" w:type="dxa"/>
            <w:tcBorders>
              <w:top w:val="nil"/>
              <w:left w:val="nil"/>
              <w:bottom w:val="nil"/>
              <w:right w:val="nil"/>
            </w:tcBorders>
            <w:shd w:val="clear" w:color="auto" w:fill="auto"/>
            <w:vAlign w:val="center"/>
            <w:hideMark/>
          </w:tcPr>
          <w:p w14:paraId="745FAB8D"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15452E25" w14:textId="77777777" w:rsidR="002E4495" w:rsidRPr="00872293" w:rsidRDefault="002E4495" w:rsidP="002E4495">
            <w:pPr>
              <w:jc w:val="center"/>
              <w:rPr>
                <w:rFonts w:ascii="Times New Roman" w:eastAsia="Times New Roman" w:hAnsi="Times New Roman" w:cs="Times New Roman"/>
                <w:sz w:val="22"/>
                <w:szCs w:val="22"/>
              </w:rPr>
            </w:pPr>
          </w:p>
        </w:tc>
        <w:tc>
          <w:tcPr>
            <w:tcW w:w="1430" w:type="dxa"/>
            <w:tcBorders>
              <w:top w:val="nil"/>
              <w:left w:val="nil"/>
              <w:bottom w:val="nil"/>
              <w:right w:val="nil"/>
            </w:tcBorders>
            <w:shd w:val="clear" w:color="auto" w:fill="auto"/>
            <w:vAlign w:val="center"/>
            <w:hideMark/>
          </w:tcPr>
          <w:p w14:paraId="1A0806E7" w14:textId="77777777" w:rsidR="002E4495" w:rsidRPr="00872293" w:rsidRDefault="002E4495" w:rsidP="002E4495">
            <w:pPr>
              <w:jc w:val="center"/>
              <w:rPr>
                <w:rFonts w:ascii="Times New Roman" w:eastAsia="Times New Roman" w:hAnsi="Times New Roman" w:cs="Times New Roman"/>
                <w:sz w:val="22"/>
                <w:szCs w:val="22"/>
              </w:rPr>
            </w:pPr>
          </w:p>
        </w:tc>
        <w:tc>
          <w:tcPr>
            <w:tcW w:w="963" w:type="dxa"/>
            <w:tcBorders>
              <w:top w:val="nil"/>
              <w:left w:val="nil"/>
              <w:bottom w:val="nil"/>
              <w:right w:val="nil"/>
            </w:tcBorders>
            <w:shd w:val="clear" w:color="auto" w:fill="auto"/>
            <w:vAlign w:val="center"/>
            <w:hideMark/>
          </w:tcPr>
          <w:p w14:paraId="40FD8E01"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5A3D9E2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15-25</w:t>
            </w:r>
          </w:p>
        </w:tc>
        <w:tc>
          <w:tcPr>
            <w:tcW w:w="1043" w:type="dxa"/>
            <w:tcBorders>
              <w:top w:val="nil"/>
              <w:left w:val="nil"/>
              <w:bottom w:val="nil"/>
              <w:right w:val="nil"/>
            </w:tcBorders>
            <w:shd w:val="clear" w:color="auto" w:fill="auto"/>
            <w:vAlign w:val="center"/>
            <w:hideMark/>
          </w:tcPr>
          <w:p w14:paraId="08E8CCD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0.13</w:t>
            </w:r>
          </w:p>
        </w:tc>
        <w:tc>
          <w:tcPr>
            <w:tcW w:w="727" w:type="dxa"/>
            <w:tcBorders>
              <w:top w:val="nil"/>
              <w:left w:val="nil"/>
              <w:bottom w:val="nil"/>
              <w:right w:val="single" w:sz="8" w:space="0" w:color="auto"/>
            </w:tcBorders>
            <w:shd w:val="clear" w:color="auto" w:fill="auto"/>
            <w:vAlign w:val="center"/>
            <w:hideMark/>
          </w:tcPr>
          <w:p w14:paraId="6607B81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p>
        </w:tc>
      </w:tr>
      <w:tr w:rsidR="00872293" w:rsidRPr="00872293" w14:paraId="2F19902F" w14:textId="77777777" w:rsidTr="002E4495">
        <w:trPr>
          <w:trHeight w:val="320"/>
        </w:trPr>
        <w:tc>
          <w:tcPr>
            <w:tcW w:w="869" w:type="dxa"/>
            <w:tcBorders>
              <w:top w:val="nil"/>
              <w:left w:val="single" w:sz="8" w:space="0" w:color="auto"/>
              <w:bottom w:val="single" w:sz="8" w:space="0" w:color="auto"/>
              <w:right w:val="nil"/>
            </w:tcBorders>
            <w:shd w:val="clear" w:color="auto" w:fill="auto"/>
            <w:vAlign w:val="center"/>
            <w:hideMark/>
          </w:tcPr>
          <w:p w14:paraId="1324084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8" w:space="0" w:color="auto"/>
              <w:right w:val="nil"/>
            </w:tcBorders>
            <w:shd w:val="clear" w:color="auto" w:fill="auto"/>
            <w:vAlign w:val="center"/>
            <w:hideMark/>
          </w:tcPr>
          <w:p w14:paraId="685DE73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403" w:type="dxa"/>
            <w:tcBorders>
              <w:top w:val="nil"/>
              <w:left w:val="nil"/>
              <w:bottom w:val="single" w:sz="8" w:space="0" w:color="auto"/>
              <w:right w:val="nil"/>
            </w:tcBorders>
            <w:shd w:val="clear" w:color="auto" w:fill="auto"/>
            <w:vAlign w:val="center"/>
            <w:hideMark/>
          </w:tcPr>
          <w:p w14:paraId="757C83B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229" w:type="dxa"/>
            <w:tcBorders>
              <w:top w:val="nil"/>
              <w:left w:val="nil"/>
              <w:bottom w:val="single" w:sz="8" w:space="0" w:color="auto"/>
              <w:right w:val="nil"/>
            </w:tcBorders>
            <w:shd w:val="clear" w:color="auto" w:fill="auto"/>
            <w:vAlign w:val="center"/>
            <w:hideMark/>
          </w:tcPr>
          <w:p w14:paraId="44D5258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430" w:type="dxa"/>
            <w:tcBorders>
              <w:top w:val="nil"/>
              <w:left w:val="nil"/>
              <w:bottom w:val="single" w:sz="8" w:space="0" w:color="auto"/>
              <w:right w:val="nil"/>
            </w:tcBorders>
            <w:shd w:val="clear" w:color="auto" w:fill="auto"/>
            <w:vAlign w:val="center"/>
            <w:hideMark/>
          </w:tcPr>
          <w:p w14:paraId="400D41D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963" w:type="dxa"/>
            <w:tcBorders>
              <w:top w:val="nil"/>
              <w:left w:val="nil"/>
              <w:bottom w:val="single" w:sz="8" w:space="0" w:color="auto"/>
              <w:right w:val="nil"/>
            </w:tcBorders>
            <w:shd w:val="clear" w:color="auto" w:fill="auto"/>
            <w:vAlign w:val="center"/>
            <w:hideMark/>
          </w:tcPr>
          <w:p w14:paraId="57A3F633" w14:textId="6A4B539B"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8" w:space="0" w:color="auto"/>
              <w:right w:val="nil"/>
            </w:tcBorders>
            <w:shd w:val="clear" w:color="auto" w:fill="auto"/>
            <w:vAlign w:val="center"/>
            <w:hideMark/>
          </w:tcPr>
          <w:p w14:paraId="4828F09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c>
          <w:tcPr>
            <w:tcW w:w="1043" w:type="dxa"/>
            <w:tcBorders>
              <w:top w:val="nil"/>
              <w:left w:val="nil"/>
              <w:bottom w:val="single" w:sz="8" w:space="0" w:color="auto"/>
              <w:right w:val="nil"/>
            </w:tcBorders>
            <w:shd w:val="clear" w:color="auto" w:fill="auto"/>
            <w:vAlign w:val="center"/>
            <w:hideMark/>
          </w:tcPr>
          <w:p w14:paraId="65A2F0E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6.13</w:t>
            </w:r>
          </w:p>
        </w:tc>
        <w:tc>
          <w:tcPr>
            <w:tcW w:w="727" w:type="dxa"/>
            <w:tcBorders>
              <w:top w:val="nil"/>
              <w:left w:val="nil"/>
              <w:bottom w:val="single" w:sz="8" w:space="0" w:color="auto"/>
              <w:right w:val="single" w:sz="8" w:space="0" w:color="auto"/>
            </w:tcBorders>
            <w:shd w:val="clear" w:color="auto" w:fill="auto"/>
            <w:vAlign w:val="center"/>
            <w:hideMark/>
          </w:tcPr>
          <w:p w14:paraId="3700A72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r>
    </w:tbl>
    <w:p w14:paraId="3536A2D5" w14:textId="1A8678A7" w:rsidR="002E4495" w:rsidRPr="00872293" w:rsidRDefault="002E4495" w:rsidP="00523464">
      <w:pPr>
        <w:pStyle w:val="ListParagraph"/>
        <w:spacing w:line="360" w:lineRule="auto"/>
        <w:rPr>
          <w:rFonts w:ascii="Times New Roman" w:hAnsi="Times New Roman" w:cs="Times New Roman"/>
          <w:vertAlign w:val="superscript"/>
        </w:rPr>
      </w:pPr>
    </w:p>
    <w:p w14:paraId="33CF60E8" w14:textId="77777777" w:rsidR="002E4495" w:rsidRPr="00872293" w:rsidRDefault="002E4495">
      <w:pPr>
        <w:rPr>
          <w:rFonts w:ascii="Times New Roman" w:hAnsi="Times New Roman" w:cs="Times New Roman"/>
          <w:vertAlign w:val="superscript"/>
        </w:rPr>
      </w:pPr>
      <w:r w:rsidRPr="00872293">
        <w:rPr>
          <w:rFonts w:ascii="Times New Roman" w:hAnsi="Times New Roman" w:cs="Times New Roman"/>
          <w:vertAlign w:val="superscript"/>
        </w:rPr>
        <w:br w:type="page"/>
      </w:r>
    </w:p>
    <w:p w14:paraId="368EACC3" w14:textId="2413B789" w:rsidR="00523464" w:rsidRPr="00872293" w:rsidRDefault="00AB6A81" w:rsidP="00B849D5">
      <w:pPr>
        <w:spacing w:before="240" w:after="240"/>
        <w:rPr>
          <w:rFonts w:ascii="Times New Roman" w:hAnsi="Times New Roman" w:cs="Times New Roman"/>
          <w:i/>
          <w:iCs/>
        </w:rPr>
      </w:pPr>
      <w:r w:rsidRPr="00872293">
        <w:rPr>
          <w:rFonts w:ascii="Times New Roman" w:hAnsi="Times New Roman" w:cs="Times New Roman"/>
          <w:i/>
          <w:iCs/>
        </w:rPr>
        <w:lastRenderedPageBreak/>
        <w:t>Table 1 (Continued)</w:t>
      </w:r>
    </w:p>
    <w:tbl>
      <w:tblPr>
        <w:tblW w:w="9260" w:type="dxa"/>
        <w:tblLook w:val="04A0" w:firstRow="1" w:lastRow="0" w:firstColumn="1" w:lastColumn="0" w:noHBand="0" w:noVBand="1"/>
      </w:tblPr>
      <w:tblGrid>
        <w:gridCol w:w="869"/>
        <w:gridCol w:w="843"/>
        <w:gridCol w:w="1083"/>
        <w:gridCol w:w="1229"/>
        <w:gridCol w:w="1523"/>
        <w:gridCol w:w="976"/>
        <w:gridCol w:w="843"/>
        <w:gridCol w:w="1043"/>
        <w:gridCol w:w="851"/>
      </w:tblGrid>
      <w:tr w:rsidR="00872293" w:rsidRPr="00872293" w14:paraId="5983DF7E" w14:textId="77777777" w:rsidTr="00750F73">
        <w:trPr>
          <w:trHeight w:val="900"/>
        </w:trPr>
        <w:tc>
          <w:tcPr>
            <w:tcW w:w="869" w:type="dxa"/>
            <w:tcBorders>
              <w:top w:val="single" w:sz="4" w:space="0" w:color="auto"/>
              <w:left w:val="single" w:sz="4" w:space="0" w:color="auto"/>
              <w:bottom w:val="single" w:sz="4" w:space="0" w:color="auto"/>
              <w:right w:val="nil"/>
            </w:tcBorders>
            <w:shd w:val="clear" w:color="auto" w:fill="auto"/>
            <w:vAlign w:val="center"/>
            <w:hideMark/>
          </w:tcPr>
          <w:p w14:paraId="5FA9373C"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Forest</w:t>
            </w:r>
          </w:p>
        </w:tc>
        <w:tc>
          <w:tcPr>
            <w:tcW w:w="843" w:type="dxa"/>
            <w:tcBorders>
              <w:top w:val="single" w:sz="4" w:space="0" w:color="auto"/>
              <w:left w:val="nil"/>
              <w:bottom w:val="single" w:sz="4" w:space="0" w:color="auto"/>
              <w:right w:val="nil"/>
            </w:tcBorders>
            <w:shd w:val="clear" w:color="auto" w:fill="auto"/>
            <w:vAlign w:val="center"/>
            <w:hideMark/>
          </w:tcPr>
          <w:p w14:paraId="79B8DF38" w14:textId="77777777" w:rsidR="002E4495" w:rsidRPr="00872293" w:rsidRDefault="002E4495" w:rsidP="002E4495">
            <w:pPr>
              <w:jc w:val="center"/>
              <w:rPr>
                <w:rFonts w:ascii="Times New Roman" w:eastAsia="Times New Roman" w:hAnsi="Times New Roman" w:cs="Times New Roman"/>
                <w:b/>
                <w:bCs/>
                <w:sz w:val="22"/>
                <w:szCs w:val="22"/>
              </w:rPr>
            </w:pPr>
            <w:proofErr w:type="spellStart"/>
            <w:r w:rsidRPr="00872293">
              <w:rPr>
                <w:rFonts w:ascii="Times New Roman" w:eastAsia="Times New Roman" w:hAnsi="Times New Roman" w:cs="Times New Roman"/>
                <w:b/>
                <w:bCs/>
                <w:sz w:val="22"/>
                <w:szCs w:val="22"/>
              </w:rPr>
              <w:t>MAP</w:t>
            </w:r>
            <w:r w:rsidRPr="00872293">
              <w:rPr>
                <w:rFonts w:ascii="Times New Roman" w:eastAsia="Times New Roman" w:hAnsi="Times New Roman" w:cs="Times New Roman"/>
                <w:b/>
                <w:bCs/>
                <w:sz w:val="22"/>
                <w:szCs w:val="22"/>
                <w:vertAlign w:val="superscript"/>
              </w:rPr>
              <w:t>a</w:t>
            </w:r>
            <w:proofErr w:type="spellEnd"/>
            <w:r w:rsidRPr="00872293">
              <w:rPr>
                <w:rFonts w:ascii="Times New Roman" w:eastAsia="Times New Roman" w:hAnsi="Times New Roman" w:cs="Times New Roman"/>
                <w:b/>
                <w:bCs/>
                <w:sz w:val="22"/>
                <w:szCs w:val="22"/>
              </w:rPr>
              <w:t xml:space="preserve"> (mm)</w:t>
            </w:r>
          </w:p>
        </w:tc>
        <w:tc>
          <w:tcPr>
            <w:tcW w:w="1083" w:type="dxa"/>
            <w:tcBorders>
              <w:top w:val="single" w:sz="4" w:space="0" w:color="auto"/>
              <w:left w:val="nil"/>
              <w:bottom w:val="single" w:sz="4" w:space="0" w:color="auto"/>
              <w:right w:val="nil"/>
            </w:tcBorders>
            <w:shd w:val="clear" w:color="auto" w:fill="auto"/>
            <w:vAlign w:val="center"/>
            <w:hideMark/>
          </w:tcPr>
          <w:p w14:paraId="44587329"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Site</w:t>
            </w:r>
          </w:p>
        </w:tc>
        <w:tc>
          <w:tcPr>
            <w:tcW w:w="1229" w:type="dxa"/>
            <w:tcBorders>
              <w:top w:val="single" w:sz="4" w:space="0" w:color="auto"/>
              <w:left w:val="nil"/>
              <w:bottom w:val="single" w:sz="4" w:space="0" w:color="auto"/>
              <w:right w:val="nil"/>
            </w:tcBorders>
            <w:shd w:val="clear" w:color="auto" w:fill="auto"/>
            <w:vAlign w:val="center"/>
            <w:hideMark/>
          </w:tcPr>
          <w:p w14:paraId="1046C3A4"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Type</w:t>
            </w:r>
          </w:p>
        </w:tc>
        <w:tc>
          <w:tcPr>
            <w:tcW w:w="1523" w:type="dxa"/>
            <w:tcBorders>
              <w:top w:val="single" w:sz="4" w:space="0" w:color="auto"/>
              <w:left w:val="nil"/>
              <w:bottom w:val="single" w:sz="4" w:space="0" w:color="auto"/>
              <w:right w:val="nil"/>
            </w:tcBorders>
            <w:shd w:val="clear" w:color="auto" w:fill="auto"/>
            <w:vAlign w:val="center"/>
            <w:hideMark/>
          </w:tcPr>
          <w:p w14:paraId="05CC1298"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Dominant species</w:t>
            </w:r>
          </w:p>
        </w:tc>
        <w:tc>
          <w:tcPr>
            <w:tcW w:w="976" w:type="dxa"/>
            <w:tcBorders>
              <w:top w:val="single" w:sz="4" w:space="0" w:color="auto"/>
              <w:left w:val="nil"/>
              <w:bottom w:val="single" w:sz="4" w:space="0" w:color="auto"/>
              <w:right w:val="nil"/>
            </w:tcBorders>
            <w:shd w:val="clear" w:color="auto" w:fill="auto"/>
            <w:vAlign w:val="center"/>
            <w:hideMark/>
          </w:tcPr>
          <w:p w14:paraId="00F2048C"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Author</w:t>
            </w:r>
          </w:p>
        </w:tc>
        <w:tc>
          <w:tcPr>
            <w:tcW w:w="843" w:type="dxa"/>
            <w:tcBorders>
              <w:top w:val="single" w:sz="4" w:space="0" w:color="auto"/>
              <w:left w:val="nil"/>
              <w:bottom w:val="single" w:sz="4" w:space="0" w:color="auto"/>
              <w:right w:val="nil"/>
            </w:tcBorders>
            <w:shd w:val="clear" w:color="auto" w:fill="auto"/>
            <w:vAlign w:val="center"/>
            <w:hideMark/>
          </w:tcPr>
          <w:p w14:paraId="5FA53298" w14:textId="77777777"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Depth</w:t>
            </w:r>
          </w:p>
        </w:tc>
        <w:tc>
          <w:tcPr>
            <w:tcW w:w="1043" w:type="dxa"/>
            <w:tcBorders>
              <w:top w:val="single" w:sz="4" w:space="0" w:color="auto"/>
              <w:left w:val="nil"/>
              <w:bottom w:val="single" w:sz="4" w:space="0" w:color="auto"/>
              <w:right w:val="nil"/>
            </w:tcBorders>
            <w:shd w:val="clear" w:color="auto" w:fill="auto"/>
            <w:vAlign w:val="center"/>
            <w:hideMark/>
          </w:tcPr>
          <w:p w14:paraId="5F92D2DA" w14:textId="499869A4" w:rsidR="002E4495" w:rsidRPr="00872293" w:rsidRDefault="002E4495" w:rsidP="002E4495">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 xml:space="preserve">Root biomass </w:t>
            </w:r>
            <w:r w:rsidRPr="007C77B9">
              <w:rPr>
                <w:rFonts w:ascii="Times New Roman" w:eastAsia="Times New Roman" w:hAnsi="Times New Roman" w:cs="Times New Roman"/>
                <w:b/>
                <w:bCs/>
                <w:sz w:val="22"/>
                <w:szCs w:val="22"/>
              </w:rPr>
              <w:t>Mg</w:t>
            </w:r>
            <w:r w:rsidR="007C77B9" w:rsidRPr="007C77B9">
              <w:rPr>
                <w:rFonts w:ascii="Times New Roman" w:hAnsi="Times New Roman" w:cs="Times New Roman"/>
                <w:b/>
                <w:bCs/>
              </w:rPr>
              <w:t xml:space="preserve"> </w:t>
            </w:r>
            <w:proofErr w:type="gramStart"/>
            <w:r w:rsidR="007C77B9" w:rsidRPr="007C77B9">
              <w:rPr>
                <w:rFonts w:ascii="Times New Roman" w:hAnsi="Times New Roman" w:cs="Times New Roman"/>
                <w:b/>
                <w:bCs/>
              </w:rPr>
              <w:t>ha</w:t>
            </w:r>
            <w:r w:rsidR="007C77B9" w:rsidRPr="007C77B9">
              <w:rPr>
                <w:rFonts w:ascii="Times New Roman" w:hAnsi="Times New Roman" w:cs="Times New Roman"/>
                <w:b/>
                <w:bCs/>
                <w:vertAlign w:val="superscript"/>
              </w:rPr>
              <w:t>-1</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AFCE23" w14:textId="77777777" w:rsidR="002E4495" w:rsidRPr="00872293" w:rsidRDefault="002E4495" w:rsidP="002E4495">
            <w:pPr>
              <w:jc w:val="center"/>
              <w:rPr>
                <w:rFonts w:ascii="Times New Roman" w:eastAsia="Times New Roman" w:hAnsi="Times New Roman" w:cs="Times New Roman"/>
                <w:b/>
                <w:bCs/>
                <w:sz w:val="22"/>
                <w:szCs w:val="22"/>
              </w:rPr>
            </w:pPr>
            <w:proofErr w:type="spellStart"/>
            <w:r w:rsidRPr="00872293">
              <w:rPr>
                <w:rFonts w:ascii="Times New Roman" w:eastAsia="Times New Roman" w:hAnsi="Times New Roman" w:cs="Times New Roman"/>
                <w:b/>
                <w:bCs/>
                <w:sz w:val="22"/>
                <w:szCs w:val="22"/>
              </w:rPr>
              <w:t>SE</w:t>
            </w:r>
            <w:r w:rsidRPr="00872293">
              <w:rPr>
                <w:rFonts w:ascii="Times New Roman" w:eastAsia="Times New Roman" w:hAnsi="Times New Roman" w:cs="Times New Roman"/>
                <w:b/>
                <w:bCs/>
                <w:sz w:val="22"/>
                <w:szCs w:val="22"/>
                <w:vertAlign w:val="superscript"/>
              </w:rPr>
              <w:t>b</w:t>
            </w:r>
            <w:proofErr w:type="spellEnd"/>
          </w:p>
        </w:tc>
      </w:tr>
      <w:tr w:rsidR="00872293" w:rsidRPr="00872293" w14:paraId="381D327E" w14:textId="77777777" w:rsidTr="00750F73">
        <w:trPr>
          <w:trHeight w:val="310"/>
        </w:trPr>
        <w:tc>
          <w:tcPr>
            <w:tcW w:w="869" w:type="dxa"/>
            <w:tcBorders>
              <w:top w:val="single" w:sz="4" w:space="0" w:color="auto"/>
              <w:left w:val="single" w:sz="4" w:space="0" w:color="auto"/>
              <w:bottom w:val="nil"/>
              <w:right w:val="nil"/>
            </w:tcBorders>
            <w:shd w:val="clear" w:color="auto" w:fill="auto"/>
            <w:vAlign w:val="center"/>
            <w:hideMark/>
          </w:tcPr>
          <w:p w14:paraId="3321C94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single" w:sz="4" w:space="0" w:color="auto"/>
              <w:left w:val="nil"/>
              <w:bottom w:val="nil"/>
              <w:right w:val="nil"/>
            </w:tcBorders>
            <w:shd w:val="clear" w:color="auto" w:fill="auto"/>
            <w:vAlign w:val="center"/>
            <w:hideMark/>
          </w:tcPr>
          <w:p w14:paraId="32328C58"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single" w:sz="4" w:space="0" w:color="auto"/>
              <w:left w:val="nil"/>
              <w:bottom w:val="nil"/>
              <w:right w:val="nil"/>
            </w:tcBorders>
            <w:shd w:val="clear" w:color="auto" w:fill="auto"/>
            <w:vAlign w:val="center"/>
            <w:hideMark/>
          </w:tcPr>
          <w:p w14:paraId="583EDB9E"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single" w:sz="4" w:space="0" w:color="auto"/>
              <w:left w:val="nil"/>
              <w:bottom w:val="nil"/>
              <w:right w:val="nil"/>
            </w:tcBorders>
            <w:shd w:val="clear" w:color="auto" w:fill="auto"/>
            <w:vAlign w:val="center"/>
            <w:hideMark/>
          </w:tcPr>
          <w:p w14:paraId="7E7C1975"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single" w:sz="4" w:space="0" w:color="auto"/>
              <w:left w:val="nil"/>
              <w:bottom w:val="nil"/>
              <w:right w:val="nil"/>
            </w:tcBorders>
            <w:shd w:val="clear" w:color="auto" w:fill="auto"/>
            <w:vAlign w:val="center"/>
            <w:hideMark/>
          </w:tcPr>
          <w:p w14:paraId="79E98E45"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single" w:sz="4" w:space="0" w:color="auto"/>
              <w:left w:val="nil"/>
              <w:bottom w:val="nil"/>
              <w:right w:val="nil"/>
            </w:tcBorders>
            <w:shd w:val="clear" w:color="auto" w:fill="auto"/>
            <w:vAlign w:val="center"/>
            <w:hideMark/>
          </w:tcPr>
          <w:p w14:paraId="1003D525"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single" w:sz="4" w:space="0" w:color="auto"/>
              <w:left w:val="nil"/>
              <w:bottom w:val="nil"/>
              <w:right w:val="nil"/>
            </w:tcBorders>
            <w:shd w:val="clear" w:color="auto" w:fill="auto"/>
            <w:vAlign w:val="center"/>
            <w:hideMark/>
          </w:tcPr>
          <w:p w14:paraId="7E14AB74" w14:textId="2F7B785A"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5-15</w:t>
            </w:r>
          </w:p>
        </w:tc>
        <w:tc>
          <w:tcPr>
            <w:tcW w:w="1043" w:type="dxa"/>
            <w:tcBorders>
              <w:top w:val="single" w:sz="4" w:space="0" w:color="auto"/>
              <w:left w:val="nil"/>
              <w:bottom w:val="nil"/>
              <w:right w:val="nil"/>
            </w:tcBorders>
            <w:shd w:val="clear" w:color="auto" w:fill="auto"/>
            <w:vAlign w:val="center"/>
            <w:hideMark/>
          </w:tcPr>
          <w:p w14:paraId="7A02782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1.07</w:t>
            </w:r>
          </w:p>
        </w:tc>
        <w:tc>
          <w:tcPr>
            <w:tcW w:w="851" w:type="dxa"/>
            <w:tcBorders>
              <w:top w:val="single" w:sz="4" w:space="0" w:color="auto"/>
              <w:left w:val="nil"/>
              <w:bottom w:val="nil"/>
              <w:right w:val="single" w:sz="4" w:space="0" w:color="auto"/>
            </w:tcBorders>
            <w:shd w:val="clear" w:color="auto" w:fill="auto"/>
            <w:vAlign w:val="center"/>
            <w:hideMark/>
          </w:tcPr>
          <w:p w14:paraId="4BC74E8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0.31</w:t>
            </w:r>
          </w:p>
        </w:tc>
      </w:tr>
      <w:tr w:rsidR="00872293" w:rsidRPr="00872293" w14:paraId="4C48BFC3"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5326D94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14693F0C"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24A47E30"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5589AE36"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1DED1EFE"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2CCAB3CB"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77602B1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c>
          <w:tcPr>
            <w:tcW w:w="1043" w:type="dxa"/>
            <w:tcBorders>
              <w:top w:val="nil"/>
              <w:left w:val="nil"/>
              <w:bottom w:val="nil"/>
              <w:right w:val="nil"/>
            </w:tcBorders>
            <w:shd w:val="clear" w:color="auto" w:fill="auto"/>
            <w:vAlign w:val="center"/>
            <w:hideMark/>
          </w:tcPr>
          <w:p w14:paraId="3F6201F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7.87</w:t>
            </w:r>
          </w:p>
        </w:tc>
        <w:tc>
          <w:tcPr>
            <w:tcW w:w="851" w:type="dxa"/>
            <w:tcBorders>
              <w:top w:val="nil"/>
              <w:left w:val="nil"/>
              <w:bottom w:val="nil"/>
              <w:right w:val="single" w:sz="4" w:space="0" w:color="auto"/>
            </w:tcBorders>
            <w:shd w:val="clear" w:color="auto" w:fill="auto"/>
            <w:vAlign w:val="center"/>
            <w:hideMark/>
          </w:tcPr>
          <w:p w14:paraId="2DF2879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1.25</w:t>
            </w:r>
          </w:p>
        </w:tc>
      </w:tr>
      <w:tr w:rsidR="00872293" w:rsidRPr="00872293" w14:paraId="2DE18AFB"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1DF18B1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567280E5"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01C7B53A"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658011FD"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7D3EFF49"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74D48555"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180C0ACA" w14:textId="2B3A171C"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5-15</w:t>
            </w:r>
          </w:p>
        </w:tc>
        <w:tc>
          <w:tcPr>
            <w:tcW w:w="1043" w:type="dxa"/>
            <w:tcBorders>
              <w:top w:val="nil"/>
              <w:left w:val="nil"/>
              <w:bottom w:val="nil"/>
              <w:right w:val="nil"/>
            </w:tcBorders>
            <w:shd w:val="clear" w:color="auto" w:fill="auto"/>
            <w:vAlign w:val="center"/>
            <w:hideMark/>
          </w:tcPr>
          <w:p w14:paraId="2106931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2.8</w:t>
            </w:r>
          </w:p>
        </w:tc>
        <w:tc>
          <w:tcPr>
            <w:tcW w:w="851" w:type="dxa"/>
            <w:tcBorders>
              <w:top w:val="nil"/>
              <w:left w:val="nil"/>
              <w:bottom w:val="nil"/>
              <w:right w:val="single" w:sz="4" w:space="0" w:color="auto"/>
            </w:tcBorders>
            <w:shd w:val="clear" w:color="auto" w:fill="auto"/>
            <w:vAlign w:val="center"/>
            <w:hideMark/>
          </w:tcPr>
          <w:p w14:paraId="1444C90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0.62</w:t>
            </w:r>
          </w:p>
        </w:tc>
      </w:tr>
      <w:tr w:rsidR="00872293" w:rsidRPr="00872293" w14:paraId="654C2E54"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409D8CC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772FC1EE"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7E2FB467"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0728D7D2"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44EC4544"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372A2176"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66528AF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15-25</w:t>
            </w:r>
          </w:p>
        </w:tc>
        <w:tc>
          <w:tcPr>
            <w:tcW w:w="1043" w:type="dxa"/>
            <w:tcBorders>
              <w:top w:val="nil"/>
              <w:left w:val="nil"/>
              <w:bottom w:val="single" w:sz="4" w:space="0" w:color="auto"/>
              <w:right w:val="nil"/>
            </w:tcBorders>
            <w:shd w:val="clear" w:color="auto" w:fill="auto"/>
            <w:vAlign w:val="center"/>
            <w:hideMark/>
          </w:tcPr>
          <w:p w14:paraId="07A9796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1.2</w:t>
            </w:r>
          </w:p>
        </w:tc>
        <w:tc>
          <w:tcPr>
            <w:tcW w:w="851" w:type="dxa"/>
            <w:tcBorders>
              <w:top w:val="nil"/>
              <w:left w:val="nil"/>
              <w:bottom w:val="single" w:sz="4" w:space="0" w:color="auto"/>
              <w:right w:val="single" w:sz="4" w:space="0" w:color="auto"/>
            </w:tcBorders>
            <w:shd w:val="clear" w:color="auto" w:fill="auto"/>
            <w:vAlign w:val="center"/>
            <w:hideMark/>
          </w:tcPr>
          <w:p w14:paraId="0BA21D5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r>
      <w:tr w:rsidR="00872293" w:rsidRPr="00872293" w14:paraId="6454C180" w14:textId="77777777" w:rsidTr="00750F73">
        <w:trPr>
          <w:trHeight w:val="620"/>
        </w:trPr>
        <w:tc>
          <w:tcPr>
            <w:tcW w:w="869" w:type="dxa"/>
            <w:tcBorders>
              <w:top w:val="single" w:sz="4" w:space="0" w:color="auto"/>
              <w:left w:val="single" w:sz="4" w:space="0" w:color="auto"/>
              <w:bottom w:val="nil"/>
              <w:right w:val="nil"/>
            </w:tcBorders>
            <w:shd w:val="clear" w:color="auto" w:fill="auto"/>
            <w:vAlign w:val="center"/>
            <w:hideMark/>
          </w:tcPr>
          <w:p w14:paraId="369A2E4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Dry</w:t>
            </w:r>
          </w:p>
        </w:tc>
        <w:tc>
          <w:tcPr>
            <w:tcW w:w="843" w:type="dxa"/>
            <w:tcBorders>
              <w:top w:val="single" w:sz="4" w:space="0" w:color="auto"/>
              <w:left w:val="nil"/>
              <w:bottom w:val="nil"/>
              <w:right w:val="nil"/>
            </w:tcBorders>
            <w:shd w:val="clear" w:color="auto" w:fill="auto"/>
            <w:vAlign w:val="center"/>
            <w:hideMark/>
          </w:tcPr>
          <w:p w14:paraId="53EEF50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1413</w:t>
            </w:r>
          </w:p>
        </w:tc>
        <w:tc>
          <w:tcPr>
            <w:tcW w:w="1083" w:type="dxa"/>
            <w:tcBorders>
              <w:top w:val="single" w:sz="4" w:space="0" w:color="auto"/>
              <w:left w:val="nil"/>
              <w:bottom w:val="nil"/>
              <w:right w:val="nil"/>
            </w:tcBorders>
            <w:shd w:val="clear" w:color="auto" w:fill="auto"/>
            <w:vAlign w:val="center"/>
            <w:hideMark/>
          </w:tcPr>
          <w:p w14:paraId="113AB1BD" w14:textId="77777777" w:rsidR="002E4495" w:rsidRPr="00872293" w:rsidRDefault="002E4495" w:rsidP="002E4495">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Sabana</w:t>
            </w:r>
            <w:proofErr w:type="spellEnd"/>
            <w:r w:rsidRPr="00872293">
              <w:rPr>
                <w:rFonts w:ascii="Times New Roman" w:eastAsia="Times New Roman" w:hAnsi="Times New Roman" w:cs="Times New Roman"/>
                <w:sz w:val="22"/>
                <w:szCs w:val="22"/>
              </w:rPr>
              <w:t xml:space="preserve"> </w:t>
            </w:r>
            <w:proofErr w:type="spellStart"/>
            <w:r w:rsidRPr="00872293">
              <w:rPr>
                <w:rFonts w:ascii="Times New Roman" w:eastAsia="Times New Roman" w:hAnsi="Times New Roman" w:cs="Times New Roman"/>
                <w:sz w:val="22"/>
                <w:szCs w:val="22"/>
              </w:rPr>
              <w:t>grande</w:t>
            </w:r>
            <w:proofErr w:type="spellEnd"/>
          </w:p>
        </w:tc>
        <w:tc>
          <w:tcPr>
            <w:tcW w:w="1229" w:type="dxa"/>
            <w:tcBorders>
              <w:top w:val="single" w:sz="4" w:space="0" w:color="auto"/>
              <w:left w:val="nil"/>
              <w:bottom w:val="nil"/>
              <w:right w:val="nil"/>
            </w:tcBorders>
            <w:shd w:val="clear" w:color="auto" w:fill="auto"/>
            <w:vAlign w:val="center"/>
            <w:hideMark/>
          </w:tcPr>
          <w:p w14:paraId="13C148E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Mature</w:t>
            </w:r>
          </w:p>
        </w:tc>
        <w:tc>
          <w:tcPr>
            <w:tcW w:w="1523" w:type="dxa"/>
            <w:tcBorders>
              <w:top w:val="single" w:sz="4" w:space="0" w:color="auto"/>
              <w:left w:val="nil"/>
              <w:bottom w:val="nil"/>
              <w:right w:val="nil"/>
            </w:tcBorders>
            <w:shd w:val="clear" w:color="auto" w:fill="auto"/>
            <w:vAlign w:val="center"/>
            <w:hideMark/>
          </w:tcPr>
          <w:p w14:paraId="7915691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Mixed</w:t>
            </w:r>
          </w:p>
        </w:tc>
        <w:tc>
          <w:tcPr>
            <w:tcW w:w="976" w:type="dxa"/>
            <w:tcBorders>
              <w:top w:val="single" w:sz="4" w:space="0" w:color="auto"/>
              <w:left w:val="nil"/>
              <w:bottom w:val="nil"/>
              <w:right w:val="nil"/>
            </w:tcBorders>
            <w:shd w:val="clear" w:color="auto" w:fill="auto"/>
            <w:vAlign w:val="center"/>
            <w:hideMark/>
          </w:tcPr>
          <w:p w14:paraId="456DFF5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Alvarez</w:t>
            </w:r>
          </w:p>
        </w:tc>
        <w:tc>
          <w:tcPr>
            <w:tcW w:w="843" w:type="dxa"/>
            <w:tcBorders>
              <w:top w:val="single" w:sz="4" w:space="0" w:color="auto"/>
              <w:left w:val="nil"/>
              <w:bottom w:val="nil"/>
              <w:right w:val="nil"/>
            </w:tcBorders>
            <w:shd w:val="clear" w:color="auto" w:fill="auto"/>
            <w:vAlign w:val="center"/>
            <w:hideMark/>
          </w:tcPr>
          <w:p w14:paraId="27E9478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c>
          <w:tcPr>
            <w:tcW w:w="1043" w:type="dxa"/>
            <w:tcBorders>
              <w:top w:val="single" w:sz="4" w:space="0" w:color="auto"/>
              <w:left w:val="nil"/>
              <w:bottom w:val="nil"/>
              <w:right w:val="nil"/>
            </w:tcBorders>
            <w:shd w:val="clear" w:color="auto" w:fill="auto"/>
            <w:vAlign w:val="center"/>
            <w:hideMark/>
          </w:tcPr>
          <w:p w14:paraId="3B6901B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6.2</w:t>
            </w:r>
          </w:p>
        </w:tc>
        <w:tc>
          <w:tcPr>
            <w:tcW w:w="851" w:type="dxa"/>
            <w:tcBorders>
              <w:top w:val="single" w:sz="4" w:space="0" w:color="auto"/>
              <w:left w:val="nil"/>
              <w:bottom w:val="nil"/>
              <w:right w:val="single" w:sz="4" w:space="0" w:color="auto"/>
            </w:tcBorders>
            <w:shd w:val="clear" w:color="auto" w:fill="auto"/>
            <w:vAlign w:val="center"/>
            <w:hideMark/>
          </w:tcPr>
          <w:p w14:paraId="4673D23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1.89</w:t>
            </w:r>
          </w:p>
        </w:tc>
      </w:tr>
      <w:tr w:rsidR="00872293" w:rsidRPr="00872293" w14:paraId="59ECBCD0"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229041D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13399B23"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240147A3"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6025FB59"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2C287BF2"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2827BAFF"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173D9870" w14:textId="1E7D167D"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5-15</w:t>
            </w:r>
          </w:p>
        </w:tc>
        <w:tc>
          <w:tcPr>
            <w:tcW w:w="1043" w:type="dxa"/>
            <w:tcBorders>
              <w:top w:val="nil"/>
              <w:left w:val="nil"/>
              <w:bottom w:val="nil"/>
              <w:right w:val="nil"/>
            </w:tcBorders>
            <w:shd w:val="clear" w:color="auto" w:fill="auto"/>
            <w:vAlign w:val="center"/>
            <w:hideMark/>
          </w:tcPr>
          <w:p w14:paraId="310DC55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2.78</w:t>
            </w:r>
          </w:p>
        </w:tc>
        <w:tc>
          <w:tcPr>
            <w:tcW w:w="851" w:type="dxa"/>
            <w:tcBorders>
              <w:top w:val="nil"/>
              <w:left w:val="nil"/>
              <w:bottom w:val="nil"/>
              <w:right w:val="single" w:sz="4" w:space="0" w:color="auto"/>
            </w:tcBorders>
            <w:shd w:val="clear" w:color="auto" w:fill="auto"/>
            <w:vAlign w:val="center"/>
            <w:hideMark/>
          </w:tcPr>
          <w:p w14:paraId="7857C35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0.78</w:t>
            </w:r>
          </w:p>
        </w:tc>
      </w:tr>
      <w:tr w:rsidR="00872293" w:rsidRPr="00872293" w14:paraId="78D916A5"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6A144F0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2827B23B"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15ED453F"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4A86441F"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1BF048FB"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6C2C985A"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05DDA65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15-25</w:t>
            </w:r>
          </w:p>
        </w:tc>
        <w:tc>
          <w:tcPr>
            <w:tcW w:w="1043" w:type="dxa"/>
            <w:tcBorders>
              <w:top w:val="nil"/>
              <w:left w:val="nil"/>
              <w:bottom w:val="single" w:sz="4" w:space="0" w:color="auto"/>
              <w:right w:val="nil"/>
            </w:tcBorders>
            <w:shd w:val="clear" w:color="auto" w:fill="auto"/>
            <w:vAlign w:val="center"/>
            <w:hideMark/>
          </w:tcPr>
          <w:p w14:paraId="2344066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1.11</w:t>
            </w:r>
          </w:p>
        </w:tc>
        <w:tc>
          <w:tcPr>
            <w:tcW w:w="851" w:type="dxa"/>
            <w:tcBorders>
              <w:top w:val="nil"/>
              <w:left w:val="nil"/>
              <w:bottom w:val="single" w:sz="4" w:space="0" w:color="auto"/>
              <w:right w:val="single" w:sz="4" w:space="0" w:color="auto"/>
            </w:tcBorders>
            <w:shd w:val="clear" w:color="auto" w:fill="auto"/>
            <w:vAlign w:val="center"/>
            <w:hideMark/>
          </w:tcPr>
          <w:p w14:paraId="03B6048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0.22</w:t>
            </w:r>
          </w:p>
        </w:tc>
      </w:tr>
      <w:tr w:rsidR="00872293" w:rsidRPr="00872293" w14:paraId="33C990C0" w14:textId="77777777" w:rsidTr="00750F73">
        <w:trPr>
          <w:trHeight w:val="620"/>
        </w:trPr>
        <w:tc>
          <w:tcPr>
            <w:tcW w:w="869" w:type="dxa"/>
            <w:tcBorders>
              <w:top w:val="single" w:sz="4" w:space="0" w:color="auto"/>
              <w:left w:val="single" w:sz="4" w:space="0" w:color="auto"/>
              <w:bottom w:val="nil"/>
              <w:right w:val="nil"/>
            </w:tcBorders>
            <w:shd w:val="clear" w:color="auto" w:fill="auto"/>
            <w:vAlign w:val="center"/>
            <w:hideMark/>
          </w:tcPr>
          <w:p w14:paraId="3B46A31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1FEB799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1596</w:t>
            </w:r>
          </w:p>
        </w:tc>
        <w:tc>
          <w:tcPr>
            <w:tcW w:w="1083" w:type="dxa"/>
            <w:tcBorders>
              <w:top w:val="single" w:sz="4" w:space="0" w:color="auto"/>
              <w:left w:val="nil"/>
              <w:bottom w:val="nil"/>
              <w:right w:val="nil"/>
            </w:tcBorders>
            <w:shd w:val="clear" w:color="auto" w:fill="auto"/>
            <w:vAlign w:val="center"/>
            <w:hideMark/>
          </w:tcPr>
          <w:p w14:paraId="27A4F76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Caguas</w:t>
            </w:r>
          </w:p>
        </w:tc>
        <w:tc>
          <w:tcPr>
            <w:tcW w:w="1229" w:type="dxa"/>
            <w:tcBorders>
              <w:top w:val="single" w:sz="4" w:space="0" w:color="auto"/>
              <w:left w:val="nil"/>
              <w:bottom w:val="nil"/>
              <w:right w:val="nil"/>
            </w:tcBorders>
            <w:shd w:val="clear" w:color="auto" w:fill="auto"/>
            <w:vAlign w:val="center"/>
            <w:hideMark/>
          </w:tcPr>
          <w:p w14:paraId="7EB3872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w:t>
            </w:r>
          </w:p>
        </w:tc>
        <w:tc>
          <w:tcPr>
            <w:tcW w:w="1523" w:type="dxa"/>
            <w:tcBorders>
              <w:top w:val="single" w:sz="4" w:space="0" w:color="auto"/>
              <w:left w:val="nil"/>
              <w:bottom w:val="nil"/>
              <w:right w:val="nil"/>
            </w:tcBorders>
            <w:shd w:val="clear" w:color="auto" w:fill="auto"/>
            <w:vAlign w:val="center"/>
            <w:hideMark/>
          </w:tcPr>
          <w:p w14:paraId="4853C19F" w14:textId="77777777" w:rsidR="002E4495" w:rsidRPr="00872293" w:rsidRDefault="002E4495" w:rsidP="002E4495">
            <w:pPr>
              <w:jc w:val="center"/>
              <w:rPr>
                <w:rFonts w:ascii="Times New Roman" w:eastAsia="Times New Roman" w:hAnsi="Times New Roman" w:cs="Times New Roman"/>
                <w:i/>
                <w:iCs/>
                <w:sz w:val="22"/>
                <w:szCs w:val="22"/>
              </w:rPr>
            </w:pPr>
            <w:r w:rsidRPr="00872293">
              <w:rPr>
                <w:rFonts w:ascii="Times New Roman" w:eastAsia="Times New Roman" w:hAnsi="Times New Roman" w:cs="Times New Roman"/>
                <w:i/>
                <w:iCs/>
                <w:sz w:val="22"/>
                <w:szCs w:val="22"/>
              </w:rPr>
              <w:t xml:space="preserve">Albizia </w:t>
            </w:r>
            <w:proofErr w:type="spellStart"/>
            <w:r w:rsidRPr="00872293">
              <w:rPr>
                <w:rFonts w:ascii="Times New Roman" w:eastAsia="Times New Roman" w:hAnsi="Times New Roman" w:cs="Times New Roman"/>
                <w:i/>
                <w:iCs/>
                <w:sz w:val="22"/>
                <w:szCs w:val="22"/>
              </w:rPr>
              <w:t>procera</w:t>
            </w:r>
            <w:proofErr w:type="spellEnd"/>
          </w:p>
        </w:tc>
        <w:tc>
          <w:tcPr>
            <w:tcW w:w="976" w:type="dxa"/>
            <w:tcBorders>
              <w:top w:val="single" w:sz="4" w:space="0" w:color="auto"/>
              <w:left w:val="nil"/>
              <w:bottom w:val="nil"/>
              <w:right w:val="nil"/>
            </w:tcBorders>
            <w:shd w:val="clear" w:color="auto" w:fill="auto"/>
            <w:vAlign w:val="center"/>
            <w:hideMark/>
          </w:tcPr>
          <w:p w14:paraId="5037D94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de Rubio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0997AE4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1B05645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2.67</w:t>
            </w:r>
          </w:p>
        </w:tc>
        <w:tc>
          <w:tcPr>
            <w:tcW w:w="851" w:type="dxa"/>
            <w:tcBorders>
              <w:top w:val="single" w:sz="4" w:space="0" w:color="auto"/>
              <w:left w:val="nil"/>
              <w:bottom w:val="nil"/>
              <w:right w:val="single" w:sz="4" w:space="0" w:color="auto"/>
            </w:tcBorders>
            <w:shd w:val="clear" w:color="auto" w:fill="auto"/>
            <w:vAlign w:val="center"/>
            <w:hideMark/>
          </w:tcPr>
          <w:p w14:paraId="38E7E85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1.18</w:t>
            </w:r>
          </w:p>
        </w:tc>
      </w:tr>
      <w:tr w:rsidR="00872293" w:rsidRPr="00872293" w14:paraId="5F4162E5"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56C2D73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0BC80F90"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1509B6F8"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30BD0FA7"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600E3F0D"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1D95B735"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13A22BCC" w14:textId="16414E5A"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4F76E5C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1.78</w:t>
            </w:r>
          </w:p>
        </w:tc>
        <w:tc>
          <w:tcPr>
            <w:tcW w:w="851" w:type="dxa"/>
            <w:tcBorders>
              <w:top w:val="nil"/>
              <w:left w:val="nil"/>
              <w:bottom w:val="nil"/>
              <w:right w:val="single" w:sz="4" w:space="0" w:color="auto"/>
            </w:tcBorders>
            <w:shd w:val="clear" w:color="auto" w:fill="auto"/>
            <w:vAlign w:val="center"/>
            <w:hideMark/>
          </w:tcPr>
          <w:p w14:paraId="1F5A1E1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78</w:t>
            </w:r>
          </w:p>
        </w:tc>
      </w:tr>
      <w:tr w:rsidR="00872293" w:rsidRPr="00872293" w14:paraId="65193535"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6A7BE5C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2E2ABD10"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38A3EA60"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03633D5F"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1136067C"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60A37386"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7993C98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35A6FE7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2.08</w:t>
            </w:r>
          </w:p>
        </w:tc>
        <w:tc>
          <w:tcPr>
            <w:tcW w:w="851" w:type="dxa"/>
            <w:tcBorders>
              <w:top w:val="nil"/>
              <w:left w:val="nil"/>
              <w:bottom w:val="single" w:sz="4" w:space="0" w:color="auto"/>
              <w:right w:val="single" w:sz="4" w:space="0" w:color="auto"/>
            </w:tcBorders>
            <w:shd w:val="clear" w:color="auto" w:fill="auto"/>
            <w:vAlign w:val="center"/>
            <w:hideMark/>
          </w:tcPr>
          <w:p w14:paraId="627CB42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1.15</w:t>
            </w:r>
          </w:p>
        </w:tc>
      </w:tr>
      <w:tr w:rsidR="00872293" w:rsidRPr="00872293" w14:paraId="0DAE4A18" w14:textId="77777777" w:rsidTr="00750F73">
        <w:trPr>
          <w:trHeight w:val="1008"/>
        </w:trPr>
        <w:tc>
          <w:tcPr>
            <w:tcW w:w="869" w:type="dxa"/>
            <w:tcBorders>
              <w:top w:val="single" w:sz="4" w:space="0" w:color="auto"/>
              <w:left w:val="single" w:sz="4" w:space="0" w:color="auto"/>
              <w:bottom w:val="nil"/>
              <w:right w:val="nil"/>
            </w:tcBorders>
            <w:shd w:val="clear" w:color="auto" w:fill="auto"/>
            <w:vAlign w:val="center"/>
            <w:hideMark/>
          </w:tcPr>
          <w:p w14:paraId="131B0CB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0FC2C55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1915</w:t>
            </w:r>
          </w:p>
        </w:tc>
        <w:tc>
          <w:tcPr>
            <w:tcW w:w="1083" w:type="dxa"/>
            <w:tcBorders>
              <w:top w:val="single" w:sz="4" w:space="0" w:color="auto"/>
              <w:left w:val="nil"/>
              <w:bottom w:val="nil"/>
              <w:right w:val="nil"/>
            </w:tcBorders>
            <w:shd w:val="clear" w:color="auto" w:fill="auto"/>
            <w:vAlign w:val="center"/>
            <w:hideMark/>
          </w:tcPr>
          <w:p w14:paraId="3E1A12D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Rio Piedras</w:t>
            </w:r>
          </w:p>
        </w:tc>
        <w:tc>
          <w:tcPr>
            <w:tcW w:w="1229" w:type="dxa"/>
            <w:tcBorders>
              <w:top w:val="single" w:sz="4" w:space="0" w:color="auto"/>
              <w:left w:val="nil"/>
              <w:bottom w:val="nil"/>
              <w:right w:val="nil"/>
            </w:tcBorders>
            <w:shd w:val="clear" w:color="auto" w:fill="auto"/>
            <w:vAlign w:val="center"/>
            <w:hideMark/>
          </w:tcPr>
          <w:p w14:paraId="0951B9B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w:t>
            </w:r>
          </w:p>
        </w:tc>
        <w:tc>
          <w:tcPr>
            <w:tcW w:w="1523" w:type="dxa"/>
            <w:tcBorders>
              <w:top w:val="single" w:sz="4" w:space="0" w:color="auto"/>
              <w:left w:val="nil"/>
              <w:bottom w:val="nil"/>
              <w:right w:val="nil"/>
            </w:tcBorders>
            <w:shd w:val="clear" w:color="auto" w:fill="auto"/>
            <w:vAlign w:val="center"/>
            <w:hideMark/>
          </w:tcPr>
          <w:p w14:paraId="1F4D913F"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Hymanea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courbaril</w:t>
            </w:r>
            <w:proofErr w:type="spellEnd"/>
          </w:p>
        </w:tc>
        <w:tc>
          <w:tcPr>
            <w:tcW w:w="976" w:type="dxa"/>
            <w:tcBorders>
              <w:top w:val="single" w:sz="4" w:space="0" w:color="auto"/>
              <w:left w:val="nil"/>
              <w:bottom w:val="nil"/>
              <w:right w:val="nil"/>
            </w:tcBorders>
            <w:shd w:val="clear" w:color="auto" w:fill="auto"/>
            <w:vAlign w:val="center"/>
            <w:hideMark/>
          </w:tcPr>
          <w:p w14:paraId="7DC9DE7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de Rubio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4468B7D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0060FAD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13.74</w:t>
            </w:r>
          </w:p>
        </w:tc>
        <w:tc>
          <w:tcPr>
            <w:tcW w:w="851" w:type="dxa"/>
            <w:tcBorders>
              <w:top w:val="single" w:sz="4" w:space="0" w:color="auto"/>
              <w:left w:val="nil"/>
              <w:bottom w:val="nil"/>
              <w:right w:val="single" w:sz="4" w:space="0" w:color="auto"/>
            </w:tcBorders>
            <w:shd w:val="clear" w:color="auto" w:fill="auto"/>
            <w:vAlign w:val="center"/>
            <w:hideMark/>
          </w:tcPr>
          <w:p w14:paraId="2383ADC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2.46</w:t>
            </w:r>
          </w:p>
        </w:tc>
      </w:tr>
      <w:tr w:rsidR="00872293" w:rsidRPr="00872293" w14:paraId="5943CF14"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725D2F5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7BED23E5"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5386F091"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7AC7C58F"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5CF30BD0"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731916FB"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24939505" w14:textId="40424C2E"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4CC8A1C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7.99</w:t>
            </w:r>
          </w:p>
        </w:tc>
        <w:tc>
          <w:tcPr>
            <w:tcW w:w="851" w:type="dxa"/>
            <w:tcBorders>
              <w:top w:val="nil"/>
              <w:left w:val="nil"/>
              <w:bottom w:val="nil"/>
              <w:right w:val="single" w:sz="4" w:space="0" w:color="auto"/>
            </w:tcBorders>
            <w:shd w:val="clear" w:color="auto" w:fill="auto"/>
            <w:vAlign w:val="center"/>
            <w:hideMark/>
          </w:tcPr>
          <w:p w14:paraId="47F33BA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0.57</w:t>
            </w:r>
          </w:p>
        </w:tc>
      </w:tr>
      <w:tr w:rsidR="00872293" w:rsidRPr="00872293" w14:paraId="50D9CB2F"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196C1D9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63B6FB58"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7DD55D98"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7D748F5E"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7BAD12CA"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39B6C326"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336954B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6AE37DA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0.84</w:t>
            </w:r>
          </w:p>
        </w:tc>
        <w:tc>
          <w:tcPr>
            <w:tcW w:w="851" w:type="dxa"/>
            <w:tcBorders>
              <w:top w:val="nil"/>
              <w:left w:val="nil"/>
              <w:bottom w:val="single" w:sz="4" w:space="0" w:color="auto"/>
              <w:right w:val="single" w:sz="4" w:space="0" w:color="auto"/>
            </w:tcBorders>
            <w:shd w:val="clear" w:color="auto" w:fill="auto"/>
            <w:vAlign w:val="center"/>
            <w:hideMark/>
          </w:tcPr>
          <w:p w14:paraId="3458E1C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0.21</w:t>
            </w:r>
          </w:p>
        </w:tc>
      </w:tr>
      <w:tr w:rsidR="00872293" w:rsidRPr="00872293" w14:paraId="4762C6D6" w14:textId="77777777" w:rsidTr="00750F73">
        <w:trPr>
          <w:trHeight w:val="1035"/>
        </w:trPr>
        <w:tc>
          <w:tcPr>
            <w:tcW w:w="869" w:type="dxa"/>
            <w:tcBorders>
              <w:top w:val="single" w:sz="4" w:space="0" w:color="auto"/>
              <w:left w:val="single" w:sz="4" w:space="0" w:color="auto"/>
              <w:bottom w:val="nil"/>
              <w:right w:val="nil"/>
            </w:tcBorders>
            <w:shd w:val="clear" w:color="auto" w:fill="auto"/>
            <w:vAlign w:val="center"/>
            <w:hideMark/>
          </w:tcPr>
          <w:p w14:paraId="4E549FA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Flood</w:t>
            </w:r>
          </w:p>
        </w:tc>
        <w:tc>
          <w:tcPr>
            <w:tcW w:w="843" w:type="dxa"/>
            <w:tcBorders>
              <w:top w:val="single" w:sz="4" w:space="0" w:color="auto"/>
              <w:left w:val="nil"/>
              <w:bottom w:val="nil"/>
              <w:right w:val="nil"/>
            </w:tcBorders>
            <w:shd w:val="clear" w:color="auto" w:fill="auto"/>
            <w:vAlign w:val="center"/>
            <w:hideMark/>
          </w:tcPr>
          <w:p w14:paraId="1F7D410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1800</w:t>
            </w:r>
          </w:p>
        </w:tc>
        <w:tc>
          <w:tcPr>
            <w:tcW w:w="1083" w:type="dxa"/>
            <w:tcBorders>
              <w:top w:val="single" w:sz="4" w:space="0" w:color="auto"/>
              <w:left w:val="nil"/>
              <w:bottom w:val="nil"/>
              <w:right w:val="nil"/>
            </w:tcBorders>
            <w:shd w:val="clear" w:color="auto" w:fill="auto"/>
            <w:vAlign w:val="center"/>
            <w:hideMark/>
          </w:tcPr>
          <w:p w14:paraId="23356DD6" w14:textId="77777777" w:rsidR="002E4495" w:rsidRPr="00872293" w:rsidRDefault="002E4495" w:rsidP="002E4495">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Patillas</w:t>
            </w:r>
            <w:proofErr w:type="spellEnd"/>
          </w:p>
        </w:tc>
        <w:tc>
          <w:tcPr>
            <w:tcW w:w="1229" w:type="dxa"/>
            <w:tcBorders>
              <w:top w:val="single" w:sz="4" w:space="0" w:color="auto"/>
              <w:left w:val="nil"/>
              <w:bottom w:val="nil"/>
              <w:right w:val="nil"/>
            </w:tcBorders>
            <w:shd w:val="clear" w:color="auto" w:fill="auto"/>
            <w:vAlign w:val="center"/>
            <w:hideMark/>
          </w:tcPr>
          <w:p w14:paraId="53C3639D"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single" w:sz="4" w:space="0" w:color="auto"/>
              <w:left w:val="nil"/>
              <w:bottom w:val="nil"/>
              <w:right w:val="nil"/>
            </w:tcBorders>
            <w:shd w:val="clear" w:color="auto" w:fill="auto"/>
            <w:vAlign w:val="center"/>
            <w:hideMark/>
          </w:tcPr>
          <w:p w14:paraId="09D152B5" w14:textId="77777777" w:rsidR="002E4495" w:rsidRPr="00872293" w:rsidRDefault="002E4495" w:rsidP="002E4495">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Laguncularia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racemosa</w:t>
            </w:r>
            <w:proofErr w:type="spellEnd"/>
          </w:p>
        </w:tc>
        <w:tc>
          <w:tcPr>
            <w:tcW w:w="976" w:type="dxa"/>
            <w:tcBorders>
              <w:top w:val="single" w:sz="4" w:space="0" w:color="auto"/>
              <w:left w:val="nil"/>
              <w:bottom w:val="nil"/>
              <w:right w:val="nil"/>
            </w:tcBorders>
            <w:shd w:val="clear" w:color="auto" w:fill="auto"/>
            <w:vAlign w:val="center"/>
            <w:hideMark/>
          </w:tcPr>
          <w:p w14:paraId="3E5EA6F9"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Alvarez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5038614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1DF954F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11.67</w:t>
            </w:r>
          </w:p>
        </w:tc>
        <w:tc>
          <w:tcPr>
            <w:tcW w:w="851" w:type="dxa"/>
            <w:tcBorders>
              <w:top w:val="single" w:sz="4" w:space="0" w:color="auto"/>
              <w:left w:val="nil"/>
              <w:bottom w:val="nil"/>
              <w:right w:val="single" w:sz="4" w:space="0" w:color="auto"/>
            </w:tcBorders>
            <w:shd w:val="clear" w:color="auto" w:fill="auto"/>
            <w:vAlign w:val="center"/>
            <w:hideMark/>
          </w:tcPr>
          <w:p w14:paraId="013E201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1.84</w:t>
            </w:r>
          </w:p>
        </w:tc>
      </w:tr>
      <w:tr w:rsidR="00872293" w:rsidRPr="00872293" w14:paraId="757E8055"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3372D27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5700F28D"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5A65E476"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11FA6986"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4EAEE74F"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26ECB34B"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61A705CE" w14:textId="6F7F1E32"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5F96AD9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7.91</w:t>
            </w:r>
          </w:p>
        </w:tc>
        <w:tc>
          <w:tcPr>
            <w:tcW w:w="851" w:type="dxa"/>
            <w:tcBorders>
              <w:top w:val="nil"/>
              <w:left w:val="nil"/>
              <w:bottom w:val="nil"/>
              <w:right w:val="single" w:sz="4" w:space="0" w:color="auto"/>
            </w:tcBorders>
            <w:shd w:val="clear" w:color="auto" w:fill="auto"/>
            <w:vAlign w:val="center"/>
            <w:hideMark/>
          </w:tcPr>
          <w:p w14:paraId="328D659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4.18</w:t>
            </w:r>
          </w:p>
        </w:tc>
      </w:tr>
      <w:tr w:rsidR="00872293" w:rsidRPr="00872293" w14:paraId="3527C161"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110E251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66B249C2"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60C48638"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6E5DFE03"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26E6B9F8"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7C7922C0"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4E3720C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33F1440A"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15.93</w:t>
            </w:r>
          </w:p>
        </w:tc>
        <w:tc>
          <w:tcPr>
            <w:tcW w:w="851" w:type="dxa"/>
            <w:tcBorders>
              <w:top w:val="nil"/>
              <w:left w:val="nil"/>
              <w:bottom w:val="single" w:sz="4" w:space="0" w:color="auto"/>
              <w:right w:val="single" w:sz="4" w:space="0" w:color="auto"/>
            </w:tcBorders>
            <w:shd w:val="clear" w:color="auto" w:fill="auto"/>
            <w:vAlign w:val="center"/>
            <w:hideMark/>
          </w:tcPr>
          <w:p w14:paraId="49CC13F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13.37</w:t>
            </w:r>
          </w:p>
        </w:tc>
      </w:tr>
      <w:tr w:rsidR="00872293" w:rsidRPr="00872293" w14:paraId="683C403C" w14:textId="77777777" w:rsidTr="00750F73">
        <w:trPr>
          <w:trHeight w:val="1062"/>
        </w:trPr>
        <w:tc>
          <w:tcPr>
            <w:tcW w:w="869" w:type="dxa"/>
            <w:tcBorders>
              <w:top w:val="single" w:sz="4" w:space="0" w:color="auto"/>
              <w:left w:val="single" w:sz="4" w:space="0" w:color="auto"/>
              <w:bottom w:val="nil"/>
              <w:right w:val="nil"/>
            </w:tcBorders>
            <w:shd w:val="clear" w:color="auto" w:fill="auto"/>
            <w:vAlign w:val="center"/>
            <w:hideMark/>
          </w:tcPr>
          <w:p w14:paraId="5132725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175A489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2000</w:t>
            </w:r>
          </w:p>
        </w:tc>
        <w:tc>
          <w:tcPr>
            <w:tcW w:w="1083" w:type="dxa"/>
            <w:tcBorders>
              <w:top w:val="single" w:sz="4" w:space="0" w:color="auto"/>
              <w:left w:val="nil"/>
              <w:bottom w:val="nil"/>
              <w:right w:val="nil"/>
            </w:tcBorders>
            <w:shd w:val="clear" w:color="auto" w:fill="auto"/>
            <w:vAlign w:val="center"/>
            <w:hideMark/>
          </w:tcPr>
          <w:p w14:paraId="7DA02E9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Rio </w:t>
            </w:r>
            <w:proofErr w:type="spellStart"/>
            <w:r w:rsidRPr="00872293">
              <w:rPr>
                <w:rFonts w:ascii="Times New Roman" w:eastAsia="Times New Roman" w:hAnsi="Times New Roman" w:cs="Times New Roman"/>
                <w:sz w:val="22"/>
                <w:szCs w:val="22"/>
              </w:rPr>
              <w:t>blanco</w:t>
            </w:r>
            <w:proofErr w:type="spellEnd"/>
            <w:r w:rsidRPr="00872293">
              <w:rPr>
                <w:rFonts w:ascii="Times New Roman" w:eastAsia="Times New Roman" w:hAnsi="Times New Roman" w:cs="Times New Roman"/>
                <w:sz w:val="22"/>
                <w:szCs w:val="22"/>
              </w:rPr>
              <w:t xml:space="preserve"> </w:t>
            </w:r>
            <w:proofErr w:type="spellStart"/>
            <w:r w:rsidRPr="00872293">
              <w:rPr>
                <w:rFonts w:ascii="Times New Roman" w:eastAsia="Times New Roman" w:hAnsi="Times New Roman" w:cs="Times New Roman"/>
                <w:sz w:val="22"/>
                <w:szCs w:val="22"/>
              </w:rPr>
              <w:t>Naguabo</w:t>
            </w:r>
            <w:proofErr w:type="spellEnd"/>
          </w:p>
        </w:tc>
        <w:tc>
          <w:tcPr>
            <w:tcW w:w="1229" w:type="dxa"/>
            <w:tcBorders>
              <w:top w:val="single" w:sz="4" w:space="0" w:color="auto"/>
              <w:left w:val="nil"/>
              <w:bottom w:val="nil"/>
              <w:right w:val="nil"/>
            </w:tcBorders>
            <w:shd w:val="clear" w:color="auto" w:fill="auto"/>
            <w:vAlign w:val="center"/>
            <w:hideMark/>
          </w:tcPr>
          <w:p w14:paraId="052806E3"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single" w:sz="4" w:space="0" w:color="auto"/>
              <w:left w:val="nil"/>
              <w:bottom w:val="nil"/>
              <w:right w:val="nil"/>
            </w:tcBorders>
            <w:shd w:val="clear" w:color="auto" w:fill="auto"/>
            <w:vAlign w:val="center"/>
            <w:hideMark/>
          </w:tcPr>
          <w:p w14:paraId="6B9CF693" w14:textId="77777777" w:rsidR="002E4495" w:rsidRPr="00872293" w:rsidRDefault="002E4495" w:rsidP="002E4495">
            <w:pPr>
              <w:jc w:val="center"/>
              <w:rPr>
                <w:rFonts w:ascii="Times New Roman" w:eastAsia="Times New Roman" w:hAnsi="Times New Roman" w:cs="Times New Roman"/>
                <w:i/>
                <w:iCs/>
                <w:sz w:val="22"/>
                <w:szCs w:val="22"/>
              </w:rPr>
            </w:pPr>
            <w:r w:rsidRPr="00872293">
              <w:rPr>
                <w:rFonts w:ascii="Times New Roman" w:eastAsia="Times New Roman" w:hAnsi="Times New Roman" w:cs="Times New Roman"/>
                <w:i/>
                <w:iCs/>
                <w:sz w:val="22"/>
                <w:szCs w:val="22"/>
              </w:rPr>
              <w:t>Pterocarpus officinalis</w:t>
            </w:r>
          </w:p>
        </w:tc>
        <w:tc>
          <w:tcPr>
            <w:tcW w:w="976" w:type="dxa"/>
            <w:tcBorders>
              <w:top w:val="single" w:sz="4" w:space="0" w:color="auto"/>
              <w:left w:val="nil"/>
              <w:bottom w:val="nil"/>
              <w:right w:val="nil"/>
            </w:tcBorders>
            <w:shd w:val="clear" w:color="auto" w:fill="auto"/>
            <w:vAlign w:val="center"/>
            <w:hideMark/>
          </w:tcPr>
          <w:p w14:paraId="7FAC4382"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Alvarez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0EA6D7D4"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31B28E6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4.93</w:t>
            </w:r>
          </w:p>
        </w:tc>
        <w:tc>
          <w:tcPr>
            <w:tcW w:w="851" w:type="dxa"/>
            <w:tcBorders>
              <w:top w:val="single" w:sz="4" w:space="0" w:color="auto"/>
              <w:left w:val="nil"/>
              <w:bottom w:val="nil"/>
              <w:right w:val="single" w:sz="4" w:space="0" w:color="auto"/>
            </w:tcBorders>
            <w:shd w:val="clear" w:color="auto" w:fill="auto"/>
            <w:vAlign w:val="center"/>
            <w:hideMark/>
          </w:tcPr>
          <w:p w14:paraId="2A0DA33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1.04</w:t>
            </w:r>
          </w:p>
        </w:tc>
      </w:tr>
      <w:tr w:rsidR="00872293" w:rsidRPr="00872293" w14:paraId="1049E27D"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6A793F4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487D3579"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06794305"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750CC50B"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05F039FA"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6BECCC69"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766AD8DE" w14:textId="71D078C5"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7C0EBF3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4.56</w:t>
            </w:r>
          </w:p>
        </w:tc>
        <w:tc>
          <w:tcPr>
            <w:tcW w:w="851" w:type="dxa"/>
            <w:tcBorders>
              <w:top w:val="nil"/>
              <w:left w:val="nil"/>
              <w:bottom w:val="nil"/>
              <w:right w:val="single" w:sz="4" w:space="0" w:color="auto"/>
            </w:tcBorders>
            <w:shd w:val="clear" w:color="auto" w:fill="auto"/>
            <w:vAlign w:val="center"/>
            <w:hideMark/>
          </w:tcPr>
          <w:p w14:paraId="5CCBC4C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1.77</w:t>
            </w:r>
          </w:p>
        </w:tc>
      </w:tr>
      <w:tr w:rsidR="00872293" w:rsidRPr="00872293" w14:paraId="66B69949" w14:textId="77777777" w:rsidTr="00750F73">
        <w:trPr>
          <w:trHeight w:val="310"/>
        </w:trPr>
        <w:tc>
          <w:tcPr>
            <w:tcW w:w="869" w:type="dxa"/>
            <w:tcBorders>
              <w:top w:val="nil"/>
              <w:left w:val="single" w:sz="4" w:space="0" w:color="auto"/>
              <w:bottom w:val="single" w:sz="4" w:space="0" w:color="auto"/>
              <w:right w:val="nil"/>
            </w:tcBorders>
            <w:shd w:val="clear" w:color="auto" w:fill="auto"/>
            <w:vAlign w:val="center"/>
            <w:hideMark/>
          </w:tcPr>
          <w:p w14:paraId="7D828C1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1445D894"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single" w:sz="4" w:space="0" w:color="auto"/>
              <w:right w:val="nil"/>
            </w:tcBorders>
            <w:shd w:val="clear" w:color="auto" w:fill="auto"/>
            <w:vAlign w:val="center"/>
            <w:hideMark/>
          </w:tcPr>
          <w:p w14:paraId="5692677A"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single" w:sz="4" w:space="0" w:color="auto"/>
              <w:right w:val="nil"/>
            </w:tcBorders>
            <w:shd w:val="clear" w:color="auto" w:fill="auto"/>
            <w:vAlign w:val="center"/>
            <w:hideMark/>
          </w:tcPr>
          <w:p w14:paraId="499898A0"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single" w:sz="4" w:space="0" w:color="auto"/>
              <w:right w:val="nil"/>
            </w:tcBorders>
            <w:shd w:val="clear" w:color="auto" w:fill="auto"/>
            <w:vAlign w:val="center"/>
            <w:hideMark/>
          </w:tcPr>
          <w:p w14:paraId="7E23FBC7"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single" w:sz="4" w:space="0" w:color="auto"/>
              <w:right w:val="nil"/>
            </w:tcBorders>
            <w:shd w:val="clear" w:color="auto" w:fill="auto"/>
            <w:vAlign w:val="center"/>
            <w:hideMark/>
          </w:tcPr>
          <w:p w14:paraId="457EF056"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single" w:sz="4" w:space="0" w:color="auto"/>
              <w:right w:val="nil"/>
            </w:tcBorders>
            <w:shd w:val="clear" w:color="auto" w:fill="auto"/>
            <w:vAlign w:val="center"/>
            <w:hideMark/>
          </w:tcPr>
          <w:p w14:paraId="31D6F49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1E71835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6.57</w:t>
            </w:r>
          </w:p>
        </w:tc>
        <w:tc>
          <w:tcPr>
            <w:tcW w:w="851" w:type="dxa"/>
            <w:tcBorders>
              <w:top w:val="nil"/>
              <w:left w:val="nil"/>
              <w:bottom w:val="single" w:sz="4" w:space="0" w:color="auto"/>
              <w:right w:val="single" w:sz="4" w:space="0" w:color="auto"/>
            </w:tcBorders>
            <w:shd w:val="clear" w:color="auto" w:fill="auto"/>
            <w:vAlign w:val="center"/>
            <w:hideMark/>
          </w:tcPr>
          <w:p w14:paraId="03C9906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w:t>
            </w:r>
          </w:p>
        </w:tc>
      </w:tr>
      <w:tr w:rsidR="00872293" w:rsidRPr="00872293" w14:paraId="4DC8AA43" w14:textId="77777777" w:rsidTr="00750F73">
        <w:trPr>
          <w:trHeight w:val="999"/>
        </w:trPr>
        <w:tc>
          <w:tcPr>
            <w:tcW w:w="869" w:type="dxa"/>
            <w:tcBorders>
              <w:top w:val="single" w:sz="4" w:space="0" w:color="auto"/>
              <w:left w:val="single" w:sz="4" w:space="0" w:color="auto"/>
              <w:bottom w:val="nil"/>
              <w:right w:val="nil"/>
            </w:tcBorders>
            <w:shd w:val="clear" w:color="auto" w:fill="auto"/>
            <w:vAlign w:val="center"/>
            <w:hideMark/>
          </w:tcPr>
          <w:p w14:paraId="062370B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Wet</w:t>
            </w:r>
          </w:p>
        </w:tc>
        <w:tc>
          <w:tcPr>
            <w:tcW w:w="843" w:type="dxa"/>
            <w:tcBorders>
              <w:top w:val="single" w:sz="4" w:space="0" w:color="auto"/>
              <w:left w:val="nil"/>
              <w:bottom w:val="nil"/>
              <w:right w:val="nil"/>
            </w:tcBorders>
            <w:shd w:val="clear" w:color="auto" w:fill="auto"/>
            <w:vAlign w:val="center"/>
            <w:hideMark/>
          </w:tcPr>
          <w:p w14:paraId="18A9001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1500</w:t>
            </w:r>
          </w:p>
        </w:tc>
        <w:tc>
          <w:tcPr>
            <w:tcW w:w="1083" w:type="dxa"/>
            <w:tcBorders>
              <w:top w:val="single" w:sz="4" w:space="0" w:color="auto"/>
              <w:left w:val="nil"/>
              <w:bottom w:val="nil"/>
              <w:right w:val="nil"/>
            </w:tcBorders>
            <w:shd w:val="clear" w:color="auto" w:fill="auto"/>
            <w:vAlign w:val="center"/>
            <w:hideMark/>
          </w:tcPr>
          <w:p w14:paraId="26754EBE"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Dorado</w:t>
            </w:r>
          </w:p>
        </w:tc>
        <w:tc>
          <w:tcPr>
            <w:tcW w:w="1229" w:type="dxa"/>
            <w:tcBorders>
              <w:top w:val="single" w:sz="4" w:space="0" w:color="auto"/>
              <w:left w:val="nil"/>
              <w:bottom w:val="nil"/>
              <w:right w:val="nil"/>
            </w:tcBorders>
            <w:shd w:val="clear" w:color="auto" w:fill="auto"/>
            <w:vAlign w:val="center"/>
            <w:hideMark/>
          </w:tcPr>
          <w:p w14:paraId="7D5AA76F"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single" w:sz="4" w:space="0" w:color="auto"/>
              <w:left w:val="nil"/>
              <w:bottom w:val="nil"/>
              <w:right w:val="nil"/>
            </w:tcBorders>
            <w:shd w:val="clear" w:color="auto" w:fill="auto"/>
            <w:vAlign w:val="center"/>
            <w:hideMark/>
          </w:tcPr>
          <w:p w14:paraId="19D65A6B" w14:textId="77777777" w:rsidR="002E4495" w:rsidRPr="00872293" w:rsidRDefault="002E4495" w:rsidP="002E4495">
            <w:pPr>
              <w:jc w:val="center"/>
              <w:rPr>
                <w:rFonts w:ascii="Times New Roman" w:eastAsia="Times New Roman" w:hAnsi="Times New Roman" w:cs="Times New Roman"/>
                <w:i/>
                <w:iCs/>
                <w:sz w:val="22"/>
                <w:szCs w:val="22"/>
              </w:rPr>
            </w:pPr>
            <w:r w:rsidRPr="00872293">
              <w:rPr>
                <w:rFonts w:ascii="Times New Roman" w:eastAsia="Times New Roman" w:hAnsi="Times New Roman" w:cs="Times New Roman"/>
                <w:i/>
                <w:iCs/>
                <w:sz w:val="22"/>
                <w:szCs w:val="22"/>
              </w:rPr>
              <w:t>Pterocarpus officinalis</w:t>
            </w:r>
          </w:p>
        </w:tc>
        <w:tc>
          <w:tcPr>
            <w:tcW w:w="976" w:type="dxa"/>
            <w:tcBorders>
              <w:top w:val="single" w:sz="4" w:space="0" w:color="auto"/>
              <w:left w:val="nil"/>
              <w:bottom w:val="nil"/>
              <w:right w:val="nil"/>
            </w:tcBorders>
            <w:shd w:val="clear" w:color="auto" w:fill="auto"/>
            <w:vAlign w:val="center"/>
            <w:hideMark/>
          </w:tcPr>
          <w:p w14:paraId="4F576F8C"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Alvarez </w:t>
            </w:r>
            <w:r w:rsidRPr="00872293">
              <w:rPr>
                <w:rFonts w:ascii="Times New Roman" w:eastAsia="Times New Roman" w:hAnsi="Times New Roman" w:cs="Times New Roman"/>
                <w:i/>
                <w:iCs/>
                <w:sz w:val="22"/>
                <w:szCs w:val="22"/>
              </w:rPr>
              <w:t>et al.</w:t>
            </w:r>
          </w:p>
        </w:tc>
        <w:tc>
          <w:tcPr>
            <w:tcW w:w="843" w:type="dxa"/>
            <w:tcBorders>
              <w:top w:val="single" w:sz="4" w:space="0" w:color="auto"/>
              <w:left w:val="nil"/>
              <w:bottom w:val="nil"/>
              <w:right w:val="nil"/>
            </w:tcBorders>
            <w:shd w:val="clear" w:color="auto" w:fill="auto"/>
            <w:vAlign w:val="center"/>
            <w:hideMark/>
          </w:tcPr>
          <w:p w14:paraId="685F1BEF"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0-10</w:t>
            </w:r>
          </w:p>
        </w:tc>
        <w:tc>
          <w:tcPr>
            <w:tcW w:w="1043" w:type="dxa"/>
            <w:tcBorders>
              <w:top w:val="single" w:sz="4" w:space="0" w:color="auto"/>
              <w:left w:val="nil"/>
              <w:bottom w:val="nil"/>
              <w:right w:val="nil"/>
            </w:tcBorders>
            <w:shd w:val="clear" w:color="auto" w:fill="auto"/>
            <w:vAlign w:val="center"/>
            <w:hideMark/>
          </w:tcPr>
          <w:p w14:paraId="23BF840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18.26</w:t>
            </w:r>
          </w:p>
        </w:tc>
        <w:tc>
          <w:tcPr>
            <w:tcW w:w="851" w:type="dxa"/>
            <w:tcBorders>
              <w:top w:val="single" w:sz="4" w:space="0" w:color="auto"/>
              <w:left w:val="nil"/>
              <w:bottom w:val="nil"/>
              <w:right w:val="single" w:sz="4" w:space="0" w:color="auto"/>
            </w:tcBorders>
            <w:shd w:val="clear" w:color="auto" w:fill="auto"/>
            <w:vAlign w:val="center"/>
            <w:hideMark/>
          </w:tcPr>
          <w:p w14:paraId="0537EE96"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7.99</w:t>
            </w:r>
          </w:p>
        </w:tc>
      </w:tr>
      <w:tr w:rsidR="00872293" w:rsidRPr="00872293" w14:paraId="6E58D4DE" w14:textId="77777777" w:rsidTr="00750F73">
        <w:trPr>
          <w:trHeight w:val="310"/>
        </w:trPr>
        <w:tc>
          <w:tcPr>
            <w:tcW w:w="869" w:type="dxa"/>
            <w:tcBorders>
              <w:top w:val="nil"/>
              <w:left w:val="single" w:sz="4" w:space="0" w:color="auto"/>
              <w:bottom w:val="nil"/>
              <w:right w:val="nil"/>
            </w:tcBorders>
            <w:shd w:val="clear" w:color="auto" w:fill="auto"/>
            <w:vAlign w:val="center"/>
            <w:hideMark/>
          </w:tcPr>
          <w:p w14:paraId="2638A7E7"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nil"/>
              <w:right w:val="nil"/>
            </w:tcBorders>
            <w:shd w:val="clear" w:color="auto" w:fill="auto"/>
            <w:vAlign w:val="center"/>
            <w:hideMark/>
          </w:tcPr>
          <w:p w14:paraId="668E2168" w14:textId="77777777" w:rsidR="002E4495" w:rsidRPr="00872293" w:rsidRDefault="002E4495" w:rsidP="002E4495">
            <w:pPr>
              <w:jc w:val="center"/>
              <w:rPr>
                <w:rFonts w:ascii="Times New Roman" w:eastAsia="Times New Roman" w:hAnsi="Times New Roman" w:cs="Times New Roman"/>
                <w:sz w:val="22"/>
                <w:szCs w:val="22"/>
              </w:rPr>
            </w:pPr>
          </w:p>
        </w:tc>
        <w:tc>
          <w:tcPr>
            <w:tcW w:w="1083" w:type="dxa"/>
            <w:tcBorders>
              <w:top w:val="nil"/>
              <w:left w:val="nil"/>
              <w:bottom w:val="nil"/>
              <w:right w:val="nil"/>
            </w:tcBorders>
            <w:shd w:val="clear" w:color="auto" w:fill="auto"/>
            <w:vAlign w:val="center"/>
            <w:hideMark/>
          </w:tcPr>
          <w:p w14:paraId="75A48079" w14:textId="77777777" w:rsidR="002E4495" w:rsidRPr="00872293" w:rsidRDefault="002E4495" w:rsidP="002E4495">
            <w:pPr>
              <w:jc w:val="center"/>
              <w:rPr>
                <w:rFonts w:ascii="Times New Roman" w:eastAsia="Times New Roman" w:hAnsi="Times New Roman" w:cs="Times New Roman"/>
                <w:sz w:val="22"/>
                <w:szCs w:val="22"/>
              </w:rPr>
            </w:pPr>
          </w:p>
        </w:tc>
        <w:tc>
          <w:tcPr>
            <w:tcW w:w="1229" w:type="dxa"/>
            <w:tcBorders>
              <w:top w:val="nil"/>
              <w:left w:val="nil"/>
              <w:bottom w:val="nil"/>
              <w:right w:val="nil"/>
            </w:tcBorders>
            <w:shd w:val="clear" w:color="auto" w:fill="auto"/>
            <w:vAlign w:val="center"/>
            <w:hideMark/>
          </w:tcPr>
          <w:p w14:paraId="42E19F2A" w14:textId="77777777" w:rsidR="002E4495" w:rsidRPr="00872293" w:rsidRDefault="002E4495" w:rsidP="002E4495">
            <w:pPr>
              <w:jc w:val="center"/>
              <w:rPr>
                <w:rFonts w:ascii="Times New Roman" w:eastAsia="Times New Roman" w:hAnsi="Times New Roman" w:cs="Times New Roman"/>
                <w:sz w:val="22"/>
                <w:szCs w:val="22"/>
              </w:rPr>
            </w:pPr>
          </w:p>
        </w:tc>
        <w:tc>
          <w:tcPr>
            <w:tcW w:w="1523" w:type="dxa"/>
            <w:tcBorders>
              <w:top w:val="nil"/>
              <w:left w:val="nil"/>
              <w:bottom w:val="nil"/>
              <w:right w:val="nil"/>
            </w:tcBorders>
            <w:shd w:val="clear" w:color="auto" w:fill="auto"/>
            <w:vAlign w:val="center"/>
            <w:hideMark/>
          </w:tcPr>
          <w:p w14:paraId="64A3D5D0" w14:textId="77777777" w:rsidR="002E4495" w:rsidRPr="00872293" w:rsidRDefault="002E4495" w:rsidP="002E4495">
            <w:pPr>
              <w:jc w:val="center"/>
              <w:rPr>
                <w:rFonts w:ascii="Times New Roman" w:eastAsia="Times New Roman" w:hAnsi="Times New Roman" w:cs="Times New Roman"/>
                <w:sz w:val="22"/>
                <w:szCs w:val="22"/>
              </w:rPr>
            </w:pPr>
          </w:p>
        </w:tc>
        <w:tc>
          <w:tcPr>
            <w:tcW w:w="976" w:type="dxa"/>
            <w:tcBorders>
              <w:top w:val="nil"/>
              <w:left w:val="nil"/>
              <w:bottom w:val="nil"/>
              <w:right w:val="nil"/>
            </w:tcBorders>
            <w:shd w:val="clear" w:color="auto" w:fill="auto"/>
            <w:vAlign w:val="center"/>
            <w:hideMark/>
          </w:tcPr>
          <w:p w14:paraId="7C4E784E" w14:textId="77777777" w:rsidR="002E4495" w:rsidRPr="00872293" w:rsidRDefault="002E4495" w:rsidP="002E4495">
            <w:pPr>
              <w:jc w:val="center"/>
              <w:rPr>
                <w:rFonts w:ascii="Times New Roman" w:eastAsia="Times New Roman" w:hAnsi="Times New Roman" w:cs="Times New Roman"/>
                <w:sz w:val="22"/>
                <w:szCs w:val="22"/>
              </w:rPr>
            </w:pPr>
          </w:p>
        </w:tc>
        <w:tc>
          <w:tcPr>
            <w:tcW w:w="843" w:type="dxa"/>
            <w:tcBorders>
              <w:top w:val="nil"/>
              <w:left w:val="nil"/>
              <w:bottom w:val="nil"/>
              <w:right w:val="nil"/>
            </w:tcBorders>
            <w:shd w:val="clear" w:color="auto" w:fill="auto"/>
            <w:vAlign w:val="center"/>
            <w:hideMark/>
          </w:tcPr>
          <w:p w14:paraId="696A502E" w14:textId="1958DC28"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10-20</w:t>
            </w:r>
          </w:p>
        </w:tc>
        <w:tc>
          <w:tcPr>
            <w:tcW w:w="1043" w:type="dxa"/>
            <w:tcBorders>
              <w:top w:val="nil"/>
              <w:left w:val="nil"/>
              <w:bottom w:val="nil"/>
              <w:right w:val="nil"/>
            </w:tcBorders>
            <w:shd w:val="clear" w:color="auto" w:fill="auto"/>
            <w:vAlign w:val="center"/>
            <w:hideMark/>
          </w:tcPr>
          <w:p w14:paraId="2E92DAB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5.12</w:t>
            </w:r>
          </w:p>
        </w:tc>
        <w:tc>
          <w:tcPr>
            <w:tcW w:w="851" w:type="dxa"/>
            <w:tcBorders>
              <w:top w:val="nil"/>
              <w:left w:val="nil"/>
              <w:bottom w:val="nil"/>
              <w:right w:val="single" w:sz="4" w:space="0" w:color="auto"/>
            </w:tcBorders>
            <w:shd w:val="clear" w:color="auto" w:fill="auto"/>
            <w:vAlign w:val="center"/>
            <w:hideMark/>
          </w:tcPr>
          <w:p w14:paraId="52DC73F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2.23</w:t>
            </w:r>
          </w:p>
        </w:tc>
      </w:tr>
      <w:tr w:rsidR="00872293" w:rsidRPr="00872293" w14:paraId="60953B12" w14:textId="77777777" w:rsidTr="00750F73">
        <w:trPr>
          <w:trHeight w:val="320"/>
        </w:trPr>
        <w:tc>
          <w:tcPr>
            <w:tcW w:w="869" w:type="dxa"/>
            <w:tcBorders>
              <w:top w:val="nil"/>
              <w:left w:val="single" w:sz="4" w:space="0" w:color="auto"/>
              <w:bottom w:val="single" w:sz="4" w:space="0" w:color="auto"/>
              <w:right w:val="nil"/>
            </w:tcBorders>
            <w:shd w:val="clear" w:color="auto" w:fill="auto"/>
            <w:vAlign w:val="center"/>
            <w:hideMark/>
          </w:tcPr>
          <w:p w14:paraId="60EB2D33"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3931F4BD"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083" w:type="dxa"/>
            <w:tcBorders>
              <w:top w:val="nil"/>
              <w:left w:val="nil"/>
              <w:bottom w:val="single" w:sz="4" w:space="0" w:color="auto"/>
              <w:right w:val="nil"/>
            </w:tcBorders>
            <w:shd w:val="clear" w:color="auto" w:fill="auto"/>
            <w:vAlign w:val="center"/>
            <w:hideMark/>
          </w:tcPr>
          <w:p w14:paraId="4C86D02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229" w:type="dxa"/>
            <w:tcBorders>
              <w:top w:val="nil"/>
              <w:left w:val="nil"/>
              <w:bottom w:val="single" w:sz="4" w:space="0" w:color="auto"/>
              <w:right w:val="nil"/>
            </w:tcBorders>
            <w:shd w:val="clear" w:color="auto" w:fill="auto"/>
            <w:vAlign w:val="center"/>
            <w:hideMark/>
          </w:tcPr>
          <w:p w14:paraId="6AEB30D1"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1523" w:type="dxa"/>
            <w:tcBorders>
              <w:top w:val="nil"/>
              <w:left w:val="nil"/>
              <w:bottom w:val="single" w:sz="4" w:space="0" w:color="auto"/>
              <w:right w:val="nil"/>
            </w:tcBorders>
            <w:shd w:val="clear" w:color="auto" w:fill="auto"/>
            <w:vAlign w:val="center"/>
            <w:hideMark/>
          </w:tcPr>
          <w:p w14:paraId="5BBCAFEB" w14:textId="77777777" w:rsidR="002E4495" w:rsidRPr="00872293" w:rsidRDefault="002E4495" w:rsidP="002E4495">
            <w:pPr>
              <w:jc w:val="center"/>
              <w:rPr>
                <w:rFonts w:ascii="Times New Roman" w:eastAsia="Times New Roman" w:hAnsi="Times New Roman" w:cs="Times New Roman"/>
                <w:i/>
                <w:iCs/>
                <w:sz w:val="22"/>
                <w:szCs w:val="22"/>
              </w:rPr>
            </w:pPr>
            <w:r w:rsidRPr="00872293">
              <w:rPr>
                <w:rFonts w:ascii="Times New Roman" w:eastAsia="Times New Roman" w:hAnsi="Times New Roman" w:cs="Times New Roman"/>
                <w:i/>
                <w:iCs/>
                <w:sz w:val="22"/>
                <w:szCs w:val="22"/>
              </w:rPr>
              <w:t> </w:t>
            </w:r>
          </w:p>
        </w:tc>
        <w:tc>
          <w:tcPr>
            <w:tcW w:w="976" w:type="dxa"/>
            <w:tcBorders>
              <w:top w:val="nil"/>
              <w:left w:val="nil"/>
              <w:bottom w:val="single" w:sz="4" w:space="0" w:color="auto"/>
              <w:right w:val="nil"/>
            </w:tcBorders>
            <w:shd w:val="clear" w:color="auto" w:fill="auto"/>
            <w:vAlign w:val="center"/>
            <w:hideMark/>
          </w:tcPr>
          <w:p w14:paraId="70B5BD15"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w:t>
            </w:r>
          </w:p>
        </w:tc>
        <w:tc>
          <w:tcPr>
            <w:tcW w:w="843" w:type="dxa"/>
            <w:tcBorders>
              <w:top w:val="nil"/>
              <w:left w:val="nil"/>
              <w:bottom w:val="single" w:sz="4" w:space="0" w:color="auto"/>
              <w:right w:val="nil"/>
            </w:tcBorders>
            <w:shd w:val="clear" w:color="auto" w:fill="auto"/>
            <w:vAlign w:val="center"/>
            <w:hideMark/>
          </w:tcPr>
          <w:p w14:paraId="0723D25B"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20-30</w:t>
            </w:r>
          </w:p>
        </w:tc>
        <w:tc>
          <w:tcPr>
            <w:tcW w:w="1043" w:type="dxa"/>
            <w:tcBorders>
              <w:top w:val="nil"/>
              <w:left w:val="nil"/>
              <w:bottom w:val="single" w:sz="4" w:space="0" w:color="auto"/>
              <w:right w:val="nil"/>
            </w:tcBorders>
            <w:shd w:val="clear" w:color="auto" w:fill="auto"/>
            <w:vAlign w:val="center"/>
            <w:hideMark/>
          </w:tcPr>
          <w:p w14:paraId="0449AD20"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2.62</w:t>
            </w:r>
          </w:p>
        </w:tc>
        <w:tc>
          <w:tcPr>
            <w:tcW w:w="851" w:type="dxa"/>
            <w:tcBorders>
              <w:top w:val="nil"/>
              <w:left w:val="nil"/>
              <w:bottom w:val="single" w:sz="4" w:space="0" w:color="auto"/>
              <w:right w:val="single" w:sz="4" w:space="0" w:color="auto"/>
            </w:tcBorders>
            <w:shd w:val="clear" w:color="auto" w:fill="auto"/>
            <w:vAlign w:val="center"/>
            <w:hideMark/>
          </w:tcPr>
          <w:p w14:paraId="198363B8" w14:textId="77777777" w:rsidR="002E4495" w:rsidRPr="00872293" w:rsidRDefault="002E4495" w:rsidP="002E4495">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1.39</w:t>
            </w:r>
          </w:p>
        </w:tc>
      </w:tr>
    </w:tbl>
    <w:p w14:paraId="6B4DCB1A" w14:textId="77777777" w:rsidR="002E4495" w:rsidRPr="00872293" w:rsidRDefault="002E4495" w:rsidP="002E4495">
      <w:pPr>
        <w:spacing w:line="360" w:lineRule="auto"/>
        <w:rPr>
          <w:rFonts w:ascii="Times New Roman" w:hAnsi="Times New Roman" w:cs="Times New Roman"/>
          <w:vertAlign w:val="superscript"/>
        </w:rPr>
      </w:pPr>
    </w:p>
    <w:p w14:paraId="0C1191F6" w14:textId="77777777" w:rsidR="00564BFB" w:rsidRPr="00872293" w:rsidRDefault="00523464" w:rsidP="00564BFB">
      <w:pPr>
        <w:pStyle w:val="ListParagraph"/>
        <w:numPr>
          <w:ilvl w:val="0"/>
          <w:numId w:val="6"/>
        </w:numPr>
        <w:rPr>
          <w:rFonts w:ascii="Times New Roman" w:hAnsi="Times New Roman" w:cs="Times New Roman"/>
          <w:vertAlign w:val="superscript"/>
        </w:rPr>
      </w:pPr>
      <w:r w:rsidRPr="00872293">
        <w:rPr>
          <w:rFonts w:ascii="Times New Roman" w:hAnsi="Times New Roman" w:cs="Times New Roman"/>
          <w:vertAlign w:val="superscript"/>
        </w:rPr>
        <w:t xml:space="preserve">Mean annual </w:t>
      </w:r>
      <w:proofErr w:type="gramStart"/>
      <w:r w:rsidRPr="00872293">
        <w:rPr>
          <w:rFonts w:ascii="Times New Roman" w:hAnsi="Times New Roman" w:cs="Times New Roman"/>
          <w:vertAlign w:val="superscript"/>
        </w:rPr>
        <w:t>precipitation</w:t>
      </w:r>
      <w:r w:rsidR="006948D2" w:rsidRPr="00872293">
        <w:rPr>
          <w:rFonts w:ascii="Times New Roman" w:hAnsi="Times New Roman" w:cs="Times New Roman"/>
          <w:vertAlign w:val="superscript"/>
        </w:rPr>
        <w:t>,</w:t>
      </w:r>
      <w:r w:rsidRPr="00872293">
        <w:rPr>
          <w:rFonts w:ascii="Times New Roman" w:hAnsi="Times New Roman" w:cs="Times New Roman"/>
          <w:vertAlign w:val="superscript"/>
        </w:rPr>
        <w:t xml:space="preserve"> </w:t>
      </w:r>
      <w:r w:rsidR="006948D2" w:rsidRPr="00872293">
        <w:rPr>
          <w:rFonts w:ascii="Times New Roman" w:hAnsi="Times New Roman" w:cs="Times New Roman"/>
          <w:vertAlign w:val="superscript"/>
        </w:rPr>
        <w:t xml:space="preserve"> b.</w:t>
      </w:r>
      <w:proofErr w:type="gramEnd"/>
      <w:r w:rsidR="006948D2" w:rsidRPr="00872293">
        <w:rPr>
          <w:rFonts w:ascii="Times New Roman" w:hAnsi="Times New Roman" w:cs="Times New Roman"/>
          <w:vertAlign w:val="superscript"/>
        </w:rPr>
        <w:t xml:space="preserve"> Standard Error, c</w:t>
      </w:r>
      <w:r w:rsidR="00564BFB" w:rsidRPr="00872293">
        <w:rPr>
          <w:rFonts w:ascii="Times New Roman" w:hAnsi="Times New Roman" w:cs="Times New Roman"/>
          <w:vertAlign w:val="superscript"/>
        </w:rPr>
        <w:t>. Elevation 400, d. Elevation 700, e Elevation 1000</w:t>
      </w:r>
    </w:p>
    <w:p w14:paraId="19192FE9" w14:textId="77777777" w:rsidR="00523464" w:rsidRPr="00872293" w:rsidRDefault="00523464" w:rsidP="00523464">
      <w:pPr>
        <w:spacing w:line="360" w:lineRule="auto"/>
        <w:rPr>
          <w:rFonts w:ascii="Times New Roman" w:hAnsi="Times New Roman" w:cs="Times New Roman"/>
        </w:rPr>
      </w:pPr>
    </w:p>
    <w:p w14:paraId="764FB131" w14:textId="05C6BD17" w:rsidR="00CE19EB" w:rsidRPr="00872293" w:rsidRDefault="00D203AF" w:rsidP="00B849D5">
      <w:pPr>
        <w:pStyle w:val="Caption"/>
        <w:spacing w:before="240" w:after="240"/>
        <w:rPr>
          <w:rFonts w:ascii="Times New Roman" w:hAnsi="Times New Roman" w:cs="Times New Roman"/>
          <w:color w:val="auto"/>
          <w:sz w:val="24"/>
          <w:szCs w:val="24"/>
        </w:rPr>
      </w:pPr>
      <w:bookmarkStart w:id="39" w:name="_Toc53755744"/>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2</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Root N and P average concentration at an ecosystem scale from different sites, forest type, and using different root diameter</w:t>
      </w:r>
      <w:bookmarkEnd w:id="39"/>
    </w:p>
    <w:tbl>
      <w:tblPr>
        <w:tblStyle w:val="TableGrid"/>
        <w:tblW w:w="8517" w:type="dxa"/>
        <w:jc w:val="center"/>
        <w:tblBorders>
          <w:insideH w:val="none" w:sz="0" w:space="0" w:color="auto"/>
          <w:insideV w:val="none" w:sz="0" w:space="0" w:color="auto"/>
        </w:tblBorders>
        <w:tblLook w:val="04A0" w:firstRow="1" w:lastRow="0" w:firstColumn="1" w:lastColumn="0" w:noHBand="0" w:noVBand="1"/>
      </w:tblPr>
      <w:tblGrid>
        <w:gridCol w:w="1615"/>
        <w:gridCol w:w="1620"/>
        <w:gridCol w:w="1016"/>
        <w:gridCol w:w="1350"/>
        <w:gridCol w:w="720"/>
        <w:gridCol w:w="720"/>
        <w:gridCol w:w="720"/>
        <w:gridCol w:w="756"/>
      </w:tblGrid>
      <w:tr w:rsidR="00872293" w:rsidRPr="00872293" w14:paraId="7BF91C19" w14:textId="77777777" w:rsidTr="00750F73">
        <w:trPr>
          <w:trHeight w:val="863"/>
          <w:jc w:val="center"/>
        </w:trPr>
        <w:tc>
          <w:tcPr>
            <w:tcW w:w="1615" w:type="dxa"/>
            <w:tcBorders>
              <w:top w:val="single" w:sz="4" w:space="0" w:color="auto"/>
              <w:left w:val="single" w:sz="4" w:space="0" w:color="auto"/>
              <w:bottom w:val="single" w:sz="4" w:space="0" w:color="auto"/>
            </w:tcBorders>
            <w:noWrap/>
          </w:tcPr>
          <w:p w14:paraId="6A4DA3CD"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Author</w:t>
            </w:r>
          </w:p>
        </w:tc>
        <w:tc>
          <w:tcPr>
            <w:tcW w:w="1620" w:type="dxa"/>
            <w:tcBorders>
              <w:top w:val="single" w:sz="4" w:space="0" w:color="auto"/>
              <w:bottom w:val="single" w:sz="4" w:space="0" w:color="auto"/>
            </w:tcBorders>
            <w:noWrap/>
          </w:tcPr>
          <w:p w14:paraId="3F91EB2E"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Forest type</w:t>
            </w:r>
          </w:p>
        </w:tc>
        <w:tc>
          <w:tcPr>
            <w:tcW w:w="1016" w:type="dxa"/>
            <w:tcBorders>
              <w:top w:val="single" w:sz="4" w:space="0" w:color="auto"/>
              <w:bottom w:val="single" w:sz="4" w:space="0" w:color="auto"/>
            </w:tcBorders>
            <w:noWrap/>
          </w:tcPr>
          <w:p w14:paraId="5BF81947"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Site</w:t>
            </w:r>
          </w:p>
        </w:tc>
        <w:tc>
          <w:tcPr>
            <w:tcW w:w="1350" w:type="dxa"/>
            <w:tcBorders>
              <w:top w:val="single" w:sz="4" w:space="0" w:color="auto"/>
              <w:bottom w:val="single" w:sz="4" w:space="0" w:color="auto"/>
            </w:tcBorders>
            <w:noWrap/>
          </w:tcPr>
          <w:p w14:paraId="57EEA344"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Root diameter</w:t>
            </w:r>
          </w:p>
        </w:tc>
        <w:tc>
          <w:tcPr>
            <w:tcW w:w="720" w:type="dxa"/>
            <w:tcBorders>
              <w:top w:val="single" w:sz="4" w:space="0" w:color="auto"/>
              <w:bottom w:val="single" w:sz="4" w:space="0" w:color="auto"/>
            </w:tcBorders>
            <w:noWrap/>
          </w:tcPr>
          <w:p w14:paraId="78FA45CF"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N %</w:t>
            </w:r>
          </w:p>
        </w:tc>
        <w:tc>
          <w:tcPr>
            <w:tcW w:w="720" w:type="dxa"/>
            <w:tcBorders>
              <w:top w:val="single" w:sz="4" w:space="0" w:color="auto"/>
              <w:bottom w:val="single" w:sz="4" w:space="0" w:color="auto"/>
            </w:tcBorders>
            <w:noWrap/>
          </w:tcPr>
          <w:p w14:paraId="34551BCC" w14:textId="77777777" w:rsidR="00523464" w:rsidRPr="00872293" w:rsidRDefault="00523464" w:rsidP="00567FAD">
            <w:pPr>
              <w:spacing w:line="360" w:lineRule="auto"/>
              <w:jc w:val="center"/>
              <w:rPr>
                <w:rFonts w:ascii="Times New Roman" w:eastAsia="Times New Roman" w:hAnsi="Times New Roman" w:cs="Times New Roman"/>
                <w:b/>
                <w:sz w:val="22"/>
                <w:szCs w:val="22"/>
              </w:rPr>
            </w:pPr>
            <w:proofErr w:type="spellStart"/>
            <w:r w:rsidRPr="00872293">
              <w:rPr>
                <w:rFonts w:ascii="Times New Roman" w:eastAsia="Times New Roman" w:hAnsi="Times New Roman" w:cs="Times New Roman"/>
                <w:b/>
                <w:sz w:val="22"/>
                <w:szCs w:val="22"/>
              </w:rPr>
              <w:t>SE</w:t>
            </w:r>
            <w:r w:rsidRPr="00872293">
              <w:rPr>
                <w:rFonts w:ascii="Times New Roman" w:eastAsia="Times New Roman" w:hAnsi="Times New Roman" w:cs="Times New Roman"/>
                <w:b/>
                <w:sz w:val="22"/>
                <w:szCs w:val="22"/>
                <w:vertAlign w:val="superscript"/>
              </w:rPr>
              <w:t>a</w:t>
            </w:r>
            <w:proofErr w:type="spellEnd"/>
          </w:p>
        </w:tc>
        <w:tc>
          <w:tcPr>
            <w:tcW w:w="720" w:type="dxa"/>
            <w:tcBorders>
              <w:top w:val="single" w:sz="4" w:space="0" w:color="auto"/>
              <w:bottom w:val="single" w:sz="4" w:space="0" w:color="auto"/>
            </w:tcBorders>
            <w:noWrap/>
          </w:tcPr>
          <w:p w14:paraId="401835DB"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P %</w:t>
            </w:r>
          </w:p>
        </w:tc>
        <w:tc>
          <w:tcPr>
            <w:tcW w:w="756" w:type="dxa"/>
            <w:tcBorders>
              <w:top w:val="single" w:sz="4" w:space="0" w:color="auto"/>
              <w:bottom w:val="single" w:sz="4" w:space="0" w:color="auto"/>
              <w:right w:val="single" w:sz="4" w:space="0" w:color="auto"/>
            </w:tcBorders>
            <w:noWrap/>
          </w:tcPr>
          <w:p w14:paraId="7BD6D6BD" w14:textId="77777777" w:rsidR="00523464" w:rsidRPr="00872293" w:rsidRDefault="00523464" w:rsidP="00567FAD">
            <w:pPr>
              <w:spacing w:line="360" w:lineRule="auto"/>
              <w:jc w:val="center"/>
              <w:rPr>
                <w:rFonts w:ascii="Times New Roman" w:eastAsia="Times New Roman" w:hAnsi="Times New Roman" w:cs="Times New Roman"/>
                <w:b/>
                <w:sz w:val="22"/>
                <w:szCs w:val="22"/>
              </w:rPr>
            </w:pPr>
            <w:r w:rsidRPr="00872293">
              <w:rPr>
                <w:rFonts w:ascii="Times New Roman" w:eastAsia="Times New Roman" w:hAnsi="Times New Roman" w:cs="Times New Roman"/>
                <w:b/>
                <w:sz w:val="22"/>
                <w:szCs w:val="22"/>
              </w:rPr>
              <w:t>SE</w:t>
            </w:r>
          </w:p>
        </w:tc>
      </w:tr>
      <w:tr w:rsidR="00872293" w:rsidRPr="00872293" w14:paraId="19D7E1DC" w14:textId="77777777" w:rsidTr="00750F73">
        <w:trPr>
          <w:trHeight w:val="276"/>
          <w:jc w:val="center"/>
        </w:trPr>
        <w:tc>
          <w:tcPr>
            <w:tcW w:w="1615" w:type="dxa"/>
            <w:tcBorders>
              <w:top w:val="single" w:sz="4" w:space="0" w:color="auto"/>
              <w:left w:val="single" w:sz="4" w:space="0" w:color="auto"/>
              <w:bottom w:val="nil"/>
            </w:tcBorders>
            <w:noWrap/>
          </w:tcPr>
          <w:p w14:paraId="1EB7ECA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Cuevas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(1991)</w:t>
            </w:r>
          </w:p>
        </w:tc>
        <w:tc>
          <w:tcPr>
            <w:tcW w:w="1620" w:type="dxa"/>
            <w:tcBorders>
              <w:top w:val="single" w:sz="4" w:space="0" w:color="auto"/>
              <w:bottom w:val="nil"/>
            </w:tcBorders>
            <w:noWrap/>
          </w:tcPr>
          <w:p w14:paraId="10FDDEF1"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 (Pine)</w:t>
            </w:r>
          </w:p>
        </w:tc>
        <w:tc>
          <w:tcPr>
            <w:tcW w:w="1016" w:type="dxa"/>
            <w:tcBorders>
              <w:top w:val="single" w:sz="4" w:space="0" w:color="auto"/>
              <w:bottom w:val="nil"/>
            </w:tcBorders>
            <w:noWrap/>
          </w:tcPr>
          <w:p w14:paraId="765E801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single" w:sz="4" w:space="0" w:color="auto"/>
              <w:bottom w:val="nil"/>
            </w:tcBorders>
            <w:noWrap/>
          </w:tcPr>
          <w:p w14:paraId="2264E992"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single" w:sz="4" w:space="0" w:color="auto"/>
              <w:bottom w:val="nil"/>
            </w:tcBorders>
            <w:noWrap/>
          </w:tcPr>
          <w:p w14:paraId="1461393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w:t>
            </w:r>
          </w:p>
        </w:tc>
        <w:tc>
          <w:tcPr>
            <w:tcW w:w="720" w:type="dxa"/>
            <w:tcBorders>
              <w:top w:val="single" w:sz="4" w:space="0" w:color="auto"/>
              <w:bottom w:val="nil"/>
            </w:tcBorders>
            <w:noWrap/>
          </w:tcPr>
          <w:p w14:paraId="70DCCF24"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720" w:type="dxa"/>
            <w:tcBorders>
              <w:top w:val="single" w:sz="4" w:space="0" w:color="auto"/>
              <w:bottom w:val="nil"/>
            </w:tcBorders>
            <w:noWrap/>
          </w:tcPr>
          <w:p w14:paraId="620381F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c>
          <w:tcPr>
            <w:tcW w:w="756" w:type="dxa"/>
            <w:tcBorders>
              <w:top w:val="single" w:sz="4" w:space="0" w:color="auto"/>
              <w:bottom w:val="nil"/>
              <w:right w:val="single" w:sz="4" w:space="0" w:color="auto"/>
            </w:tcBorders>
            <w:noWrap/>
          </w:tcPr>
          <w:p w14:paraId="3B9D3A71"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0.005</w:t>
            </w:r>
          </w:p>
        </w:tc>
      </w:tr>
      <w:tr w:rsidR="00872293" w:rsidRPr="00872293" w14:paraId="5420DE37" w14:textId="77777777" w:rsidTr="00750F73">
        <w:trPr>
          <w:trHeight w:val="276"/>
          <w:jc w:val="center"/>
        </w:trPr>
        <w:tc>
          <w:tcPr>
            <w:tcW w:w="1615" w:type="dxa"/>
            <w:tcBorders>
              <w:top w:val="nil"/>
              <w:left w:val="single" w:sz="4" w:space="0" w:color="auto"/>
              <w:bottom w:val="single" w:sz="4" w:space="0" w:color="auto"/>
            </w:tcBorders>
            <w:noWrap/>
          </w:tcPr>
          <w:p w14:paraId="0A00827A"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Cuevas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(1991)</w:t>
            </w:r>
          </w:p>
        </w:tc>
        <w:tc>
          <w:tcPr>
            <w:tcW w:w="1620" w:type="dxa"/>
            <w:tcBorders>
              <w:top w:val="nil"/>
              <w:bottom w:val="single" w:sz="4" w:space="0" w:color="auto"/>
            </w:tcBorders>
            <w:noWrap/>
          </w:tcPr>
          <w:p w14:paraId="509A35B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Pine plantation</w:t>
            </w:r>
          </w:p>
        </w:tc>
        <w:tc>
          <w:tcPr>
            <w:tcW w:w="1016" w:type="dxa"/>
            <w:tcBorders>
              <w:top w:val="nil"/>
              <w:bottom w:val="single" w:sz="4" w:space="0" w:color="auto"/>
            </w:tcBorders>
            <w:noWrap/>
          </w:tcPr>
          <w:p w14:paraId="470BC4E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nil"/>
              <w:bottom w:val="single" w:sz="4" w:space="0" w:color="auto"/>
            </w:tcBorders>
            <w:noWrap/>
          </w:tcPr>
          <w:p w14:paraId="298DFC2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nil"/>
              <w:bottom w:val="single" w:sz="4" w:space="0" w:color="auto"/>
            </w:tcBorders>
            <w:noWrap/>
          </w:tcPr>
          <w:p w14:paraId="470F5862"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w:t>
            </w:r>
          </w:p>
        </w:tc>
        <w:tc>
          <w:tcPr>
            <w:tcW w:w="720" w:type="dxa"/>
            <w:tcBorders>
              <w:top w:val="nil"/>
              <w:bottom w:val="single" w:sz="4" w:space="0" w:color="auto"/>
            </w:tcBorders>
            <w:noWrap/>
          </w:tcPr>
          <w:p w14:paraId="32BE76E0"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w:t>
            </w:r>
          </w:p>
        </w:tc>
        <w:tc>
          <w:tcPr>
            <w:tcW w:w="720" w:type="dxa"/>
            <w:tcBorders>
              <w:top w:val="nil"/>
              <w:bottom w:val="single" w:sz="4" w:space="0" w:color="auto"/>
            </w:tcBorders>
            <w:noWrap/>
          </w:tcPr>
          <w:p w14:paraId="4FE34FF5"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c>
          <w:tcPr>
            <w:tcW w:w="756" w:type="dxa"/>
            <w:tcBorders>
              <w:top w:val="nil"/>
              <w:bottom w:val="single" w:sz="4" w:space="0" w:color="auto"/>
              <w:right w:val="single" w:sz="4" w:space="0" w:color="auto"/>
            </w:tcBorders>
            <w:noWrap/>
          </w:tcPr>
          <w:p w14:paraId="5E7F490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33F3FB39" w14:textId="77777777" w:rsidTr="00750F73">
        <w:trPr>
          <w:trHeight w:val="276"/>
          <w:jc w:val="center"/>
        </w:trPr>
        <w:tc>
          <w:tcPr>
            <w:tcW w:w="1615" w:type="dxa"/>
            <w:tcBorders>
              <w:top w:val="single" w:sz="4" w:space="0" w:color="auto"/>
              <w:left w:val="single" w:sz="4" w:space="0" w:color="auto"/>
              <w:bottom w:val="nil"/>
            </w:tcBorders>
            <w:noWrap/>
          </w:tcPr>
          <w:p w14:paraId="0BF9D3ED"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Lugo (1992)</w:t>
            </w:r>
          </w:p>
        </w:tc>
        <w:tc>
          <w:tcPr>
            <w:tcW w:w="1620" w:type="dxa"/>
            <w:tcBorders>
              <w:top w:val="single" w:sz="4" w:space="0" w:color="auto"/>
              <w:bottom w:val="nil"/>
            </w:tcBorders>
            <w:noWrap/>
          </w:tcPr>
          <w:p w14:paraId="0A43ECD0"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 (Pine)</w:t>
            </w:r>
          </w:p>
        </w:tc>
        <w:tc>
          <w:tcPr>
            <w:tcW w:w="1016" w:type="dxa"/>
            <w:tcBorders>
              <w:top w:val="single" w:sz="4" w:space="0" w:color="auto"/>
              <w:bottom w:val="nil"/>
            </w:tcBorders>
            <w:noWrap/>
          </w:tcPr>
          <w:p w14:paraId="6AE0A680"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single" w:sz="4" w:space="0" w:color="auto"/>
              <w:bottom w:val="nil"/>
            </w:tcBorders>
            <w:noWrap/>
          </w:tcPr>
          <w:p w14:paraId="47606C85"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single" w:sz="4" w:space="0" w:color="auto"/>
              <w:bottom w:val="nil"/>
            </w:tcBorders>
            <w:noWrap/>
          </w:tcPr>
          <w:p w14:paraId="592FF312"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w:t>
            </w:r>
          </w:p>
        </w:tc>
        <w:tc>
          <w:tcPr>
            <w:tcW w:w="720" w:type="dxa"/>
            <w:tcBorders>
              <w:top w:val="single" w:sz="4" w:space="0" w:color="auto"/>
              <w:bottom w:val="nil"/>
            </w:tcBorders>
            <w:noWrap/>
          </w:tcPr>
          <w:p w14:paraId="1F8CE1B1"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w:t>
            </w:r>
          </w:p>
        </w:tc>
        <w:tc>
          <w:tcPr>
            <w:tcW w:w="720" w:type="dxa"/>
            <w:tcBorders>
              <w:top w:val="single" w:sz="4" w:space="0" w:color="auto"/>
              <w:bottom w:val="nil"/>
            </w:tcBorders>
            <w:noWrap/>
          </w:tcPr>
          <w:p w14:paraId="7ABB0935"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c>
          <w:tcPr>
            <w:tcW w:w="756" w:type="dxa"/>
            <w:tcBorders>
              <w:top w:val="single" w:sz="4" w:space="0" w:color="auto"/>
              <w:bottom w:val="nil"/>
              <w:right w:val="single" w:sz="4" w:space="0" w:color="auto"/>
            </w:tcBorders>
            <w:noWrap/>
          </w:tcPr>
          <w:p w14:paraId="745D2226"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230C3CD5" w14:textId="77777777" w:rsidTr="00750F73">
        <w:trPr>
          <w:trHeight w:val="276"/>
          <w:jc w:val="center"/>
        </w:trPr>
        <w:tc>
          <w:tcPr>
            <w:tcW w:w="1615" w:type="dxa"/>
            <w:tcBorders>
              <w:top w:val="nil"/>
              <w:left w:val="single" w:sz="4" w:space="0" w:color="auto"/>
              <w:bottom w:val="nil"/>
            </w:tcBorders>
            <w:noWrap/>
          </w:tcPr>
          <w:p w14:paraId="31F99772"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Lugo (1992)</w:t>
            </w:r>
          </w:p>
        </w:tc>
        <w:tc>
          <w:tcPr>
            <w:tcW w:w="1620" w:type="dxa"/>
            <w:tcBorders>
              <w:top w:val="nil"/>
              <w:bottom w:val="nil"/>
            </w:tcBorders>
            <w:noWrap/>
          </w:tcPr>
          <w:p w14:paraId="4F33ACCE"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Pine plantation</w:t>
            </w:r>
          </w:p>
        </w:tc>
        <w:tc>
          <w:tcPr>
            <w:tcW w:w="1016" w:type="dxa"/>
            <w:tcBorders>
              <w:top w:val="nil"/>
              <w:bottom w:val="nil"/>
            </w:tcBorders>
            <w:noWrap/>
          </w:tcPr>
          <w:p w14:paraId="0C79441D"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nil"/>
              <w:bottom w:val="nil"/>
            </w:tcBorders>
            <w:noWrap/>
          </w:tcPr>
          <w:p w14:paraId="2336C7E1"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nil"/>
              <w:bottom w:val="nil"/>
            </w:tcBorders>
            <w:noWrap/>
          </w:tcPr>
          <w:p w14:paraId="079ED730"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w:t>
            </w:r>
          </w:p>
        </w:tc>
        <w:tc>
          <w:tcPr>
            <w:tcW w:w="720" w:type="dxa"/>
            <w:tcBorders>
              <w:top w:val="nil"/>
              <w:bottom w:val="nil"/>
            </w:tcBorders>
            <w:noWrap/>
          </w:tcPr>
          <w:p w14:paraId="73B1F4BF"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p>
        </w:tc>
        <w:tc>
          <w:tcPr>
            <w:tcW w:w="720" w:type="dxa"/>
            <w:tcBorders>
              <w:top w:val="nil"/>
              <w:bottom w:val="nil"/>
            </w:tcBorders>
            <w:noWrap/>
          </w:tcPr>
          <w:p w14:paraId="0D0738F4"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c>
          <w:tcPr>
            <w:tcW w:w="756" w:type="dxa"/>
            <w:tcBorders>
              <w:top w:val="nil"/>
              <w:bottom w:val="nil"/>
              <w:right w:val="single" w:sz="4" w:space="0" w:color="auto"/>
            </w:tcBorders>
            <w:noWrap/>
          </w:tcPr>
          <w:p w14:paraId="69209BF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7B49C7EC" w14:textId="77777777" w:rsidTr="00750F73">
        <w:trPr>
          <w:trHeight w:val="276"/>
          <w:jc w:val="center"/>
        </w:trPr>
        <w:tc>
          <w:tcPr>
            <w:tcW w:w="1615" w:type="dxa"/>
            <w:tcBorders>
              <w:top w:val="nil"/>
              <w:left w:val="single" w:sz="4" w:space="0" w:color="auto"/>
              <w:bottom w:val="nil"/>
            </w:tcBorders>
            <w:noWrap/>
          </w:tcPr>
          <w:p w14:paraId="278672A6"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Lugo (1992)</w:t>
            </w:r>
          </w:p>
        </w:tc>
        <w:tc>
          <w:tcPr>
            <w:tcW w:w="1620" w:type="dxa"/>
            <w:tcBorders>
              <w:top w:val="nil"/>
              <w:bottom w:val="nil"/>
            </w:tcBorders>
            <w:noWrap/>
          </w:tcPr>
          <w:p w14:paraId="6BE917C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Secondary (</w:t>
            </w:r>
            <w:proofErr w:type="spellStart"/>
            <w:r w:rsidRPr="00872293">
              <w:rPr>
                <w:rFonts w:ascii="Times New Roman" w:eastAsia="Times New Roman" w:hAnsi="Times New Roman" w:cs="Times New Roman"/>
                <w:sz w:val="22"/>
                <w:szCs w:val="22"/>
              </w:rPr>
              <w:t>Mahagony</w:t>
            </w:r>
            <w:proofErr w:type="spellEnd"/>
            <w:r w:rsidRPr="00872293">
              <w:rPr>
                <w:rFonts w:ascii="Times New Roman" w:eastAsia="Times New Roman" w:hAnsi="Times New Roman" w:cs="Times New Roman"/>
                <w:sz w:val="22"/>
                <w:szCs w:val="22"/>
              </w:rPr>
              <w:t>)</w:t>
            </w:r>
          </w:p>
        </w:tc>
        <w:tc>
          <w:tcPr>
            <w:tcW w:w="1016" w:type="dxa"/>
            <w:tcBorders>
              <w:top w:val="nil"/>
              <w:bottom w:val="nil"/>
            </w:tcBorders>
            <w:noWrap/>
          </w:tcPr>
          <w:p w14:paraId="6842267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LEF </w:t>
            </w:r>
          </w:p>
        </w:tc>
        <w:tc>
          <w:tcPr>
            <w:tcW w:w="1350" w:type="dxa"/>
            <w:tcBorders>
              <w:top w:val="nil"/>
              <w:bottom w:val="nil"/>
            </w:tcBorders>
            <w:noWrap/>
          </w:tcPr>
          <w:p w14:paraId="4CC9FF0A"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nil"/>
              <w:bottom w:val="nil"/>
            </w:tcBorders>
            <w:noWrap/>
          </w:tcPr>
          <w:p w14:paraId="7C4A06BC"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w:t>
            </w:r>
          </w:p>
        </w:tc>
        <w:tc>
          <w:tcPr>
            <w:tcW w:w="720" w:type="dxa"/>
            <w:tcBorders>
              <w:top w:val="nil"/>
              <w:bottom w:val="nil"/>
            </w:tcBorders>
            <w:noWrap/>
          </w:tcPr>
          <w:p w14:paraId="3EF14DE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p>
        </w:tc>
        <w:tc>
          <w:tcPr>
            <w:tcW w:w="720" w:type="dxa"/>
            <w:tcBorders>
              <w:top w:val="nil"/>
              <w:bottom w:val="nil"/>
            </w:tcBorders>
            <w:noWrap/>
          </w:tcPr>
          <w:p w14:paraId="4A46C7F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p>
        </w:tc>
        <w:tc>
          <w:tcPr>
            <w:tcW w:w="756" w:type="dxa"/>
            <w:tcBorders>
              <w:top w:val="nil"/>
              <w:bottom w:val="nil"/>
              <w:right w:val="single" w:sz="4" w:space="0" w:color="auto"/>
            </w:tcBorders>
            <w:noWrap/>
          </w:tcPr>
          <w:p w14:paraId="18727D9E"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w:t>
            </w:r>
          </w:p>
        </w:tc>
      </w:tr>
      <w:tr w:rsidR="00872293" w:rsidRPr="00872293" w14:paraId="7983B426" w14:textId="77777777" w:rsidTr="00750F73">
        <w:trPr>
          <w:trHeight w:val="276"/>
          <w:jc w:val="center"/>
        </w:trPr>
        <w:tc>
          <w:tcPr>
            <w:tcW w:w="1615" w:type="dxa"/>
            <w:tcBorders>
              <w:top w:val="nil"/>
              <w:left w:val="single" w:sz="4" w:space="0" w:color="auto"/>
              <w:bottom w:val="single" w:sz="4" w:space="0" w:color="auto"/>
            </w:tcBorders>
            <w:noWrap/>
          </w:tcPr>
          <w:p w14:paraId="5887AB6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Lugo (1992)</w:t>
            </w:r>
          </w:p>
        </w:tc>
        <w:tc>
          <w:tcPr>
            <w:tcW w:w="1620" w:type="dxa"/>
            <w:tcBorders>
              <w:top w:val="nil"/>
              <w:bottom w:val="single" w:sz="4" w:space="0" w:color="auto"/>
            </w:tcBorders>
            <w:noWrap/>
          </w:tcPr>
          <w:p w14:paraId="67C7AC97" w14:textId="77777777" w:rsidR="00523464" w:rsidRPr="00872293" w:rsidRDefault="00523464" w:rsidP="00567FAD">
            <w:pPr>
              <w:spacing w:line="360" w:lineRule="auto"/>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Mahagony</w:t>
            </w:r>
            <w:proofErr w:type="spellEnd"/>
            <w:r w:rsidRPr="00872293">
              <w:rPr>
                <w:rFonts w:ascii="Times New Roman" w:eastAsia="Times New Roman" w:hAnsi="Times New Roman" w:cs="Times New Roman"/>
                <w:sz w:val="22"/>
                <w:szCs w:val="22"/>
              </w:rPr>
              <w:t xml:space="preserve"> plantation</w:t>
            </w:r>
          </w:p>
        </w:tc>
        <w:tc>
          <w:tcPr>
            <w:tcW w:w="1016" w:type="dxa"/>
            <w:tcBorders>
              <w:top w:val="nil"/>
              <w:bottom w:val="single" w:sz="4" w:space="0" w:color="auto"/>
            </w:tcBorders>
            <w:noWrap/>
          </w:tcPr>
          <w:p w14:paraId="723507B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nil"/>
              <w:bottom w:val="single" w:sz="4" w:space="0" w:color="auto"/>
            </w:tcBorders>
            <w:noWrap/>
          </w:tcPr>
          <w:p w14:paraId="77755EFA"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nil"/>
              <w:bottom w:val="single" w:sz="4" w:space="0" w:color="auto"/>
            </w:tcBorders>
            <w:noWrap/>
          </w:tcPr>
          <w:p w14:paraId="6CC98DE2"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c>
          <w:tcPr>
            <w:tcW w:w="720" w:type="dxa"/>
            <w:tcBorders>
              <w:top w:val="nil"/>
              <w:bottom w:val="single" w:sz="4" w:space="0" w:color="auto"/>
            </w:tcBorders>
            <w:noWrap/>
          </w:tcPr>
          <w:p w14:paraId="0B551B0E"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p>
        </w:tc>
        <w:tc>
          <w:tcPr>
            <w:tcW w:w="720" w:type="dxa"/>
            <w:tcBorders>
              <w:top w:val="nil"/>
              <w:bottom w:val="single" w:sz="4" w:space="0" w:color="auto"/>
            </w:tcBorders>
            <w:noWrap/>
          </w:tcPr>
          <w:p w14:paraId="5AFB969D"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p>
        </w:tc>
        <w:tc>
          <w:tcPr>
            <w:tcW w:w="756" w:type="dxa"/>
            <w:tcBorders>
              <w:top w:val="nil"/>
              <w:bottom w:val="single" w:sz="4" w:space="0" w:color="auto"/>
              <w:right w:val="single" w:sz="4" w:space="0" w:color="auto"/>
            </w:tcBorders>
            <w:noWrap/>
          </w:tcPr>
          <w:p w14:paraId="00CDFD86"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2A2A906A" w14:textId="77777777" w:rsidTr="00750F73">
        <w:trPr>
          <w:trHeight w:val="276"/>
          <w:jc w:val="center"/>
        </w:trPr>
        <w:tc>
          <w:tcPr>
            <w:tcW w:w="1615" w:type="dxa"/>
            <w:tcBorders>
              <w:top w:val="single" w:sz="4" w:space="0" w:color="auto"/>
              <w:left w:val="single" w:sz="4" w:space="0" w:color="auto"/>
              <w:bottom w:val="single" w:sz="4" w:space="0" w:color="auto"/>
            </w:tcBorders>
            <w:noWrap/>
          </w:tcPr>
          <w:p w14:paraId="4CA3180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Silver &amp; Vogt (1993)</w:t>
            </w:r>
          </w:p>
        </w:tc>
        <w:tc>
          <w:tcPr>
            <w:tcW w:w="1620" w:type="dxa"/>
            <w:tcBorders>
              <w:top w:val="single" w:sz="4" w:space="0" w:color="auto"/>
              <w:bottom w:val="single" w:sz="4" w:space="0" w:color="auto"/>
            </w:tcBorders>
            <w:noWrap/>
          </w:tcPr>
          <w:p w14:paraId="27DDC47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Mature</w:t>
            </w:r>
          </w:p>
        </w:tc>
        <w:tc>
          <w:tcPr>
            <w:tcW w:w="1016" w:type="dxa"/>
            <w:tcBorders>
              <w:top w:val="single" w:sz="4" w:space="0" w:color="auto"/>
              <w:bottom w:val="single" w:sz="4" w:space="0" w:color="auto"/>
            </w:tcBorders>
            <w:noWrap/>
          </w:tcPr>
          <w:p w14:paraId="01C62594"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single" w:sz="4" w:space="0" w:color="auto"/>
              <w:bottom w:val="single" w:sz="4" w:space="0" w:color="auto"/>
            </w:tcBorders>
            <w:noWrap/>
          </w:tcPr>
          <w:p w14:paraId="299C624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&lt;2mm</w:t>
            </w:r>
          </w:p>
        </w:tc>
        <w:tc>
          <w:tcPr>
            <w:tcW w:w="720" w:type="dxa"/>
            <w:tcBorders>
              <w:top w:val="single" w:sz="4" w:space="0" w:color="auto"/>
              <w:bottom w:val="single" w:sz="4" w:space="0" w:color="auto"/>
            </w:tcBorders>
            <w:noWrap/>
          </w:tcPr>
          <w:p w14:paraId="6F730A85"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w:t>
            </w:r>
          </w:p>
        </w:tc>
        <w:tc>
          <w:tcPr>
            <w:tcW w:w="720" w:type="dxa"/>
            <w:tcBorders>
              <w:top w:val="single" w:sz="4" w:space="0" w:color="auto"/>
              <w:bottom w:val="single" w:sz="4" w:space="0" w:color="auto"/>
            </w:tcBorders>
            <w:noWrap/>
          </w:tcPr>
          <w:p w14:paraId="2B67812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720" w:type="dxa"/>
            <w:tcBorders>
              <w:top w:val="single" w:sz="4" w:space="0" w:color="auto"/>
              <w:bottom w:val="single" w:sz="4" w:space="0" w:color="auto"/>
            </w:tcBorders>
            <w:noWrap/>
          </w:tcPr>
          <w:p w14:paraId="3CD2CAA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c>
          <w:tcPr>
            <w:tcW w:w="756" w:type="dxa"/>
            <w:tcBorders>
              <w:top w:val="single" w:sz="4" w:space="0" w:color="auto"/>
              <w:bottom w:val="single" w:sz="4" w:space="0" w:color="auto"/>
              <w:right w:val="single" w:sz="4" w:space="0" w:color="auto"/>
            </w:tcBorders>
            <w:noWrap/>
          </w:tcPr>
          <w:p w14:paraId="7DB52A74"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564742FB" w14:textId="77777777" w:rsidTr="00750F73">
        <w:trPr>
          <w:trHeight w:val="276"/>
          <w:jc w:val="center"/>
        </w:trPr>
        <w:tc>
          <w:tcPr>
            <w:tcW w:w="1615" w:type="dxa"/>
            <w:tcBorders>
              <w:top w:val="single" w:sz="4" w:space="0" w:color="auto"/>
              <w:left w:val="single" w:sz="4" w:space="0" w:color="auto"/>
              <w:bottom w:val="single" w:sz="4" w:space="0" w:color="auto"/>
            </w:tcBorders>
            <w:noWrap/>
          </w:tcPr>
          <w:p w14:paraId="3DF2F81E" w14:textId="77777777" w:rsidR="00523464" w:rsidRPr="00872293" w:rsidRDefault="00523464" w:rsidP="00567FAD">
            <w:pPr>
              <w:spacing w:line="360" w:lineRule="auto"/>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Scatena</w:t>
            </w:r>
            <w:proofErr w:type="spellEnd"/>
            <w:r w:rsidRPr="00872293">
              <w:rPr>
                <w:rFonts w:ascii="Times New Roman" w:eastAsia="Times New Roman" w:hAnsi="Times New Roman" w:cs="Times New Roman"/>
                <w:sz w:val="22"/>
                <w:szCs w:val="22"/>
              </w:rPr>
              <w:t xml:space="preserve"> &amp; Silver (1993)</w:t>
            </w:r>
          </w:p>
        </w:tc>
        <w:tc>
          <w:tcPr>
            <w:tcW w:w="1620" w:type="dxa"/>
            <w:tcBorders>
              <w:top w:val="single" w:sz="4" w:space="0" w:color="auto"/>
              <w:bottom w:val="single" w:sz="4" w:space="0" w:color="auto"/>
            </w:tcBorders>
            <w:noWrap/>
          </w:tcPr>
          <w:p w14:paraId="2D2566EC"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Mature</w:t>
            </w:r>
          </w:p>
        </w:tc>
        <w:tc>
          <w:tcPr>
            <w:tcW w:w="1016" w:type="dxa"/>
            <w:tcBorders>
              <w:top w:val="single" w:sz="4" w:space="0" w:color="auto"/>
              <w:bottom w:val="single" w:sz="4" w:space="0" w:color="auto"/>
            </w:tcBorders>
            <w:noWrap/>
          </w:tcPr>
          <w:p w14:paraId="0EEA454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350" w:type="dxa"/>
            <w:tcBorders>
              <w:top w:val="single" w:sz="4" w:space="0" w:color="auto"/>
              <w:bottom w:val="single" w:sz="4" w:space="0" w:color="auto"/>
            </w:tcBorders>
            <w:noWrap/>
          </w:tcPr>
          <w:p w14:paraId="4C706A9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&lt;5mm</w:t>
            </w:r>
          </w:p>
        </w:tc>
        <w:tc>
          <w:tcPr>
            <w:tcW w:w="720" w:type="dxa"/>
            <w:tcBorders>
              <w:top w:val="single" w:sz="4" w:space="0" w:color="auto"/>
              <w:bottom w:val="single" w:sz="4" w:space="0" w:color="auto"/>
            </w:tcBorders>
            <w:noWrap/>
          </w:tcPr>
          <w:p w14:paraId="0FB60CBB"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1.6</w:t>
            </w:r>
          </w:p>
        </w:tc>
        <w:tc>
          <w:tcPr>
            <w:tcW w:w="720" w:type="dxa"/>
            <w:tcBorders>
              <w:top w:val="single" w:sz="4" w:space="0" w:color="auto"/>
              <w:bottom w:val="single" w:sz="4" w:space="0" w:color="auto"/>
            </w:tcBorders>
            <w:noWrap/>
          </w:tcPr>
          <w:p w14:paraId="56132EA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t>
            </w:r>
          </w:p>
        </w:tc>
        <w:tc>
          <w:tcPr>
            <w:tcW w:w="720" w:type="dxa"/>
            <w:tcBorders>
              <w:top w:val="single" w:sz="4" w:space="0" w:color="auto"/>
              <w:bottom w:val="single" w:sz="4" w:space="0" w:color="auto"/>
            </w:tcBorders>
            <w:noWrap/>
          </w:tcPr>
          <w:p w14:paraId="38F1E33C"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c>
          <w:tcPr>
            <w:tcW w:w="756" w:type="dxa"/>
            <w:tcBorders>
              <w:top w:val="single" w:sz="4" w:space="0" w:color="auto"/>
              <w:bottom w:val="single" w:sz="4" w:space="0" w:color="auto"/>
              <w:right w:val="single" w:sz="4" w:space="0" w:color="auto"/>
            </w:tcBorders>
            <w:noWrap/>
          </w:tcPr>
          <w:p w14:paraId="32A74678"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t>
            </w:r>
          </w:p>
        </w:tc>
      </w:tr>
      <w:tr w:rsidR="00872293" w:rsidRPr="00872293" w14:paraId="77D25F05" w14:textId="77777777" w:rsidTr="00750F73">
        <w:trPr>
          <w:trHeight w:val="276"/>
          <w:jc w:val="center"/>
        </w:trPr>
        <w:tc>
          <w:tcPr>
            <w:tcW w:w="1615" w:type="dxa"/>
            <w:tcBorders>
              <w:top w:val="single" w:sz="4" w:space="0" w:color="auto"/>
              <w:left w:val="single" w:sz="4" w:space="0" w:color="auto"/>
              <w:bottom w:val="single" w:sz="4" w:space="0" w:color="auto"/>
            </w:tcBorders>
            <w:noWrap/>
          </w:tcPr>
          <w:p w14:paraId="06E18BC7"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Murphy &amp; Lugo (1986)</w:t>
            </w:r>
          </w:p>
        </w:tc>
        <w:tc>
          <w:tcPr>
            <w:tcW w:w="1620" w:type="dxa"/>
            <w:tcBorders>
              <w:top w:val="single" w:sz="4" w:space="0" w:color="auto"/>
              <w:bottom w:val="single" w:sz="4" w:space="0" w:color="auto"/>
            </w:tcBorders>
            <w:noWrap/>
          </w:tcPr>
          <w:p w14:paraId="15BBF6AF"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Dry primary</w:t>
            </w:r>
          </w:p>
        </w:tc>
        <w:tc>
          <w:tcPr>
            <w:tcW w:w="1016" w:type="dxa"/>
            <w:tcBorders>
              <w:top w:val="single" w:sz="4" w:space="0" w:color="auto"/>
              <w:bottom w:val="single" w:sz="4" w:space="0" w:color="auto"/>
            </w:tcBorders>
            <w:noWrap/>
          </w:tcPr>
          <w:p w14:paraId="66F3638D" w14:textId="77777777" w:rsidR="00523464" w:rsidRPr="00872293" w:rsidRDefault="00523464" w:rsidP="00567FAD">
            <w:pPr>
              <w:spacing w:line="360" w:lineRule="auto"/>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Guanica</w:t>
            </w:r>
            <w:proofErr w:type="spellEnd"/>
          </w:p>
        </w:tc>
        <w:tc>
          <w:tcPr>
            <w:tcW w:w="1350" w:type="dxa"/>
            <w:tcBorders>
              <w:top w:val="single" w:sz="4" w:space="0" w:color="auto"/>
              <w:bottom w:val="single" w:sz="4" w:space="0" w:color="auto"/>
            </w:tcBorders>
            <w:noWrap/>
          </w:tcPr>
          <w:p w14:paraId="223EF91B"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&lt;1mm</w:t>
            </w:r>
          </w:p>
        </w:tc>
        <w:tc>
          <w:tcPr>
            <w:tcW w:w="720" w:type="dxa"/>
            <w:tcBorders>
              <w:top w:val="single" w:sz="4" w:space="0" w:color="auto"/>
              <w:bottom w:val="single" w:sz="4" w:space="0" w:color="auto"/>
            </w:tcBorders>
            <w:noWrap/>
          </w:tcPr>
          <w:p w14:paraId="64E7555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1.4</w:t>
            </w:r>
          </w:p>
        </w:tc>
        <w:tc>
          <w:tcPr>
            <w:tcW w:w="720" w:type="dxa"/>
            <w:tcBorders>
              <w:top w:val="single" w:sz="4" w:space="0" w:color="auto"/>
              <w:bottom w:val="single" w:sz="4" w:space="0" w:color="auto"/>
            </w:tcBorders>
            <w:noWrap/>
          </w:tcPr>
          <w:p w14:paraId="19C14D2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p>
        </w:tc>
        <w:tc>
          <w:tcPr>
            <w:tcW w:w="720" w:type="dxa"/>
            <w:tcBorders>
              <w:top w:val="single" w:sz="4" w:space="0" w:color="auto"/>
              <w:bottom w:val="single" w:sz="4" w:space="0" w:color="auto"/>
            </w:tcBorders>
            <w:noWrap/>
          </w:tcPr>
          <w:p w14:paraId="27B9E8F9"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p>
        </w:tc>
        <w:tc>
          <w:tcPr>
            <w:tcW w:w="756" w:type="dxa"/>
            <w:tcBorders>
              <w:top w:val="single" w:sz="4" w:space="0" w:color="auto"/>
              <w:bottom w:val="single" w:sz="4" w:space="0" w:color="auto"/>
              <w:right w:val="single" w:sz="4" w:space="0" w:color="auto"/>
            </w:tcBorders>
            <w:noWrap/>
          </w:tcPr>
          <w:p w14:paraId="222B7273" w14:textId="77777777" w:rsidR="00523464" w:rsidRPr="00872293" w:rsidRDefault="00523464" w:rsidP="00567FAD">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r>
    </w:tbl>
    <w:p w14:paraId="5C943A53" w14:textId="77777777" w:rsidR="00523464" w:rsidRPr="00872293" w:rsidRDefault="00523464" w:rsidP="00523464">
      <w:pPr>
        <w:spacing w:line="360" w:lineRule="auto"/>
        <w:rPr>
          <w:rFonts w:ascii="Times New Roman" w:hAnsi="Times New Roman" w:cs="Times New Roman"/>
        </w:rPr>
      </w:pPr>
    </w:p>
    <w:p w14:paraId="3D8E7791" w14:textId="77777777" w:rsidR="00523464" w:rsidRPr="00872293" w:rsidRDefault="00523464" w:rsidP="00523464">
      <w:pPr>
        <w:pStyle w:val="ListParagraph"/>
        <w:numPr>
          <w:ilvl w:val="0"/>
          <w:numId w:val="7"/>
        </w:numPr>
        <w:spacing w:line="360" w:lineRule="auto"/>
        <w:rPr>
          <w:rFonts w:ascii="Times New Roman" w:hAnsi="Times New Roman" w:cs="Times New Roman"/>
          <w:vertAlign w:val="superscript"/>
        </w:rPr>
      </w:pPr>
      <w:r w:rsidRPr="00872293">
        <w:rPr>
          <w:rFonts w:ascii="Times New Roman" w:hAnsi="Times New Roman" w:cs="Times New Roman"/>
          <w:vertAlign w:val="superscript"/>
        </w:rPr>
        <w:t>Standard Error</w:t>
      </w:r>
    </w:p>
    <w:p w14:paraId="623F8511" w14:textId="2374B5B9" w:rsidR="00117CA6" w:rsidRPr="00872293" w:rsidRDefault="00523464" w:rsidP="00117CA6">
      <w:pPr>
        <w:spacing w:line="360" w:lineRule="auto"/>
        <w:rPr>
          <w:rFonts w:ascii="Times New Roman" w:hAnsi="Times New Roman" w:cs="Times New Roman"/>
        </w:rPr>
      </w:pPr>
      <w:r w:rsidRPr="00872293">
        <w:rPr>
          <w:rFonts w:ascii="Times New Roman" w:hAnsi="Times New Roman" w:cs="Times New Roman"/>
        </w:rPr>
        <w:br w:type="page"/>
      </w:r>
    </w:p>
    <w:p w14:paraId="39E0C22E" w14:textId="38C979ED" w:rsidR="006B7E70" w:rsidRPr="00872293" w:rsidRDefault="00726D70" w:rsidP="00B849D5">
      <w:pPr>
        <w:pStyle w:val="Caption"/>
        <w:spacing w:before="120" w:after="240"/>
        <w:rPr>
          <w:rFonts w:ascii="Times New Roman" w:hAnsi="Times New Roman" w:cs="Times New Roman"/>
          <w:color w:val="auto"/>
          <w:sz w:val="24"/>
          <w:szCs w:val="24"/>
        </w:rPr>
      </w:pPr>
      <w:bookmarkStart w:id="40" w:name="_Toc53755745"/>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3</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Fine-root decomposition rate (k value) in Puerto Rico by site, author who reported, and forest species dominance</w:t>
      </w:r>
      <w:bookmarkEnd w:id="40"/>
    </w:p>
    <w:tbl>
      <w:tblPr>
        <w:tblW w:w="89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33"/>
        <w:gridCol w:w="1550"/>
        <w:gridCol w:w="2107"/>
        <w:gridCol w:w="1935"/>
        <w:gridCol w:w="975"/>
      </w:tblGrid>
      <w:tr w:rsidR="00872293" w:rsidRPr="00872293" w14:paraId="4481E8D1" w14:textId="77777777" w:rsidTr="00750F73">
        <w:trPr>
          <w:trHeight w:val="530"/>
        </w:trPr>
        <w:tc>
          <w:tcPr>
            <w:tcW w:w="2333" w:type="dxa"/>
            <w:tcBorders>
              <w:top w:val="single" w:sz="4" w:space="0" w:color="auto"/>
              <w:bottom w:val="single" w:sz="4" w:space="0" w:color="auto"/>
            </w:tcBorders>
            <w:shd w:val="clear" w:color="auto" w:fill="auto"/>
            <w:vAlign w:val="center"/>
          </w:tcPr>
          <w:p w14:paraId="7E8632DA" w14:textId="77777777" w:rsidR="00117CA6" w:rsidRPr="00872293" w:rsidRDefault="00117CA6" w:rsidP="006765A2">
            <w:pPr>
              <w:spacing w:line="360" w:lineRule="auto"/>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Site</w:t>
            </w:r>
          </w:p>
        </w:tc>
        <w:tc>
          <w:tcPr>
            <w:tcW w:w="1550" w:type="dxa"/>
            <w:tcBorders>
              <w:top w:val="single" w:sz="4" w:space="0" w:color="auto"/>
              <w:bottom w:val="single" w:sz="4" w:space="0" w:color="auto"/>
            </w:tcBorders>
            <w:shd w:val="clear" w:color="auto" w:fill="auto"/>
            <w:vAlign w:val="center"/>
          </w:tcPr>
          <w:p w14:paraId="7D59D4B8" w14:textId="77777777" w:rsidR="00117CA6" w:rsidRPr="00872293" w:rsidRDefault="00117CA6" w:rsidP="006765A2">
            <w:pPr>
              <w:spacing w:line="360" w:lineRule="auto"/>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Precipitation (mm)</w:t>
            </w:r>
          </w:p>
        </w:tc>
        <w:tc>
          <w:tcPr>
            <w:tcW w:w="2107" w:type="dxa"/>
            <w:tcBorders>
              <w:top w:val="single" w:sz="4" w:space="0" w:color="auto"/>
              <w:bottom w:val="single" w:sz="4" w:space="0" w:color="auto"/>
            </w:tcBorders>
            <w:shd w:val="clear" w:color="auto" w:fill="auto"/>
            <w:vAlign w:val="center"/>
          </w:tcPr>
          <w:p w14:paraId="7A429D09" w14:textId="77777777" w:rsidR="00117CA6" w:rsidRPr="00872293" w:rsidRDefault="00117CA6" w:rsidP="006765A2">
            <w:pPr>
              <w:spacing w:line="360" w:lineRule="auto"/>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Author</w:t>
            </w:r>
          </w:p>
        </w:tc>
        <w:tc>
          <w:tcPr>
            <w:tcW w:w="1935" w:type="dxa"/>
            <w:tcBorders>
              <w:top w:val="single" w:sz="4" w:space="0" w:color="auto"/>
              <w:bottom w:val="single" w:sz="4" w:space="0" w:color="auto"/>
            </w:tcBorders>
            <w:shd w:val="clear" w:color="auto" w:fill="auto"/>
            <w:vAlign w:val="center"/>
          </w:tcPr>
          <w:p w14:paraId="688F6EC2" w14:textId="77777777" w:rsidR="00117CA6" w:rsidRPr="00872293" w:rsidRDefault="00117CA6" w:rsidP="006765A2">
            <w:pPr>
              <w:spacing w:line="360" w:lineRule="auto"/>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Species</w:t>
            </w:r>
          </w:p>
        </w:tc>
        <w:tc>
          <w:tcPr>
            <w:tcW w:w="975" w:type="dxa"/>
            <w:tcBorders>
              <w:top w:val="single" w:sz="4" w:space="0" w:color="auto"/>
              <w:bottom w:val="single" w:sz="4" w:space="0" w:color="auto"/>
            </w:tcBorders>
            <w:shd w:val="clear" w:color="auto" w:fill="auto"/>
            <w:vAlign w:val="center"/>
          </w:tcPr>
          <w:p w14:paraId="6198F87E" w14:textId="77777777" w:rsidR="00117CA6" w:rsidRPr="00872293" w:rsidRDefault="00117CA6" w:rsidP="006765A2">
            <w:pPr>
              <w:spacing w:line="360" w:lineRule="auto"/>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i/>
                <w:iCs/>
                <w:sz w:val="22"/>
                <w:szCs w:val="22"/>
              </w:rPr>
              <w:t>k</w:t>
            </w:r>
            <w:r w:rsidRPr="00872293">
              <w:rPr>
                <w:rFonts w:ascii="Times New Roman" w:eastAsia="Times New Roman" w:hAnsi="Times New Roman" w:cs="Times New Roman"/>
                <w:b/>
                <w:bCs/>
                <w:sz w:val="22"/>
                <w:szCs w:val="22"/>
              </w:rPr>
              <w:t xml:space="preserve"> (per year)</w:t>
            </w:r>
          </w:p>
        </w:tc>
      </w:tr>
      <w:tr w:rsidR="00872293" w:rsidRPr="00872293" w14:paraId="74F1AE49" w14:textId="77777777" w:rsidTr="00750F73">
        <w:trPr>
          <w:trHeight w:val="790"/>
        </w:trPr>
        <w:tc>
          <w:tcPr>
            <w:tcW w:w="2333" w:type="dxa"/>
            <w:tcBorders>
              <w:top w:val="single" w:sz="4" w:space="0" w:color="auto"/>
              <w:bottom w:val="nil"/>
            </w:tcBorders>
            <w:shd w:val="clear" w:color="auto" w:fill="auto"/>
            <w:vAlign w:val="center"/>
          </w:tcPr>
          <w:p w14:paraId="46CD7B1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LEF</w:t>
            </w:r>
          </w:p>
        </w:tc>
        <w:tc>
          <w:tcPr>
            <w:tcW w:w="1550" w:type="dxa"/>
            <w:tcBorders>
              <w:top w:val="single" w:sz="4" w:space="0" w:color="auto"/>
              <w:bottom w:val="nil"/>
            </w:tcBorders>
            <w:shd w:val="clear" w:color="auto" w:fill="auto"/>
            <w:vAlign w:val="center"/>
          </w:tcPr>
          <w:p w14:paraId="53F8AB33"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4000</w:t>
            </w:r>
          </w:p>
        </w:tc>
        <w:tc>
          <w:tcPr>
            <w:tcW w:w="2107" w:type="dxa"/>
            <w:tcBorders>
              <w:top w:val="single" w:sz="4" w:space="0" w:color="auto"/>
              <w:bottom w:val="nil"/>
            </w:tcBorders>
            <w:shd w:val="clear" w:color="auto" w:fill="auto"/>
            <w:vAlign w:val="center"/>
          </w:tcPr>
          <w:p w14:paraId="05CCAF0E" w14:textId="77777777" w:rsidR="00117CA6" w:rsidRPr="00872293" w:rsidRDefault="00117CA6" w:rsidP="006765A2">
            <w:pPr>
              <w:spacing w:line="360" w:lineRule="auto"/>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Bloomfiled</w:t>
            </w:r>
            <w:proofErr w:type="spellEnd"/>
            <w:r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1993</w:t>
            </w:r>
          </w:p>
        </w:tc>
        <w:tc>
          <w:tcPr>
            <w:tcW w:w="1935" w:type="dxa"/>
            <w:tcBorders>
              <w:top w:val="single" w:sz="4" w:space="0" w:color="auto"/>
              <w:bottom w:val="nil"/>
            </w:tcBorders>
            <w:shd w:val="clear" w:color="auto" w:fill="auto"/>
            <w:vAlign w:val="center"/>
          </w:tcPr>
          <w:p w14:paraId="1864524D" w14:textId="77777777" w:rsidR="00117CA6" w:rsidRPr="00872293" w:rsidRDefault="00117CA6" w:rsidP="006765A2">
            <w:pPr>
              <w:spacing w:line="360" w:lineRule="auto"/>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Prestoea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montana</w:t>
            </w:r>
            <w:proofErr w:type="spellEnd"/>
          </w:p>
        </w:tc>
        <w:tc>
          <w:tcPr>
            <w:tcW w:w="975" w:type="dxa"/>
            <w:tcBorders>
              <w:top w:val="single" w:sz="4" w:space="0" w:color="auto"/>
              <w:bottom w:val="nil"/>
            </w:tcBorders>
            <w:shd w:val="clear" w:color="auto" w:fill="auto"/>
            <w:vAlign w:val="center"/>
          </w:tcPr>
          <w:p w14:paraId="5BB61FE0"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w:t>
            </w:r>
          </w:p>
        </w:tc>
      </w:tr>
      <w:tr w:rsidR="00872293" w:rsidRPr="00872293" w14:paraId="508EA358" w14:textId="77777777" w:rsidTr="00750F73">
        <w:trPr>
          <w:trHeight w:val="790"/>
        </w:trPr>
        <w:tc>
          <w:tcPr>
            <w:tcW w:w="2333" w:type="dxa"/>
            <w:tcBorders>
              <w:top w:val="nil"/>
              <w:bottom w:val="nil"/>
            </w:tcBorders>
            <w:shd w:val="clear" w:color="auto" w:fill="auto"/>
            <w:vAlign w:val="center"/>
          </w:tcPr>
          <w:p w14:paraId="76B82585"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LEF </w:t>
            </w:r>
          </w:p>
        </w:tc>
        <w:tc>
          <w:tcPr>
            <w:tcW w:w="1550" w:type="dxa"/>
            <w:tcBorders>
              <w:top w:val="nil"/>
              <w:bottom w:val="nil"/>
            </w:tcBorders>
            <w:shd w:val="clear" w:color="auto" w:fill="auto"/>
            <w:vAlign w:val="center"/>
          </w:tcPr>
          <w:p w14:paraId="11845B07"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4000</w:t>
            </w:r>
          </w:p>
        </w:tc>
        <w:tc>
          <w:tcPr>
            <w:tcW w:w="2107" w:type="dxa"/>
            <w:tcBorders>
              <w:top w:val="nil"/>
              <w:bottom w:val="nil"/>
            </w:tcBorders>
            <w:shd w:val="clear" w:color="auto" w:fill="auto"/>
            <w:vAlign w:val="center"/>
          </w:tcPr>
          <w:p w14:paraId="1DA4CAD3" w14:textId="77777777" w:rsidR="00117CA6" w:rsidRPr="00872293" w:rsidRDefault="00117CA6" w:rsidP="006765A2">
            <w:pPr>
              <w:spacing w:line="360" w:lineRule="auto"/>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Bloomfiled</w:t>
            </w:r>
            <w:proofErr w:type="spellEnd"/>
            <w:r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1993</w:t>
            </w:r>
          </w:p>
        </w:tc>
        <w:tc>
          <w:tcPr>
            <w:tcW w:w="1935" w:type="dxa"/>
            <w:tcBorders>
              <w:top w:val="nil"/>
              <w:bottom w:val="nil"/>
            </w:tcBorders>
            <w:shd w:val="clear" w:color="auto" w:fill="auto"/>
            <w:vAlign w:val="center"/>
          </w:tcPr>
          <w:p w14:paraId="5605CBBB" w14:textId="77777777" w:rsidR="00117CA6" w:rsidRPr="00872293" w:rsidRDefault="00117CA6" w:rsidP="006765A2">
            <w:pPr>
              <w:spacing w:line="360" w:lineRule="auto"/>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Dacryodes</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excelsa</w:t>
            </w:r>
            <w:proofErr w:type="spellEnd"/>
          </w:p>
        </w:tc>
        <w:tc>
          <w:tcPr>
            <w:tcW w:w="975" w:type="dxa"/>
            <w:tcBorders>
              <w:top w:val="nil"/>
              <w:bottom w:val="nil"/>
            </w:tcBorders>
            <w:shd w:val="clear" w:color="auto" w:fill="auto"/>
            <w:vAlign w:val="center"/>
          </w:tcPr>
          <w:p w14:paraId="37659EE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0.83</w:t>
            </w:r>
          </w:p>
        </w:tc>
      </w:tr>
      <w:tr w:rsidR="00872293" w:rsidRPr="00872293" w14:paraId="5EAB1162" w14:textId="77777777" w:rsidTr="00750F73">
        <w:trPr>
          <w:trHeight w:val="530"/>
        </w:trPr>
        <w:tc>
          <w:tcPr>
            <w:tcW w:w="2333" w:type="dxa"/>
            <w:tcBorders>
              <w:top w:val="nil"/>
              <w:bottom w:val="nil"/>
            </w:tcBorders>
            <w:shd w:val="clear" w:color="auto" w:fill="auto"/>
            <w:vAlign w:val="center"/>
          </w:tcPr>
          <w:p w14:paraId="0B1D381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LEF </w:t>
            </w:r>
          </w:p>
        </w:tc>
        <w:tc>
          <w:tcPr>
            <w:tcW w:w="1550" w:type="dxa"/>
            <w:tcBorders>
              <w:top w:val="nil"/>
              <w:bottom w:val="nil"/>
            </w:tcBorders>
            <w:shd w:val="clear" w:color="auto" w:fill="auto"/>
            <w:vAlign w:val="center"/>
          </w:tcPr>
          <w:p w14:paraId="7AFEA5D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3500</w:t>
            </w:r>
          </w:p>
        </w:tc>
        <w:tc>
          <w:tcPr>
            <w:tcW w:w="2107" w:type="dxa"/>
            <w:tcBorders>
              <w:top w:val="nil"/>
              <w:bottom w:val="nil"/>
            </w:tcBorders>
            <w:shd w:val="clear" w:color="auto" w:fill="auto"/>
            <w:vAlign w:val="center"/>
          </w:tcPr>
          <w:p w14:paraId="162E4716"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Silver &amp; Vogt 1993</w:t>
            </w:r>
          </w:p>
        </w:tc>
        <w:tc>
          <w:tcPr>
            <w:tcW w:w="1935" w:type="dxa"/>
            <w:tcBorders>
              <w:top w:val="nil"/>
              <w:bottom w:val="nil"/>
            </w:tcBorders>
            <w:shd w:val="clear" w:color="auto" w:fill="auto"/>
            <w:vAlign w:val="center"/>
          </w:tcPr>
          <w:p w14:paraId="0869E033"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nil"/>
              <w:bottom w:val="nil"/>
            </w:tcBorders>
            <w:shd w:val="clear" w:color="auto" w:fill="auto"/>
            <w:vAlign w:val="center"/>
          </w:tcPr>
          <w:p w14:paraId="60CAC9C2"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w:t>
            </w:r>
          </w:p>
        </w:tc>
      </w:tr>
      <w:tr w:rsidR="00872293" w:rsidRPr="00872293" w14:paraId="005F8B23" w14:textId="77777777" w:rsidTr="00750F73">
        <w:trPr>
          <w:trHeight w:val="530"/>
        </w:trPr>
        <w:tc>
          <w:tcPr>
            <w:tcW w:w="2333" w:type="dxa"/>
            <w:tcBorders>
              <w:top w:val="nil"/>
              <w:bottom w:val="single" w:sz="4" w:space="0" w:color="auto"/>
            </w:tcBorders>
            <w:shd w:val="clear" w:color="auto" w:fill="auto"/>
            <w:vAlign w:val="center"/>
          </w:tcPr>
          <w:p w14:paraId="63C6CAB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LEF </w:t>
            </w:r>
          </w:p>
        </w:tc>
        <w:tc>
          <w:tcPr>
            <w:tcW w:w="1550" w:type="dxa"/>
            <w:tcBorders>
              <w:top w:val="nil"/>
              <w:bottom w:val="single" w:sz="4" w:space="0" w:color="auto"/>
            </w:tcBorders>
            <w:shd w:val="clear" w:color="auto" w:fill="auto"/>
            <w:vAlign w:val="center"/>
          </w:tcPr>
          <w:p w14:paraId="5C5CDBAD"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3363</w:t>
            </w:r>
          </w:p>
        </w:tc>
        <w:tc>
          <w:tcPr>
            <w:tcW w:w="2107" w:type="dxa"/>
            <w:tcBorders>
              <w:top w:val="nil"/>
              <w:bottom w:val="single" w:sz="4" w:space="0" w:color="auto"/>
            </w:tcBorders>
            <w:shd w:val="clear" w:color="auto" w:fill="auto"/>
            <w:vAlign w:val="center"/>
          </w:tcPr>
          <w:p w14:paraId="716450F7"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Cusack </w:t>
            </w:r>
            <w:r w:rsidRPr="00872293">
              <w:rPr>
                <w:rFonts w:ascii="Times New Roman" w:eastAsia="Times New Roman" w:hAnsi="Times New Roman" w:cs="Times New Roman"/>
                <w:i/>
                <w:iCs/>
                <w:sz w:val="22"/>
                <w:szCs w:val="22"/>
              </w:rPr>
              <w:t xml:space="preserve">et al. </w:t>
            </w:r>
            <w:r w:rsidRPr="00872293">
              <w:rPr>
                <w:rFonts w:ascii="Times New Roman" w:eastAsia="Times New Roman" w:hAnsi="Times New Roman" w:cs="Times New Roman"/>
                <w:sz w:val="22"/>
                <w:szCs w:val="22"/>
              </w:rPr>
              <w:t>2009</w:t>
            </w:r>
          </w:p>
        </w:tc>
        <w:tc>
          <w:tcPr>
            <w:tcW w:w="1935" w:type="dxa"/>
            <w:tcBorders>
              <w:top w:val="nil"/>
              <w:bottom w:val="single" w:sz="4" w:space="0" w:color="auto"/>
            </w:tcBorders>
            <w:shd w:val="clear" w:color="auto" w:fill="auto"/>
            <w:vAlign w:val="center"/>
          </w:tcPr>
          <w:p w14:paraId="3082FAC2"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nil"/>
              <w:bottom w:val="single" w:sz="4" w:space="0" w:color="auto"/>
            </w:tcBorders>
            <w:shd w:val="clear" w:color="auto" w:fill="auto"/>
            <w:vAlign w:val="center"/>
          </w:tcPr>
          <w:p w14:paraId="2BDAB507"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1.06</w:t>
            </w:r>
          </w:p>
        </w:tc>
      </w:tr>
      <w:tr w:rsidR="00872293" w:rsidRPr="00872293" w14:paraId="32C12D98" w14:textId="77777777" w:rsidTr="00750F73">
        <w:trPr>
          <w:trHeight w:val="853"/>
        </w:trPr>
        <w:tc>
          <w:tcPr>
            <w:tcW w:w="2333" w:type="dxa"/>
            <w:tcBorders>
              <w:top w:val="single" w:sz="4" w:space="0" w:color="auto"/>
              <w:left w:val="single" w:sz="4" w:space="0" w:color="auto"/>
              <w:bottom w:val="nil"/>
            </w:tcBorders>
            <w:shd w:val="clear" w:color="auto" w:fill="auto"/>
            <w:vAlign w:val="center"/>
          </w:tcPr>
          <w:p w14:paraId="6C697D07" w14:textId="77777777" w:rsidR="00117CA6" w:rsidRPr="00872293" w:rsidRDefault="00117CA6" w:rsidP="006765A2">
            <w:pPr>
              <w:spacing w:line="360" w:lineRule="auto"/>
              <w:jc w:val="center"/>
              <w:rPr>
                <w:rFonts w:ascii="Times New Roman" w:eastAsia="Times New Roman" w:hAnsi="Times New Roman" w:cs="Times New Roman"/>
                <w:sz w:val="22"/>
                <w:szCs w:val="22"/>
                <w:lang w:val="es-BO"/>
              </w:rPr>
            </w:pPr>
            <w:r w:rsidRPr="00872293">
              <w:rPr>
                <w:rFonts w:ascii="Times New Roman" w:eastAsia="Times New Roman" w:hAnsi="Times New Roman" w:cs="Times New Roman"/>
                <w:sz w:val="22"/>
                <w:szCs w:val="22"/>
                <w:lang w:val="es-BO"/>
              </w:rPr>
              <w:t xml:space="preserve">Sierra de Cayey -10 </w:t>
            </w:r>
            <w:proofErr w:type="spellStart"/>
            <w:r w:rsidRPr="00872293">
              <w:rPr>
                <w:rFonts w:ascii="Times New Roman" w:eastAsia="Times New Roman" w:hAnsi="Times New Roman" w:cs="Times New Roman"/>
                <w:sz w:val="22"/>
                <w:szCs w:val="22"/>
                <w:lang w:val="es-BO"/>
              </w:rPr>
              <w:t>year</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old</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site</w:t>
            </w:r>
            <w:proofErr w:type="spellEnd"/>
          </w:p>
        </w:tc>
        <w:tc>
          <w:tcPr>
            <w:tcW w:w="1550" w:type="dxa"/>
            <w:tcBorders>
              <w:top w:val="single" w:sz="4" w:space="0" w:color="auto"/>
              <w:bottom w:val="nil"/>
            </w:tcBorders>
            <w:shd w:val="clear" w:color="auto" w:fill="auto"/>
            <w:vAlign w:val="center"/>
          </w:tcPr>
          <w:p w14:paraId="25EE620B"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2000</w:t>
            </w:r>
          </w:p>
        </w:tc>
        <w:tc>
          <w:tcPr>
            <w:tcW w:w="2107" w:type="dxa"/>
            <w:tcBorders>
              <w:top w:val="single" w:sz="4" w:space="0" w:color="auto"/>
              <w:bottom w:val="nil"/>
            </w:tcBorders>
            <w:shd w:val="clear" w:color="auto" w:fill="auto"/>
            <w:vAlign w:val="center"/>
          </w:tcPr>
          <w:p w14:paraId="45340275"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Ostertag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2008</w:t>
            </w:r>
          </w:p>
        </w:tc>
        <w:tc>
          <w:tcPr>
            <w:tcW w:w="1935" w:type="dxa"/>
            <w:tcBorders>
              <w:top w:val="single" w:sz="4" w:space="0" w:color="auto"/>
              <w:bottom w:val="nil"/>
            </w:tcBorders>
            <w:shd w:val="clear" w:color="auto" w:fill="auto"/>
            <w:vAlign w:val="center"/>
          </w:tcPr>
          <w:p w14:paraId="774F20C3"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single" w:sz="4" w:space="0" w:color="auto"/>
              <w:bottom w:val="nil"/>
              <w:right w:val="single" w:sz="4" w:space="0" w:color="auto"/>
            </w:tcBorders>
            <w:shd w:val="clear" w:color="auto" w:fill="auto"/>
            <w:vAlign w:val="center"/>
          </w:tcPr>
          <w:p w14:paraId="31A8C603"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lang w:val="es-BO"/>
              </w:rPr>
              <w:t>0.48</w:t>
            </w:r>
          </w:p>
        </w:tc>
      </w:tr>
      <w:tr w:rsidR="00872293" w:rsidRPr="00872293" w14:paraId="51CB8DFE" w14:textId="77777777" w:rsidTr="00750F73">
        <w:trPr>
          <w:trHeight w:val="780"/>
        </w:trPr>
        <w:tc>
          <w:tcPr>
            <w:tcW w:w="2333" w:type="dxa"/>
            <w:tcBorders>
              <w:top w:val="nil"/>
              <w:left w:val="single" w:sz="4" w:space="0" w:color="auto"/>
              <w:bottom w:val="nil"/>
            </w:tcBorders>
            <w:shd w:val="clear" w:color="auto" w:fill="auto"/>
            <w:vAlign w:val="center"/>
          </w:tcPr>
          <w:p w14:paraId="37FEE527" w14:textId="77777777" w:rsidR="00117CA6" w:rsidRPr="00872293" w:rsidRDefault="00117CA6" w:rsidP="006765A2">
            <w:pPr>
              <w:spacing w:line="360" w:lineRule="auto"/>
              <w:jc w:val="center"/>
              <w:rPr>
                <w:rFonts w:ascii="Times New Roman" w:eastAsia="Times New Roman" w:hAnsi="Times New Roman" w:cs="Times New Roman"/>
                <w:sz w:val="22"/>
                <w:szCs w:val="22"/>
                <w:lang w:val="es-BO"/>
              </w:rPr>
            </w:pPr>
            <w:r w:rsidRPr="00872293">
              <w:rPr>
                <w:rFonts w:ascii="Times New Roman" w:eastAsia="Times New Roman" w:hAnsi="Times New Roman" w:cs="Times New Roman"/>
                <w:sz w:val="22"/>
                <w:szCs w:val="22"/>
                <w:lang w:val="es-BO"/>
              </w:rPr>
              <w:t xml:space="preserve">Sierra de Cayey - 30 </w:t>
            </w:r>
            <w:proofErr w:type="spellStart"/>
            <w:r w:rsidRPr="00872293">
              <w:rPr>
                <w:rFonts w:ascii="Times New Roman" w:eastAsia="Times New Roman" w:hAnsi="Times New Roman" w:cs="Times New Roman"/>
                <w:sz w:val="22"/>
                <w:szCs w:val="22"/>
                <w:lang w:val="es-BO"/>
              </w:rPr>
              <w:t>year</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old</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site</w:t>
            </w:r>
            <w:proofErr w:type="spellEnd"/>
          </w:p>
        </w:tc>
        <w:tc>
          <w:tcPr>
            <w:tcW w:w="1550" w:type="dxa"/>
            <w:vMerge w:val="restart"/>
            <w:tcBorders>
              <w:top w:val="nil"/>
              <w:bottom w:val="nil"/>
            </w:tcBorders>
            <w:shd w:val="clear" w:color="auto" w:fill="auto"/>
            <w:vAlign w:val="center"/>
          </w:tcPr>
          <w:p w14:paraId="48A9E734"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2000</w:t>
            </w:r>
          </w:p>
        </w:tc>
        <w:tc>
          <w:tcPr>
            <w:tcW w:w="2107" w:type="dxa"/>
            <w:vMerge w:val="restart"/>
            <w:tcBorders>
              <w:top w:val="nil"/>
              <w:bottom w:val="nil"/>
            </w:tcBorders>
            <w:shd w:val="clear" w:color="auto" w:fill="auto"/>
            <w:vAlign w:val="center"/>
          </w:tcPr>
          <w:p w14:paraId="39178E28"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Ostertag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2008</w:t>
            </w:r>
          </w:p>
        </w:tc>
        <w:tc>
          <w:tcPr>
            <w:tcW w:w="1935" w:type="dxa"/>
            <w:vMerge w:val="restart"/>
            <w:tcBorders>
              <w:top w:val="nil"/>
              <w:bottom w:val="nil"/>
            </w:tcBorders>
            <w:shd w:val="clear" w:color="auto" w:fill="auto"/>
            <w:vAlign w:val="center"/>
          </w:tcPr>
          <w:p w14:paraId="57B56D52"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vMerge w:val="restart"/>
            <w:tcBorders>
              <w:top w:val="nil"/>
              <w:bottom w:val="nil"/>
              <w:right w:val="single" w:sz="4" w:space="0" w:color="auto"/>
            </w:tcBorders>
            <w:shd w:val="clear" w:color="auto" w:fill="auto"/>
            <w:vAlign w:val="center"/>
          </w:tcPr>
          <w:p w14:paraId="662FC5FE"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0.46</w:t>
            </w:r>
          </w:p>
        </w:tc>
      </w:tr>
      <w:tr w:rsidR="00872293" w:rsidRPr="00872293" w14:paraId="373AA4F2" w14:textId="77777777" w:rsidTr="00750F73">
        <w:trPr>
          <w:trHeight w:val="40"/>
        </w:trPr>
        <w:tc>
          <w:tcPr>
            <w:tcW w:w="2333" w:type="dxa"/>
            <w:tcBorders>
              <w:top w:val="nil"/>
              <w:left w:val="single" w:sz="4" w:space="0" w:color="auto"/>
              <w:bottom w:val="nil"/>
            </w:tcBorders>
            <w:shd w:val="clear" w:color="auto" w:fill="auto"/>
            <w:vAlign w:val="center"/>
          </w:tcPr>
          <w:p w14:paraId="0913389F" w14:textId="77777777" w:rsidR="00117CA6" w:rsidRPr="00872293" w:rsidRDefault="00117CA6" w:rsidP="006765A2">
            <w:pPr>
              <w:spacing w:line="360" w:lineRule="auto"/>
              <w:rPr>
                <w:rFonts w:ascii="Times New Roman" w:eastAsia="Times New Roman" w:hAnsi="Times New Roman" w:cs="Times New Roman"/>
                <w:sz w:val="22"/>
                <w:szCs w:val="22"/>
              </w:rPr>
            </w:pPr>
          </w:p>
        </w:tc>
        <w:tc>
          <w:tcPr>
            <w:tcW w:w="1550" w:type="dxa"/>
            <w:vMerge/>
            <w:tcBorders>
              <w:top w:val="nil"/>
              <w:bottom w:val="nil"/>
            </w:tcBorders>
            <w:vAlign w:val="center"/>
          </w:tcPr>
          <w:p w14:paraId="416FDC17" w14:textId="77777777" w:rsidR="00117CA6" w:rsidRPr="00872293" w:rsidRDefault="00117CA6" w:rsidP="006765A2">
            <w:pPr>
              <w:spacing w:line="360" w:lineRule="auto"/>
              <w:rPr>
                <w:rFonts w:ascii="Times New Roman" w:eastAsia="Times New Roman" w:hAnsi="Times New Roman" w:cs="Times New Roman"/>
                <w:sz w:val="22"/>
                <w:szCs w:val="22"/>
              </w:rPr>
            </w:pPr>
          </w:p>
        </w:tc>
        <w:tc>
          <w:tcPr>
            <w:tcW w:w="2107" w:type="dxa"/>
            <w:vMerge/>
            <w:tcBorders>
              <w:top w:val="nil"/>
              <w:bottom w:val="nil"/>
            </w:tcBorders>
            <w:vAlign w:val="center"/>
          </w:tcPr>
          <w:p w14:paraId="7B5B3E43" w14:textId="77777777" w:rsidR="00117CA6" w:rsidRPr="00872293" w:rsidRDefault="00117CA6" w:rsidP="006765A2">
            <w:pPr>
              <w:spacing w:line="360" w:lineRule="auto"/>
              <w:rPr>
                <w:rFonts w:ascii="Times New Roman" w:eastAsia="Times New Roman" w:hAnsi="Times New Roman" w:cs="Times New Roman"/>
                <w:sz w:val="22"/>
                <w:szCs w:val="22"/>
              </w:rPr>
            </w:pPr>
          </w:p>
        </w:tc>
        <w:tc>
          <w:tcPr>
            <w:tcW w:w="1935" w:type="dxa"/>
            <w:vMerge/>
            <w:tcBorders>
              <w:top w:val="nil"/>
              <w:bottom w:val="nil"/>
            </w:tcBorders>
            <w:vAlign w:val="center"/>
          </w:tcPr>
          <w:p w14:paraId="76707D5C" w14:textId="77777777" w:rsidR="00117CA6" w:rsidRPr="00872293" w:rsidRDefault="00117CA6" w:rsidP="006765A2">
            <w:pPr>
              <w:spacing w:line="360" w:lineRule="auto"/>
              <w:rPr>
                <w:rFonts w:ascii="Times New Roman" w:eastAsia="Times New Roman" w:hAnsi="Times New Roman" w:cs="Times New Roman"/>
                <w:sz w:val="22"/>
                <w:szCs w:val="22"/>
              </w:rPr>
            </w:pPr>
          </w:p>
        </w:tc>
        <w:tc>
          <w:tcPr>
            <w:tcW w:w="975" w:type="dxa"/>
            <w:vMerge/>
            <w:tcBorders>
              <w:top w:val="nil"/>
              <w:bottom w:val="nil"/>
              <w:right w:val="single" w:sz="4" w:space="0" w:color="auto"/>
            </w:tcBorders>
            <w:vAlign w:val="center"/>
          </w:tcPr>
          <w:p w14:paraId="54861759" w14:textId="77777777" w:rsidR="00117CA6" w:rsidRPr="00872293" w:rsidRDefault="00117CA6" w:rsidP="006765A2">
            <w:pPr>
              <w:spacing w:line="360" w:lineRule="auto"/>
              <w:rPr>
                <w:rFonts w:ascii="Times New Roman" w:eastAsia="Times New Roman" w:hAnsi="Times New Roman" w:cs="Times New Roman"/>
                <w:sz w:val="22"/>
                <w:szCs w:val="22"/>
              </w:rPr>
            </w:pPr>
          </w:p>
        </w:tc>
      </w:tr>
      <w:tr w:rsidR="00872293" w:rsidRPr="00872293" w14:paraId="635C94AD" w14:textId="77777777" w:rsidTr="00750F73">
        <w:trPr>
          <w:trHeight w:val="780"/>
        </w:trPr>
        <w:tc>
          <w:tcPr>
            <w:tcW w:w="2333" w:type="dxa"/>
            <w:tcBorders>
              <w:top w:val="nil"/>
              <w:left w:val="single" w:sz="4" w:space="0" w:color="auto"/>
              <w:bottom w:val="single" w:sz="4" w:space="0" w:color="auto"/>
            </w:tcBorders>
            <w:shd w:val="clear" w:color="auto" w:fill="auto"/>
            <w:vAlign w:val="center"/>
          </w:tcPr>
          <w:p w14:paraId="5FD6BC2B" w14:textId="77777777" w:rsidR="00117CA6" w:rsidRPr="00872293" w:rsidRDefault="00117CA6" w:rsidP="006765A2">
            <w:pPr>
              <w:spacing w:line="360" w:lineRule="auto"/>
              <w:jc w:val="center"/>
              <w:rPr>
                <w:rFonts w:ascii="Times New Roman" w:eastAsia="Times New Roman" w:hAnsi="Times New Roman" w:cs="Times New Roman"/>
                <w:sz w:val="22"/>
                <w:szCs w:val="22"/>
                <w:lang w:val="es-BO"/>
              </w:rPr>
            </w:pPr>
            <w:r w:rsidRPr="00872293">
              <w:rPr>
                <w:rFonts w:ascii="Times New Roman" w:eastAsia="Times New Roman" w:hAnsi="Times New Roman" w:cs="Times New Roman"/>
                <w:sz w:val="22"/>
                <w:szCs w:val="22"/>
                <w:lang w:val="es-BO"/>
              </w:rPr>
              <w:t xml:space="preserve">Sierra de Cayey - 60 </w:t>
            </w:r>
            <w:proofErr w:type="spellStart"/>
            <w:r w:rsidRPr="00872293">
              <w:rPr>
                <w:rFonts w:ascii="Times New Roman" w:eastAsia="Times New Roman" w:hAnsi="Times New Roman" w:cs="Times New Roman"/>
                <w:sz w:val="22"/>
                <w:szCs w:val="22"/>
                <w:lang w:val="es-BO"/>
              </w:rPr>
              <w:t>year</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old</w:t>
            </w:r>
            <w:proofErr w:type="spellEnd"/>
            <w:r w:rsidRPr="00872293">
              <w:rPr>
                <w:rFonts w:ascii="Times New Roman" w:eastAsia="Times New Roman" w:hAnsi="Times New Roman" w:cs="Times New Roman"/>
                <w:sz w:val="22"/>
                <w:szCs w:val="22"/>
                <w:lang w:val="es-BO"/>
              </w:rPr>
              <w:t xml:space="preserve"> </w:t>
            </w:r>
            <w:proofErr w:type="spellStart"/>
            <w:r w:rsidRPr="00872293">
              <w:rPr>
                <w:rFonts w:ascii="Times New Roman" w:eastAsia="Times New Roman" w:hAnsi="Times New Roman" w:cs="Times New Roman"/>
                <w:sz w:val="22"/>
                <w:szCs w:val="22"/>
                <w:lang w:val="es-BO"/>
              </w:rPr>
              <w:t>site</w:t>
            </w:r>
            <w:proofErr w:type="spellEnd"/>
          </w:p>
        </w:tc>
        <w:tc>
          <w:tcPr>
            <w:tcW w:w="1550" w:type="dxa"/>
            <w:tcBorders>
              <w:top w:val="nil"/>
              <w:bottom w:val="single" w:sz="4" w:space="0" w:color="auto"/>
            </w:tcBorders>
            <w:shd w:val="clear" w:color="auto" w:fill="auto"/>
            <w:vAlign w:val="center"/>
          </w:tcPr>
          <w:p w14:paraId="4BFD98C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2000</w:t>
            </w:r>
          </w:p>
        </w:tc>
        <w:tc>
          <w:tcPr>
            <w:tcW w:w="2107" w:type="dxa"/>
            <w:tcBorders>
              <w:top w:val="nil"/>
              <w:bottom w:val="single" w:sz="4" w:space="0" w:color="auto"/>
            </w:tcBorders>
            <w:shd w:val="clear" w:color="auto" w:fill="auto"/>
            <w:vAlign w:val="center"/>
          </w:tcPr>
          <w:p w14:paraId="5ADC1936"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Ostertag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2008</w:t>
            </w:r>
          </w:p>
        </w:tc>
        <w:tc>
          <w:tcPr>
            <w:tcW w:w="1935" w:type="dxa"/>
            <w:tcBorders>
              <w:top w:val="nil"/>
              <w:bottom w:val="single" w:sz="4" w:space="0" w:color="auto"/>
            </w:tcBorders>
            <w:shd w:val="clear" w:color="auto" w:fill="auto"/>
            <w:vAlign w:val="center"/>
          </w:tcPr>
          <w:p w14:paraId="48C0088E"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nil"/>
              <w:bottom w:val="single" w:sz="4" w:space="0" w:color="auto"/>
              <w:right w:val="single" w:sz="4" w:space="0" w:color="auto"/>
            </w:tcBorders>
            <w:shd w:val="clear" w:color="auto" w:fill="auto"/>
            <w:vAlign w:val="center"/>
          </w:tcPr>
          <w:p w14:paraId="0A15048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0.76</w:t>
            </w:r>
          </w:p>
        </w:tc>
      </w:tr>
      <w:tr w:rsidR="00872293" w:rsidRPr="00872293" w14:paraId="76FE76C4" w14:textId="77777777" w:rsidTr="00750F73">
        <w:trPr>
          <w:trHeight w:val="530"/>
        </w:trPr>
        <w:tc>
          <w:tcPr>
            <w:tcW w:w="2333" w:type="dxa"/>
            <w:tcBorders>
              <w:top w:val="single" w:sz="4" w:space="0" w:color="auto"/>
              <w:left w:val="single" w:sz="4" w:space="0" w:color="auto"/>
              <w:bottom w:val="single" w:sz="4" w:space="0" w:color="auto"/>
            </w:tcBorders>
            <w:shd w:val="clear" w:color="auto" w:fill="auto"/>
            <w:vAlign w:val="center"/>
          </w:tcPr>
          <w:p w14:paraId="149A24E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Guánica - PR</w:t>
            </w:r>
          </w:p>
        </w:tc>
        <w:tc>
          <w:tcPr>
            <w:tcW w:w="1550" w:type="dxa"/>
            <w:tcBorders>
              <w:top w:val="single" w:sz="4" w:space="0" w:color="auto"/>
              <w:bottom w:val="single" w:sz="4" w:space="0" w:color="auto"/>
            </w:tcBorders>
            <w:shd w:val="clear" w:color="auto" w:fill="auto"/>
            <w:vAlign w:val="center"/>
          </w:tcPr>
          <w:p w14:paraId="78872D26"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508</w:t>
            </w:r>
          </w:p>
        </w:tc>
        <w:tc>
          <w:tcPr>
            <w:tcW w:w="2107" w:type="dxa"/>
            <w:tcBorders>
              <w:top w:val="single" w:sz="4" w:space="0" w:color="auto"/>
              <w:bottom w:val="single" w:sz="4" w:space="0" w:color="auto"/>
            </w:tcBorders>
            <w:shd w:val="clear" w:color="auto" w:fill="auto"/>
            <w:vAlign w:val="center"/>
          </w:tcPr>
          <w:p w14:paraId="74DC0C94"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Cusack </w:t>
            </w:r>
            <w:r w:rsidRPr="00872293">
              <w:rPr>
                <w:rFonts w:ascii="Times New Roman" w:eastAsia="Times New Roman" w:hAnsi="Times New Roman" w:cs="Times New Roman"/>
                <w:i/>
                <w:iCs/>
                <w:sz w:val="22"/>
                <w:szCs w:val="22"/>
              </w:rPr>
              <w:t>et al.</w:t>
            </w:r>
            <w:r w:rsidRPr="00872293">
              <w:rPr>
                <w:rFonts w:ascii="Times New Roman" w:eastAsia="Times New Roman" w:hAnsi="Times New Roman" w:cs="Times New Roman"/>
                <w:sz w:val="22"/>
                <w:szCs w:val="22"/>
              </w:rPr>
              <w:t xml:space="preserve"> 2009</w:t>
            </w:r>
          </w:p>
        </w:tc>
        <w:tc>
          <w:tcPr>
            <w:tcW w:w="1935" w:type="dxa"/>
            <w:tcBorders>
              <w:top w:val="single" w:sz="4" w:space="0" w:color="auto"/>
              <w:bottom w:val="single" w:sz="4" w:space="0" w:color="auto"/>
            </w:tcBorders>
            <w:shd w:val="clear" w:color="auto" w:fill="auto"/>
            <w:vAlign w:val="center"/>
          </w:tcPr>
          <w:p w14:paraId="38DB7AAF"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single" w:sz="4" w:space="0" w:color="auto"/>
              <w:bottom w:val="single" w:sz="4" w:space="0" w:color="auto"/>
              <w:right w:val="single" w:sz="4" w:space="0" w:color="auto"/>
            </w:tcBorders>
            <w:shd w:val="clear" w:color="auto" w:fill="auto"/>
            <w:vAlign w:val="center"/>
          </w:tcPr>
          <w:p w14:paraId="56FE5B39"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0.26</w:t>
            </w:r>
          </w:p>
        </w:tc>
      </w:tr>
      <w:tr w:rsidR="00872293" w:rsidRPr="00872293" w14:paraId="53672EED" w14:textId="77777777" w:rsidTr="00750F73">
        <w:trPr>
          <w:trHeight w:val="530"/>
        </w:trPr>
        <w:tc>
          <w:tcPr>
            <w:tcW w:w="2333" w:type="dxa"/>
            <w:tcBorders>
              <w:top w:val="single" w:sz="4" w:space="0" w:color="auto"/>
              <w:bottom w:val="single" w:sz="4" w:space="0" w:color="auto"/>
            </w:tcBorders>
            <w:shd w:val="clear" w:color="auto" w:fill="auto"/>
            <w:vAlign w:val="center"/>
          </w:tcPr>
          <w:p w14:paraId="1B1F2DF9"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Global</w:t>
            </w:r>
          </w:p>
        </w:tc>
        <w:tc>
          <w:tcPr>
            <w:tcW w:w="1550" w:type="dxa"/>
            <w:tcBorders>
              <w:top w:val="single" w:sz="4" w:space="0" w:color="auto"/>
              <w:bottom w:val="single" w:sz="4" w:space="0" w:color="auto"/>
            </w:tcBorders>
            <w:shd w:val="clear" w:color="auto" w:fill="auto"/>
            <w:vAlign w:val="center"/>
          </w:tcPr>
          <w:p w14:paraId="16336B2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t>
            </w:r>
          </w:p>
        </w:tc>
        <w:tc>
          <w:tcPr>
            <w:tcW w:w="2107" w:type="dxa"/>
            <w:tcBorders>
              <w:top w:val="single" w:sz="4" w:space="0" w:color="auto"/>
              <w:bottom w:val="single" w:sz="4" w:space="0" w:color="auto"/>
            </w:tcBorders>
            <w:shd w:val="clear" w:color="auto" w:fill="auto"/>
            <w:vAlign w:val="center"/>
          </w:tcPr>
          <w:p w14:paraId="4DA335E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Silver &amp; Miya 2001</w:t>
            </w:r>
          </w:p>
        </w:tc>
        <w:tc>
          <w:tcPr>
            <w:tcW w:w="1935" w:type="dxa"/>
            <w:tcBorders>
              <w:top w:val="single" w:sz="4" w:space="0" w:color="auto"/>
              <w:bottom w:val="single" w:sz="4" w:space="0" w:color="auto"/>
            </w:tcBorders>
            <w:shd w:val="clear" w:color="auto" w:fill="auto"/>
            <w:vAlign w:val="center"/>
          </w:tcPr>
          <w:p w14:paraId="09588EC1"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Mix</w:t>
            </w:r>
          </w:p>
        </w:tc>
        <w:tc>
          <w:tcPr>
            <w:tcW w:w="975" w:type="dxa"/>
            <w:tcBorders>
              <w:top w:val="single" w:sz="4" w:space="0" w:color="auto"/>
              <w:bottom w:val="single" w:sz="4" w:space="0" w:color="auto"/>
            </w:tcBorders>
            <w:shd w:val="clear" w:color="auto" w:fill="auto"/>
            <w:vAlign w:val="center"/>
          </w:tcPr>
          <w:p w14:paraId="25694ACC" w14:textId="77777777" w:rsidR="00117CA6" w:rsidRPr="00872293" w:rsidRDefault="00117CA6" w:rsidP="006765A2">
            <w:pPr>
              <w:spacing w:line="36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0.46</w:t>
            </w:r>
          </w:p>
        </w:tc>
      </w:tr>
    </w:tbl>
    <w:p w14:paraId="38802A7E" w14:textId="77777777" w:rsidR="00117CA6" w:rsidRPr="00872293" w:rsidRDefault="00117CA6" w:rsidP="00117CA6">
      <w:pPr>
        <w:spacing w:line="360" w:lineRule="auto"/>
        <w:rPr>
          <w:rFonts w:ascii="Times New Roman" w:hAnsi="Times New Roman" w:cs="Times New Roman"/>
        </w:rPr>
      </w:pPr>
    </w:p>
    <w:p w14:paraId="27EAE8EF" w14:textId="77777777" w:rsidR="00117CA6" w:rsidRPr="00872293" w:rsidRDefault="00117CA6" w:rsidP="003C456F">
      <w:pPr>
        <w:spacing w:line="360" w:lineRule="auto"/>
        <w:rPr>
          <w:rFonts w:ascii="Times New Roman" w:hAnsi="Times New Roman" w:cs="Times New Roman"/>
          <w:b/>
        </w:rPr>
      </w:pPr>
      <w:r w:rsidRPr="00872293">
        <w:rPr>
          <w:rFonts w:ascii="Times New Roman" w:hAnsi="Times New Roman" w:cs="Times New Roman"/>
          <w:b/>
        </w:rPr>
        <w:br w:type="page"/>
      </w:r>
    </w:p>
    <w:p w14:paraId="79F6E566" w14:textId="77777777" w:rsidR="00EC6E7F" w:rsidRPr="00872293" w:rsidRDefault="00EC6E7F" w:rsidP="003C456F">
      <w:pPr>
        <w:spacing w:line="360" w:lineRule="auto"/>
        <w:rPr>
          <w:rFonts w:ascii="Times New Roman" w:hAnsi="Times New Roman" w:cs="Times New Roman"/>
        </w:rPr>
      </w:pPr>
    </w:p>
    <w:p w14:paraId="0FCB6C53" w14:textId="77777777" w:rsidR="00252926" w:rsidRPr="00872293" w:rsidRDefault="008A35C8" w:rsidP="003C456F">
      <w:pPr>
        <w:spacing w:line="360" w:lineRule="auto"/>
        <w:rPr>
          <w:rFonts w:ascii="Times New Roman" w:hAnsi="Times New Roman" w:cs="Times New Roman"/>
        </w:rPr>
      </w:pPr>
      <w:r w:rsidRPr="00872293">
        <w:rPr>
          <w:rFonts w:ascii="Times New Roman" w:hAnsi="Times New Roman" w:cs="Times New Roman"/>
          <w:noProof/>
        </w:rPr>
        <w:drawing>
          <wp:inline distT="0" distB="0" distL="0" distR="0" wp14:anchorId="7D7C5371" wp14:editId="259A23D1">
            <wp:extent cx="5356811" cy="3277041"/>
            <wp:effectExtent l="0" t="0" r="0" b="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 map for paper Oct 2019.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80546" cy="3291561"/>
                    </a:xfrm>
                    <a:prstGeom prst="rect">
                      <a:avLst/>
                    </a:prstGeom>
                  </pic:spPr>
                </pic:pic>
              </a:graphicData>
            </a:graphic>
          </wp:inline>
        </w:drawing>
      </w:r>
    </w:p>
    <w:p w14:paraId="0A075FC8" w14:textId="228CA302" w:rsidR="00B076BA" w:rsidRPr="00872293" w:rsidRDefault="00E47154" w:rsidP="00DD3F09">
      <w:pPr>
        <w:pStyle w:val="Caption"/>
        <w:rPr>
          <w:rFonts w:ascii="Times New Roman" w:hAnsi="Times New Roman" w:cs="Times New Roman"/>
          <w:color w:val="auto"/>
          <w:sz w:val="24"/>
          <w:szCs w:val="24"/>
        </w:rPr>
      </w:pPr>
      <w:bookmarkStart w:id="41" w:name="_Toc32770139"/>
      <w:bookmarkStart w:id="42" w:name="_Toc32771025"/>
      <w:bookmarkStart w:id="43" w:name="_Toc53755770"/>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00B076BA" w:rsidRPr="00872293">
        <w:rPr>
          <w:rFonts w:ascii="Times New Roman" w:hAnsi="Times New Roman" w:cs="Times New Roman"/>
          <w:color w:val="auto"/>
          <w:sz w:val="24"/>
          <w:szCs w:val="24"/>
        </w:rPr>
        <w:t xml:space="preserve"> Map of the land cover of Puerto Rico from the USDA Gap Analysis Project (https://www.treesearch.fs.fed.us/pubs/38430/), showing where study sites were located. Symbols represent root traits according to FRED classification. The bar plot shows the number of studies per site.</w:t>
      </w:r>
      <w:bookmarkEnd w:id="41"/>
      <w:bookmarkEnd w:id="42"/>
      <w:bookmarkEnd w:id="43"/>
    </w:p>
    <w:p w14:paraId="57F234E6" w14:textId="77777777" w:rsidR="00024909" w:rsidRPr="00872293" w:rsidRDefault="00024909" w:rsidP="003C456F">
      <w:pPr>
        <w:spacing w:line="360" w:lineRule="auto"/>
        <w:rPr>
          <w:rFonts w:ascii="Times New Roman" w:hAnsi="Times New Roman" w:cs="Times New Roman"/>
        </w:rPr>
      </w:pPr>
    </w:p>
    <w:p w14:paraId="01E45312" w14:textId="77777777" w:rsidR="00047DCF" w:rsidRPr="00872293" w:rsidRDefault="00252926" w:rsidP="003C456F">
      <w:pPr>
        <w:spacing w:line="360" w:lineRule="auto"/>
        <w:rPr>
          <w:rFonts w:ascii="Times New Roman" w:hAnsi="Times New Roman" w:cs="Times New Roman"/>
          <w:noProof/>
        </w:rPr>
      </w:pPr>
      <w:r w:rsidRPr="00872293">
        <w:rPr>
          <w:rFonts w:ascii="Times New Roman" w:hAnsi="Times New Roman" w:cs="Times New Roman"/>
        </w:rPr>
        <w:br w:type="page"/>
      </w:r>
    </w:p>
    <w:p w14:paraId="31B4D6E1" w14:textId="444B0A49" w:rsidR="006900B4" w:rsidRPr="00872293" w:rsidRDefault="0000446E" w:rsidP="00E01755">
      <w:pPr>
        <w:spacing w:line="360" w:lineRule="auto"/>
        <w:jc w:val="center"/>
        <w:rPr>
          <w:rFonts w:ascii="Times New Roman" w:hAnsi="Times New Roman" w:cs="Times New Roman"/>
          <w:noProof/>
        </w:rPr>
      </w:pPr>
      <w:r w:rsidRPr="00872293">
        <w:rPr>
          <w:rFonts w:ascii="Times New Roman" w:hAnsi="Times New Roman" w:cs="Times New Roman"/>
          <w:noProof/>
        </w:rPr>
        <w:lastRenderedPageBreak/>
        <w:drawing>
          <wp:inline distT="0" distB="0" distL="0" distR="0" wp14:anchorId="255CD5E1" wp14:editId="7585E11E">
            <wp:extent cx="3158149" cy="6288258"/>
            <wp:effectExtent l="0" t="0" r="4445" b="0"/>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2a &amp; b.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2915" cy="6297749"/>
                    </a:xfrm>
                    <a:prstGeom prst="rect">
                      <a:avLst/>
                    </a:prstGeom>
                  </pic:spPr>
                </pic:pic>
              </a:graphicData>
            </a:graphic>
          </wp:inline>
        </w:drawing>
      </w:r>
    </w:p>
    <w:p w14:paraId="01A455E0" w14:textId="2390CDF5" w:rsidR="008D4FFA" w:rsidRPr="00872293" w:rsidRDefault="00141137" w:rsidP="00DD3F09">
      <w:pPr>
        <w:pStyle w:val="Caption"/>
        <w:rPr>
          <w:rFonts w:ascii="Times New Roman" w:hAnsi="Times New Roman" w:cs="Times New Roman"/>
          <w:color w:val="auto"/>
          <w:sz w:val="24"/>
          <w:szCs w:val="24"/>
        </w:rPr>
      </w:pPr>
      <w:bookmarkStart w:id="44" w:name="_Toc32770140"/>
      <w:bookmarkStart w:id="45" w:name="_Toc32771026"/>
      <w:bookmarkStart w:id="46" w:name="_Toc53755771"/>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w:t>
      </w:r>
      <w:r w:rsidR="008D4FFA" w:rsidRPr="00872293">
        <w:rPr>
          <w:rFonts w:ascii="Times New Roman" w:hAnsi="Times New Roman" w:cs="Times New Roman"/>
          <w:color w:val="auto"/>
          <w:sz w:val="24"/>
          <w:szCs w:val="24"/>
        </w:rPr>
        <w:t>Logarithmic regressio</w:t>
      </w:r>
      <w:r w:rsidR="008D4FFA" w:rsidRPr="00A04AE9">
        <w:rPr>
          <w:rFonts w:ascii="Times New Roman" w:hAnsi="Times New Roman" w:cs="Times New Roman"/>
          <w:color w:val="auto"/>
          <w:sz w:val="24"/>
          <w:szCs w:val="24"/>
        </w:rPr>
        <w:t>n of root biomass in kg</w:t>
      </w:r>
      <w:r w:rsidR="00A04AE9" w:rsidRPr="00A04AE9">
        <w:rPr>
          <w:rFonts w:ascii="Times New Roman" w:hAnsi="Times New Roman" w:cs="Times New Roman"/>
          <w:color w:val="auto"/>
          <w:sz w:val="24"/>
          <w:szCs w:val="24"/>
        </w:rPr>
        <w:t xml:space="preserve"> ha</w:t>
      </w:r>
      <w:r w:rsidR="00A04AE9" w:rsidRPr="00A04AE9">
        <w:rPr>
          <w:rFonts w:ascii="Times New Roman" w:hAnsi="Times New Roman" w:cs="Times New Roman"/>
          <w:color w:val="auto"/>
          <w:sz w:val="24"/>
          <w:szCs w:val="24"/>
          <w:vertAlign w:val="superscript"/>
        </w:rPr>
        <w:t>-1</w:t>
      </w:r>
      <w:r w:rsidR="008D4FFA" w:rsidRPr="00A04AE9">
        <w:rPr>
          <w:rFonts w:ascii="Times New Roman" w:hAnsi="Times New Roman" w:cs="Times New Roman"/>
          <w:color w:val="auto"/>
          <w:sz w:val="24"/>
          <w:szCs w:val="24"/>
        </w:rPr>
        <w:t xml:space="preserve"> by depth in </w:t>
      </w:r>
      <w:r w:rsidR="008D4FFA" w:rsidRPr="00872293">
        <w:rPr>
          <w:rFonts w:ascii="Times New Roman" w:hAnsi="Times New Roman" w:cs="Times New Roman"/>
          <w:color w:val="auto"/>
          <w:sz w:val="24"/>
          <w:szCs w:val="24"/>
        </w:rPr>
        <w:t>(a) a wet forest and (b) in a dry forest (Studies are represented by authors, which are organized by colors)</w:t>
      </w:r>
      <w:bookmarkEnd w:id="44"/>
      <w:bookmarkEnd w:id="45"/>
      <w:bookmarkEnd w:id="46"/>
    </w:p>
    <w:p w14:paraId="187F2794" w14:textId="77777777" w:rsidR="006900B4" w:rsidRPr="00872293" w:rsidRDefault="006900B4" w:rsidP="003C456F">
      <w:pPr>
        <w:spacing w:line="360" w:lineRule="auto"/>
        <w:rPr>
          <w:rFonts w:ascii="Times New Roman" w:hAnsi="Times New Roman" w:cs="Times New Roman"/>
        </w:rPr>
      </w:pPr>
    </w:p>
    <w:p w14:paraId="611E0AE4" w14:textId="77777777" w:rsidR="007B0054" w:rsidRPr="00872293" w:rsidRDefault="007B0054" w:rsidP="003C456F">
      <w:pPr>
        <w:spacing w:line="360" w:lineRule="auto"/>
        <w:rPr>
          <w:rFonts w:ascii="Times New Roman" w:hAnsi="Times New Roman" w:cs="Times New Roman"/>
          <w:noProof/>
        </w:rPr>
      </w:pPr>
    </w:p>
    <w:p w14:paraId="5E7DB9A2" w14:textId="0DD676B4" w:rsidR="005B13B3" w:rsidRPr="00872293" w:rsidRDefault="005B13B3" w:rsidP="00E01755">
      <w:pPr>
        <w:spacing w:line="360" w:lineRule="auto"/>
        <w:jc w:val="center"/>
        <w:rPr>
          <w:rFonts w:ascii="Times New Roman" w:hAnsi="Times New Roman" w:cs="Times New Roman"/>
          <w:noProof/>
        </w:rPr>
      </w:pPr>
      <w:r w:rsidRPr="00872293">
        <w:rPr>
          <w:rFonts w:ascii="Times New Roman" w:hAnsi="Times New Roman" w:cs="Times New Roman"/>
          <w:noProof/>
        </w:rPr>
        <w:lastRenderedPageBreak/>
        <w:drawing>
          <wp:inline distT="0" distB="0" distL="0" distR="0" wp14:anchorId="2C1A2792" wp14:editId="026CE6A2">
            <wp:extent cx="4297680" cy="3678563"/>
            <wp:effectExtent l="0" t="0" r="762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3.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97680" cy="3678563"/>
                    </a:xfrm>
                    <a:prstGeom prst="rect">
                      <a:avLst/>
                    </a:prstGeom>
                  </pic:spPr>
                </pic:pic>
              </a:graphicData>
            </a:graphic>
          </wp:inline>
        </w:drawing>
      </w:r>
    </w:p>
    <w:p w14:paraId="18475372" w14:textId="06C5BECD" w:rsidR="008D4FFA" w:rsidRPr="00872293" w:rsidRDefault="00552C22" w:rsidP="00DD3F09">
      <w:pPr>
        <w:pStyle w:val="Caption"/>
        <w:rPr>
          <w:rFonts w:ascii="Times New Roman" w:hAnsi="Times New Roman" w:cs="Times New Roman"/>
          <w:noProof/>
          <w:color w:val="auto"/>
          <w:sz w:val="24"/>
          <w:szCs w:val="24"/>
        </w:rPr>
      </w:pPr>
      <w:bookmarkStart w:id="47" w:name="_Toc32770141"/>
      <w:bookmarkStart w:id="48" w:name="_Toc32771027"/>
      <w:bookmarkStart w:id="49" w:name="_Toc53755772"/>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3</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w:t>
      </w:r>
      <w:r w:rsidR="009B770F" w:rsidRPr="00872293">
        <w:rPr>
          <w:rFonts w:ascii="Times New Roman" w:hAnsi="Times New Roman" w:cs="Times New Roman"/>
          <w:noProof/>
          <w:color w:val="auto"/>
          <w:sz w:val="24"/>
          <w:szCs w:val="24"/>
        </w:rPr>
        <w:t>Comparison between the vertical rooting distribution of studies in Puerto Rico from  wet forests (blue line), dry forests (green line),  and the generalized beta distribution of the tropics (Jackson et al., 1996; red line)</w:t>
      </w:r>
      <w:bookmarkEnd w:id="47"/>
      <w:bookmarkEnd w:id="48"/>
      <w:bookmarkEnd w:id="49"/>
    </w:p>
    <w:p w14:paraId="07E91921" w14:textId="2C23CCD6" w:rsidR="0010030A" w:rsidRPr="00872293" w:rsidRDefault="006900B4" w:rsidP="00DD3F09">
      <w:pPr>
        <w:spacing w:line="360" w:lineRule="auto"/>
        <w:jc w:val="center"/>
        <w:rPr>
          <w:rFonts w:ascii="Times New Roman" w:hAnsi="Times New Roman" w:cs="Times New Roman"/>
          <w:noProof/>
        </w:rPr>
      </w:pPr>
      <w:r w:rsidRPr="00872293">
        <w:rPr>
          <w:rFonts w:ascii="Times New Roman" w:hAnsi="Times New Roman" w:cs="Times New Roman"/>
          <w:noProof/>
        </w:rPr>
        <w:br w:type="page"/>
      </w:r>
    </w:p>
    <w:p w14:paraId="05D23E23" w14:textId="7794853E" w:rsidR="00101A96" w:rsidRPr="00872293" w:rsidRDefault="005B13B3" w:rsidP="00E01755">
      <w:pPr>
        <w:spacing w:line="360" w:lineRule="auto"/>
        <w:jc w:val="center"/>
        <w:rPr>
          <w:rFonts w:ascii="Times New Roman" w:hAnsi="Times New Roman" w:cs="Times New Roman"/>
        </w:rPr>
      </w:pPr>
      <w:r w:rsidRPr="00872293">
        <w:rPr>
          <w:rFonts w:ascii="Times New Roman" w:hAnsi="Times New Roman" w:cs="Times New Roman"/>
          <w:noProof/>
        </w:rPr>
        <w:lastRenderedPageBreak/>
        <w:drawing>
          <wp:inline distT="0" distB="0" distL="0" distR="0" wp14:anchorId="26D8791E" wp14:editId="59AB4A71">
            <wp:extent cx="4304713" cy="3735294"/>
            <wp:effectExtent l="0" t="0" r="635"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4.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9810" cy="3748394"/>
                    </a:xfrm>
                    <a:prstGeom prst="rect">
                      <a:avLst/>
                    </a:prstGeom>
                  </pic:spPr>
                </pic:pic>
              </a:graphicData>
            </a:graphic>
          </wp:inline>
        </w:drawing>
      </w:r>
    </w:p>
    <w:p w14:paraId="6DA66EAC" w14:textId="7CA98591" w:rsidR="005B13B3" w:rsidRPr="00872293" w:rsidRDefault="00552C22" w:rsidP="00DD3F09">
      <w:pPr>
        <w:pStyle w:val="Caption"/>
        <w:rPr>
          <w:rFonts w:ascii="Times New Roman" w:hAnsi="Times New Roman" w:cs="Times New Roman"/>
          <w:color w:val="auto"/>
          <w:sz w:val="24"/>
          <w:szCs w:val="24"/>
        </w:rPr>
      </w:pPr>
      <w:bookmarkStart w:id="50" w:name="_Toc32770142"/>
      <w:bookmarkStart w:id="51" w:name="_Toc32771028"/>
      <w:bookmarkStart w:id="52" w:name="_Toc53755773"/>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4</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008B33AC" w:rsidRPr="00872293">
        <w:rPr>
          <w:rFonts w:ascii="Times New Roman" w:hAnsi="Times New Roman" w:cs="Times New Roman"/>
          <w:color w:val="auto"/>
          <w:sz w:val="24"/>
          <w:szCs w:val="24"/>
        </w:rPr>
        <w:t xml:space="preserve"> Linear c</w:t>
      </w:r>
      <w:r w:rsidR="008B33AC" w:rsidRPr="00872293" w:rsidDel="00DA2349">
        <w:rPr>
          <w:rFonts w:ascii="Times New Roman" w:hAnsi="Times New Roman" w:cs="Times New Roman"/>
          <w:color w:val="auto"/>
          <w:sz w:val="24"/>
          <w:szCs w:val="24"/>
        </w:rPr>
        <w:t>orrelation between root and shoot biomass from Puerto Rico data in blue, a world-wide meta</w:t>
      </w:r>
      <w:r w:rsidR="008B33AC" w:rsidRPr="00872293">
        <w:rPr>
          <w:rFonts w:ascii="Times New Roman" w:hAnsi="Times New Roman" w:cs="Times New Roman"/>
          <w:color w:val="auto"/>
          <w:sz w:val="24"/>
          <w:szCs w:val="24"/>
        </w:rPr>
        <w:t>-a</w:t>
      </w:r>
      <w:r w:rsidR="008B33AC" w:rsidRPr="00872293" w:rsidDel="00DA2349">
        <w:rPr>
          <w:rFonts w:ascii="Times New Roman" w:hAnsi="Times New Roman" w:cs="Times New Roman"/>
          <w:color w:val="auto"/>
          <w:sz w:val="24"/>
          <w:szCs w:val="24"/>
        </w:rPr>
        <w:t>nalysis (Cairns et a</w:t>
      </w:r>
      <w:r w:rsidR="008B33AC" w:rsidRPr="00872293">
        <w:rPr>
          <w:rFonts w:ascii="Times New Roman" w:hAnsi="Times New Roman" w:cs="Times New Roman"/>
          <w:color w:val="auto"/>
          <w:sz w:val="24"/>
          <w:szCs w:val="24"/>
        </w:rPr>
        <w:t>l.,</w:t>
      </w:r>
      <w:r w:rsidR="008B33AC" w:rsidRPr="00872293" w:rsidDel="00DA2349">
        <w:rPr>
          <w:rFonts w:ascii="Times New Roman" w:hAnsi="Times New Roman" w:cs="Times New Roman"/>
          <w:color w:val="auto"/>
          <w:sz w:val="24"/>
          <w:szCs w:val="24"/>
        </w:rPr>
        <w:t xml:space="preserve"> 1997</w:t>
      </w:r>
      <w:r w:rsidR="008B33AC" w:rsidRPr="00872293">
        <w:rPr>
          <w:rFonts w:ascii="Times New Roman" w:hAnsi="Times New Roman" w:cs="Times New Roman"/>
          <w:color w:val="auto"/>
          <w:sz w:val="24"/>
          <w:szCs w:val="24"/>
        </w:rPr>
        <w:t>)</w:t>
      </w:r>
      <w:r w:rsidR="008B33AC" w:rsidRPr="00872293" w:rsidDel="00DA2349">
        <w:rPr>
          <w:rFonts w:ascii="Times New Roman" w:hAnsi="Times New Roman" w:cs="Times New Roman"/>
          <w:color w:val="auto"/>
          <w:sz w:val="24"/>
          <w:szCs w:val="24"/>
        </w:rPr>
        <w:t xml:space="preserve"> in black, and another global meta</w:t>
      </w:r>
      <w:r w:rsidR="008B33AC" w:rsidRPr="00872293">
        <w:rPr>
          <w:rFonts w:ascii="Times New Roman" w:hAnsi="Times New Roman" w:cs="Times New Roman"/>
          <w:color w:val="auto"/>
          <w:sz w:val="24"/>
          <w:szCs w:val="24"/>
        </w:rPr>
        <w:t>-a</w:t>
      </w:r>
      <w:r w:rsidR="008B33AC" w:rsidRPr="00872293" w:rsidDel="00DA2349">
        <w:rPr>
          <w:rFonts w:ascii="Times New Roman" w:hAnsi="Times New Roman" w:cs="Times New Roman"/>
          <w:color w:val="auto"/>
          <w:sz w:val="24"/>
          <w:szCs w:val="24"/>
        </w:rPr>
        <w:t xml:space="preserve">nalysis only for forests (excluding shrublands, grasslands, </w:t>
      </w:r>
      <w:proofErr w:type="spellStart"/>
      <w:r w:rsidR="008B33AC" w:rsidRPr="00872293" w:rsidDel="00DA2349">
        <w:rPr>
          <w:rFonts w:ascii="Times New Roman" w:hAnsi="Times New Roman" w:cs="Times New Roman"/>
          <w:color w:val="auto"/>
          <w:sz w:val="24"/>
          <w:szCs w:val="24"/>
        </w:rPr>
        <w:t>Mokany</w:t>
      </w:r>
      <w:proofErr w:type="spellEnd"/>
      <w:r w:rsidR="008B33AC" w:rsidRPr="00872293" w:rsidDel="00DA2349">
        <w:rPr>
          <w:rFonts w:ascii="Times New Roman" w:hAnsi="Times New Roman" w:cs="Times New Roman"/>
          <w:color w:val="auto"/>
          <w:sz w:val="24"/>
          <w:szCs w:val="24"/>
        </w:rPr>
        <w:t xml:space="preserve"> et al., 2006) in red. </w:t>
      </w:r>
      <w:r w:rsidR="008B33AC" w:rsidRPr="00872293">
        <w:rPr>
          <w:rFonts w:ascii="Times New Roman" w:hAnsi="Times New Roman" w:cs="Times New Roman"/>
          <w:color w:val="auto"/>
          <w:sz w:val="24"/>
          <w:szCs w:val="24"/>
        </w:rPr>
        <w:t>The large graph shows all trees collected with various bole diameters, and the inset graph shows the correlation using only trees &lt; 5 cm bole diameter</w:t>
      </w:r>
      <w:bookmarkEnd w:id="50"/>
      <w:bookmarkEnd w:id="51"/>
      <w:bookmarkEnd w:id="52"/>
    </w:p>
    <w:p w14:paraId="24F0B1E6" w14:textId="77777777" w:rsidR="00645278" w:rsidRPr="00872293" w:rsidRDefault="00645278" w:rsidP="003C456F">
      <w:pPr>
        <w:spacing w:line="360" w:lineRule="auto"/>
        <w:rPr>
          <w:rFonts w:ascii="Times New Roman" w:hAnsi="Times New Roman" w:cs="Times New Roman"/>
        </w:rPr>
      </w:pPr>
    </w:p>
    <w:p w14:paraId="40E5904F" w14:textId="77777777" w:rsidR="00645278" w:rsidRPr="00872293" w:rsidRDefault="00645278" w:rsidP="003C456F">
      <w:pPr>
        <w:spacing w:line="360" w:lineRule="auto"/>
        <w:rPr>
          <w:rFonts w:ascii="Times New Roman" w:hAnsi="Times New Roman" w:cs="Times New Roman"/>
          <w:noProof/>
          <w:lang w:val="fr-BE"/>
        </w:rPr>
      </w:pPr>
    </w:p>
    <w:p w14:paraId="41DDF2AD" w14:textId="77777777" w:rsidR="004A3988" w:rsidRPr="00872293" w:rsidRDefault="00081325" w:rsidP="003C456F">
      <w:pPr>
        <w:spacing w:line="360" w:lineRule="auto"/>
        <w:jc w:val="center"/>
        <w:rPr>
          <w:rFonts w:ascii="Times New Roman" w:hAnsi="Times New Roman" w:cs="Times New Roman"/>
        </w:rPr>
      </w:pPr>
      <w:r w:rsidRPr="00872293">
        <w:rPr>
          <w:rFonts w:ascii="Times New Roman" w:hAnsi="Times New Roman" w:cs="Times New Roman"/>
          <w:noProof/>
        </w:rPr>
        <w:lastRenderedPageBreak/>
        <w:drawing>
          <wp:inline distT="0" distB="0" distL="0" distR="0" wp14:anchorId="1B53BA07" wp14:editId="76146460">
            <wp:extent cx="3714582" cy="6383967"/>
            <wp:effectExtent l="0" t="0" r="635"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 a and b.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32362" cy="6414525"/>
                    </a:xfrm>
                    <a:prstGeom prst="rect">
                      <a:avLst/>
                    </a:prstGeom>
                  </pic:spPr>
                </pic:pic>
              </a:graphicData>
            </a:graphic>
          </wp:inline>
        </w:drawing>
      </w:r>
    </w:p>
    <w:p w14:paraId="7AB3B7BA" w14:textId="08D9959E" w:rsidR="00A66D46" w:rsidRPr="00872293" w:rsidRDefault="00552C22" w:rsidP="00DD3F09">
      <w:pPr>
        <w:pStyle w:val="Caption"/>
        <w:rPr>
          <w:rFonts w:ascii="Times New Roman" w:hAnsi="Times New Roman" w:cs="Times New Roman"/>
          <w:color w:val="auto"/>
          <w:sz w:val="24"/>
          <w:szCs w:val="24"/>
        </w:rPr>
      </w:pPr>
      <w:bookmarkStart w:id="53" w:name="_Toc32770143"/>
      <w:bookmarkStart w:id="54" w:name="_Toc32771029"/>
      <w:bookmarkStart w:id="55" w:name="_Toc53755774"/>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5</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00790187" w:rsidRPr="00872293">
        <w:rPr>
          <w:rFonts w:ascii="Times New Roman" w:hAnsi="Times New Roman" w:cs="Times New Roman"/>
          <w:color w:val="auto"/>
          <w:sz w:val="24"/>
          <w:szCs w:val="24"/>
        </w:rPr>
        <w:t xml:space="preserve"> Logarithmic correlation between (a) fine-root nitrogen (%) and soil depth, and (b) fine-root phosphorus (%) and soil depth, using data from four studies in Puerto Rico that used the coring method</w:t>
      </w:r>
      <w:bookmarkEnd w:id="53"/>
      <w:bookmarkEnd w:id="54"/>
      <w:bookmarkEnd w:id="55"/>
      <w:r w:rsidR="00790187" w:rsidRPr="00872293">
        <w:rPr>
          <w:rFonts w:ascii="Times New Roman" w:hAnsi="Times New Roman" w:cs="Times New Roman"/>
          <w:color w:val="auto"/>
          <w:sz w:val="24"/>
          <w:szCs w:val="24"/>
        </w:rPr>
        <w:t xml:space="preserve"> </w:t>
      </w:r>
      <w:r w:rsidR="006900B4" w:rsidRPr="00872293">
        <w:rPr>
          <w:rFonts w:ascii="Times New Roman" w:hAnsi="Times New Roman" w:cs="Times New Roman"/>
          <w:color w:val="auto"/>
          <w:sz w:val="24"/>
          <w:szCs w:val="24"/>
        </w:rPr>
        <w:br w:type="page"/>
      </w:r>
    </w:p>
    <w:p w14:paraId="5B9C5574" w14:textId="77777777" w:rsidR="00DD7A5E" w:rsidRPr="00872293" w:rsidRDefault="005A2220" w:rsidP="005A2220">
      <w:pPr>
        <w:rPr>
          <w:rFonts w:ascii="Times New Roman" w:hAnsi="Times New Roman" w:cs="Times New Roman"/>
        </w:rPr>
      </w:pPr>
      <w:r w:rsidRPr="00872293">
        <w:rPr>
          <w:rFonts w:ascii="Times New Roman" w:hAnsi="Times New Roman" w:cs="Times New Roman"/>
        </w:rPr>
        <w:lastRenderedPageBreak/>
        <w:t xml:space="preserve">    </w:t>
      </w:r>
      <w:r w:rsidR="00110DD5" w:rsidRPr="00872293">
        <w:rPr>
          <w:rFonts w:ascii="Times New Roman" w:hAnsi="Times New Roman" w:cs="Times New Roman"/>
        </w:rPr>
        <w:t>(</w:t>
      </w:r>
      <w:r w:rsidRPr="00872293">
        <w:rPr>
          <w:rFonts w:ascii="Times New Roman" w:hAnsi="Times New Roman" w:cs="Times New Roman"/>
        </w:rPr>
        <w:t>a</w:t>
      </w:r>
      <w:r w:rsidR="00110DD5" w:rsidRPr="00872293">
        <w:rPr>
          <w:rFonts w:ascii="Times New Roman" w:hAnsi="Times New Roman" w:cs="Times New Roman"/>
        </w:rPr>
        <w:t>)</w:t>
      </w:r>
    </w:p>
    <w:p w14:paraId="178718C9" w14:textId="77777777" w:rsidR="00DD7A5E" w:rsidRPr="00872293" w:rsidRDefault="00DD7A5E" w:rsidP="00DD7A5E">
      <w:pPr>
        <w:spacing w:line="360" w:lineRule="auto"/>
        <w:rPr>
          <w:rFonts w:ascii="Times New Roman" w:hAnsi="Times New Roman" w:cs="Times New Roman"/>
        </w:rPr>
      </w:pPr>
      <w:r w:rsidRPr="00872293">
        <w:rPr>
          <w:rFonts w:ascii="Times New Roman" w:hAnsi="Times New Roman" w:cs="Times New Roman"/>
          <w:noProof/>
        </w:rPr>
        <w:drawing>
          <wp:inline distT="0" distB="0" distL="0" distR="0" wp14:anchorId="075B9BCF" wp14:editId="6074FB16">
            <wp:extent cx="5271715" cy="3429195"/>
            <wp:effectExtent l="0" t="0" r="5715"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sphorus by species2.tif"/>
                    <pic:cNvPicPr/>
                  </pic:nvPicPr>
                  <pic:blipFill rotWithShape="1">
                    <a:blip r:embed="rId25" cstate="print">
                      <a:extLst>
                        <a:ext uri="{28A0092B-C50C-407E-A947-70E740481C1C}">
                          <a14:useLocalDpi xmlns:a14="http://schemas.microsoft.com/office/drawing/2010/main" val="0"/>
                        </a:ext>
                      </a:extLst>
                    </a:blip>
                    <a:srcRect l="1609" t="29920" r="1586" b="22853"/>
                    <a:stretch/>
                  </pic:blipFill>
                  <pic:spPr bwMode="auto">
                    <a:xfrm>
                      <a:off x="0" y="0"/>
                      <a:ext cx="5289753" cy="3440929"/>
                    </a:xfrm>
                    <a:prstGeom prst="rect">
                      <a:avLst/>
                    </a:prstGeom>
                    <a:ln>
                      <a:noFill/>
                    </a:ln>
                    <a:extLst>
                      <a:ext uri="{53640926-AAD7-44D8-BBD7-CCE9431645EC}">
                        <a14:shadowObscured xmlns:a14="http://schemas.microsoft.com/office/drawing/2010/main"/>
                      </a:ext>
                    </a:extLst>
                  </pic:spPr>
                </pic:pic>
              </a:graphicData>
            </a:graphic>
          </wp:inline>
        </w:drawing>
      </w:r>
    </w:p>
    <w:p w14:paraId="34CEA219" w14:textId="77777777" w:rsidR="005A2220" w:rsidRPr="00872293" w:rsidRDefault="005A2220" w:rsidP="00DD7A5E">
      <w:pPr>
        <w:spacing w:line="360" w:lineRule="auto"/>
        <w:rPr>
          <w:rFonts w:ascii="Times New Roman" w:hAnsi="Times New Roman" w:cs="Times New Roman"/>
        </w:rPr>
      </w:pPr>
      <w:r w:rsidRPr="00872293">
        <w:rPr>
          <w:rFonts w:ascii="Times New Roman" w:hAnsi="Times New Roman" w:cs="Times New Roman"/>
        </w:rPr>
        <w:t xml:space="preserve">   </w:t>
      </w:r>
      <w:r w:rsidR="00110DD5" w:rsidRPr="00872293">
        <w:rPr>
          <w:rFonts w:ascii="Times New Roman" w:hAnsi="Times New Roman" w:cs="Times New Roman"/>
        </w:rPr>
        <w:t>(</w:t>
      </w:r>
      <w:r w:rsidRPr="00872293">
        <w:rPr>
          <w:rFonts w:ascii="Times New Roman" w:hAnsi="Times New Roman" w:cs="Times New Roman"/>
        </w:rPr>
        <w:t>b</w:t>
      </w:r>
      <w:r w:rsidR="00110DD5" w:rsidRPr="00872293">
        <w:rPr>
          <w:rFonts w:ascii="Times New Roman" w:hAnsi="Times New Roman" w:cs="Times New Roman"/>
        </w:rPr>
        <w:t>)</w:t>
      </w:r>
    </w:p>
    <w:p w14:paraId="762D7311" w14:textId="77777777" w:rsidR="005A2220" w:rsidRPr="00872293" w:rsidRDefault="005A2220" w:rsidP="00DD7A5E">
      <w:pPr>
        <w:spacing w:line="360" w:lineRule="auto"/>
        <w:rPr>
          <w:rFonts w:ascii="Times New Roman" w:hAnsi="Times New Roman" w:cs="Times New Roman"/>
        </w:rPr>
      </w:pPr>
      <w:r w:rsidRPr="00872293">
        <w:rPr>
          <w:rFonts w:ascii="Times New Roman" w:hAnsi="Times New Roman" w:cs="Times New Roman"/>
          <w:noProof/>
        </w:rPr>
        <w:drawing>
          <wp:inline distT="0" distB="0" distL="0" distR="0" wp14:anchorId="02D15F40" wp14:editId="353FCF13">
            <wp:extent cx="5231958" cy="3303113"/>
            <wp:effectExtent l="0" t="0" r="6985" b="0"/>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trogen by species order by alphab2.tif"/>
                    <pic:cNvPicPr/>
                  </pic:nvPicPr>
                  <pic:blipFill rotWithShape="1">
                    <a:blip r:embed="rId26" cstate="print">
                      <a:extLst>
                        <a:ext uri="{28A0092B-C50C-407E-A947-70E740481C1C}">
                          <a14:useLocalDpi xmlns:a14="http://schemas.microsoft.com/office/drawing/2010/main" val="0"/>
                        </a:ext>
                      </a:extLst>
                    </a:blip>
                    <a:srcRect l="1758" t="25760" r="1901" b="28622"/>
                    <a:stretch/>
                  </pic:blipFill>
                  <pic:spPr bwMode="auto">
                    <a:xfrm>
                      <a:off x="0" y="0"/>
                      <a:ext cx="5252837" cy="3316295"/>
                    </a:xfrm>
                    <a:prstGeom prst="rect">
                      <a:avLst/>
                    </a:prstGeom>
                    <a:ln>
                      <a:noFill/>
                    </a:ln>
                    <a:extLst>
                      <a:ext uri="{53640926-AAD7-44D8-BBD7-CCE9431645EC}">
                        <a14:shadowObscured xmlns:a14="http://schemas.microsoft.com/office/drawing/2010/main"/>
                      </a:ext>
                    </a:extLst>
                  </pic:spPr>
                </pic:pic>
              </a:graphicData>
            </a:graphic>
          </wp:inline>
        </w:drawing>
      </w:r>
    </w:p>
    <w:p w14:paraId="48A45926" w14:textId="76756C9F" w:rsidR="00AA6611" w:rsidRPr="00872293" w:rsidRDefault="00072EED" w:rsidP="00DD3F09">
      <w:pPr>
        <w:pStyle w:val="Caption"/>
        <w:rPr>
          <w:rFonts w:ascii="Times New Roman" w:hAnsi="Times New Roman" w:cs="Times New Roman"/>
          <w:color w:val="auto"/>
          <w:sz w:val="24"/>
          <w:szCs w:val="24"/>
        </w:rPr>
      </w:pPr>
      <w:bookmarkStart w:id="56" w:name="_Toc53755775"/>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6</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005A2220" w:rsidRPr="00872293">
        <w:rPr>
          <w:rFonts w:ascii="Times New Roman" w:hAnsi="Times New Roman" w:cs="Times New Roman"/>
          <w:color w:val="auto"/>
          <w:sz w:val="24"/>
          <w:szCs w:val="24"/>
        </w:rPr>
        <w:t xml:space="preserve"> Root a) P and b) N concentration by species. All species roots diameters are mixed, except for </w:t>
      </w:r>
      <w:r w:rsidR="005A2220" w:rsidRPr="00872293">
        <w:rPr>
          <w:rFonts w:ascii="Times New Roman" w:hAnsi="Times New Roman" w:cs="Times New Roman"/>
          <w:i w:val="0"/>
          <w:color w:val="auto"/>
          <w:sz w:val="24"/>
          <w:szCs w:val="24"/>
        </w:rPr>
        <w:t xml:space="preserve">Leucaena </w:t>
      </w:r>
      <w:proofErr w:type="spellStart"/>
      <w:r w:rsidR="005A2220" w:rsidRPr="00872293">
        <w:rPr>
          <w:rFonts w:ascii="Times New Roman" w:hAnsi="Times New Roman" w:cs="Times New Roman"/>
          <w:i w:val="0"/>
          <w:color w:val="auto"/>
          <w:sz w:val="24"/>
          <w:szCs w:val="24"/>
        </w:rPr>
        <w:t>leucocephala</w:t>
      </w:r>
      <w:proofErr w:type="spellEnd"/>
      <w:r w:rsidR="005A2220" w:rsidRPr="00872293">
        <w:rPr>
          <w:rFonts w:ascii="Times New Roman" w:hAnsi="Times New Roman" w:cs="Times New Roman"/>
          <w:color w:val="auto"/>
          <w:sz w:val="24"/>
          <w:szCs w:val="24"/>
        </w:rPr>
        <w:t xml:space="preserve">, </w:t>
      </w:r>
      <w:r w:rsidR="005A2220" w:rsidRPr="00872293">
        <w:rPr>
          <w:rFonts w:ascii="Times New Roman" w:hAnsi="Times New Roman" w:cs="Times New Roman"/>
          <w:i w:val="0"/>
          <w:color w:val="auto"/>
          <w:sz w:val="24"/>
          <w:szCs w:val="24"/>
        </w:rPr>
        <w:t xml:space="preserve">Eucalyptus </w:t>
      </w:r>
      <w:proofErr w:type="spellStart"/>
      <w:r w:rsidR="005A2220" w:rsidRPr="00872293">
        <w:rPr>
          <w:rFonts w:ascii="Times New Roman" w:hAnsi="Times New Roman" w:cs="Times New Roman"/>
          <w:i w:val="0"/>
          <w:color w:val="auto"/>
          <w:sz w:val="24"/>
          <w:szCs w:val="24"/>
        </w:rPr>
        <w:t>robusta</w:t>
      </w:r>
      <w:proofErr w:type="spellEnd"/>
      <w:r w:rsidR="005A2220" w:rsidRPr="00872293">
        <w:rPr>
          <w:rFonts w:ascii="Times New Roman" w:hAnsi="Times New Roman" w:cs="Times New Roman"/>
          <w:color w:val="auto"/>
          <w:sz w:val="24"/>
          <w:szCs w:val="24"/>
        </w:rPr>
        <w:t xml:space="preserve">, and </w:t>
      </w:r>
      <w:r w:rsidR="005A2220" w:rsidRPr="00872293">
        <w:rPr>
          <w:rFonts w:ascii="Times New Roman" w:hAnsi="Times New Roman" w:cs="Times New Roman"/>
          <w:i w:val="0"/>
          <w:color w:val="auto"/>
          <w:sz w:val="24"/>
          <w:szCs w:val="24"/>
        </w:rPr>
        <w:t xml:space="preserve">Casuarina </w:t>
      </w:r>
      <w:proofErr w:type="spellStart"/>
      <w:r w:rsidR="005A2220" w:rsidRPr="00872293">
        <w:rPr>
          <w:rFonts w:ascii="Times New Roman" w:hAnsi="Times New Roman" w:cs="Times New Roman"/>
          <w:i w:val="0"/>
          <w:color w:val="auto"/>
          <w:sz w:val="24"/>
          <w:szCs w:val="24"/>
        </w:rPr>
        <w:t>equisetifolia</w:t>
      </w:r>
      <w:proofErr w:type="spellEnd"/>
      <w:r w:rsidR="005A2220" w:rsidRPr="00872293">
        <w:rPr>
          <w:rFonts w:ascii="Times New Roman" w:hAnsi="Times New Roman" w:cs="Times New Roman"/>
          <w:color w:val="auto"/>
          <w:sz w:val="24"/>
          <w:szCs w:val="24"/>
        </w:rPr>
        <w:t>, which only fine roots were sampled for P concentration.</w:t>
      </w:r>
      <w:bookmarkEnd w:id="56"/>
      <w:r w:rsidR="005A2220" w:rsidRPr="00872293">
        <w:rPr>
          <w:rFonts w:ascii="Times New Roman" w:hAnsi="Times New Roman" w:cs="Times New Roman"/>
          <w:color w:val="auto"/>
          <w:sz w:val="24"/>
          <w:szCs w:val="24"/>
        </w:rPr>
        <w:br w:type="page"/>
      </w:r>
    </w:p>
    <w:p w14:paraId="75F57A9D" w14:textId="6EB4200F" w:rsidR="0067642D" w:rsidRPr="00872293" w:rsidRDefault="004A3988" w:rsidP="007E7D4D">
      <w:pPr>
        <w:spacing w:line="360" w:lineRule="auto"/>
        <w:jc w:val="center"/>
        <w:rPr>
          <w:rFonts w:ascii="Times New Roman" w:hAnsi="Times New Roman" w:cs="Times New Roman"/>
        </w:rPr>
      </w:pPr>
      <w:r w:rsidRPr="00872293">
        <w:rPr>
          <w:rFonts w:ascii="Times New Roman" w:hAnsi="Times New Roman" w:cs="Times New Roman"/>
          <w:noProof/>
        </w:rPr>
        <w:lastRenderedPageBreak/>
        <w:drawing>
          <wp:inline distT="0" distB="0" distL="0" distR="0" wp14:anchorId="6BF7E7EA" wp14:editId="2088EEF3">
            <wp:extent cx="3988190" cy="5927007"/>
            <wp:effectExtent l="0" t="0" r="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6 a and b.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5046" cy="5952057"/>
                    </a:xfrm>
                    <a:prstGeom prst="rect">
                      <a:avLst/>
                    </a:prstGeom>
                  </pic:spPr>
                </pic:pic>
              </a:graphicData>
            </a:graphic>
          </wp:inline>
        </w:drawing>
      </w:r>
    </w:p>
    <w:p w14:paraId="656DC41B" w14:textId="38308916" w:rsidR="0067642D" w:rsidRPr="00872293" w:rsidRDefault="00C55A88" w:rsidP="00DD3F09">
      <w:pPr>
        <w:pStyle w:val="Caption"/>
        <w:rPr>
          <w:rFonts w:ascii="Times New Roman" w:hAnsi="Times New Roman" w:cs="Times New Roman"/>
          <w:color w:val="auto"/>
          <w:sz w:val="24"/>
          <w:szCs w:val="24"/>
        </w:rPr>
      </w:pPr>
      <w:bookmarkStart w:id="57" w:name="_Toc32770144"/>
      <w:bookmarkStart w:id="58" w:name="_Toc32771030"/>
      <w:bookmarkStart w:id="59" w:name="_Toc53755776"/>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7</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w:t>
      </w:r>
      <w:r w:rsidR="003A17E4" w:rsidRPr="00872293">
        <w:rPr>
          <w:rFonts w:ascii="Times New Roman" w:hAnsi="Times New Roman" w:cs="Times New Roman"/>
          <w:color w:val="auto"/>
          <w:sz w:val="24"/>
          <w:szCs w:val="24"/>
        </w:rPr>
        <w:t>Linear correlation between (a) fine-root nitrogen (%) and soil nitrogen (%) and (b) Linear correlation between fine-root biomass and soil nitrogen (%) from secondary forests, pine plantations, and mahogany plantations in LEF</w:t>
      </w:r>
      <w:bookmarkEnd w:id="57"/>
      <w:bookmarkEnd w:id="58"/>
      <w:bookmarkEnd w:id="59"/>
    </w:p>
    <w:p w14:paraId="3F092F61" w14:textId="77777777" w:rsidR="00072EED" w:rsidRPr="00872293" w:rsidRDefault="00072EED" w:rsidP="00072EED">
      <w:pPr>
        <w:spacing w:line="360" w:lineRule="auto"/>
        <w:jc w:val="center"/>
        <w:rPr>
          <w:rFonts w:ascii="Times New Roman" w:hAnsi="Times New Roman" w:cs="Times New Roman"/>
        </w:rPr>
      </w:pPr>
    </w:p>
    <w:p w14:paraId="5E6B6178" w14:textId="77777777" w:rsidR="00072EED" w:rsidRPr="00872293" w:rsidRDefault="00072EED" w:rsidP="00072EED">
      <w:pPr>
        <w:spacing w:line="360" w:lineRule="auto"/>
        <w:jc w:val="center"/>
        <w:rPr>
          <w:rFonts w:ascii="Times New Roman" w:hAnsi="Times New Roman" w:cs="Times New Roman"/>
        </w:rPr>
      </w:pPr>
    </w:p>
    <w:p w14:paraId="55A946A5" w14:textId="1D0F4AC5" w:rsidR="00072EED" w:rsidRPr="00872293" w:rsidRDefault="00072EED" w:rsidP="007E7D4D">
      <w:pPr>
        <w:widowControl w:val="0"/>
        <w:autoSpaceDE w:val="0"/>
        <w:autoSpaceDN w:val="0"/>
        <w:adjustRightInd w:val="0"/>
        <w:spacing w:line="360" w:lineRule="auto"/>
        <w:jc w:val="center"/>
        <w:rPr>
          <w:rFonts w:ascii="Times New Roman" w:hAnsi="Times New Roman" w:cs="Times New Roman"/>
        </w:rPr>
      </w:pPr>
      <w:r w:rsidRPr="00872293">
        <w:rPr>
          <w:rFonts w:ascii="Times New Roman" w:hAnsi="Times New Roman" w:cs="Times New Roman"/>
          <w:noProof/>
        </w:rPr>
        <w:lastRenderedPageBreak/>
        <w:drawing>
          <wp:inline distT="0" distB="0" distL="0" distR="0" wp14:anchorId="4043AC54" wp14:editId="7F36FA5D">
            <wp:extent cx="3856382" cy="33752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8992" cy="3395004"/>
                    </a:xfrm>
                    <a:prstGeom prst="rect">
                      <a:avLst/>
                    </a:prstGeom>
                    <a:noFill/>
                    <a:ln>
                      <a:noFill/>
                    </a:ln>
                  </pic:spPr>
                </pic:pic>
              </a:graphicData>
            </a:graphic>
          </wp:inline>
        </w:drawing>
      </w:r>
    </w:p>
    <w:p w14:paraId="5A08023B" w14:textId="26B842BE" w:rsidR="00072EED" w:rsidRPr="00872293" w:rsidRDefault="00C55A88" w:rsidP="00DD3F09">
      <w:pPr>
        <w:pStyle w:val="Caption"/>
        <w:rPr>
          <w:rFonts w:ascii="Times New Roman" w:hAnsi="Times New Roman" w:cs="Times New Roman"/>
          <w:color w:val="auto"/>
          <w:sz w:val="24"/>
          <w:szCs w:val="24"/>
        </w:rPr>
      </w:pPr>
      <w:bookmarkStart w:id="60" w:name="_Toc53755777"/>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8</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00072EED" w:rsidRPr="00872293">
        <w:rPr>
          <w:rFonts w:ascii="Times New Roman" w:hAnsi="Times New Roman" w:cs="Times New Roman"/>
          <w:noProof/>
          <w:color w:val="auto"/>
          <w:sz w:val="24"/>
          <w:szCs w:val="24"/>
        </w:rPr>
        <w:t xml:space="preserve"> </w:t>
      </w:r>
      <w:r w:rsidR="00072EED" w:rsidRPr="00872293">
        <w:rPr>
          <w:rFonts w:ascii="Times New Roman" w:hAnsi="Times New Roman" w:cs="Times New Roman"/>
          <w:color w:val="auto"/>
          <w:sz w:val="24"/>
          <w:szCs w:val="24"/>
        </w:rPr>
        <w:t>Linear correlation between fine-root phosphorus (%) and soil phosphorus (%) from secondary forests, pine plantations, and mahogany plantations in LEF.</w:t>
      </w:r>
      <w:bookmarkEnd w:id="60"/>
    </w:p>
    <w:p w14:paraId="414D1640" w14:textId="77777777" w:rsidR="00C55A88" w:rsidRPr="00872293" w:rsidRDefault="00C55A88" w:rsidP="007E7D4D">
      <w:pPr>
        <w:widowControl w:val="0"/>
        <w:autoSpaceDE w:val="0"/>
        <w:autoSpaceDN w:val="0"/>
        <w:adjustRightInd w:val="0"/>
        <w:spacing w:line="360" w:lineRule="auto"/>
        <w:rPr>
          <w:rFonts w:ascii="Times New Roman" w:hAnsi="Times New Roman" w:cs="Times New Roman"/>
        </w:rPr>
      </w:pPr>
    </w:p>
    <w:p w14:paraId="5E5A5594" w14:textId="4BF5501D" w:rsidR="0067642D" w:rsidRPr="00872293" w:rsidRDefault="005418E9" w:rsidP="003C456F">
      <w:pPr>
        <w:spacing w:line="360" w:lineRule="auto"/>
        <w:rPr>
          <w:rFonts w:ascii="Times New Roman" w:hAnsi="Times New Roman" w:cs="Times New Roman"/>
          <w:b/>
        </w:rPr>
      </w:pPr>
      <w:r w:rsidRPr="00872293">
        <w:rPr>
          <w:rFonts w:ascii="Times New Roman" w:hAnsi="Times New Roman" w:cs="Times New Roman"/>
          <w:b/>
          <w:noProof/>
        </w:rPr>
        <w:drawing>
          <wp:inline distT="0" distB="0" distL="0" distR="0" wp14:anchorId="7B2FB88B" wp14:editId="15449BDE">
            <wp:extent cx="5461000" cy="3453966"/>
            <wp:effectExtent l="0" t="0" r="635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lver2 root recovery2.tif"/>
                    <pic:cNvPicPr/>
                  </pic:nvPicPr>
                  <pic:blipFill rotWithShape="1">
                    <a:blip r:embed="rId29" cstate="print">
                      <a:extLst>
                        <a:ext uri="{28A0092B-C50C-407E-A947-70E740481C1C}">
                          <a14:useLocalDpi xmlns:a14="http://schemas.microsoft.com/office/drawing/2010/main" val="0"/>
                        </a:ext>
                      </a:extLst>
                    </a:blip>
                    <a:srcRect t="26042" b="26522"/>
                    <a:stretch/>
                  </pic:blipFill>
                  <pic:spPr bwMode="auto">
                    <a:xfrm>
                      <a:off x="0" y="0"/>
                      <a:ext cx="5464709" cy="3456312"/>
                    </a:xfrm>
                    <a:prstGeom prst="rect">
                      <a:avLst/>
                    </a:prstGeom>
                    <a:ln>
                      <a:noFill/>
                    </a:ln>
                    <a:extLst>
                      <a:ext uri="{53640926-AAD7-44D8-BBD7-CCE9431645EC}">
                        <a14:shadowObscured xmlns:a14="http://schemas.microsoft.com/office/drawing/2010/main"/>
                      </a:ext>
                    </a:extLst>
                  </pic:spPr>
                </pic:pic>
              </a:graphicData>
            </a:graphic>
          </wp:inline>
        </w:drawing>
      </w:r>
    </w:p>
    <w:p w14:paraId="4A91F3C5" w14:textId="2351C29C" w:rsidR="009F2207" w:rsidRPr="00872293" w:rsidRDefault="00C55A88" w:rsidP="00DD3F09">
      <w:pPr>
        <w:pStyle w:val="Caption"/>
        <w:rPr>
          <w:rFonts w:ascii="Times New Roman" w:hAnsi="Times New Roman" w:cs="Times New Roman"/>
          <w:color w:val="auto"/>
          <w:sz w:val="24"/>
          <w:szCs w:val="24"/>
        </w:rPr>
      </w:pPr>
      <w:bookmarkStart w:id="61" w:name="_Toc32770145"/>
      <w:bookmarkStart w:id="62" w:name="_Toc32771031"/>
      <w:bookmarkStart w:id="63" w:name="_Toc53755778"/>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9</w:t>
      </w:r>
      <w:r w:rsidR="00CE76B7" w:rsidRPr="00872293">
        <w:rPr>
          <w:rFonts w:ascii="Times New Roman" w:hAnsi="Times New Roman" w:cs="Times New Roman"/>
          <w:color w:val="auto"/>
          <w:sz w:val="24"/>
          <w:szCs w:val="24"/>
        </w:rPr>
        <w:fldChar w:fldCharType="end"/>
      </w:r>
      <w:r w:rsidR="00AB6A81"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w:t>
      </w:r>
      <w:r w:rsidR="009E33A4" w:rsidRPr="00872293">
        <w:rPr>
          <w:rFonts w:ascii="Times New Roman" w:hAnsi="Times New Roman" w:cs="Times New Roman"/>
          <w:color w:val="auto"/>
          <w:sz w:val="24"/>
          <w:szCs w:val="24"/>
        </w:rPr>
        <w:t>Ten years of root biomass from LEF, before and after hurricane Hugo, since 1990</w:t>
      </w:r>
      <w:bookmarkEnd w:id="61"/>
      <w:bookmarkEnd w:id="62"/>
      <w:bookmarkEnd w:id="63"/>
      <w:r w:rsidR="00B929C8" w:rsidRPr="00872293">
        <w:rPr>
          <w:rFonts w:ascii="Times New Roman" w:hAnsi="Times New Roman" w:cs="Times New Roman"/>
          <w:color w:val="auto"/>
          <w:sz w:val="24"/>
          <w:szCs w:val="24"/>
        </w:rPr>
        <w:br w:type="page"/>
      </w:r>
    </w:p>
    <w:p w14:paraId="201B2817" w14:textId="77777777" w:rsidR="00E6733C" w:rsidRPr="00872293" w:rsidRDefault="00E6733C" w:rsidP="006668C0">
      <w:pPr>
        <w:jc w:val="center"/>
        <w:rPr>
          <w:rFonts w:ascii="Times New Roman" w:hAnsi="Times New Roman" w:cs="Times New Roman"/>
          <w:b/>
          <w:bCs/>
          <w:sz w:val="36"/>
          <w:szCs w:val="36"/>
        </w:rPr>
      </w:pPr>
    </w:p>
    <w:p w14:paraId="5CBF3F48" w14:textId="63B3D7E5" w:rsidR="006B2FDA" w:rsidRPr="00872293" w:rsidRDefault="006B0B4F" w:rsidP="00A43783">
      <w:pPr>
        <w:jc w:val="center"/>
        <w:rPr>
          <w:rFonts w:ascii="Times New Roman" w:hAnsi="Times New Roman" w:cs="Times New Roman"/>
          <w:b/>
          <w:bCs/>
          <w:sz w:val="36"/>
          <w:szCs w:val="36"/>
        </w:rPr>
      </w:pPr>
      <w:r w:rsidRPr="00872293">
        <w:rPr>
          <w:rFonts w:ascii="Times New Roman" w:hAnsi="Times New Roman" w:cs="Times New Roman"/>
          <w:b/>
          <w:bCs/>
          <w:sz w:val="36"/>
          <w:szCs w:val="36"/>
        </w:rPr>
        <w:t>C</w:t>
      </w:r>
      <w:r w:rsidR="00367F21" w:rsidRPr="00872293">
        <w:rPr>
          <w:rFonts w:ascii="Times New Roman" w:hAnsi="Times New Roman" w:cs="Times New Roman"/>
          <w:b/>
          <w:bCs/>
          <w:sz w:val="36"/>
          <w:szCs w:val="36"/>
        </w:rPr>
        <w:t>hapter</w:t>
      </w:r>
      <w:r w:rsidRPr="00872293">
        <w:rPr>
          <w:rFonts w:ascii="Times New Roman" w:hAnsi="Times New Roman" w:cs="Times New Roman"/>
          <w:b/>
          <w:bCs/>
          <w:sz w:val="36"/>
          <w:szCs w:val="36"/>
        </w:rPr>
        <w:t xml:space="preserve"> </w:t>
      </w:r>
      <w:r w:rsidR="007A1DC3" w:rsidRPr="00872293">
        <w:rPr>
          <w:rFonts w:ascii="Times New Roman" w:hAnsi="Times New Roman" w:cs="Times New Roman"/>
          <w:b/>
          <w:bCs/>
          <w:sz w:val="36"/>
          <w:szCs w:val="36"/>
        </w:rPr>
        <w:t>3</w:t>
      </w:r>
    </w:p>
    <w:p w14:paraId="2FEB8CD7" w14:textId="77777777" w:rsidR="00F13547" w:rsidRPr="00872293" w:rsidRDefault="00F13547" w:rsidP="003258AF">
      <w:pPr>
        <w:pStyle w:val="Heading1"/>
        <w:spacing w:after="0"/>
        <w:rPr>
          <w:rFonts w:cs="Times New Roman"/>
          <w:szCs w:val="36"/>
        </w:rPr>
      </w:pPr>
      <w:bookmarkStart w:id="64" w:name="_Toc53689073"/>
      <w:r w:rsidRPr="00872293">
        <w:rPr>
          <w:rFonts w:cs="Times New Roman"/>
          <w:szCs w:val="36"/>
        </w:rPr>
        <w:t>Soil warming and its legacy effects on root dynamics following hurricane disturbance in a wet tropical forest</w:t>
      </w:r>
      <w:bookmarkEnd w:id="64"/>
    </w:p>
    <w:p w14:paraId="7A86EC38" w14:textId="77777777" w:rsidR="00D862CA" w:rsidRPr="00872293" w:rsidRDefault="00D862CA" w:rsidP="00916183">
      <w:pPr>
        <w:spacing w:line="360" w:lineRule="auto"/>
        <w:jc w:val="center"/>
        <w:rPr>
          <w:rFonts w:ascii="Times New Roman" w:hAnsi="Times New Roman" w:cs="Times New Roman"/>
          <w:b/>
          <w:bCs/>
        </w:rPr>
      </w:pPr>
    </w:p>
    <w:p w14:paraId="25211190" w14:textId="77777777" w:rsidR="00D862CA" w:rsidRPr="00872293" w:rsidRDefault="00D862CA" w:rsidP="00916183">
      <w:pPr>
        <w:spacing w:line="360" w:lineRule="auto"/>
        <w:jc w:val="center"/>
        <w:rPr>
          <w:rFonts w:ascii="Times New Roman" w:hAnsi="Times New Roman" w:cs="Times New Roman"/>
          <w:b/>
          <w:bCs/>
        </w:rPr>
      </w:pPr>
      <w:r w:rsidRPr="00872293">
        <w:rPr>
          <w:rFonts w:ascii="Times New Roman" w:eastAsia="TimesNewRomanPSMT" w:hAnsi="Times New Roman" w:cs="Times New Roman"/>
        </w:rPr>
        <w:t>My use of “we” in this chapter refers to my co-authors and myself.</w:t>
      </w:r>
    </w:p>
    <w:p w14:paraId="00AB867A" w14:textId="1C7ED141" w:rsidR="008B1339" w:rsidRPr="00872293" w:rsidRDefault="008B1339" w:rsidP="00D862CA">
      <w:pPr>
        <w:spacing w:line="360" w:lineRule="auto"/>
        <w:jc w:val="center"/>
        <w:rPr>
          <w:rFonts w:ascii="Times New Roman" w:hAnsi="Times New Roman" w:cs="Times New Roman"/>
          <w:b/>
          <w:bCs/>
        </w:rPr>
      </w:pPr>
      <w:r w:rsidRPr="00872293">
        <w:rPr>
          <w:rFonts w:ascii="Times New Roman" w:hAnsi="Times New Roman" w:cs="Times New Roman"/>
        </w:rPr>
        <w:t xml:space="preserve">A </w:t>
      </w:r>
      <w:r w:rsidR="00C44F56" w:rsidRPr="00872293">
        <w:rPr>
          <w:rFonts w:ascii="Times New Roman" w:hAnsi="Times New Roman" w:cs="Times New Roman"/>
        </w:rPr>
        <w:t xml:space="preserve">shorter </w:t>
      </w:r>
      <w:r w:rsidRPr="00872293">
        <w:rPr>
          <w:rFonts w:ascii="Times New Roman" w:hAnsi="Times New Roman" w:cs="Times New Roman"/>
        </w:rPr>
        <w:t xml:space="preserve">version of this chapter </w:t>
      </w:r>
      <w:r w:rsidR="009961FB" w:rsidRPr="00872293">
        <w:rPr>
          <w:rFonts w:ascii="Times New Roman" w:hAnsi="Times New Roman" w:cs="Times New Roman"/>
        </w:rPr>
        <w:t xml:space="preserve">was submitted to </w:t>
      </w:r>
      <w:r w:rsidR="00AE51BB" w:rsidRPr="00872293">
        <w:rPr>
          <w:rFonts w:ascii="Times New Roman" w:hAnsi="Times New Roman" w:cs="Times New Roman"/>
        </w:rPr>
        <w:t>Nature Climate Change</w:t>
      </w:r>
      <w:r w:rsidR="009961FB" w:rsidRPr="00872293">
        <w:rPr>
          <w:rFonts w:ascii="Times New Roman" w:hAnsi="Times New Roman" w:cs="Times New Roman"/>
        </w:rPr>
        <w:t xml:space="preserve"> </w:t>
      </w:r>
      <w:r w:rsidR="00D31882" w:rsidRPr="00872293">
        <w:rPr>
          <w:rFonts w:ascii="Times New Roman" w:hAnsi="Times New Roman" w:cs="Times New Roman"/>
        </w:rPr>
        <w:t xml:space="preserve">on </w:t>
      </w:r>
      <w:r w:rsidR="00AE51BB" w:rsidRPr="00872293">
        <w:rPr>
          <w:rFonts w:ascii="Times New Roman" w:hAnsi="Times New Roman" w:cs="Times New Roman"/>
        </w:rPr>
        <w:t>October</w:t>
      </w:r>
      <w:r w:rsidR="00D31882" w:rsidRPr="00872293">
        <w:rPr>
          <w:rFonts w:ascii="Times New Roman" w:hAnsi="Times New Roman" w:cs="Times New Roman"/>
        </w:rPr>
        <w:t xml:space="preserve"> </w:t>
      </w:r>
      <w:r w:rsidR="00AE51BB" w:rsidRPr="00872293">
        <w:rPr>
          <w:rFonts w:ascii="Times New Roman" w:hAnsi="Times New Roman" w:cs="Times New Roman"/>
        </w:rPr>
        <w:t>30</w:t>
      </w:r>
      <w:r w:rsidR="00D31882" w:rsidRPr="00872293">
        <w:rPr>
          <w:rFonts w:ascii="Times New Roman" w:hAnsi="Times New Roman" w:cs="Times New Roman"/>
          <w:vertAlign w:val="superscript"/>
        </w:rPr>
        <w:t>th</w:t>
      </w:r>
      <w:r w:rsidRPr="00872293">
        <w:rPr>
          <w:rFonts w:ascii="Times New Roman" w:hAnsi="Times New Roman" w:cs="Times New Roman"/>
        </w:rPr>
        <w:t xml:space="preserve">: Yaffar D., </w:t>
      </w:r>
      <w:r w:rsidR="00A113D4" w:rsidRPr="00872293">
        <w:rPr>
          <w:rFonts w:ascii="Times New Roman" w:hAnsi="Times New Roman" w:cs="Times New Roman"/>
        </w:rPr>
        <w:t xml:space="preserve">Wood T., Reed S. C., </w:t>
      </w:r>
      <w:proofErr w:type="spellStart"/>
      <w:r w:rsidRPr="00872293">
        <w:rPr>
          <w:rFonts w:ascii="Times New Roman" w:hAnsi="Times New Roman" w:cs="Times New Roman"/>
        </w:rPr>
        <w:t>Branoff</w:t>
      </w:r>
      <w:proofErr w:type="spellEnd"/>
      <w:r w:rsidRPr="00872293">
        <w:rPr>
          <w:rFonts w:ascii="Times New Roman" w:hAnsi="Times New Roman" w:cs="Times New Roman"/>
        </w:rPr>
        <w:t xml:space="preserve"> B. L., </w:t>
      </w:r>
      <w:proofErr w:type="spellStart"/>
      <w:r w:rsidR="00A113D4" w:rsidRPr="00872293">
        <w:rPr>
          <w:rFonts w:ascii="Times New Roman" w:hAnsi="Times New Roman" w:cs="Times New Roman"/>
        </w:rPr>
        <w:t>Cavaleri</w:t>
      </w:r>
      <w:proofErr w:type="spellEnd"/>
      <w:r w:rsidR="00A113D4" w:rsidRPr="00872293">
        <w:rPr>
          <w:rFonts w:ascii="Times New Roman" w:hAnsi="Times New Roman" w:cs="Times New Roman"/>
        </w:rPr>
        <w:t xml:space="preserve"> M. A. </w:t>
      </w:r>
      <w:r w:rsidRPr="00872293">
        <w:rPr>
          <w:rFonts w:ascii="Times New Roman" w:hAnsi="Times New Roman" w:cs="Times New Roman"/>
        </w:rPr>
        <w:t>&amp; Norby R. J.</w:t>
      </w:r>
    </w:p>
    <w:p w14:paraId="4F529C88" w14:textId="77777777" w:rsidR="00CD2E50" w:rsidRPr="00872293" w:rsidRDefault="00CD2E50" w:rsidP="00916183">
      <w:pPr>
        <w:autoSpaceDE w:val="0"/>
        <w:autoSpaceDN w:val="0"/>
        <w:adjustRightInd w:val="0"/>
        <w:spacing w:line="360" w:lineRule="auto"/>
        <w:jc w:val="center"/>
        <w:rPr>
          <w:rFonts w:ascii="Times New Roman" w:hAnsi="Times New Roman" w:cs="Times New Roman"/>
        </w:rPr>
      </w:pPr>
      <w:r w:rsidRPr="00872293">
        <w:rPr>
          <w:rFonts w:ascii="Times New Roman" w:hAnsi="Times New Roman" w:cs="Times New Roman"/>
        </w:rPr>
        <w:t>DY participated in the field equipment installation, took the field and laboratory measurements, analyzed the data, and wrote the paper. TEW, SCR, and MAC developed the concept for the project, installed field equipment, provided environmental data, reviewed, and edited the paper. BLB assisted in data analysis, reviewed, and edited the paper. RJN installed the field equipment, helped developed the concept for the project, reviewed, and edited the paper.</w:t>
      </w:r>
    </w:p>
    <w:p w14:paraId="2F4BFFAD" w14:textId="77777777" w:rsidR="00916183" w:rsidRPr="00872293" w:rsidRDefault="00916183" w:rsidP="00916183">
      <w:pPr>
        <w:spacing w:line="360" w:lineRule="auto"/>
        <w:jc w:val="center"/>
        <w:rPr>
          <w:rFonts w:ascii="Times New Roman" w:hAnsi="Times New Roman" w:cs="Times New Roman"/>
          <w:b/>
        </w:rPr>
      </w:pPr>
      <w:r w:rsidRPr="00872293">
        <w:rPr>
          <w:rFonts w:cs="Times New Roman"/>
        </w:rPr>
        <w:br w:type="page"/>
      </w:r>
    </w:p>
    <w:p w14:paraId="119C4EDE" w14:textId="77777777" w:rsidR="00D77ECD" w:rsidRPr="00872293" w:rsidRDefault="00032BAB" w:rsidP="00296C07">
      <w:pPr>
        <w:pStyle w:val="Heading2"/>
        <w:spacing w:before="0" w:after="0" w:line="360" w:lineRule="auto"/>
        <w:rPr>
          <w:rFonts w:cs="Times New Roman"/>
        </w:rPr>
      </w:pPr>
      <w:bookmarkStart w:id="65" w:name="_Toc53689074"/>
      <w:r w:rsidRPr="00872293">
        <w:rPr>
          <w:rFonts w:cs="Times New Roman"/>
        </w:rPr>
        <w:lastRenderedPageBreak/>
        <w:t>Abstract</w:t>
      </w:r>
      <w:bookmarkEnd w:id="65"/>
    </w:p>
    <w:p w14:paraId="348A44E9" w14:textId="0B1EC8C4" w:rsidR="00F42D1D" w:rsidRPr="00872293" w:rsidRDefault="00E563F7" w:rsidP="00DE08AB">
      <w:pPr>
        <w:spacing w:before="240" w:line="360" w:lineRule="auto"/>
        <w:rPr>
          <w:rFonts w:ascii="Times New Roman" w:hAnsi="Times New Roman" w:cs="Times New Roman"/>
          <w:bCs/>
        </w:rPr>
      </w:pPr>
      <w:bookmarkStart w:id="66" w:name="_heading=h.gjdgxs" w:colFirst="0" w:colLast="0"/>
      <w:bookmarkEnd w:id="66"/>
      <w:r w:rsidRPr="00872293">
        <w:rPr>
          <w:rFonts w:ascii="Times New Roman" w:eastAsia="Times New Roman" w:hAnsi="Times New Roman" w:cs="Times New Roman"/>
        </w:rPr>
        <w:t xml:space="preserve">Tropical forests are forecast to experience unprecedented warming and increases in hurricane disturbances; </w:t>
      </w:r>
      <w:proofErr w:type="gramStart"/>
      <w:r w:rsidRPr="00872293">
        <w:rPr>
          <w:rFonts w:ascii="Times New Roman" w:eastAsia="Times New Roman" w:hAnsi="Times New Roman" w:cs="Times New Roman"/>
        </w:rPr>
        <w:t>yet,</w:t>
      </w:r>
      <w:proofErr w:type="gramEnd"/>
      <w:r w:rsidRPr="00872293">
        <w:rPr>
          <w:rFonts w:ascii="Times New Roman" w:eastAsia="Times New Roman" w:hAnsi="Times New Roman" w:cs="Times New Roman"/>
        </w:rPr>
        <w:t xml:space="preserve"> our understanding of how these productive systems, especially their belowground component, will respond to the interacting effects of varied environmental changes remains empirically limited. Increased temperatures in already-warm tropical ecosystems can generate stressful conditions, which could, in turn, alter plant root dynamics through multiple direct and indirect pathways of carbon, water, and nutrient cycling. We used </w:t>
      </w:r>
      <w:r w:rsidRPr="00872293">
        <w:rPr>
          <w:rFonts w:ascii="Times New Roman" w:hAnsi="Times New Roman" w:cs="Times New Roman"/>
          <w:bCs/>
        </w:rPr>
        <w:t>minirhizotron</w:t>
      </w:r>
      <w:r w:rsidRPr="00872293">
        <w:rPr>
          <w:rFonts w:ascii="Times New Roman" w:eastAsia="Times New Roman" w:hAnsi="Times New Roman" w:cs="Times New Roman"/>
        </w:rPr>
        <w:t>, multi-time point root harvests, and root in-growth core to evaluate root dynamics responses to experimental warming (</w:t>
      </w:r>
      <w:r w:rsidRPr="00872293">
        <w:rPr>
          <w:rFonts w:ascii="Times New Roman" w:hAnsi="Times New Roman" w:cs="Times New Roman"/>
          <w:vertAlign w:val="superscript"/>
        </w:rPr>
        <w:t>+</w:t>
      </w:r>
      <w:r w:rsidRPr="00872293">
        <w:rPr>
          <w:rFonts w:ascii="Times New Roman" w:hAnsi="Times New Roman" w:cs="Times New Roman"/>
        </w:rPr>
        <w:t xml:space="preserve">4 </w:t>
      </w:r>
      <w:proofErr w:type="spellStart"/>
      <w:r w:rsidRPr="00872293">
        <w:rPr>
          <w:rFonts w:ascii="Times New Roman" w:hAnsi="Times New Roman" w:cs="Times New Roman"/>
          <w:vertAlign w:val="superscript"/>
        </w:rPr>
        <w:t>o</w:t>
      </w:r>
      <w:r w:rsidRPr="00872293">
        <w:rPr>
          <w:rFonts w:ascii="Times New Roman" w:hAnsi="Times New Roman" w:cs="Times New Roman"/>
        </w:rPr>
        <w:t>C</w:t>
      </w:r>
      <w:proofErr w:type="spellEnd"/>
      <w:r w:rsidRPr="00872293">
        <w:rPr>
          <w:rFonts w:ascii="Times New Roman" w:hAnsi="Times New Roman" w:cs="Times New Roman"/>
        </w:rPr>
        <w:t xml:space="preserve">) </w:t>
      </w:r>
      <w:r w:rsidRPr="00872293">
        <w:rPr>
          <w:rFonts w:ascii="Times New Roman" w:eastAsia="Times New Roman" w:hAnsi="Times New Roman" w:cs="Times New Roman"/>
        </w:rPr>
        <w:t xml:space="preserve">and two consecutive tropical hurricanes in </w:t>
      </w:r>
      <w:r w:rsidRPr="00872293">
        <w:rPr>
          <w:rFonts w:ascii="Times New Roman" w:hAnsi="Times New Roman" w:cs="Times New Roman"/>
        </w:rPr>
        <w:t xml:space="preserve">an </w:t>
      </w:r>
      <w:r w:rsidRPr="00872293">
        <w:rPr>
          <w:rFonts w:ascii="Times New Roman" w:hAnsi="Times New Roman" w:cs="Times New Roman"/>
          <w:i/>
          <w:iCs/>
        </w:rPr>
        <w:t>in situ</w:t>
      </w:r>
      <w:r w:rsidRPr="00872293">
        <w:rPr>
          <w:rFonts w:ascii="Times New Roman" w:hAnsi="Times New Roman" w:cs="Times New Roman"/>
        </w:rPr>
        <w:t xml:space="preserve"> warming experiment in a tropical forest: Tropical Responses to Altered Climate Experiment (TRACE)</w:t>
      </w:r>
      <w:r w:rsidRPr="00872293">
        <w:rPr>
          <w:rFonts w:ascii="Times New Roman" w:hAnsi="Times New Roman" w:cs="Times New Roman"/>
          <w:bCs/>
        </w:rPr>
        <w:t xml:space="preserve"> in Puerto Rico. We collected bi-weekly images from minirhizotron tubes in each of three 12 m</w:t>
      </w:r>
      <w:r w:rsidRPr="00872293">
        <w:rPr>
          <w:rFonts w:ascii="Times New Roman" w:hAnsi="Times New Roman" w:cs="Times New Roman"/>
          <w:bCs/>
          <w:vertAlign w:val="superscript"/>
        </w:rPr>
        <w:t>2</w:t>
      </w:r>
      <w:r w:rsidRPr="00872293">
        <w:rPr>
          <w:rFonts w:ascii="Times New Roman" w:hAnsi="Times New Roman" w:cs="Times New Roman"/>
          <w:bCs/>
        </w:rPr>
        <w:t xml:space="preserve"> warming plots and three control plots. Following Hurricanes Irma and Maria in September 2017, the warming treatment was suspended</w:t>
      </w:r>
      <w:r w:rsidR="008C05C6" w:rsidRPr="00872293">
        <w:rPr>
          <w:rFonts w:ascii="Times New Roman" w:hAnsi="Times New Roman" w:cs="Times New Roman"/>
          <w:bCs/>
        </w:rPr>
        <w:t xml:space="preserve"> </w:t>
      </w:r>
      <w:r w:rsidRPr="00872293">
        <w:rPr>
          <w:rFonts w:ascii="Times New Roman" w:hAnsi="Times New Roman" w:cs="Times New Roman"/>
          <w:bCs/>
        </w:rPr>
        <w:t>for a full year to explore potential legacy effects of prior warming on forest recovery. Overall, we found that w</w:t>
      </w:r>
      <w:r w:rsidRPr="00872293">
        <w:rPr>
          <w:rFonts w:ascii="Times New Roman" w:hAnsi="Times New Roman" w:cs="Times New Roman"/>
        </w:rPr>
        <w:t>arming significantly reduced root biomass production and root standing stock over time</w:t>
      </w:r>
      <w:r w:rsidRPr="00872293">
        <w:rPr>
          <w:rFonts w:ascii="Times New Roman" w:hAnsi="Times New Roman" w:cs="Times New Roman"/>
          <w:bCs/>
        </w:rPr>
        <w:t xml:space="preserve">. Following hurricane disturbance, root standing </w:t>
      </w:r>
      <w:r w:rsidR="00142260" w:rsidRPr="00894199">
        <w:rPr>
          <w:rFonts w:ascii="Times New Roman" w:eastAsia="Times New Roman" w:hAnsi="Times New Roman" w:cs="Times New Roman"/>
          <w:shd w:val="clear" w:color="auto" w:fill="FFFFFF"/>
        </w:rPr>
        <w:t>stocks increased ~4-fold in control plots</w:t>
      </w:r>
      <w:r w:rsidR="00A2524D">
        <w:rPr>
          <w:rFonts w:ascii="Times New Roman" w:eastAsia="Times New Roman" w:hAnsi="Times New Roman" w:cs="Times New Roman"/>
          <w:shd w:val="clear" w:color="auto" w:fill="FFFFFF"/>
        </w:rPr>
        <w:t xml:space="preserve"> </w:t>
      </w:r>
      <w:r w:rsidR="00A2524D" w:rsidRPr="00872293">
        <w:rPr>
          <w:rFonts w:ascii="Times New Roman" w:eastAsia="Times New Roman" w:hAnsi="Times New Roman" w:cs="Times New Roman"/>
        </w:rPr>
        <w:t xml:space="preserve">and </w:t>
      </w:r>
      <w:r w:rsidR="00A2524D">
        <w:rPr>
          <w:rFonts w:ascii="Times New Roman" w:eastAsia="Times New Roman" w:hAnsi="Times New Roman" w:cs="Times New Roman"/>
        </w:rPr>
        <w:t>~ 3-</w:t>
      </w:r>
      <w:r w:rsidR="00A2524D" w:rsidRPr="00872293">
        <w:rPr>
          <w:rFonts w:ascii="Times New Roman" w:eastAsia="Times New Roman" w:hAnsi="Times New Roman" w:cs="Times New Roman"/>
        </w:rPr>
        <w:t>fold in warmed plots</w:t>
      </w:r>
      <w:r w:rsidR="00A2524D">
        <w:rPr>
          <w:rFonts w:ascii="Times New Roman" w:eastAsia="Times New Roman" w:hAnsi="Times New Roman" w:cs="Times New Roman"/>
        </w:rPr>
        <w:t>; yet,</w:t>
      </w:r>
      <w:r w:rsidR="00A2524D" w:rsidRPr="00872293">
        <w:rPr>
          <w:rFonts w:ascii="Times New Roman" w:eastAsia="Times New Roman" w:hAnsi="Times New Roman" w:cs="Times New Roman"/>
        </w:rPr>
        <w:t xml:space="preserve"> </w:t>
      </w:r>
      <w:r w:rsidR="00142260">
        <w:rPr>
          <w:rFonts w:ascii="Times New Roman" w:eastAsia="Times New Roman" w:hAnsi="Times New Roman" w:cs="Times New Roman"/>
          <w:shd w:val="clear" w:color="auto" w:fill="FFFFFF"/>
        </w:rPr>
        <w:t>the</w:t>
      </w:r>
      <w:r w:rsidR="00142260" w:rsidRPr="00894199">
        <w:rPr>
          <w:rFonts w:ascii="Times New Roman" w:eastAsia="Times New Roman" w:hAnsi="Times New Roman" w:cs="Times New Roman"/>
          <w:shd w:val="clear" w:color="auto" w:fill="FFFFFF"/>
        </w:rPr>
        <w:t xml:space="preserve"> net increase in production was 58% less in previously warmed plots, suggesting antecedent warming conditions suppressed roots’ capacity to recover following hurricane disturbance.</w:t>
      </w:r>
      <w:r w:rsidRPr="00872293">
        <w:rPr>
          <w:rFonts w:ascii="Times New Roman" w:hAnsi="Times New Roman" w:cs="Times New Roman"/>
        </w:rPr>
        <w:t xml:space="preserve"> </w:t>
      </w:r>
      <w:r w:rsidRPr="00872293">
        <w:rPr>
          <w:rFonts w:ascii="Times New Roman" w:hAnsi="Times New Roman" w:cs="Times New Roman"/>
          <w:bCs/>
        </w:rPr>
        <w:t xml:space="preserve">This pattern held true for both herbaceous and woody roots, suggesting </w:t>
      </w:r>
      <w:r w:rsidRPr="00872293">
        <w:rPr>
          <w:rFonts w:ascii="Times New Roman" w:hAnsi="Times New Roman" w:cs="Times New Roman"/>
        </w:rPr>
        <w:t>that the consistent antecedent warming conditions reduced root capacity to recover following hurricane disturbance</w:t>
      </w:r>
      <w:r w:rsidRPr="00872293">
        <w:rPr>
          <w:rFonts w:ascii="Times New Roman" w:hAnsi="Times New Roman" w:cs="Times New Roman"/>
          <w:bCs/>
        </w:rPr>
        <w:t>. Soil temperature and moisture were the main factors that explained root dynamics. Our findings provide an unprecedented look at the complex interactive effects of disturbance and climate change in a tropical forested ecosystem, and suggests a high potential for the trajectory of post disturbance recovery of key ecosystem processes to be significantly altered in a warmer world.</w:t>
      </w:r>
      <w:r w:rsidR="00F42D1D" w:rsidRPr="00872293">
        <w:rPr>
          <w:rFonts w:cs="Times New Roman"/>
        </w:rPr>
        <w:br w:type="page"/>
      </w:r>
    </w:p>
    <w:p w14:paraId="37826334" w14:textId="77777777" w:rsidR="00BB56BF" w:rsidRPr="00872293" w:rsidRDefault="00032BAB" w:rsidP="00296C07">
      <w:pPr>
        <w:pStyle w:val="Heading2"/>
        <w:spacing w:before="0" w:after="0" w:line="360" w:lineRule="auto"/>
        <w:rPr>
          <w:rFonts w:cs="Times New Roman"/>
        </w:rPr>
      </w:pPr>
      <w:bookmarkStart w:id="67" w:name="_Toc53689075"/>
      <w:bookmarkStart w:id="68" w:name="_Hlk55492186"/>
      <w:bookmarkStart w:id="69" w:name="_Hlk52109437"/>
      <w:r w:rsidRPr="00872293">
        <w:rPr>
          <w:rFonts w:cs="Times New Roman"/>
        </w:rPr>
        <w:lastRenderedPageBreak/>
        <w:t>Introduction</w:t>
      </w:r>
      <w:bookmarkEnd w:id="67"/>
    </w:p>
    <w:p w14:paraId="2024A373" w14:textId="7AD0310A" w:rsidR="00E563F7" w:rsidRPr="00872293" w:rsidRDefault="00E563F7" w:rsidP="00296C07">
      <w:pPr>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 xml:space="preserve">In the </w:t>
      </w:r>
      <w:proofErr w:type="spellStart"/>
      <w:r w:rsidRPr="00872293">
        <w:rPr>
          <w:rFonts w:ascii="Times New Roman" w:hAnsi="Times New Roman" w:cs="Times New Roman"/>
        </w:rPr>
        <w:t>anthropocene</w:t>
      </w:r>
      <w:proofErr w:type="spellEnd"/>
      <w:r w:rsidRPr="00872293">
        <w:rPr>
          <w:rFonts w:ascii="Times New Roman" w:hAnsi="Times New Roman" w:cs="Times New Roman"/>
        </w:rPr>
        <w:t xml:space="preserve">, changes to ecosystems rarely occur in isolation and the interactive occurrence of multiple interacting disturbances create a complex suite of drivers that influence ecosystem ecology in novel ways when compared to individual disturbances alone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{"citationItems":[{"id":"ITEM-1","itemData":{"DOI":"10.1890/04-1114","ISSN":"00129615","abstract":"Little is known about ecosystem-level responses to multiple, climatic disturbance events. In the subtropical forests of Puerto Rico, the major natural disturbances are hurricanes and droughts. We tested the ecosystem-level effects of these disturbances in sites with different land use histories. From 1989 to 1992, data were collected to determine the effects of Hurricane Hugo and two droughts on litterfall inputs, fine-root biomass, and decomposition rates in three topographic locations (stream, riparian, upslope) within two watersheds. From 1994 to 1998, we added a third watershed and an experiment in which coarse-wood levels were manipulated to simulate hurricane inputs. Data were collected on tree and palm growth rates, litterfall inputs, fine-root biomass, and decomposition rates. From 1994 to 1998, four hurricanes and three droughts were recorded. Measured parameters had unique responses and recovery rates to hurricanes and droughts. Litterfall inputs returned to long-term mean rates within one month following droughts and small-to-moderate hurricanes but required five years to recover after an intense hurricane. In contrast, fine-root biomass recovered seven months after an intense hurricane but failed to recover after five years following a severe drought. Despite the dramatic effects of these weather events on some ecosystem parameters, we found that aboveground measures of tree and palm growth were more affected by preexisting site conditions (e.g., nitrogen availability due to past land use activities) than hurricanes or droughts. The addition of coarse woody debris increased tree and palm growth, fine-root biomass, and litter production; however, in the case of tree and palm growth, this effect was least measurable in the sites with the highest productivity. We found that decomposition rates were more controlled by litter quality than weather conditions. In conclusion, we found that certain ecosystem structures (e.g., canopy structure and fine-root biomass) generally recovered more slowly from disturbance events than certain ecosystem processes (e.g., plant growth rates, decomposition rates). We also found that past land use activities and disturbance legacies were important in determining the responses and recovery rates of the ecosystem to disturbance. © 2005 by the Ecological Society of America.","author":[{"dropping-particle":"","family":"Beard","given":"Karen H.","non-dropping-particle":"","parse-names":false,"suffix":""},{"dropping-particle":"","family":"Vogt","given":"Kristiina A.","non-dropping-particle":"","parse-names":false,"suffix":""},{"dropping-particle":"","family":"Vogt","given":"Daniel J.","non-dropping-particle":"","parse-names":false,"suffix":""},{"dropping-particle":"","family":"Scatena","given":"Frederick N.","non-dropping-particle":"","parse-names":false,"suffix":""},{"dropping-particle":"","family":"Covich","given":"Alan P.","non-dropping-particle":"","parse-names":false,"suffix":""},{"dropping-particle":"","family":"Sigurdardottir","given":"Ragnhildur","non-dropping-particle":"","parse-names":false,"suffix":""},{"dropping-particle":"","family":"Siccama","given":"Thomas G.","non-dropping-particle":"","parse-names":false,"suffix":""},{"dropping-particle":"","family":"Crowl","given":"Todd A.","non-dropping-particle":"","parse-names":false,"suffix":""}],"container-title":"Ecological Monographs","id":"ITEM-1","issue":"3","issued":{"date-parts":[["2005"]]},"page":"345-361","title":"Structural and functional responses of a subtropical forest to 10 years of hurricanes and droughts","type":"article-journal","volume":"75"},"uris":["http://www.mendeley.com/documents/?uuid=7c2f6988-778f-4448-bd7c-257e2916fbb1"]},{"id":"ITEM-2","itemData":{"DOI":"10.1016/j.tree.2018.04.013","ISSN":"01695347","abstract":"Abrupt ecological changes are, by definition, those that occur over short periods of time relative to typical rates of change for a given ecosystem. The potential for such changes is growing due to anthropogenic pressures, which challenges the resilience of societies and ecosystems. Abrupt ecological changes are difficult to diagnose because they can arise from a variety of circumstances, including rapid changes in external drivers (e.g., climate, or resource extraction), nonlinear responses to gradual changes in drivers, and interactions among multiple drivers and disturbances. We synthesize strategies for identifying causes of abrupt ecological change and highlight instances where abrupt changes are likely. Diagnosing abrupt changes and inferring causation are increasingly important as society seek to adapt to rapid, multifaceted environmental changes.","author":[{"dropping-particle":"","family":"Ratajczak","given":"Zak","non-dropping-particle":"","parse-names":false,"suffix":""},{"dropping-particle":"","family":"Carpenter","given":"Stephen R.","non-dropping-particle":"","parse-names":false,"suffix":""},{"dropping-particle":"","family":"Ives","given":"Anthony R.","non-dropping-particle":"","parse-names":false,"suffix":""},{"dropping-particle":"","family":"Kucharik","given":"Christopher J.","non-dropping-particle":"","parse-names":false,"suffix":""},{"dropping-particle":"","family":"Ramiadantsoa","given":"Tanjona","non-dropping-particle":"","parse-names":false,"suffix":""},{"dropping-particle":"","family":"Stegner","given":"M. Allison","non-dropping-particle":"","parse-names":false,"suffix":""},{"dropping-particle":"","family":"Williams","given":"John W.","non-dropping-particle":"","parse-names":false,"suffix":""},{"dropping-particle":"","family":"Zhang","given":"Jien","non-dropping-particle":"","parse-names":false,"suffix":""},{"dropping-particle":"","family":"Turner","given":"Monica G.","non-dropping-particle":"","parse-names":false,"suffix":""}],"container-title":"Trends in Ecology and Evolution","id":"ITEM-2","issue":"7","issued":{"date-parts":[["2018"]]},"page":"513-526","title":"Abrupt Change in Ecological Systems: Inference and Diagnosis","type":"article-journal","volume":"33"},"uris":["http://www.mendeley.com/documents/?uuid=60def925-7adf-4cd2-bfb7-0b2635936d43"]}],"mendeley":{"formattedCitation":"(Beard &lt;i&gt;et al.&lt;/i&gt;, 2005; Ratajczak &lt;i&gt;et al.&lt;/i&gt;, 2018)","plainTextFormattedCitation":"(Beard et al., 2005; Ratajczak et al., 2018)","previouslyFormattedCitation":"(Beard &lt;i&gt;et al.&lt;/i&gt;, 2005; Ratajczak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(Beard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2005; Ratajczak </w:t>
      </w:r>
      <w:r w:rsidR="00D64D1F" w:rsidRPr="00872293">
        <w:rPr>
          <w:rFonts w:ascii="Times New Roman" w:hAnsi="Times New Roman" w:cs="Times New Roman"/>
          <w:i/>
          <w:noProof/>
        </w:rPr>
        <w:t>et al.</w:t>
      </w:r>
      <w:r w:rsidR="00D64D1F"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xml:space="preserve">. Biota are typically adapted to their historical disturbance regimes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{"citationItems":[{"id":"ITEM-1","itemData":{"DOI":"10.1007/s100219900049","ISSN":"14329840","abstract":"All species have evolved in the presence of disturbance, and thus are in a sense matched to the recurrence pattern of the perturbations. Consequently, disturbances within the typical range, even at the extreme of that range as defined by large, infrequent disturbances (LIDs), usually result in little long-term change to the system's fundamental character. We argue that more serious ecological consequences result from compounded perturbations within the normative recovery time of the community in question. We consider both physically based disturbance (for example, storm, volcanic eruption, and forest fire) and biologically based disturbance of populations, such as overharvesting, invasion, and disease, and their interactions. Dispersal capability and measures of generation time or age to first reproduction of the species of interest seem to be the important metrics for scaling the size and frequency of disturbances among different types of ecosystems. We develop six scenarios that describe communities that have been subjected to multiple perturbations, either simultaneously or at a rate faster than the rate of recovery, and appear to have entered new domains or \"ecological surprises.\" In some cases, three or more disturbances seem to have been required to initiate the changed state. We argue that in a world of ever-more-pervasive anthropogenic impacts on natural communities coupled with the increasing certainty of global change, compounded perturbations and ecological surprises will become more common. Understanding these ecological synergisms will be basic to environmental management decisions of the 21st century. © 1998 Springer-Verlag.","author":[{"dropping-particle":"","family":"Paine","given":"Robert T.","non-dropping-particle":"","parse-names":false,"suffix":""},{"dropping-particle":"","family":"Tegner","given":"Mia J.","non-dropping-particle":"","parse-names":false,"suffix":""},{"dropping-particle":"","family":"Johnson","given":"Edward A.","non-dropping-particle":"","parse-names":false,"suffix":""}],"container-title":"Ecosystems","id":"ITEM-1","issue":"6","issued":{"date-parts":[["1998"]]},"page":"534-545","title":"Compounded perturbations yield ecological surprises","type":"article-journal","volume":"1"},"uris":["http://www.mendeley.com/documents/?uuid=76539d12-d903-440e-a83b-82677fe10979"]}],"mendeley":{"formattedCitation":"(Paine &lt;i&gt;et al.&lt;/i&gt;, 1998)","manualFormatting":"(Paine et al., 1998)","plainTextFormattedCitation":"(Paine et al., 1998)","previouslyFormattedCitation":"(Paine &lt;i&gt;et al.&lt;/i&gt;, 1998)"},"properties":{"noteIndex":0},"schema":"https://github.com/citation-style-language/schema/raw/master/csl-citation.json"}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 xml:space="preserve">(Paine </w:t>
      </w:r>
      <w:r w:rsidRPr="00872293">
        <w:rPr>
          <w:rFonts w:ascii="Times New Roman" w:hAnsi="Times New Roman" w:cs="Times New Roman"/>
          <w:i/>
          <w:noProof/>
        </w:rPr>
        <w:t>et al.</w:t>
      </w:r>
      <w:r w:rsidRPr="00872293">
        <w:rPr>
          <w:rFonts w:ascii="Times New Roman" w:hAnsi="Times New Roman" w:cs="Times New Roman"/>
          <w:noProof/>
        </w:rPr>
        <w:t>, 1998)</w:t>
      </w:r>
      <w:r w:rsidR="00CE76B7" w:rsidRPr="00872293">
        <w:rPr>
          <w:rFonts w:ascii="Times New Roman" w:hAnsi="Times New Roman" w:cs="Times New Roman"/>
        </w:rPr>
        <w:fldChar w:fldCharType="end"/>
      </w:r>
      <w:r w:rsidRPr="00872293">
        <w:rPr>
          <w:rFonts w:ascii="Times New Roman" w:hAnsi="Times New Roman" w:cs="Times New Roman"/>
        </w:rPr>
        <w:t xml:space="preserve">; however, changes in the disturbance intensity or frequency, or the interaction with other drivers (e.g., changes in temperature) can alter how ecosystems respond to and recover from disturbance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{"citationItems":[{"id":"ITEM-1","itemData":{"DOI":"10.1146/annurev.es.04.110173.000245","ISBN":"9780300184617","ISSN":"0066-4162","author":[{"dropping-particle":"","family":"Holling","given":"C. S.","non-dropping-particle":"","parse-names":false,"suffix":""}],"container-title":"The Future of Nature: Documents of Global Change","id":"ITEM-1","issued":{"date-parts":[["2013"]]},"title":"Resilience and stability of ecological systems","type":"chapter"},"uris":["http://www.mendeley.com/documents/?uuid=f298cb98-3918-438f-bd60-45b9518190e4"]}],"mendeley":{"formattedCitation":"(Holling, 2013)","manualFormatting":"(Holling, 2013","plainTextFormattedCitation":"(Holling, 2013)","previouslyFormattedCitation":"(Holling, 2013)"},"properties":{"noteIndex":0},"schema":"https://github.com/citation-style-language/schema/raw/master/csl-citation.json"}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(Holling, 2013</w:t>
      </w:r>
      <w:r w:rsidR="00CE76B7" w:rsidRPr="00872293">
        <w:rPr>
          <w:rFonts w:ascii="Times New Roman" w:hAnsi="Times New Roman" w:cs="Times New Roman"/>
        </w:rPr>
        <w:fldChar w:fldCharType="end"/>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{"citationItems":[{"id":"ITEM-1","itemData":{"DOI":"10.1016/j.tree.2018.04.013","ISSN":"01695347","abstract":"Abrupt ecological changes are, by definition, those that occur over short periods of time relative to typical rates of change for a given ecosystem. The potential for such changes is growing due to anthropogenic pressures, which challenges the resilience of societies and ecosystems. Abrupt ecological changes are difficult to diagnose because they can arise from a variety of circumstances, including rapid changes in external drivers (e.g., climate, or resource extraction), nonlinear responses to gradual changes in drivers, and interactions among multiple drivers and disturbances. We synthesize strategies for identifying causes of abrupt ecological change and highlight instances where abrupt changes are likely. Diagnosing abrupt changes and inferring causation are increasingly important as society seek to adapt to rapid, multifaceted environmental changes.","author":[{"dropping-particle":"","family":"Ratajczak","given":"Zak","non-dropping-particle":"","parse-names":false,"suffix":""},{"dropping-particle":"","family":"Carpenter","given":"Stephen R.","non-dropping-particle":"","parse-names":false,"suffix":""},{"dropping-particle":"","family":"Ives","given":"Anthony R.","non-dropping-particle":"","parse-names":false,"suffix":""},{"dropping-particle":"","family":"Kucharik","given":"Christopher J.","non-dropping-particle":"","parse-names":false,"suffix":""},{"dropping-particle":"","family":"Ramiadantsoa","given":"Tanjona","non-dropping-particle":"","parse-names":false,"suffix":""},{"dropping-particle":"","family":"Stegner","given":"M. Allison","non-dropping-particle":"","parse-names":false,"suffix":""},{"dropping-particle":"","family":"Williams","given":"John W.","non-dropping-particle":"","parse-names":false,"suffix":""},{"dropping-particle":"","family":"Zhang","given":"Jien","non-dropping-particle":"","parse-names":false,"suffix":""},{"dropping-particle":"","family":"Turner","given":"Monica G.","non-dropping-particle":"","parse-names":false,"suffix":""}],"container-title":"Trends in Ecology and Evolution","id":"ITEM-1","issue":"7","issued":{"date-parts":[["2018"]]},"page":"513-526","title":"Abrupt Change in Ecological Systems: Inference and Diagnosis","type":"article-journal","volume":"33"},"uris":["http://www.mendeley.com/documents/?uuid=60def925-7adf-4cd2-bfb7-0b2635936d43"]}],"mendeley":{"formattedCitation":"(Ratajczak &lt;i&gt;et al.&lt;/i&gt;, 2018)","manualFormatting":"; Ratajczak et al., 2018)","plainTextFormattedCitation":"(Ratajczak et al., 2018)","previouslyFormattedCitation":"(Ratajczak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 xml:space="preserve">; Ratajczak </w:t>
      </w:r>
      <w:r w:rsidRPr="00872293">
        <w:rPr>
          <w:rFonts w:ascii="Times New Roman" w:hAnsi="Times New Roman" w:cs="Times New Roman"/>
          <w:i/>
          <w:noProof/>
        </w:rPr>
        <w:t>et al.</w:t>
      </w:r>
      <w:r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xml:space="preserve">. For example, hurricanes can affect forest production by altering plant community composition and structure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{"citationItems":[{"id":"ITEM-1","itemData":{"abstract":"This guide is an introduction to the ecological systems of Puerto Rico. It covers the diversity of ecological systems in the island, their most common plant and animal species, and salient aspects of their structure and functioning. Terrestrial, wetland, coastal, and marine ecosystems are included, as well as agroforest and urban systems. The discussion of the ecological systems of Puerto Rico is presented in the historical, cultural, and natural disturbance regime of the Island. In addition, we discuss the environmental infrastructure and organizations responsible for the conservation of Puerto Rico’s natural resources, and provide useful information to facilitate field visits to representative examples of the Island’s ecological systems. Keywords: Ecological systems, rain forests, dry forests, tropical forests, coral reefs, estuaries, mangroves, seagrasses, Puerto Rico.","author":[{"dropping-particle":"","family":"Miller","given":"G L","non-dropping-particle":"","parse-names":false,"suffix":""},{"dropping-particle":"","family":"Lugo","given":"A E","non-dropping-particle":"","parse-names":false,"suffix":""}],"container-title":"General Technical Report IITF-GTR-35","id":"ITEM-1","issued":{"date-parts":[["2009"]]},"title":"Guide to the ecological systems of Puerto Rico","type":"report"},"uris":["http://www.mendeley.com/documents/?uuid=c3a8d2ca-5a81-4521-b0e7-3281846f4bf5"]}],"mendeley":{"formattedCitation":"(Miller &amp; Lugo, 2009)","plainTextFormattedCitation":"(Miller &amp; Lugo, 2009)","previouslyFormattedCitation":"(Miller &amp; Lugo, 2009)"},"properties":{"noteIndex":0},"schema":"https://github.com/citation-style-language/schema/raw/master/csl-citation.json"}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(Miller &amp; Lugo, 2009)</w:t>
      </w:r>
      <w:r w:rsidR="00CE76B7" w:rsidRPr="00872293">
        <w:rPr>
          <w:rFonts w:ascii="Times New Roman" w:hAnsi="Times New Roman" w:cs="Times New Roman"/>
        </w:rPr>
        <w:fldChar w:fldCharType="end"/>
      </w:r>
      <w:r w:rsidRPr="00872293">
        <w:rPr>
          <w:rFonts w:ascii="Times New Roman" w:hAnsi="Times New Roman" w:cs="Times New Roman"/>
        </w:rPr>
        <w:t xml:space="preserve">. Species adapted to this type of disturbance recover after these events and eventually return to their pre-hurricane state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{"citationItems":[{"id":"ITEM-1","itemData":{"DOI":"10.1890/ES11-00115.1","ISSN":"21508925","abstract":"Given that ecological effects of disturbance have been extensively studied in many ecosystems, it is surprising that few quantitative syntheses across diverse ecosystems have been conducted. Multi-system studies tend to be qualitative because they focus on disturbance types that are difficult to measure in an ecologically relevant way. In addition, synthesis of existing studies across systems or disturbance types is challenging because sufficient information needed for analysis is not easily available. Theoretical advances and improved predictions can be advanced by generalizations obtained from synthesis activities that include multiple sites, ecosystems, and disturbance events. Building on existing research, we present a conceptual framework and an operational analog to integrate this rich body of knowledge and to promote quantitative comparisons of disturbance effects across different types of ecosystems and disturbances. This framework recognizes individual disturbance events that consist of three quantifiable components: (1) environmental drivers, (2) initial system properties, and (3) physical and biological mechanisms of effect, such as deposition, compaction, and combustion. These components result in biotic and abiotic legacies that can interact with subsequent drivers and successional processes to influence system response. Through time, a coarse-scale quasi-equilibrial state can be reached where variation in drivers interacting with biotic processes and feedbacks internal to the system results in variability in dynamics. At any time, a driver of sufficient magnitude can push the system beyond its realm of natural variability to initiate a new kind of event. We use long-term data from diverse terrestrial ecosystems to illustrate how our approach can facilitate cross-system comparisons, and provide new insights to the role of disturbance in ecological systems. We also provide key disturbance characteristics and measurements needed to promote future quantitative comparisons across ecosystems.","author":[{"dropping-particle":"","family":"Peters","given":"Debra P.C.","non-dropping-particle":"","parse-names":false,"suffix":""},{"dropping-particle":"","family":"Lugo","given":"Ariel E.","non-dropping-particle":"","parse-names":false,"suffix":""},{"dropping-particle":"","family":"Chapin","given":"F. Stuart","non-dropping-particle":"","parse-names":false,"suffix":""},{"dropping-particle":"","family":"Pickett","given":"Steward T.A.","non-dropping-particle":"","parse-names":false,"suffix":""},{"dropping-particle":"","family":"Duniway","given":"Michael","non-dropping-particle":"","parse-names":false,"suffix":""},{"dropping-particle":"V.","family":"Rocha","given":"Adrian","non-dropping-particle":"","parse-names":false,"suffix":""},{"dropping-particle":"","family":"Swanson","given":"Frederick J.","non-dropping-particle":"","parse-names":false,"suffix":""},{"dropping-particle":"","family":"Laney","given":"Christine","non-dropping-particle":"","parse-names":false,"suffix":""},{"dropping-particle":"","family":"Jones","given":"Julia","non-dropping-particle":"","parse-names":false,"suffix":""}],"container-title":"Ecosphere","id":"ITEM-1","issue":"7","issued":{"date-parts":[["2011"]]},"page":"1-26","title":"Cross-system comparisons elucidate disturbance complexities and generalities","type":"article-journal","volume":"2"},"uris":["http://www.mendeley.com/documents/?uuid=3d6c2e15-e61c-4a21-9a50-3d8431cba1cf"]}],"mendeley":{"formattedCitation":"(Peters &lt;i&gt;et al.&lt;/i&gt;, 2011)","plainTextFormattedCitation":"(Peters et al., 2011)","previouslyFormattedCitation":"(Peters &lt;i&gt;et al.&lt;/i&gt;, 2011)"},"properties":{"noteIndex":0},"schema":"https://github.com/citation-style-language/schema/raw/master/csl-citation.json"}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(Peters </w:t>
      </w:r>
      <w:r w:rsidR="00D64D1F" w:rsidRPr="00872293">
        <w:rPr>
          <w:rFonts w:ascii="Times New Roman" w:hAnsi="Times New Roman" w:cs="Times New Roman"/>
          <w:i/>
          <w:noProof/>
        </w:rPr>
        <w:t>et al.</w:t>
      </w:r>
      <w:r w:rsidR="00D64D1F" w:rsidRPr="00872293">
        <w:rPr>
          <w:rFonts w:ascii="Times New Roman" w:hAnsi="Times New Roman" w:cs="Times New Roman"/>
          <w:noProof/>
        </w:rPr>
        <w:t>, 2011)</w:t>
      </w:r>
      <w:r w:rsidR="00CE76B7" w:rsidRPr="00872293">
        <w:rPr>
          <w:rFonts w:ascii="Times New Roman" w:hAnsi="Times New Roman" w:cs="Times New Roman"/>
        </w:rPr>
        <w:fldChar w:fldCharType="end"/>
      </w:r>
      <w:r w:rsidRPr="00872293">
        <w:rPr>
          <w:rFonts w:ascii="Times New Roman" w:hAnsi="Times New Roman" w:cs="Times New Roman"/>
        </w:rPr>
        <w:t xml:space="preserve">. Nevertheless, the interaction of multiple disturbances (e.g., hurricane and climate change) can alter ecosystem thresholds and could fundamentally change recovery patterns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{"citationItems":[{"id":"ITEM-1","itemData":{"DOI":"10.1016/j.tree.2018.04.013","ISSN":"01695347","abstract":"Abrupt ecological changes are, by definition, those that occur over short periods of time relative to typical rates of change for a given ecosystem. The potential for such changes is growing due to anthropogenic pressures, which challenges the resilience of societies and ecosystems. Abrupt ecological changes are difficult to diagnose because they can arise from a variety of circumstances, including rapid changes in external drivers (e.g., climate, or resource extraction), nonlinear responses to gradual changes in drivers, and interactions among multiple drivers and disturbances. We synthesize strategies for identifying causes of abrupt ecological change and highlight instances where abrupt changes are likely. Diagnosing abrupt changes and inferring causation are increasingly important as society seek to adapt to rapid, multifaceted environmental changes.","author":[{"dropping-particle":"","family":"Ratajczak","given":"Zak","non-dropping-particle":"","parse-names":false,"suffix":""},{"dropping-particle":"","family":"Carpenter","given":"Stephen R.","non-dropping-particle":"","parse-names":false,"suffix":""},{"dropping-particle":"","family":"Ives","given":"Anthony R.","non-dropping-particle":"","parse-names":false,"suffix":""},{"dropping-particle":"","family":"Kucharik","given":"Christopher J.","non-dropping-particle":"","parse-names":false,"suffix":""},{"dropping-particle":"","family":"Ramiadantsoa","given":"Tanjona","non-dropping-particle":"","parse-names":false,"suffix":""},{"dropping-particle":"","family":"Stegner","given":"M. Allison","non-dropping-particle":"","parse-names":false,"suffix":""},{"dropping-particle":"","family":"Williams","given":"John W.","non-dropping-particle":"","parse-names":false,"suffix":""},{"dropping-particle":"","family":"Zhang","given":"Jien","non-dropping-particle":"","parse-names":false,"suffix":""},{"dropping-particle":"","family":"Turner","given":"Monica G.","non-dropping-particle":"","parse-names":false,"suffix":""}],"container-title":"Trends in Ecology and Evolution","id":"ITEM-1","issue":"7","issued":{"date-parts":[["2018"]]},"page":"513-526","title":"Abrupt Change in Ecological Systems: Inference and Diagnosis","type":"article-journal","volume":"33"},"uris":["http://www.mendeley.com/documents/?uuid=60def925-7adf-4cd2-bfb7-0b2635936d43"]}],"mendeley":{"formattedCitation":"(Ratajczak &lt;i&gt;et al.&lt;/i&gt;, 2018)","manualFormatting":"(Ratajczak et al., 2018)","plainTextFormattedCitation":"(Ratajczak et al., 2018)","previouslyFormattedCitation":"(Ratajczak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 xml:space="preserve">(Ratajczak </w:t>
      </w:r>
      <w:r w:rsidRPr="00872293">
        <w:rPr>
          <w:rFonts w:ascii="Times New Roman" w:hAnsi="Times New Roman" w:cs="Times New Roman"/>
          <w:i/>
          <w:noProof/>
        </w:rPr>
        <w:t>et al.</w:t>
      </w:r>
      <w:r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xml:space="preserve">. The causation and consequences for such interactions are difficult to predict and measure; yet, human society is significantly altering multiple global change drivers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{"citationItems":[{"id":"ITEM-1","itemData":{"DOI":"10.1371/journal.pone.0134639","ISSN":"19326203","abstract":"Many ecosystems can experience regime shifts: surprising, large and persistent changes in the function and structure of ecosystems. Assessing whether continued global change will lead to further regime shifts, or has the potential to trigger cascading regime shifts has been a central question in global change policy. Addressing this issue has, however, been hampered by the focus of regime shift research on specific cases and types of regime shifts. To systematically assess the global risk of regime shifts we conducted a comparative analysis of 25 generic types of regime shifts across marine, terrestrial and polar systems; identifying their drivers, and impacts on ecosystem services. Our results show that the drivers of regime shifts are diverse and co-occur strongly, which suggests that continued global change can be expected to synchronously increase the risk of multiple regime shifts. Furthermore, many regime shift drivers are related to climate change and food production, whose links to the continued expansion of human activities makes them difficult to limit. Because many regime shifts can amplify the drivers of other regime shifts, continued global change can also be expected to increase the risk of cascading regime shifts. Nevertheless, the variety of scales at which regime shift drivers operate provides opportunities for reducing the risk of many types of regime shifts by addressing local or regional drivers, even in the absence of rapid reduction of global drivers. Copyright:","author":[{"dropping-particle":"","family":"Rocha","given":"Juan Carlos","non-dropping-particle":"","parse-names":false,"suffix":""},{"dropping-particle":"","family":"Peterson","given":"Garry D.","non-dropping-particle":"","parse-names":false,"suffix":""},{"dropping-particle":"","family":"Biggs","given":"Reinette","non-dropping-particle":"","parse-names":false,"suffix":""}],"container-title":"PLoS ONE","id":"ITEM-1","issue":"8","issued":{"date-parts":[["2015"]]},"title":"Regime shifts in the anthropocene: Drivers, risks, and resilience","type":"article-journal","volume":"10"},"uris":["http://www.mendeley.com/documents/?uuid=ff03732b-f049-42b1-9eae-115273429148"]},{"id":"ITEM-2","itemData":{"DOI":"10.1126/science.1259855","ISSN":"10959203","PMID":"25592418","abstract":"The planetary boundaries framework defines a safe operating space for humanity based on the intrinsic biophysical processes that regulate the stability of the Earth system. Here, we revise and update the planetary boundary framework, with a focus on the underpinning biophysical science, based on targeted input from expert research communities and on more general scientific advances over the past 5 years. Several of the boundaries now have a two-tier approach, reflecting the importance of cross-scale interactions and the regional-level heterogeneity of the processes that underpin the boundaries. Two core boundaries-climate change and biosphere integrity-have been identified, each of which has the potential on its own to drive the Earth system into a new state should they be substantially and persistently transgressed.","author":[{"dropping-particle":"","family":"Steffen","given":"Will","non-dropping-particle":"","parse-names":false,"suffix":""},{"dropping-particle":"","family":"Richardson","given":"Katherine","non-dropping-particle":"","parse-names":false,"suffix":""},{"dropping-particle":"","family":"Rockström","given":"Johan","non-dropping-particle":"","parse-names":false,"suffix":""},{"dropping-particle":"","family":"Cornell","given":"Sarah E.","non-dropping-particle":"","parse-names":false,"suffix":""},{"dropping-particle":"","family":"Fetzer","given":"Ingo","non-dropping-particle":"","parse-names":false,"suffix":""},{"dropping-particle":"","family":"Bennett","given":"Elena M.","non-dropping-particle":"","parse-names":false,"suffix":""},{"dropping-particle":"","family":"Biggs","given":"Reinette","non-dropping-particle":"","parse-names":false,"suffix":""},{"dropping-particle":"","family":"Carpenter","given":"Stephen R.","non-dropping-particle":"","parse-names":false,"suffix":""},{"dropping-particle":"","family":"Vries","given":"Wim","non-dropping-particle":"De","parse-names":false,"suffix":""},{"dropping-particle":"","family":"Wit","given":"Cynthia A.","non-dropping-particle":"De","parse-names":false,"suffix":""},{"dropping-particle":"","family":"Folke","given":"Carl","non-dropping-particle":"","parse-names":false,"suffix":""},{"dropping-particle":"","family":"Gerten","given":"Dieter","non-dropping-particle":"","parse-names":false,"suffix":""},{"dropping-particle":"","family":"Heinke","given":"Jens","non-dropping-particle":"","parse-names":false,"suffix":""},{"dropping-particle":"","family":"Mace","given":"Georgina M.","non-dropping-particle":"","parse-names":false,"suffix":""},{"dropping-particle":"","family":"Persson","given":"Linn M.","non-dropping-particle":"","parse-names":false,"suffix":""},{"dropping-particle":"","family":"Ramanathan","given":"Veerabhadran","non-dropping-particle":"","parse-names":false,"suffix":""},{"dropping-particle":"","family":"Reyers","given":"Belinda","non-dropping-particle":"","parse-names":false,"suffix":""},{"dropping-particle":"","family":"Sörlin","given":"Sverker","non-dropping-particle":"","parse-names":false,"suffix":""}],"container-title":"Science","id":"ITEM-2","issued":{"date-parts":[["2015"]]},"title":"Planetary boundaries: Guiding human development on a changing planet","type":"article-journal"},"uris":["http://www.mendeley.com/documents/?uuid=8a2da7e3-dc7d-4331-a664-4c97770dab2e"]}],"mendeley":{"formattedCitation":"(Rocha &lt;i&gt;et al.&lt;/i&gt;, 2015; Steffen &lt;i&gt;et al.&lt;/i&gt;, 2015)","plainTextFormattedCitation":"(Rocha et al., 2015; Steffen et al., 2015)","previouslyFormattedCitation":"(Rocha &lt;i&gt;et al.&lt;/i&gt;, 2015; Steffen &lt;i&gt;et al.&lt;/i&gt;, 2015)"},"properties":{"noteIndex":0},"schema":"https://github.com/citation-style-language/schema/raw/master/csl-citation.json"}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(Rocha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2015; Steffen </w:t>
      </w:r>
      <w:r w:rsidR="00D64D1F" w:rsidRPr="00872293">
        <w:rPr>
          <w:rFonts w:ascii="Times New Roman" w:hAnsi="Times New Roman" w:cs="Times New Roman"/>
          <w:i/>
          <w:noProof/>
        </w:rPr>
        <w:t>et al.</w:t>
      </w:r>
      <w:r w:rsidR="00D64D1F" w:rsidRPr="00872293">
        <w:rPr>
          <w:rFonts w:ascii="Times New Roman" w:hAnsi="Times New Roman" w:cs="Times New Roman"/>
          <w:noProof/>
        </w:rPr>
        <w:t>, 2015)</w:t>
      </w:r>
      <w:r w:rsidR="00CE76B7" w:rsidRPr="00872293">
        <w:rPr>
          <w:rFonts w:ascii="Times New Roman" w:hAnsi="Times New Roman" w:cs="Times New Roman"/>
        </w:rPr>
        <w:fldChar w:fldCharType="end"/>
      </w:r>
      <w:r w:rsidRPr="00872293">
        <w:rPr>
          <w:rFonts w:ascii="Times New Roman" w:hAnsi="Times New Roman" w:cs="Times New Roman"/>
        </w:rPr>
        <w:t xml:space="preserve">, with strong potential to abrupt changes that transform ecosystem trajectories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{"citationItems":[{"id":"ITEM-1","itemData":{"DOI":"10.1038/nature11018","ISSN":"00280836","abstract":"Localized ecological systems are known to shift abruptly and irreversibly from one state to another when they are forced across critical thresholds. Here we review evidence that the global ecosystem as a whole can react in the same way and is approaching a planetary-scale critical transition as a result of human influence. The plausibility of a planetary-scale g tipping point highlights the need to improve biological forecasting by detecting early warning signs of critical transitions on global as well as local scales, and by detecting feedbacks that promote such transitions. It is also necessary to address root causes of how humans are forcing biological changes. © 2012 Macmillan Publishers Limited.","author":[{"dropping-particle":"","family":"Barnosky","given":"Anthony D.","non-dropping-particle":"","parse-names":false,"suffix":""},{"dropping-particle":"","family":"Hadly","given":"Elizabeth A.","non-dropping-particle":"","parse-names":false,"suffix":""},{"dropping-particle":"","family":"Bascompte","given":"Jordi","non-dropping-particle":"","parse-names":false,"suffix":""},{"dropping-particle":"","family":"Berlow","given":"Eric L.","non-dropping-particle":"","parse-names":false,"suffix":""},{"dropping-particle":"","family":"Brown","given":"James H.","non-dropping-particle":"","parse-names":false,"suffix":""},{"dropping-particle":"","family":"Fortelius","given":"Mikael","non-dropping-particle":"","parse-names":false,"suffix":""},{"dropping-particle":"","family":"Getz","given":"Wayne M.","non-dropping-particle":"","parse-names":false,"suffix":""},{"dropping-particle":"","family":"Harte","given":"John","non-dropping-particle":"","parse-names":false,"suffix":""},{"dropping-particle":"","family":"Hastings","given":"Alan","non-dropping-particle":"","parse-names":false,"suffix":""},{"dropping-particle":"","family":"Marquet","given":"Pablo A.","non-dropping-particle":"","parse-names":false,"suffix":""},{"dropping-particle":"","family":"Martinez","given":"Neo D.","non-dropping-particle":"","parse-names":false,"suffix":""},{"dropping-particle":"","family":"Mooers","given":"Arne","non-dropping-particle":"","parse-names":false,"suffix":""},{"dropping-particle":"","family":"Roopnarine","given":"Peter","non-dropping-particle":"","parse-names":false,"suffix":""},{"dropping-particle":"","family":"Vermeij","given":"Geerat","non-dropping-particle":"","parse-names":false,"suffix":""},{"dropping-particle":"","family":"Williams","given":"John W.","non-dropping-particle":"","parse-names":false,"suffix":""},{"dropping-particle":"","family":"Gillespie","given":"Rosemary","non-dropping-particle":"","parse-names":false,"suffix":""},{"dropping-particle":"","family":"Kitzes","given":"Justin","non-dropping-particle":"","parse-names":false,"suffix":""},{"dropping-particle":"","family":"Marshall","given":"Charles","non-dropping-particle":"","parse-names":false,"suffix":""},{"dropping-particle":"","family":"Matzke","given":"Nicholas","non-dropping-particle":"","parse-names":false,"suffix":""},{"dropping-particle":"","family":"Mindell","given":"David P.","non-dropping-particle":"","parse-names":false,"suffix":""},{"dropping-particle":"","family":"Revilla","given":"Eloy","non-dropping-particle":"","parse-names":false,"suffix":""},{"dropping-particle":"","family":"Smith","given":"Adam B.","non-dropping-particle":"","parse-names":false,"suffix":""}],"container-title":"Nature","id":"ITEM-1","issued":{"date-parts":[["2012"]]},"page":"52-58","title":"Approaching a state shift in Earth's biosphere","type":"article-journal","volume":"486"},"uris":["http://www.mendeley.com/documents/?uuid=2f1d17de-0d18-4587-98d7-0a3bc9de4e33"]}],"mendeley":{"formattedCitation":"(Barnosky &lt;i&gt;et al.&lt;/i&gt;, 2012)","plainTextFormattedCitation":"(Barnosky et al., 2012)","previouslyFormattedCitation":"(Barnosky &lt;i&gt;et al.&lt;/i&gt;, 2012)"},"properties":{"noteIndex":0},"schema":"https://github.com/citation-style-language/schema/raw/master/csl-citation.json"}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(Barnosky </w:t>
      </w:r>
      <w:r w:rsidR="00D64D1F" w:rsidRPr="00872293">
        <w:rPr>
          <w:rFonts w:ascii="Times New Roman" w:hAnsi="Times New Roman" w:cs="Times New Roman"/>
          <w:i/>
          <w:noProof/>
        </w:rPr>
        <w:t>et al.</w:t>
      </w:r>
      <w:r w:rsidR="00D64D1F" w:rsidRPr="00872293">
        <w:rPr>
          <w:rFonts w:ascii="Times New Roman" w:hAnsi="Times New Roman" w:cs="Times New Roman"/>
          <w:noProof/>
        </w:rPr>
        <w:t>, 2012)</w:t>
      </w:r>
      <w:r w:rsidR="00CE76B7" w:rsidRPr="00872293">
        <w:rPr>
          <w:rFonts w:ascii="Times New Roman" w:hAnsi="Times New Roman" w:cs="Times New Roman"/>
        </w:rPr>
        <w:fldChar w:fldCharType="end"/>
      </w:r>
      <w:r w:rsidRPr="00872293">
        <w:rPr>
          <w:rFonts w:ascii="Times New Roman" w:hAnsi="Times New Roman" w:cs="Times New Roman"/>
        </w:rPr>
        <w:t>. Accordingly, it is critical to understand the effects of and mechanisms influencing an ecosystem through multiple disturbances to better predict future scenarios of ecosystem change, as well as feedbacks to future climate.</w:t>
      </w:r>
    </w:p>
    <w:p w14:paraId="389F3949" w14:textId="77777777" w:rsidR="00E563F7" w:rsidRPr="00872293" w:rsidRDefault="00E563F7" w:rsidP="00E563F7">
      <w:pPr>
        <w:autoSpaceDE w:val="0"/>
        <w:autoSpaceDN w:val="0"/>
        <w:adjustRightInd w:val="0"/>
        <w:spacing w:line="360" w:lineRule="auto"/>
        <w:rPr>
          <w:rFonts w:ascii="Times New Roman" w:hAnsi="Times New Roman" w:cs="Times New Roman"/>
        </w:rPr>
      </w:pPr>
    </w:p>
    <w:p w14:paraId="4F657C70" w14:textId="0840E932" w:rsidR="00E563F7" w:rsidRPr="00872293" w:rsidRDefault="00E563F7" w:rsidP="00E563F7">
      <w:pPr>
        <w:autoSpaceDE w:val="0"/>
        <w:autoSpaceDN w:val="0"/>
        <w:adjustRightInd w:val="0"/>
        <w:spacing w:line="360" w:lineRule="auto"/>
        <w:rPr>
          <w:rFonts w:ascii="Arial" w:hAnsi="Arial" w:cs="Arial"/>
          <w:shd w:val="clear" w:color="auto" w:fill="FFFFFF"/>
        </w:rPr>
      </w:pPr>
      <w:r w:rsidRPr="00872293">
        <w:rPr>
          <w:rFonts w:ascii="Times New Roman" w:hAnsi="Times New Roman" w:cs="Times New Roman"/>
        </w:rPr>
        <w:t>Net primary production (NPP) is an important ecosystem function that can be altered by multiple disturbances. For example, in a CO</w:t>
      </w:r>
      <w:r w:rsidRPr="00872293">
        <w:rPr>
          <w:rFonts w:ascii="Times New Roman" w:hAnsi="Times New Roman" w:cs="Times New Roman"/>
          <w:vertAlign w:val="subscript"/>
        </w:rPr>
        <w:t>2</w:t>
      </w:r>
      <w:r w:rsidRPr="00872293">
        <w:rPr>
          <w:rFonts w:ascii="Times New Roman" w:hAnsi="Times New Roman" w:cs="Times New Roman"/>
        </w:rPr>
        <w:t xml:space="preserve"> enrichment experiment at the </w:t>
      </w:r>
      <w:r w:rsidRPr="00872293">
        <w:rPr>
          <w:rFonts w:ascii="Times New Roman" w:hAnsi="Times New Roman" w:cs="Times New Roman"/>
          <w:shd w:val="clear" w:color="auto" w:fill="FFFFFF"/>
        </w:rPr>
        <w:t>Kennedy Space Center, Cape Canaveral, Florida, USA, although CO</w:t>
      </w:r>
      <w:r w:rsidRPr="00872293">
        <w:rPr>
          <w:rFonts w:ascii="Times New Roman" w:hAnsi="Times New Roman" w:cs="Times New Roman"/>
          <w:shd w:val="clear" w:color="auto" w:fill="FFFFFF"/>
          <w:vertAlign w:val="subscript"/>
        </w:rPr>
        <w:t>2</w:t>
      </w:r>
      <w:r w:rsidRPr="00872293">
        <w:rPr>
          <w:rFonts w:ascii="Times New Roman" w:hAnsi="Times New Roman" w:cs="Times New Roman"/>
          <w:shd w:val="clear" w:color="auto" w:fill="FFFFFF"/>
        </w:rPr>
        <w:t xml:space="preserve"> increased NNP compared to the control plots, </w:t>
      </w:r>
      <w:r w:rsidRPr="00872293">
        <w:rPr>
          <w:rFonts w:ascii="Times New Roman" w:hAnsi="Times New Roman" w:cs="Times New Roman"/>
        </w:rPr>
        <w:t>Hurricane Frances (September 2004</w:t>
      </w:r>
      <w:r w:rsidR="0059491A" w:rsidRPr="00872293">
        <w:rPr>
          <w:rFonts w:ascii="Times New Roman" w:hAnsi="Times New Roman" w:cs="Times New Roman"/>
        </w:rPr>
        <w:t>; Category II</w:t>
      </w:r>
      <w:r w:rsidRPr="00872293">
        <w:rPr>
          <w:rFonts w:ascii="Times New Roman" w:hAnsi="Times New Roman" w:cs="Times New Roman"/>
        </w:rPr>
        <w:t>) increased NPP even more and the differences between CO</w:t>
      </w:r>
      <w:r w:rsidRPr="00872293">
        <w:rPr>
          <w:rFonts w:ascii="Times New Roman" w:hAnsi="Times New Roman" w:cs="Times New Roman"/>
          <w:vertAlign w:val="subscript"/>
        </w:rPr>
        <w:t>2</w:t>
      </w:r>
      <w:r w:rsidRPr="00872293">
        <w:rPr>
          <w:rFonts w:ascii="Times New Roman" w:hAnsi="Times New Roman" w:cs="Times New Roman"/>
        </w:rPr>
        <w:t xml:space="preserve"> enriched plots and control plots were even greater, especially in belowground production</w:t>
      </w:r>
      <w:r w:rsidR="0059491A" w:rsidRPr="00872293">
        <w:rPr>
          <w:rFonts w:ascii="Times New Roman" w:hAnsi="Times New Roman" w:cs="Times New Roman"/>
        </w:rPr>
        <w:t xml:space="preserve"> </w:t>
      </w:r>
      <w:r w:rsidR="0059491A" w:rsidRPr="00872293">
        <w:rPr>
          <w:rFonts w:ascii="Times New Roman" w:hAnsi="Times New Roman" w:cs="Times New Roman"/>
        </w:rPr>
        <w:fldChar w:fldCharType="begin" w:fldLock="1"/>
      </w:r>
      <w:r w:rsidR="00510F79" w:rsidRPr="00872293">
        <w:rPr>
          <w:rFonts w:ascii="Times New Roman" w:hAnsi="Times New Roman" w:cs="Times New Roman"/>
        </w:rPr>
        <w:instrText>ADDIN CSL_CITATION {"citationItems":[{"id":"ITEM-1","itemData":{"DOI":"10.1111/nph.12409","ISSN":"0028646X","abstract":"Disturbance affects most terrestrial ecosystems and has the potential to shape their responses to chronic environmental change. Scrub-oak vegetation regenerating from fire disturbance in subtropical Florida was exposed to experimentally elevated carbon dioxide (CO2) concentration (+350 μl l-1) using open-top chambers for 11 yr, punctuated by hurricane disturbance in year 8. Here, we report the effects of elevated CO2 on aboveground and belowground net primary productivity (NPP) and nitrogen (N) cycling during this experiment. The stimulation of NPP and N uptake by elevated CO2 peaked within 2 yr after disturbance by fire and hurricane, when soil nutrient availability was high. The stimulation subsequently declined and disappeared, coincident with low soil nutrient availability and with a CO2-induced reduction in the N concentration of oak stems. These findings show that strong growth responses to elevated CO2 can be transient, are consistent with a progressively limited response to elevated CO2 interrupted by disturbance, and illustrate the importance of biogeochemical responses to extreme events in modulating ecosystem responses to global environmental change. © 2013 The Authors. © 2013 New Phytologist Trust.","author":[{"dropping-particle":"","family":"Hungate","given":"Bruce A.","non-dropping-particle":"","parse-names":false,"suffix":""},{"dropping-particle":"","family":"Day","given":"Frank P.","non-dropping-particle":"","parse-names":false,"suffix":""},{"dropping-particle":"","family":"Dijkstra","given":"Paul","non-dropping-particle":"","parse-names":false,"suffix":""},{"dropping-particle":"","family":"Duval","given":"Benjamin D.","non-dropping-particle":"","parse-names":false,"suffix":""},{"dropping-particle":"","family":"Hinkle","given":"C. Ross","non-dropping-particle":"","parse-names":false,"suffix":""},{"dropping-particle":"","family":"Langley","given":"J. Adam","non-dropping-particle":"","parse-names":false,"suffix":""},{"dropping-particle":"","family":"Megonigal","given":"J. Patrick","non-dropping-particle":"","parse-names":false,"suffix":""},{"dropping-particle":"","family":"Stiling","given":"Peter","non-dropping-particle":"","parse-names":false,"suffix":""},{"dropping-particle":"","family":"Johnson","given":"Dale W.","non-dropping-particle":"","parse-names":false,"suffix":""},{"dropping-particle":"","family":"Drake","given":"Bert G.","non-dropping-particle":"","parse-names":false,"suffix":""}],"container-title":"New Phytologist","id":"ITEM-1","issue":"3","issued":{"date-parts":[["2013"]]},"page":"767-777","title":"Fire, hurricane and carbon dioxide: Effects on net primary production of a subtropical woodland","type":"article-journal","volume":"200"},"uris":["http://www.mendeley.com/documents/?uuid=507790cf-01ec-46b0-b562-ceb94dbf1af6"]}],"mendeley":{"formattedCitation":"(Hungate &lt;i&gt;et al.&lt;/i&gt;, 2013)","plainTextFormattedCitation":"(Hungate et al., 2013)","previouslyFormattedCitation":"(Hungate &lt;i&gt;et al.&lt;/i&gt;, 2013)"},"properties":{"noteIndex":0},"schema":"https://github.com/citation-style-language/schema/raw/master/csl-citation.json"}</w:instrText>
      </w:r>
      <w:r w:rsidR="0059491A" w:rsidRPr="00872293">
        <w:rPr>
          <w:rFonts w:ascii="Times New Roman" w:hAnsi="Times New Roman" w:cs="Times New Roman"/>
        </w:rPr>
        <w:fldChar w:fldCharType="separate"/>
      </w:r>
      <w:r w:rsidR="0059491A" w:rsidRPr="00872293">
        <w:rPr>
          <w:rFonts w:ascii="Times New Roman" w:hAnsi="Times New Roman" w:cs="Times New Roman"/>
          <w:noProof/>
        </w:rPr>
        <w:t xml:space="preserve">(Hungate </w:t>
      </w:r>
      <w:r w:rsidR="0059491A" w:rsidRPr="00872293">
        <w:rPr>
          <w:rFonts w:ascii="Times New Roman" w:hAnsi="Times New Roman" w:cs="Times New Roman"/>
          <w:i/>
          <w:noProof/>
        </w:rPr>
        <w:t>et al.</w:t>
      </w:r>
      <w:r w:rsidR="0059491A" w:rsidRPr="00872293">
        <w:rPr>
          <w:rFonts w:ascii="Times New Roman" w:hAnsi="Times New Roman" w:cs="Times New Roman"/>
          <w:noProof/>
        </w:rPr>
        <w:t>, 2013)</w:t>
      </w:r>
      <w:r w:rsidR="0059491A" w:rsidRPr="00872293">
        <w:rPr>
          <w:rFonts w:ascii="Times New Roman" w:hAnsi="Times New Roman" w:cs="Times New Roman"/>
        </w:rPr>
        <w:fldChar w:fldCharType="end"/>
      </w:r>
      <w:r w:rsidR="0059491A" w:rsidRPr="00872293">
        <w:rPr>
          <w:rFonts w:ascii="Times New Roman" w:hAnsi="Times New Roman" w:cs="Times New Roman"/>
        </w:rPr>
        <w:t xml:space="preserve">. </w:t>
      </w:r>
      <w:r w:rsidRPr="00872293">
        <w:rPr>
          <w:rFonts w:ascii="Times New Roman" w:hAnsi="Times New Roman" w:cs="Times New Roman"/>
        </w:rPr>
        <w:t xml:space="preserve">Drivers shaping plant recovery after a disturbance can be related to soil biogeochemistry and the pulse of nutrient availability post-disturbance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{"citationItems":[{"id":"ITEM-1","itemData":{"DOI":"10.1111/nph.12409","ISSN":"0028646X","abstract":"Disturbance affects most terrestrial ecosystems and has the potential to shape their responses to chronic environmental change. Scrub-oak vegetation regenerating from fire disturbance in subtropical Florida was exposed to experimentally elevated carbon dioxide (CO2) concentration (+350 μl l-1) using open-top chambers for 11 yr, punctuated by hurricane disturbance in year 8. Here, we report the effects of elevated CO2 on aboveground and belowground net primary productivity (NPP) and nitrogen (N) cycling during this experiment. The stimulation of NPP and N uptake by elevated CO2 peaked within 2 yr after disturbance by fire and hurricane, when soil nutrient availability was high. The stimulation subsequently declined and disappeared, coincident with low soil nutrient availability and with a CO2-induced reduction in the N concentration of oak stems. These findings show that strong growth responses to elevated CO2 can be transient, are consistent with a progressively limited response to elevated CO2 interrupted by disturbance, and illustrate the importance of biogeochemical responses to extreme events in modulating ecosystem responses to global environmental change. © 2013 The Authors. © 2013 New Phytologist Trust.","author":[{"dropping-particle":"","family":"Hungate","given":"Bruce A.","non-dropping-particle":"","parse-names":false,"suffix":""},{"dropping-particle":"","family":"Day","given":"Frank P.","non-dropping-particle":"","parse-names":false,"suffix":""},{"dropping-particle":"","family":"Dijkstra","given":"Paul","non-dropping-particle":"","parse-names":false,"suffix":""},{"dropping-particle":"","family":"Duval","given":"Benjamin D.","non-dropping-particle":"","parse-names":false,"suffix":""},{"dropping-particle":"","family":"Hinkle","given":"C. Ross","non-dropping-particle":"","parse-names":false,"suffix":""},{"dropping-particle":"","family":"Langley","given":"J. Adam","non-dropping-particle":"","parse-names":false,"suffix":""},{"dropping-particle":"","family":"Megonigal","given":"J. Patrick","non-dropping-particle":"","parse-names":false,"suffix":""},{"dropping-particle":"","family":"Stiling","given":"Peter","non-dropping-particle":"","parse-names":false,"suffix":""},{"dropping-particle":"","family":"Johnson","given":"Dale W.","non-dropping-particle":"","parse-names":false,"suffix":""},{"dropping-particle":"","family":"Drake","given":"Bert G.","non-dropping-particle":"","parse-names":false,"suffix":""}],"container-title":"New Phytologist","id":"ITEM-1","issue":"3","issued":{"date-parts":[["2013"]]},"page":"767-777","title":"Fire, hurricane and carbon dioxide: Effects on net primary production of a subtropical woodland","type":"article-journal","volume":"200"},"uris":["http://www.mendeley.com/documents/?uuid=507790cf-01ec-46b0-b562-ceb94dbf1af6"]},{"id":"ITEM-2","itemData":{"DOI":"10.2307/2388249","ISSN":"00063606","abstract":"On 18 September 1989 Hurricane Hugo defoliated large forested areas of northeastern Puerto Rico. In two severely damaged subtropical wet forest sites, a mean of 1006-1083 g/m2, or 419-451 times the mean daily input of fine litter (leaves, small wood, and miscellaneous debris) was deposited on the forest floor. An additional 928 g/m2 of litter was suspended above the ground. A lowermontanerainforest site received 682 times the mean daily fine litterfall. The concentrations of N and P in the hurricane leaf litter ranged from 1.1 to 1.5 and 1.7 to 3.3 times the concentrations of N and P in normal leaffall, respectively. In subtropical wet forest, fine litterfall from the hurricane contained 1.3 and 1.5-2.4 times the mean annual litterfall inputs of N and P, respectively. These sudden high nutrient inputs apparently altered nutrient cycling.","author":[{"dropping-particle":"","family":"Lodge","given":"D. Jean","non-dropping-particle":"","parse-names":false,"suffix":""},{"dropping-particle":"","family":"Scatena","given":"F. N.","non-dropping-particle":"","parse-names":false,"suffix":""},{"dropping-particle":"","family":"Asbury","given":"C. E.","non-dropping-particle":"","parse-names":false,"suffix":""},{"dropping-particle":"","family":"Sanchez","given":"M. J.","non-dropping-particle":"","parse-names":false,"suffix":""}],"container-title":"Biotropica","id":"ITEM-2","issued":{"date-parts":[["1991"]]},"page":"336-342","title":"Fine Litterfall and Related Nutrient Inputs Resulting From Hurricane Hugo in Subtropical Wet and Lower Montane Rain Forests of Puerto Rico","type":"article-journal"},"uris":["http://www.mendeley.com/documents/?uuid=29c92c40-3fe4-4fac-99da-d61a11610912"]}],"mendeley":{"formattedCitation":"(Lodge &lt;i&gt;et al.&lt;/i&gt;, 1991; Hungate &lt;i&gt;et al.&lt;/i&gt;, 2013)","plainTextFormattedCitation":"(Lodge et al., 1991; Hungate et al., 2013)","previouslyFormattedCitation":"(Lodge &lt;i&gt;et al.&lt;/i&gt;, 1991; Hungate &lt;i&gt;et al.&lt;/i&gt;, 2013)"},"properties":{"noteIndex":0},"schema":"https://github.com/citation-style-language/schema/raw/master/csl-citation.json"}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(Lodge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1991; Hungate </w:t>
      </w:r>
      <w:r w:rsidR="00D64D1F" w:rsidRPr="00872293">
        <w:rPr>
          <w:rFonts w:ascii="Times New Roman" w:hAnsi="Times New Roman" w:cs="Times New Roman"/>
          <w:i/>
          <w:noProof/>
        </w:rPr>
        <w:t>et al.</w:t>
      </w:r>
      <w:r w:rsidR="00D64D1F" w:rsidRPr="00872293">
        <w:rPr>
          <w:rFonts w:ascii="Times New Roman" w:hAnsi="Times New Roman" w:cs="Times New Roman"/>
          <w:noProof/>
        </w:rPr>
        <w:t>, 2013)</w:t>
      </w:r>
      <w:r w:rsidR="00CE76B7" w:rsidRPr="00872293">
        <w:rPr>
          <w:rFonts w:ascii="Times New Roman" w:hAnsi="Times New Roman" w:cs="Times New Roman"/>
        </w:rPr>
        <w:fldChar w:fldCharType="end"/>
      </w:r>
      <w:r w:rsidRPr="00872293">
        <w:rPr>
          <w:rFonts w:ascii="Times New Roman" w:hAnsi="Times New Roman" w:cs="Times New Roman"/>
        </w:rPr>
        <w:t xml:space="preserve">, </w:t>
      </w:r>
      <w:r w:rsidRPr="00872293">
        <w:rPr>
          <w:rFonts w:ascii="Times New Roman" w:hAnsi="Times New Roman" w:cs="Times New Roman"/>
          <w:shd w:val="clear" w:color="auto" w:fill="FFFFFF"/>
        </w:rPr>
        <w:t xml:space="preserve">species composition and susceptibility </w:t>
      </w:r>
      <w:r w:rsidR="00CE76B7" w:rsidRPr="00872293">
        <w:rPr>
          <w:rFonts w:ascii="Times New Roman" w:hAnsi="Times New Roman" w:cs="Times New Roman"/>
          <w:shd w:val="clear" w:color="auto" w:fill="FFFFFF"/>
        </w:rPr>
        <w:fldChar w:fldCharType="begin" w:fldLock="1"/>
      </w:r>
      <w:r w:rsidR="00752392" w:rsidRPr="00872293">
        <w:rPr>
          <w:rFonts w:ascii="Times New Roman" w:hAnsi="Times New Roman" w:cs="Times New Roman"/>
          <w:shd w:val="clear" w:color="auto" w:fill="FFFFFF"/>
        </w:rPr>
        <w:instrText>ADDIN CSL_CITATION {"citationItems":[{"id":"ITEM-1","itemData":{"DOI":"10.2307/2261065","ISSN":"00220477","abstract":"The effect of catastrophic winds on a forested landscape in C Massachusetts was examined. Tom Swamp Tract, Harvard Forest, comprises a valley and adjoining hillslopes supporting second-growth hardwood and conifer stands. Much of the study used records and maps that were analysed cartographically with a geographic information system. Areally, forest damage was distributed fairly evenly among different damage classes ranging from no damage to &gt;75% of stems broken or uprooted, but there was a negative exponential size distribution of contiguous areas of the same damage intensity, with a preponderance &lt;2ha. These areas ranged from &lt;0.04ha to &gt;35ha; hurricane damage exhibited a continuum ranging from minor damage of individual trees to extensive blow-down of broad areas of forest. The spatial pattern of wind damage was controlled by vegetation height and composition and by site exposure, which is predominantly determined by slope orientation and angle. About 3% of the stands in the study site occupied protected sites, 31% intermediate sites, and 66% exposed sites. Forest type susceptibility followed the ranking: Pinus strobus &gt; conifer plantations &gt; P. strobus-hardwood+Tsuga canadensis-hardwood-P. strobus&gt;hardwood-P.strobus&gt;hardwood. Damage increased with increasing site exposure to wind and increased approximately linearly with stand height. An empirical GIS model of landscape-level response to wind was constructed. Hurricane damage was analysed as a function of site factors (exposure) and vegetational factors (height and composition). The landscape-level response to catastrophic wind may be highly sensitive to historical changes in vegetation. -from Authors","author":[{"dropping-particle":"","family":"Foster","given":"D. R.","non-dropping-particle":"","parse-names":false,"suffix":""},{"dropping-particle":"","family":"Boose","given":"E. R.","non-dropping-particle":"","parse-names":false,"suffix":""}],"container-title":"Journal of Ecology","id":"ITEM-1","issue":"1","issued":{"date-parts":[["1992"]]},"page":"79-98","title":"Patterns of forest damage resulting from catastrophic wind in central New England, USA","type":"article-journal","volume":"80"},"uris":["http://www.mendeley.com/documents/?uuid=657b0712-b562-4c85-b101-189d7c321e37"]},{"id":"ITEM-2","itemData":{"DOI":"10.3390/f8060204","ISSN":"19994907","abstract":"The science of ecology fundamentally aims to understand species and their relation to the environment. At sites where hurricane disturbance is part of the environmental context, permanent forest plots are critical to understand ecological vegetation dynamics through time. An overview of forest structure and species composition from two of the longest continuously measured tropical forest plots is presented. Long-term measurements, 72 years at the leeward site, and 25 years at windward site, of stem density are similar to initial and pre-hurricane values at both sites. For 10 years post-hurricane Hugo (1989), stem density increased at both sites. Following that increase period, stem density has remained at 1400 to 1600 stems/ha in the leeward site, and at 1200 stems/ha in the windward site. The forests had similar basal area values before hurricane Hugo in 1989, but these sites are following different patterns of basal area accumulation. The leeward forest site continues to accumulate and increase basal area with each successive measurement, currently above 50 m2/ha. The windward forest site maintains its basal area values close to an asymptote of 35 m2/ha. Currently, the most abundant species at both sites is the sierra palm. Ordinations to explore variation in tree species composition through time present the leeward site with a trajectory of directional change, while at the windward site, the composition of species seems to be converging to pre-hurricane conditions. The observed differences in forest structure and composition from sites differently affected by hurricane disturbance provide insight into how particular forest characteristics respond at shorter or longer time scales in relation to previous site conditions and intensity of disturbance effects.","author":[{"dropping-particle":"","family":"Heartsill Scalley","given":"Tamara","non-dropping-particle":"","parse-names":false,"suffix":""}],"container-title":"Forests","id":"ITEM-2","issue":"6","issued":{"date-parts":[["2017"]]},"page":"204","title":"Insights on forest structure and composition from long-term research in the luquillo mountains","type":"article-journal","volume":"8"},"uris":["http://www.mendeley.com/documents/?uuid=881e2650-40f2-428c-9aae-24b43458680f"]}],"mendeley":{"formattedCitation":"(Foster &amp; Boose, 1992; Heartsill Scalley, 2017)","plainTextFormattedCitation":"(Foster &amp; Boose, 1992; Heartsill Scalley, 2017)","previouslyFormattedCitation":"(Foster &amp; Boose, 1992; Heartsill Scalley, 2017)"},"properties":{"noteIndex":0},"schema":"https://github.com/citation-style-language/schema/raw/master/csl-citation.json"}</w:instrText>
      </w:r>
      <w:r w:rsidR="00CE76B7" w:rsidRPr="00872293">
        <w:rPr>
          <w:rFonts w:ascii="Times New Roman" w:hAnsi="Times New Roman" w:cs="Times New Roman"/>
          <w:shd w:val="clear" w:color="auto" w:fill="FFFFFF"/>
        </w:rPr>
        <w:fldChar w:fldCharType="separate"/>
      </w:r>
      <w:r w:rsidR="00510F79" w:rsidRPr="00872293">
        <w:rPr>
          <w:rFonts w:ascii="Times New Roman" w:hAnsi="Times New Roman" w:cs="Times New Roman"/>
          <w:noProof/>
          <w:shd w:val="clear" w:color="auto" w:fill="FFFFFF"/>
        </w:rPr>
        <w:t>(Foster &amp; Boose, 1992; Heartsill Scalley, 2017)</w:t>
      </w:r>
      <w:r w:rsidR="00CE76B7"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xml:space="preserve">, and water availability </w:t>
      </w:r>
      <w:r w:rsidR="00CE76B7" w:rsidRPr="00872293">
        <w:rPr>
          <w:rFonts w:ascii="Times New Roman" w:hAnsi="Times New Roman" w:cs="Times New Roman"/>
          <w:shd w:val="clear" w:color="auto" w:fill="FFFFFF"/>
        </w:rPr>
        <w:fldChar w:fldCharType="begin" w:fldLock="1"/>
      </w:r>
      <w:r w:rsidR="00045A85" w:rsidRPr="00872293">
        <w:rPr>
          <w:rFonts w:ascii="Times New Roman" w:hAnsi="Times New Roman" w:cs="Times New Roman"/>
          <w:shd w:val="clear" w:color="auto" w:fill="FFFFFF"/>
        </w:rPr>
        <w:instrText>ADDIN CSL_CITATION {"citationItems":[{"id":"ITEM-1","itemData":{"DOI":"10.1890/04-1114","ISSN":"00129615","abstract":"Little is known about ecosystem-level responses to multiple, climatic disturbance events. In the subtropical forests of Puerto Rico, the major natural disturbances are hurricanes and droughts. We tested the ecosystem-level effects of these disturbances in sites with different land use histories. From 1989 to 1992, data were collected to determine the effects of Hurricane Hugo and two droughts on litterfall inputs, fine-root biomass, and decomposition rates in three topographic locations (stream, riparian, upslope) within two watersheds. From 1994 to 1998, we added a third watershed and an experiment in which coarse-wood levels were manipulated to simulate hurricane inputs. Data were collected on tree and palm growth rates, litterfall inputs, fine-root biomass, and decomposition rates. From 1994 to 1998, four hurricanes and three droughts were recorded. Measured parameters had unique responses and recovery rates to hurricanes and droughts. Litterfall inputs returned to long-term mean rates within one month following droughts and small-to-moderate hurricanes but required five years to recover after an intense hurricane. In contrast, fine-root biomass recovered seven months after an intense hurricane but failed to recover after five years following a severe drought. Despite the dramatic effects of these weather events on some ecosystem parameters, we found that aboveground measures of tree and palm growth were more affected by preexisting site conditions (e.g., nitrogen availability due to past land use activities) than hurricanes or droughts. The addition of coarse woody debris increased tree and palm growth, fine-root biomass, and litter production; however, in the case of tree and palm growth, this effect was least measurable in the sites with the highest productivity. We found that decomposition rates were more controlled by litter quality than weather conditions. In conclusion, we found that certain ecosystem structures (e.g., canopy structure and fine-root biomass) generally recovered more slowly from disturbance events than certain ecosystem processes (e.g., plant growth rates, decomposition rates). We also found that past land use activities and disturbance legacies were important in determining the responses and recovery rates of the ecosystem to disturbance. © 2005 by the Ecological Society of America.","author":[{"dropping-particle":"","family":"Beard","given":"Karen H.","non-dropping-particle":"","parse-names":false,"suffix":""},{"dropping-particle":"","family":"Vogt","given":"Kristiina A.","non-dropping-particle":"","parse-names":false,"suffix":""},{"dropping-particle":"","family":"Vogt","given":"Daniel J.","non-dropping-particle":"","parse-names":false,"suffix":""},{"dropping-particle":"","family":"Scatena","given":"Frederick N.","non-dropping-particle":"","parse-names":false,"suffix":""},{"dropping-particle":"","family":"Covich","given":"Alan P.","non-dropping-particle":"","parse-names":false,"suffix":""},{"dropping-particle":"","family":"Sigurdardottir","given":"Ragnhildur","non-dropping-particle":"","parse-names":false,"suffix":""},{"dropping-particle":"","family":"Siccama","given":"Thomas G.","non-dropping-particle":"","parse-names":false,"suffix":""},{"dropping-particle":"","family":"Crowl","given":"Todd A.","non-dropping-particle":"","parse-names":false,"suffix":""}],"container-title":"Ecological Monographs","id":"ITEM-1","issue":"3","issued":{"date-parts":[["2005"]]},"page":"345-361","title":"Structural and functional responses of a subtropical forest to 10 years of hurricanes and droughts","type":"article-journal","volume":"75"},"uris":["http://www.mendeley.com/documents/?uuid=7c2f6988-778f-4448-bd7c-257e2916fbb1"]}],"mendeley":{"formattedCitation":"(Beard &lt;i&gt;et al.&lt;/i&gt;, 2005)","plainTextFormattedCitation":"(Beard et al., 2005)","previouslyFormattedCitation":"(Beard &lt;i&gt;et al.&lt;/i&gt;, 2005)"},"properties":{"noteIndex":0},"schema":"https://github.com/citation-style-language/schema/raw/master/csl-citation.json"}</w:instrText>
      </w:r>
      <w:r w:rsidR="00CE76B7" w:rsidRPr="00872293">
        <w:rPr>
          <w:rFonts w:ascii="Times New Roman" w:hAnsi="Times New Roman" w:cs="Times New Roman"/>
          <w:shd w:val="clear" w:color="auto" w:fill="FFFFFF"/>
        </w:rPr>
        <w:fldChar w:fldCharType="separate"/>
      </w:r>
      <w:r w:rsidR="00D64D1F" w:rsidRPr="00872293">
        <w:rPr>
          <w:rFonts w:ascii="Times New Roman" w:hAnsi="Times New Roman" w:cs="Times New Roman"/>
          <w:noProof/>
          <w:shd w:val="clear" w:color="auto" w:fill="FFFFFF"/>
        </w:rPr>
        <w:t xml:space="preserve">(Beard </w:t>
      </w:r>
      <w:r w:rsidR="00D64D1F" w:rsidRPr="00872293">
        <w:rPr>
          <w:rFonts w:ascii="Times New Roman" w:hAnsi="Times New Roman" w:cs="Times New Roman"/>
          <w:i/>
          <w:noProof/>
          <w:shd w:val="clear" w:color="auto" w:fill="FFFFFF"/>
        </w:rPr>
        <w:t>et al.</w:t>
      </w:r>
      <w:r w:rsidR="00D64D1F" w:rsidRPr="00872293">
        <w:rPr>
          <w:rFonts w:ascii="Times New Roman" w:hAnsi="Times New Roman" w:cs="Times New Roman"/>
          <w:noProof/>
          <w:shd w:val="clear" w:color="auto" w:fill="FFFFFF"/>
        </w:rPr>
        <w:t>, 2005)</w:t>
      </w:r>
      <w:r w:rsidR="00CE76B7"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among others. For example, plant root biomass following Hurricane Hugo took up to 10 years to return to pre-hurricane values</w:t>
      </w:r>
      <w:r w:rsidR="001946B8" w:rsidRPr="00872293">
        <w:rPr>
          <w:rFonts w:ascii="Times New Roman" w:hAnsi="Times New Roman" w:cs="Times New Roman"/>
          <w:shd w:val="clear" w:color="auto" w:fill="FFFFFF"/>
        </w:rPr>
        <w:t xml:space="preserve"> </w:t>
      </w:r>
      <w:r w:rsidR="001946B8" w:rsidRPr="00872293">
        <w:rPr>
          <w:rFonts w:ascii="Times New Roman" w:hAnsi="Times New Roman" w:cs="Times New Roman"/>
          <w:shd w:val="clear" w:color="auto" w:fill="FFFFFF"/>
        </w:rPr>
        <w:fldChar w:fldCharType="begin" w:fldLock="1"/>
      </w:r>
      <w:r w:rsidR="001946B8" w:rsidRPr="00872293">
        <w:rPr>
          <w:rFonts w:ascii="Times New Roman" w:hAnsi="Times New Roman" w:cs="Times New Roman"/>
          <w:shd w:val="clear" w:color="auto" w:fill="FFFFFF"/>
        </w:rPr>
        <w:instrText>ADDIN CSL_CITATION {"citationItems":[{"id":"ITEM-1","itemData":{"DOI":"10.1007/s11104-009-9926-z","ISSN":"0032079X","abstract":"Humid tropical forests are dynamic ecosystems that experience multiple and overlapping disturbance events that vary in frequency, intensity, and spatial extent. Here we report the results of a 10-year study investigating the effects of forest clearing and multiple hurricanes on ecosystem carbon reservoirs, nutrient pools and vegetation. The aboveground plant community was most heavily affected by multiple disturbances, with the 9-year-old stands showing high rates of hurricane-induced mortality relative to surrounding forest. Belowground pools were less affected. Live fine root biomass fluctuated in response to multiple disturbances, but returned to pre-disturbance levels after 10 years. Soil C was resilient to clearing and hurricanes, probably due to the large pool size and high clay content. Soil P fluctuated over time, declining during periods of rapid plant recovery and growth. With the exception of K, base cations recovered within 2 years following clearing and showed little response to hurricane disturbance. © The Author(s) 2009.","author":[{"dropping-particle":"","family":"Teh","given":"Yit Arn","non-dropping-particle":"","parse-names":false,"suffix":""},{"dropping-particle":"","family":"Silver","given":"Whendee L.","non-dropping-particle":"","parse-names":false,"suffix":""},{"dropping-particle":"","family":"Scatena","given":"Frederick N.","non-dropping-particle":"","parse-names":false,"suffix":""}],"container-title":"Plant and Soil","id":"ITEM-1","issue":"1","issued":{"date-parts":[["2009"]]},"page":"197-212","title":"A decade of belowground reorganization following multiple disturbances in a subtropical wet forest","type":"article-journal","volume":"323"},"uris":["http://www.mendeley.com/documents/?uuid=b245ce54-2f2c-47d8-8c85-a246a5e75cd5"]}],"mendeley":{"formattedCitation":"(Teh &lt;i&gt;et al.&lt;/i&gt;, 2009)","plainTextFormattedCitation":"(Teh et al., 2009)","previouslyFormattedCitation":"(Teh &lt;i&gt;et al.&lt;/i&gt;, 2009)"},"properties":{"noteIndex":0},"schema":"https://github.com/citation-style-language/schema/raw/master/csl-citation.json"}</w:instrText>
      </w:r>
      <w:r w:rsidR="001946B8" w:rsidRPr="00872293">
        <w:rPr>
          <w:rFonts w:ascii="Times New Roman" w:hAnsi="Times New Roman" w:cs="Times New Roman"/>
          <w:shd w:val="clear" w:color="auto" w:fill="FFFFFF"/>
        </w:rPr>
        <w:fldChar w:fldCharType="separate"/>
      </w:r>
      <w:r w:rsidR="001946B8" w:rsidRPr="00872293">
        <w:rPr>
          <w:rFonts w:ascii="Times New Roman" w:hAnsi="Times New Roman" w:cs="Times New Roman"/>
          <w:noProof/>
          <w:shd w:val="clear" w:color="auto" w:fill="FFFFFF"/>
        </w:rPr>
        <w:t xml:space="preserve">(Teh </w:t>
      </w:r>
      <w:r w:rsidR="001946B8" w:rsidRPr="00872293">
        <w:rPr>
          <w:rFonts w:ascii="Times New Roman" w:hAnsi="Times New Roman" w:cs="Times New Roman"/>
          <w:i/>
          <w:noProof/>
          <w:shd w:val="clear" w:color="auto" w:fill="FFFFFF"/>
        </w:rPr>
        <w:t xml:space="preserve">et </w:t>
      </w:r>
      <w:r w:rsidR="001946B8" w:rsidRPr="00872293">
        <w:rPr>
          <w:rFonts w:ascii="Times New Roman" w:hAnsi="Times New Roman" w:cs="Times New Roman"/>
          <w:i/>
          <w:noProof/>
          <w:shd w:val="clear" w:color="auto" w:fill="FFFFFF"/>
        </w:rPr>
        <w:lastRenderedPageBreak/>
        <w:t>al.</w:t>
      </w:r>
      <w:r w:rsidR="001946B8" w:rsidRPr="00872293">
        <w:rPr>
          <w:rFonts w:ascii="Times New Roman" w:hAnsi="Times New Roman" w:cs="Times New Roman"/>
          <w:noProof/>
          <w:shd w:val="clear" w:color="auto" w:fill="FFFFFF"/>
        </w:rPr>
        <w:t>, 2009)</w:t>
      </w:r>
      <w:r w:rsidR="001946B8"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xml:space="preserve">; however, this relatively slow recovery was partially due to low water availability during a drought period right after Hurricane Hugo </w:t>
      </w:r>
      <w:r w:rsidR="00CE76B7" w:rsidRPr="00872293">
        <w:rPr>
          <w:rFonts w:ascii="Times New Roman" w:hAnsi="Times New Roman" w:cs="Times New Roman"/>
          <w:shd w:val="clear" w:color="auto" w:fill="FFFFFF"/>
        </w:rPr>
        <w:fldChar w:fldCharType="begin" w:fldLock="1"/>
      </w:r>
      <w:r w:rsidR="00045A85" w:rsidRPr="00872293">
        <w:rPr>
          <w:rFonts w:ascii="Times New Roman" w:hAnsi="Times New Roman" w:cs="Times New Roman"/>
          <w:shd w:val="clear" w:color="auto" w:fill="FFFFFF"/>
        </w:rPr>
        <w:instrText>ADDIN CSL_CITATION {"citationItems":[{"id":"ITEM-1","itemData":{"DOI":"10.1890/04-1114","ISSN":"00129615","abstract":"Little is known about ecosystem-level responses to multiple, climatic disturbance events. In the subtropical forests of Puerto Rico, the major natural disturbances are hurricanes and droughts. We tested the ecosystem-level effects of these disturbances in sites with different land use histories. From 1989 to 1992, data were collected to determine the effects of Hurricane Hugo and two droughts on litterfall inputs, fine-root biomass, and decomposition rates in three topographic locations (stream, riparian, upslope) within two watersheds. From 1994 to 1998, we added a third watershed and an experiment in which coarse-wood levels were manipulated to simulate hurricane inputs. Data were collected on tree and palm growth rates, litterfall inputs, fine-root biomass, and decomposition rates. From 1994 to 1998, four hurricanes and three droughts were recorded. Measured parameters had unique responses and recovery rates to hurricanes and droughts. Litterfall inputs returned to long-term mean rates within one month following droughts and small-to-moderate hurricanes but required five years to recover after an intense hurricane. In contrast, fine-root biomass recovered seven months after an intense hurricane but failed to recover after five years following a severe drought. Despite the dramatic effects of these weather events on some ecosystem parameters, we found that aboveground measures of tree and palm growth were more affected by preexisting site conditions (e.g., nitrogen availability due to past land use activities) than hurricanes or droughts. The addition of coarse woody debris increased tree and palm growth, fine-root biomass, and litter production; however, in the case of tree and palm growth, this effect was least measurable in the sites with the highest productivity. We found that decomposition rates were more controlled by litter quality than weather conditions. In conclusion, we found that certain ecosystem structures (e.g., canopy structure and fine-root biomass) generally recovered more slowly from disturbance events than certain ecosystem processes (e.g., plant growth rates, decomposition rates). We also found that past land use activities and disturbance legacies were important in determining the responses and recovery rates of the ecosystem to disturbance. © 2005 by the Ecological Society of America.","author":[{"dropping-particle":"","family":"Beard","given":"Karen H.","non-dropping-particle":"","parse-names":false,"suffix":""},{"dropping-particle":"","family":"Vogt","given":"Kristiina A.","non-dropping-particle":"","parse-names":false,"suffix":""},{"dropping-particle":"","family":"Vogt","given":"Daniel J.","non-dropping-particle":"","parse-names":false,"suffix":""},{"dropping-particle":"","family":"Scatena","given":"Frederick N.","non-dropping-particle":"","parse-names":false,"suffix":""},{"dropping-particle":"","family":"Covich","given":"Alan P.","non-dropping-particle":"","parse-names":false,"suffix":""},{"dropping-particle":"","family":"Sigurdardottir","given":"Ragnhildur","non-dropping-particle":"","parse-names":false,"suffix":""},{"dropping-particle":"","family":"Siccama","given":"Thomas G.","non-dropping-particle":"","parse-names":false,"suffix":""},{"dropping-particle":"","family":"Crowl","given":"Todd A.","non-dropping-particle":"","parse-names":false,"suffix":""}],"container-title":"Ecological Monographs","id":"ITEM-1","issue":"3","issued":{"date-parts":[["2005"]]},"page":"345-361","title":"Structural and functional responses of a subtropical forest to 10 years of hurricanes and droughts","type":"article-journal","volume":"75"},"uris":["http://www.mendeley.com/documents/?uuid=7c2f6988-778f-4448-bd7c-257e2916fbb1"]}],"mendeley":{"formattedCitation":"(Beard &lt;i&gt;et al.&lt;/i&gt;, 2005)","plainTextFormattedCitation":"(Beard et al., 2005)","previouslyFormattedCitation":"(Beard &lt;i&gt;et al.&lt;/i&gt;, 2005)"},"properties":{"noteIndex":0},"schema":"https://github.com/citation-style-language/schema/raw/master/csl-citation.json"}</w:instrText>
      </w:r>
      <w:r w:rsidR="00CE76B7" w:rsidRPr="00872293">
        <w:rPr>
          <w:rFonts w:ascii="Times New Roman" w:hAnsi="Times New Roman" w:cs="Times New Roman"/>
          <w:shd w:val="clear" w:color="auto" w:fill="FFFFFF"/>
        </w:rPr>
        <w:fldChar w:fldCharType="separate"/>
      </w:r>
      <w:r w:rsidR="00D64D1F" w:rsidRPr="00872293">
        <w:rPr>
          <w:rFonts w:ascii="Times New Roman" w:hAnsi="Times New Roman" w:cs="Times New Roman"/>
          <w:noProof/>
          <w:shd w:val="clear" w:color="auto" w:fill="FFFFFF"/>
        </w:rPr>
        <w:t xml:space="preserve">(Beard </w:t>
      </w:r>
      <w:r w:rsidR="00D64D1F" w:rsidRPr="00872293">
        <w:rPr>
          <w:rFonts w:ascii="Times New Roman" w:hAnsi="Times New Roman" w:cs="Times New Roman"/>
          <w:i/>
          <w:noProof/>
          <w:shd w:val="clear" w:color="auto" w:fill="FFFFFF"/>
        </w:rPr>
        <w:t>et al.</w:t>
      </w:r>
      <w:r w:rsidR="00D64D1F" w:rsidRPr="00872293">
        <w:rPr>
          <w:rFonts w:ascii="Times New Roman" w:hAnsi="Times New Roman" w:cs="Times New Roman"/>
          <w:noProof/>
          <w:shd w:val="clear" w:color="auto" w:fill="FFFFFF"/>
        </w:rPr>
        <w:t>, 2005)</w:t>
      </w:r>
      <w:r w:rsidR="00CE76B7"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xml:space="preserve">. In the case of Hurricane </w:t>
      </w:r>
      <w:proofErr w:type="spellStart"/>
      <w:r w:rsidRPr="00872293">
        <w:rPr>
          <w:rFonts w:ascii="Times New Roman" w:hAnsi="Times New Roman" w:cs="Times New Roman"/>
          <w:shd w:val="clear" w:color="auto" w:fill="FFFFFF"/>
        </w:rPr>
        <w:t>Iniki</w:t>
      </w:r>
      <w:proofErr w:type="spellEnd"/>
      <w:r w:rsidRPr="00872293">
        <w:rPr>
          <w:rFonts w:ascii="Times New Roman" w:hAnsi="Times New Roman" w:cs="Times New Roman"/>
          <w:shd w:val="clear" w:color="auto" w:fill="FFFFFF"/>
        </w:rPr>
        <w:t xml:space="preserve"> in Hawai’i, fine-root recovery took only 2 years to return to pre-hurricane values, and phosphorus fertilized plots exhibited a faster recovery than unfertilized control plots </w:t>
      </w:r>
      <w:r w:rsidR="00CE76B7" w:rsidRPr="00872293">
        <w:rPr>
          <w:rFonts w:ascii="Times New Roman" w:hAnsi="Times New Roman" w:cs="Times New Roman"/>
          <w:shd w:val="clear" w:color="auto" w:fill="FFFFFF"/>
        </w:rPr>
        <w:fldChar w:fldCharType="begin" w:fldLock="1"/>
      </w:r>
      <w:r w:rsidR="00045A85" w:rsidRPr="00872293">
        <w:rPr>
          <w:rFonts w:ascii="Times New Roman" w:hAnsi="Times New Roman" w:cs="Times New Roman"/>
          <w:shd w:val="clear" w:color="auto" w:fill="FFFFFF"/>
        </w:rPr>
        <w:instrText>ADDIN CSL_CITATION {"citationItems":[{"id":"ITEM-1","itemData":{"DOI":"10.1890/0012-9658(1999)080[0908:HDTAHF]2.0.CO;2","ISSN":"00129658","abstract":"Hurricane Iniki damaged a forest in which we had previously studied nutrient limitation to productivity. We had measured the response of aboveground net primary productivity (ANPP) to fertilizer applications and had found phosphorus to be limiting. Reductions of leaf area index (LAI) after the hurricane's passage ranged from 3% to 59%, were correlated with prehurricane LAI, and were greatest in P-amended treatments (+P). LAI recovered to near prehurricane levels by 9 mo after passage, and rates of recovery were unaffected by treatment. Mortality of fine roots ranged from 35 to 48% following the hurricane and recovered in 2 yr. Stem damage was largely branch removal, but some stems were partially uprooted or decapitated. Large trees were damaged with greater frequency than small trees, and severity of damage increased in +P treatments. Fine litterfall caused by the storm was 1.4 times the annual input, and nutrient transfers to the forest floor approximated that of a typical year. Stem diameter increment and aboveground net primary productivity (ANPP) declined but returned to prehurricane values 2 yr later in +P treatments while remaining low in -P treatments (i.e., those without P supplementation). Rates of recovery to prehurricane stem growth and ANPP were greater in +P treatments and were accompanied by a much greater ANPP per unit leaf area (E). The results support hypotheses that ecosystem resistance and resilience are inversely related and that resistance decreases and resilience increases as supply rates of limiting resources increase. However, they also suggest that structural and functional components of resistance and resilience should be considered separately.","author":[{"dropping-particle":"","family":"Herbert","given":"Darrell A.","non-dropping-particle":"","parse-names":false,"suffix":""},{"dropping-particle":"","family":"Fownes","given":"James H.","non-dropping-particle":"","parse-names":false,"suffix":""},{"dropping-particle":"","family":"Vitousek","given":"Peter M.","non-dropping-particle":"","parse-names":false,"suffix":""}],"container-title":"Ecology","id":"ITEM-1","issue":"3","issued":{"date-parts":[["1999"]]},"page":"908-920","title":"Hurricane damage to a Hawaiian forest: Nutrient supply rate affects resistance and resilience","type":"article-journal","volume":"80"},"uris":["http://www.mendeley.com/documents/?uuid=4408811f-ddf2-4c6e-845e-ba2c34446274"]}],"mendeley":{"formattedCitation":"(Herbert &lt;i&gt;et al.&lt;/i&gt;, 1999)","plainTextFormattedCitation":"(Herbert et al., 1999)","previouslyFormattedCitation":"(Herbert &lt;i&gt;et al.&lt;/i&gt;, 1999)"},"properties":{"noteIndex":0},"schema":"https://github.com/citation-style-language/schema/raw/master/csl-citation.json"}</w:instrText>
      </w:r>
      <w:r w:rsidR="00CE76B7" w:rsidRPr="00872293">
        <w:rPr>
          <w:rFonts w:ascii="Times New Roman" w:hAnsi="Times New Roman" w:cs="Times New Roman"/>
          <w:shd w:val="clear" w:color="auto" w:fill="FFFFFF"/>
        </w:rPr>
        <w:fldChar w:fldCharType="separate"/>
      </w:r>
      <w:r w:rsidR="00D64D1F" w:rsidRPr="00872293">
        <w:rPr>
          <w:rFonts w:ascii="Times New Roman" w:hAnsi="Times New Roman" w:cs="Times New Roman"/>
          <w:noProof/>
          <w:shd w:val="clear" w:color="auto" w:fill="FFFFFF"/>
        </w:rPr>
        <w:t xml:space="preserve">(Herbert </w:t>
      </w:r>
      <w:r w:rsidR="00D64D1F" w:rsidRPr="00872293">
        <w:rPr>
          <w:rFonts w:ascii="Times New Roman" w:hAnsi="Times New Roman" w:cs="Times New Roman"/>
          <w:i/>
          <w:noProof/>
          <w:shd w:val="clear" w:color="auto" w:fill="FFFFFF"/>
        </w:rPr>
        <w:t>et al.</w:t>
      </w:r>
      <w:r w:rsidR="00D64D1F" w:rsidRPr="00872293">
        <w:rPr>
          <w:rFonts w:ascii="Times New Roman" w:hAnsi="Times New Roman" w:cs="Times New Roman"/>
          <w:noProof/>
          <w:shd w:val="clear" w:color="auto" w:fill="FFFFFF"/>
        </w:rPr>
        <w:t>, 1999)</w:t>
      </w:r>
      <w:r w:rsidR="00CE76B7" w:rsidRPr="00872293">
        <w:rPr>
          <w:rFonts w:ascii="Times New Roman" w:hAnsi="Times New Roman" w:cs="Times New Roman"/>
          <w:shd w:val="clear" w:color="auto" w:fill="FFFFFF"/>
        </w:rPr>
        <w:fldChar w:fldCharType="end"/>
      </w:r>
      <w:r w:rsidRPr="00872293">
        <w:rPr>
          <w:rStyle w:val="CommentReference"/>
          <w:rFonts w:ascii="Times New Roman" w:hAnsi="Times New Roman" w:cs="Times New Roman"/>
        </w:rPr>
        <w:t>. S</w:t>
      </w:r>
      <w:r w:rsidRPr="00872293">
        <w:rPr>
          <w:rFonts w:ascii="Times New Roman" w:hAnsi="Times New Roman" w:cs="Times New Roman"/>
          <w:shd w:val="clear" w:color="auto" w:fill="FFFFFF"/>
        </w:rPr>
        <w:t>ince plant roots present a very dynamic response to disturbances as well as a great contribution to total plant NPP, they are ideal for studying the drivers and mechanisms involved in ecosystem responses to multiple disturbances. Further, the</w:t>
      </w:r>
      <w:r w:rsidRPr="00872293">
        <w:rPr>
          <w:rFonts w:ascii="Times New Roman" w:hAnsi="Times New Roman" w:cs="Times New Roman"/>
        </w:rPr>
        <w:t xml:space="preserve"> reestablishment of the root system after disturbance is necessary to support aboveground recovery.</w:t>
      </w:r>
    </w:p>
    <w:p w14:paraId="0363A324" w14:textId="77777777" w:rsidR="00E563F7" w:rsidRPr="00872293" w:rsidRDefault="00E563F7" w:rsidP="00E563F7">
      <w:pPr>
        <w:autoSpaceDE w:val="0"/>
        <w:autoSpaceDN w:val="0"/>
        <w:adjustRightInd w:val="0"/>
        <w:spacing w:line="360" w:lineRule="auto"/>
        <w:rPr>
          <w:rFonts w:ascii="Arial" w:hAnsi="Arial" w:cs="Arial"/>
          <w:shd w:val="clear" w:color="auto" w:fill="FFFFFF"/>
        </w:rPr>
      </w:pPr>
    </w:p>
    <w:p w14:paraId="20765660" w14:textId="45D700AE" w:rsidR="00E563F7" w:rsidRPr="00872293" w:rsidRDefault="00E563F7" w:rsidP="00E563F7">
      <w:pPr>
        <w:autoSpaceDE w:val="0"/>
        <w:autoSpaceDN w:val="0"/>
        <w:adjustRightInd w:val="0"/>
        <w:spacing w:line="360" w:lineRule="auto"/>
        <w:rPr>
          <w:rFonts w:ascii="Times New Roman" w:eastAsia="Times New Roman" w:hAnsi="Times New Roman" w:cs="Times New Roman"/>
        </w:rPr>
      </w:pPr>
      <w:r w:rsidRPr="00872293">
        <w:rPr>
          <w:rFonts w:ascii="Times New Roman" w:hAnsi="Times New Roman" w:cs="Times New Roman"/>
        </w:rPr>
        <w:t xml:space="preserve">Despite their importance in biogeochemical cycling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{"citationItems":[{"id":"ITEM-1","itemData":{"DOI":"10.1046/j.1469-8137.2000.00676.x","ISSN":"0028646X","abstract":"Changes in the production and turnover of roots in forests and grasslands in response to rising atmospheric CO2 concentrations, elevated temperatures, altered precipitation, or nitrogen deposition could be a key link between plant responses and longer-term changes in soil organic matter and ecosystem carbon balance. Here we summarize the experimental observations, ideas, and new hypotheses developed in this area in the rest of this volume. Three central questions are posed. Do elevated atmospheric CO2, nitrogen deposition, and climatic change alter the dynamics of root production and mortality? What are the consequences of root responses to plant physiological processes? What are the implications of root dynamics to soil microbial communities and the fate of carbon in soil? Ecosystem-level observations of root production and mortality in response to global change parameters are just starting to emerge. The challenge to root biologists is to overcome the profound methodological and analytical problems and assemble a more comprehensive data set with sufficient ancillary data that differences between ecosystems can be explained. The assemblage of information reported herein on global patterns of root turnover, basic root biology that controls responses to environmental variables, and new observations of root and associated microbial responses to atmospheric and climatic change helps to sharpen our questions and stimulate new research approaches. New hypotheses have been developed to explain why responses of root turnover might differ in contrasting systems, how carbon allocation to roots is controlled, and how species differences in root chemistry might explain the ultimate fate of carbon in soil. These hypotheses and the enthusiasm for pursuing them are based on the firm belief that a deeper understanding of root dynamics is critical to describing the integrated response of ecosystems to global change.","author":[{"dropping-particle":"","family":"Norby","given":"Richard J.","non-dropping-particle":"","parse-names":false,"suffix":""},{"dropping-particle":"","family":"Jackson","given":"Robert B.","non-dropping-particle":"","parse-names":false,"suffix":""}],"container-title":"New Phytologist","id":"ITEM-1","issue":"1","issued":{"date-parts":[["2000"]]},"page":"3-12","title":"Root dynamics and global change: Seeking an ecosystem perspective","type":"article-journal","volume":"147"},"uris":["http://www.mendeley.com/documents/?uuid=fe770b60-db98-47bf-ad53-3bc62ee32523"]}],"mendeley":{"formattedCitation":"(Norby &amp; Jackson, 2000)","plainTextFormattedCitation":"(Norby &amp; Jackson, 2000)","previouslyFormattedCitation":"(Norby &amp; Jackson, 2000)"},"properties":{"noteIndex":0},"schema":"https://github.com/citation-style-language/schema/raw/master/csl-citation.json"}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(Norby &amp; Jackson, 2000)</w:t>
      </w:r>
      <w:r w:rsidR="00CE76B7" w:rsidRPr="00872293">
        <w:rPr>
          <w:rFonts w:ascii="Times New Roman" w:hAnsi="Times New Roman" w:cs="Times New Roman"/>
        </w:rPr>
        <w:fldChar w:fldCharType="end"/>
      </w:r>
      <w:r w:rsidRPr="00872293">
        <w:rPr>
          <w:rFonts w:ascii="Times New Roman" w:hAnsi="Times New Roman" w:cs="Times New Roman"/>
        </w:rPr>
        <w:t xml:space="preserve">, Coarse and fine roots are the most poorly understood plant components in terrestrial ecology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{"citationItems":[{"id":"ITEM-1","itemData":{"DOI":"10.1046/j.1469-8137.2000.00689.x","ISSN":"0028646X","abstract":"Soil temperature can influence the functioning of roots in many ways. If soil moisture and nutrient availability are adequate, rates of root length extension and root mortality increase with increasing soil temperature, at least up to an optimal temperature for root growth, which seems to vary among taxa. Root growth and root mortality are highly seasonal in perennial plants, with a flush of growth in spring and significant mortality in the fall. At present we do not understand whether root growth phenology responds to the same temperature cues that are known to control shoot growth. We also do not understand whether the flush of root growth in the spring depends on the utilization of stored nonstructural carbohydrates, or if it is fueled by current photosynthate. Root respiration increases exponentially with temperature, but Q(10) values range widely from c. 1.5 to ]3.0. Significant questions yet to be resolved are: whether rates of root respiration acclimate to soil temperature, and what mechanisms control acclimation if it occurs. Limited data suggest that fine roots depend heavily on the import of new carbon (C) from the canopy during the growing season. We hypothesize that root growth and root respiration are tightly linked to whole-canopy assimilation through complex source-sink relationships within the plant. Our understanding of how the whole plant responds to dynamic changes in soil temperature, moisture and nutrient availability is poor, even though it is well known that multiple growth-limiting resources change simultaneously through time during a typical growing season. We review the interactions between soil temperature and other growth-limiting factors to illustrate how simple generalizations about temperature and root functioning can be misleading.","author":[{"dropping-particle":"","family":"Pregitzer","given":"Kurt S.","non-dropping-particle":"","parse-names":false,"suffix":""},{"dropping-particle":"","family":"King","given":"John S.","non-dropping-particle":"","parse-names":false,"suffix":""},{"dropping-particle":"","family":"Burton","given":"Andrew J.","non-dropping-particle":"","parse-names":false,"suffix":""},{"dropping-particle":"","family":"Brown","given":"Shannon E.","non-dropping-particle":"","parse-names":false,"suffix":""}],"container-title":"New Phytologist","id":"ITEM-1","issue":"1","issued":{"date-parts":[["2000"]]},"page":"105-115","title":"Responses of tree fine roots to temperature","type":"article-journal","volume":"147"},"uris":["http://www.mendeley.com/documents/?uuid=177deccf-9f3f-4f11-b983-7847e5415415"]},{"id":"ITEM-2","itemData":{"DOI":"10.1111/j.1469-8137.2009.02799.x","ISBN":"1469-8137","ISSN":"0028646X","PMID":"19383105","abstract":"Ephemeral roots have essential roles in plant and ecosystem functioning. In forests, roots account for a major component of carbon cycling, yet few studies have examined ranges of root trait variation and how different species vary in root form and function in these communities. Root branching intensity, specific root length (SRL; root length per unit dry mass), root diameter, tissue density, phenolic concentration and nitrogen concentration were determined for the finest two root orders of 25 co-existing North American woody species sampled from mature plants in a single forest community. Trait correlations and multivariate patterns were examined to evaluate the most important trait differences among species. Branching intensity, SRL, and phenolic concentration varied most widely among species (coefficient of variation (CV) = 0.42, 0.57 and 0.58, respectively). Species predominately forming ectomycorrhiza (EM) had a higher branching intensity than those forming arbuscular mycorrhiza (AM) with mycorrhizal types correctly predicted in c. 70% of individual observations by branching intensity alone. There was notably no correlation between SRL and nitrogen. Variation in SRL among species mapped partially along phylogenetic lines (consistency index (CI) = 0.44), with remaining variation attributable to differences in species' ecological specialization. Variation found in root traits suggests different nutrient acquisition strategies within this community, which could have potential species-level effects on carbon and mineral nutrient cycling.","author":[{"dropping-particle":"","family":"Comas","given":"L. H.","non-dropping-particle":"","parse-names":false,"suffix":""},{"dropping-particle":"","family":"Eissenstat","given":"D. M.","non-dropping-particle":"","parse-names":false,"suffix":""}],"container-title":"New Phytologist","id":"ITEM-2","issue":"4","issued":{"date-parts":[["2009"]]},"page":"919-928","title":"Patterns in root trait variation among 25 co-existing North American forest species","type":"article-journal","volume":"182"},"uris":["http://www.mendeley.com/documents/?uuid=75e0bb0f-747f-4762-aa09-18fce5ae6ff1"]}],"mendeley":{"formattedCitation":"(Pregitzer &lt;i&gt;et al.&lt;/i&gt;, 2000; Comas &amp; Eissenstat, 2009)","plainTextFormattedCitation":"(Pregitzer et al., 2000; Comas &amp; Eissenstat, 2009)","previouslyFormattedCitation":"(Pregitzer &lt;i&gt;et al.&lt;/i&gt;, 2000; Comas &amp; Eissenstat, 2009)"},"properties":{"noteIndex":0},"schema":"https://github.com/citation-style-language/schema/raw/master/csl-citation.json"}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(Pregitzer </w:t>
      </w:r>
      <w:r w:rsidR="00D64D1F" w:rsidRPr="00872293">
        <w:rPr>
          <w:rFonts w:ascii="Times New Roman" w:hAnsi="Times New Roman" w:cs="Times New Roman"/>
          <w:i/>
          <w:noProof/>
        </w:rPr>
        <w:t>et al.</w:t>
      </w:r>
      <w:r w:rsidR="00D64D1F" w:rsidRPr="00872293">
        <w:rPr>
          <w:rFonts w:ascii="Times New Roman" w:hAnsi="Times New Roman" w:cs="Times New Roman"/>
          <w:noProof/>
        </w:rPr>
        <w:t>, 2000; Comas &amp; Eissenstat, 2009)</w:t>
      </w:r>
      <w:r w:rsidR="00CE76B7" w:rsidRPr="00872293">
        <w:rPr>
          <w:rFonts w:ascii="Times New Roman" w:hAnsi="Times New Roman" w:cs="Times New Roman"/>
        </w:rPr>
        <w:fldChar w:fldCharType="end"/>
      </w:r>
      <w:r w:rsidRPr="00872293">
        <w:rPr>
          <w:rFonts w:ascii="Times New Roman" w:hAnsi="Times New Roman" w:cs="Times New Roman"/>
        </w:rPr>
        <w:t xml:space="preserve">. Fine roots account for </w:t>
      </w:r>
      <w:r w:rsidRPr="00872293">
        <w:rPr>
          <w:rFonts w:ascii="Times New Roman" w:eastAsia="Times New Roman" w:hAnsi="Times New Roman" w:cs="Times New Roman"/>
        </w:rPr>
        <w:t xml:space="preserve">one third of global annual NPP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{"citationItems":[{"id":"ITEM-1","itemData":{"DOI":"10.1073/pnas.94.14.7362","ISSN":"00278424","abstract":"Global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America","id":"ITEM-1","issue":"14","issued":{"date-parts":[["1997"]]},"page":"7362-7366","title":"A global budget for fine root biomass, surface area, and nutrient contents","type":"article-journal","volume":"94"},"uris":["http://www.mendeley.com/documents/?uuid=37bbfefe-4d4b-43c4-9b46-25c202937d03"]}],"mendeley":{"formattedCitation":"(Jackson &lt;i&gt;et al.&lt;/i&gt;, 1997a)","plainTextFormattedCitation":"(Jackson et al., 1997a)","previouslyFormattedCitation":"(Jackson &lt;i&gt;et al.&lt;/i&gt;, 1997a)"},"properties":{"noteIndex":0},"schema":"https://github.com/citation-style-language/schema/raw/master/csl-citation.json"}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(Jackson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1997a)</w:t>
      </w:r>
      <w:r w:rsidR="00CE76B7" w:rsidRPr="00872293">
        <w:rPr>
          <w:rFonts w:ascii="Times New Roman" w:eastAsia="Times New Roman" w:hAnsi="Times New Roman" w:cs="Times New Roman"/>
        </w:rPr>
        <w:fldChar w:fldCharType="end"/>
      </w:r>
      <w:r w:rsidRPr="00872293">
        <w:rPr>
          <w:rFonts w:ascii="Times New Roman" w:hAnsi="Times New Roman" w:cs="Times New Roman"/>
        </w:rPr>
        <w:t xml:space="preserve">, are essential for water and nutrient uptake, and they transport carbon and other nutrients into deeper soil layers, which contributes greatly to soil carbon budgets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{"citationItems":[{"id":"ITEM-1","itemData":{"DOI":"10.1890/1051-0761(2000)010[0423:TVDOSO]2.0.CO;2","ISSN":"10510761","abstract":"As the largest pool of terrestrial organic carbon, soils interact strongly with atmospheric composition, climate, and land cover change. Our capacity to predict and ameliorate the consequences of global change depends in part on a better understanding of the distributions and controls of soil organic carbon (SOC) and how vegetation change may affect SOC distributions with depth. The goals of this paper are (1) to examine the association of SOC content with climate and soil texture at different soil depths; (2) to test the hypothesis that vegetation type, through patterns of allocation, is a dominant control on the vertical distribution of SOC; and (3) to estimate global SOC storage to 3 m, including an analysis of the potential effects of vegetation change on soil carbon storage. We based our analysis on &gt;2700 soil profiles in three global databases supplemented with data for climate, vegetation, and land use. The analysis focused on mineral soil layers. Plant functional types significantly affected the vertical distribution of SOC. The percentage of SOC in the top 20 cm (relative to the first meter) averaged 33%, 42%, and 50% for shrublands, grasslands, and forests, respectively. In shrublands, the amount of SOC in the second and third meters was 77% of that in the first meter; in forests and grasslands, the totals were 56% and 43%, respectively. Globally, the relative distribution of SOC with depth had a slightly stronger association with vegetation than with climate, but the opposite was true for the absolute amount of SOC. Total SOC content increased with precipitation and clay content and decreased with temperature. The importance of these controls switched with depth, climate dominating in shallow layers and clay content dominating in deeper layers, possibly due to increasing percentages of slowly cycling SOC fractions at depth. To control for the effects of climate on vegetation, we grouped soils within climatic ranges and compared distributions for vegetation types within each range. The percentage of SOC in the top 20 cm relative to the first meter varied from 29% in cold arid shrublands to 57% in cold humid forests and, for a given climate, was always deepest in shrublands, intermediate in grasslands, and shallowest in forests (P &lt; 0.05 in all cases). The effect of vegetation type was more important than the direct effect of precipitation in this analysis. These data suggest that shoot/root allocations combined with vertical root distributions…","author":[{"dropping-particle":"","family":"Jobbágy","given":"Esteban G.","non-dropping-particle":"","parse-names":false,"suffix":""},{"dropping-particle":"","family":"Jackson","given":"Robert B.","non-dropping-particle":"","parse-names":false,"suffix":""}],"container-title":"Ecological Applications","id":"ITEM-1","issued":{"date-parts":[["2000"]]},"title":"The vertical distribution of soil organic carbon and its relation to climate and vegetation","type":"article-journal"},"uris":["http://www.mendeley.com/documents/?uuid=a5b780b2-6fe4-4633-9d51-5070a4f5ad83"]},{"id":"ITEM-2","itemData":{"DOI":"10.1890/0012-9615(2002)072[0311:TGBOR]2.0.CO;2","ISSN":"00129615","abstract":"Studies in global plant biogeography have almost exclusively analyzed relationships of abiotic and biotic factors with the distribution and structure of vegetation aboveground. The goal of this study was to extend such analyses to the belowground structure of vegetation by determining the biotic and abiotic factors that influence vertical root distributions in the soil, including soil, climate, and plant properties. The analysis used a database of vertical root profiles from the literature with 475 profiles from 209 geographic locations. Since most profiles were not sampled to the maximum rooting depth, several techniques were used to estimate the amount of roots at greater depths, to a maximum of 3 m in some systems. The accuracy of extrapolations was tested using a subset of deeply (&gt;2 m) sampled or completely sampled profiles. Vertical root distributions for each profile were characterized by the interpolated 50% and 95% rooting depths (the depths above which 50% or 95% of all roots were located). General linear models incorporating plant life-form dominance, climate, and soil variables explained as much as 50% of the variance in rooting depths for various biomes and life-forms. Annual potential evapotranspiration (PET) and precipitation together accounted for the largest proportion of the variance (12-16% globally and 38% in some systems). Mean 95% rooting depths increased with decreasing latitude from 80° to 30° but showed no clear trend in the tropics. Annual PET, annual precipitation, and length of the warm season were all positively correlated with rooting depths. Rooting depths in tropical vegetation were only weakly correlated with climatic variables but were strongly correlated with sampling depths, suggesting that even after extrapolation, sampling depths there were often insufficient to characterize root profiles. Globally, &gt;90% of all profiles had at least 50% of all roots in the upper 0.3 m of the soil profile (including organic horizons) and 95% of all roots in the upper 2 m. Deeper rooting depths were mainly found in water-limited ecosystems. Deeper 95% rooting depths were also found for shrublands compared to grasslands, in sandy soils vs. clay or loam soils, and in systems with relatively shallow organic horizons compared with deeper organic horizons.","author":[{"dropping-particle":"","family":"Schenk","given":"H. Jochen","non-dropping-particle":"","parse-names":false,"suffix":""},{"dropping-particle":"","family":"Jackson","given":"Robert B.","non-dropping-particle":"","parse-names":false,"suffix":""}],"container-title":"Ecological Monographs","id":"ITEM-2","issue":"3","issued":{"date-parts":[["2002"]]},"page":"311-328","title":"The global biogeography of roots","type":"article-journal","volume":"72"},"uris":["http://www.mendeley.com/documents/?uuid=a52f5df8-4f49-4c73-81eb-14f9a0314e8c"]}],"mendeley":{"formattedCitation":"(Jobbágy &amp; Jackson, 2000; Schenk &amp; Jackson, 2002)","plainTextFormattedCitation":"(Jobbágy &amp; Jackson, 2000; Schenk &amp; Jackson, 2002)","previouslyFormattedCitation":"(Jobbágy &amp; Jackson, 2000; Schenk &amp; Jackson, 2002)"},"properties":{"noteIndex":0},"schema":"https://github.com/citation-style-language/schema/raw/master/csl-citation.json"}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(Jobbágy &amp; Jackson, 2000; Schenk &amp; Jackson, 2002)</w:t>
      </w:r>
      <w:r w:rsidR="00CE76B7" w:rsidRPr="00872293">
        <w:rPr>
          <w:rFonts w:ascii="Times New Roman" w:hAnsi="Times New Roman" w:cs="Times New Roman"/>
        </w:rPr>
        <w:fldChar w:fldCharType="end"/>
      </w:r>
      <w:r w:rsidRPr="00872293">
        <w:rPr>
          <w:rFonts w:ascii="Times New Roman" w:eastAsia="Times New Roman" w:hAnsi="Times New Roman" w:cs="Times New Roman"/>
        </w:rPr>
        <w:t xml:space="preserve">. Currently, most global change studies do not explicitly assess the effects on roots, and the belowground studies that do exist often do not consider roots at soil depths greater than 30 cm </w:t>
      </w:r>
      <w:r w:rsidR="00B90EA2" w:rsidRPr="00872293">
        <w:rPr>
          <w:rFonts w:ascii="Times New Roman" w:eastAsia="Times New Roman" w:hAnsi="Times New Roman" w:cs="Times New Roman"/>
        </w:rPr>
        <w:fldChar w:fldCharType="begin" w:fldLock="1"/>
      </w:r>
      <w:r w:rsidR="00E14F2E" w:rsidRPr="00872293">
        <w:rPr>
          <w:rFonts w:ascii="Times New Roman" w:eastAsia="Times New Roman" w:hAnsi="Times New Roman" w:cs="Times New Roman"/>
        </w:rPr>
        <w:instrText>ADDIN CSL_CITATION {"citationItems":[{"id":"ITEM-1","itemData":{"DOI":"10.1073/pnas.94.14.7362","ISSN":"00278424","PMID":"11038557","abstract":"Global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America","id":"ITEM-1","issue":"14","issued":{"date-parts":[["1997"]]},"page":"7362-7366","title":"A global budget for fine root biomass, surface area, and nutrient contents","type":"article-journal","volume":"94"},"uris":["http://www.mendeley.com/documents/?uuid=be640cc2-8c97-4480-b234-6e69495faf2e"]},{"id":"ITEM-2","itemData":{"DOI":"10.1111/nph.14486","ISSN":"14698137","abstract":"Variation and tradeoffs within and among plant traits are increasingly being harnessed by empiricists and modelers to understand and predict ecosystem processes under changing environmental conditions. While fine roots play an important role in ecosystem functioning, fine-root traits are underrepresented in global trait databases. This has hindered efforts to analyze fine-root trait variation and link it with plant function and environmental conditions at a global scale. This Viewpoint addresses the need for a centralized fine-root trait database, and introduces the Fine-Root Ecology Database (FRED, http://roots.ornl.gov) which so far includes &gt; 70 000 observations encompassing a broad range of root traits and also includes associated environmental data. FRED represents a critical step toward improving our understanding of below-ground plant ecology. For example, FRED facilitates the quantification of variation in fine-root traits across root orders, species, biomes, and environmental gradients while also providing a platform for assessments of covariation among root, leaf, and wood traits, the role of fine roots in ecosystem functioning, and the representation of fine roots in terrestrial biosphere models. Continued input of observations into FRED to fill gaps in trait coverage will improve our understanding of changes in fine-root traits across space and time.","author":[{"dropping-particle":"","family":"Iversen","given":"Colleen M.","non-dropping-particle":"","parse-names":false,"suffix":""},{"dropping-particle":"","family":"McCormack","given":"M. Luke","non-dropping-particle":"","parse-names":false,"suffix":""},{"dropping-particle":"","family":"Powell","given":"A. Shafer","non-dropping-particle":"","parse-names":false,"suffix":""},{"dropping-particle":"","family":"Blackwood","given":"Christopher B.","non-dropping-particle":"","parse-names":false,"suffix":""},{"dropping-particle":"","family":"Freschet","given":"Grégoire T.","non-dropping-particle":"","parse-names":false,"suffix":""},{"dropping-particle":"","family":"Kattge","given":"Jens","non-dropping-particle":"","parse-names":false,"suffix":""},{"dropping-particle":"","family":"Roumet","given":"Catherine","non-dropping-particle":"","parse-names":false,"suffix":""},{"dropping-particle":"","family":"Stover","given":"Daniel B.","non-dropping-particle":"","parse-names":false,"suffix":""},{"dropping-particle":"","family":"Soudzilovskaia","given":"Nadejda A.","non-dropping-particle":"","parse-names":false,"suffix":""},{"dropping-particle":"","family":"Valverde-Barrantes","given":"Oscar J.","non-dropping-particle":"","parse-names":false,"suffix":""},{"dropping-particle":"","family":"Bodegom","given":"Peter M.","non-dropping-particle":"van","parse-names":false,"suffix":""},{"dropping-particle":"","family":"Violle","given":"Cyrille","non-dropping-particle":"","parse-names":false,"suffix":""}],"container-title":"New Phytologist","id":"ITEM-2","issued":{"date-parts":[["2017"]]},"page":"15-26","title":"A global Fine-Root Ecology Database to address below-ground challenges in plant ecology","type":"article-journal","volume":"215"},"uris":["http://www.mendeley.com/documents/?uuid=62937dca-e72a-453c-9b0f-d0150091b641"]}],"mendeley":{"formattedCitation":"(Jackson &lt;i&gt;et al.&lt;/i&gt;, 1997b; Iversen &lt;i&gt;et al.&lt;/i&gt;, 2017)","plainTextFormattedCitation":"(Jackson et al., 1997b; Iversen et al., 2017)","previouslyFormattedCitation":"(Jackson &lt;i&gt;et al.&lt;/i&gt;, 1997b; Iversen &lt;i&gt;et al.&lt;/i&gt;, 2017)"},"properties":{"noteIndex":0},"schema":"https://github.com/citation-style-language/schema/raw/master/csl-citation.json"}</w:instrText>
      </w:r>
      <w:r w:rsidR="00B90EA2" w:rsidRPr="00872293">
        <w:rPr>
          <w:rFonts w:ascii="Times New Roman" w:eastAsia="Times New Roman" w:hAnsi="Times New Roman" w:cs="Times New Roman"/>
        </w:rPr>
        <w:fldChar w:fldCharType="separate"/>
      </w:r>
      <w:r w:rsidR="00B90EA2" w:rsidRPr="00872293">
        <w:rPr>
          <w:rFonts w:ascii="Times New Roman" w:eastAsia="Times New Roman" w:hAnsi="Times New Roman" w:cs="Times New Roman"/>
          <w:noProof/>
        </w:rPr>
        <w:t xml:space="preserve">(Jackson </w:t>
      </w:r>
      <w:r w:rsidR="00B90EA2" w:rsidRPr="00872293">
        <w:rPr>
          <w:rFonts w:ascii="Times New Roman" w:eastAsia="Times New Roman" w:hAnsi="Times New Roman" w:cs="Times New Roman"/>
          <w:i/>
          <w:noProof/>
        </w:rPr>
        <w:t>et al.</w:t>
      </w:r>
      <w:r w:rsidR="00B90EA2" w:rsidRPr="00872293">
        <w:rPr>
          <w:rFonts w:ascii="Times New Roman" w:eastAsia="Times New Roman" w:hAnsi="Times New Roman" w:cs="Times New Roman"/>
          <w:noProof/>
        </w:rPr>
        <w:t xml:space="preserve">, 1997b; Iversen </w:t>
      </w:r>
      <w:r w:rsidR="00B90EA2" w:rsidRPr="00872293">
        <w:rPr>
          <w:rFonts w:ascii="Times New Roman" w:eastAsia="Times New Roman" w:hAnsi="Times New Roman" w:cs="Times New Roman"/>
          <w:i/>
          <w:noProof/>
        </w:rPr>
        <w:t>et al.</w:t>
      </w:r>
      <w:r w:rsidR="00B90EA2" w:rsidRPr="00872293">
        <w:rPr>
          <w:rFonts w:ascii="Times New Roman" w:eastAsia="Times New Roman" w:hAnsi="Times New Roman" w:cs="Times New Roman"/>
          <w:noProof/>
        </w:rPr>
        <w:t>, 2017)</w:t>
      </w:r>
      <w:r w:rsidR="00B90EA2"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meaning our understanding of root dynamics is limited and biased to superficial soil layers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J.","non-dropping-particle":"","parse-names":false,"suffix":""}],"container-title":"Biotropica","id":"ITEM-1","issue":"3","issued":{"date-parts":[["2020"]]},"page":"563-576","title":"A historical and comparative review of 50 years of root data collection in Puerto Rico","type":"article-journal","volume":"52"},"uris":["http://www.mendeley.com/documents/?uuid=27bc4c68-821d-4b96-979d-b5709dfa9b6c"]}],"mendeley":{"formattedCitation":"(Yaffar &amp; Norby, 2020)","plainTextFormattedCitation":"(Yaffar &amp; Norby, 2020)","previouslyFormattedCitation":"(Yaffar &amp; Norby,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(Yaffar &amp; Norby, 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w:t>
      </w:r>
      <w:r w:rsidRPr="00872293">
        <w:rPr>
          <w:rFonts w:ascii="Times New Roman" w:hAnsi="Times New Roman" w:cs="Times New Roman"/>
        </w:rPr>
        <w:t xml:space="preserve"> This is especially true in the tropics, which makes up two thirds of global terrestrial plant biomass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{"citationItems":[{"id":"ITEM-1","itemData":{"DOI":"10.1126/science.1201609","ISSN":"00368075","abstract":"The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id":"ITEM-1","issued":{"date-parts":[["2011"]]},"page":"988-993","title":"A large and persistent carbon sink in the world's forests","type":"article-journal","volume":"333"},"uris":["http://www.mendeley.com/documents/?uuid=3b44e065-155d-4790-ab3f-32e41a245720"]}],"mendeley":{"formattedCitation":"(Pan &lt;i&gt;et al.&lt;/i&gt;, 2011)","plainTextFormattedCitation":"(Pan et al., 2011)","previouslyFormattedCitation":"(Pan &lt;i&gt;et al.&lt;/i&gt;, 2011)"},"properties":{"noteIndex":0},"schema":"https://github.com/citation-style-language/schema/raw/master/csl-citation.json"}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(Pan </w:t>
      </w:r>
      <w:r w:rsidR="00D64D1F" w:rsidRPr="00872293">
        <w:rPr>
          <w:rFonts w:ascii="Times New Roman" w:hAnsi="Times New Roman" w:cs="Times New Roman"/>
          <w:i/>
          <w:noProof/>
        </w:rPr>
        <w:t>et al.</w:t>
      </w:r>
      <w:r w:rsidR="00D64D1F" w:rsidRPr="00872293">
        <w:rPr>
          <w:rFonts w:ascii="Times New Roman" w:hAnsi="Times New Roman" w:cs="Times New Roman"/>
          <w:noProof/>
        </w:rPr>
        <w:t>, 2011)</w:t>
      </w:r>
      <w:r w:rsidR="00CE76B7" w:rsidRPr="00872293">
        <w:rPr>
          <w:rFonts w:ascii="Times New Roman" w:hAnsi="Times New Roman" w:cs="Times New Roman"/>
        </w:rPr>
        <w:fldChar w:fldCharType="end"/>
      </w:r>
      <w:r w:rsidRPr="00872293">
        <w:rPr>
          <w:rFonts w:ascii="Times New Roman" w:hAnsi="Times New Roman" w:cs="Times New Roman"/>
        </w:rPr>
        <w:t xml:space="preserve">. </w:t>
      </w:r>
    </w:p>
    <w:p w14:paraId="76DC607C" w14:textId="77777777" w:rsidR="00E563F7" w:rsidRPr="00872293" w:rsidRDefault="00E563F7" w:rsidP="00E563F7">
      <w:pPr>
        <w:spacing w:line="360" w:lineRule="auto"/>
        <w:ind w:firstLine="720"/>
        <w:rPr>
          <w:rFonts w:ascii="Times New Roman" w:eastAsia="Times New Roman" w:hAnsi="Times New Roman" w:cs="Times New Roman"/>
        </w:rPr>
      </w:pPr>
    </w:p>
    <w:p w14:paraId="7F6E7D6A" w14:textId="44FC1AEC" w:rsidR="00E563F7" w:rsidRPr="00872293" w:rsidRDefault="00E563F7" w:rsidP="00E563F7">
      <w:pPr>
        <w:spacing w:line="360" w:lineRule="auto"/>
        <w:rPr>
          <w:rFonts w:ascii="Times New Roman" w:hAnsi="Times New Roman" w:cs="Times New Roman"/>
        </w:rPr>
      </w:pPr>
      <w:bookmarkStart w:id="70" w:name="_Hlk47538210"/>
      <w:r w:rsidRPr="00872293">
        <w:rPr>
          <w:rFonts w:ascii="Times New Roman" w:eastAsia="Times New Roman" w:hAnsi="Times New Roman" w:cs="Times New Roman"/>
        </w:rPr>
        <w:t xml:space="preserve">Tropical forests account for a disproportionate amount of global terrestrial primary production. Because of the large exchanges between tropical forests and the atmosphere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{"citationItems":[{"id":"ITEM-1","itemData":{"DOI":"10.1126/science.1184984","ISSN":"00368075","PMID":"20603496","abstract":"Terrestrial gross primary production (GPP) is the largest global CO 2 flux driving several ecosystem functions. We provide an observation-based estimate of this flux at 123 ± 8 petagrams of carbon per year (Pg C year-1) using eddy covariance flux data and various diagnostic models. Tropical forests and savannahs account for 60%. GPP over 40% of the vegetated land is associated with precipitation. State-of-the-art process-oriented biosphere models used for climate predictions exhibit a large between-model variation of GPP's latitudinal patterns and show higher spatial correlations between GPP and precipitation, suggesting the existence of missing processes or feedback mechanisms which attenuate the vegetation response to climate. Our estimates of spatially distributed GPP and its covariation with climate can help improve coupled climate-carbon cycle process models.","author":[{"dropping-particle":"","family":"Beer","given":"Christian","non-dropping-particle":"","parse-names":false,"suffix":""},{"dropping-particle":"","family":"Reichstein","given":"Markus","non-dropping-particle":"","parse-names":false,"suffix":""},{"dropping-particle":"","family":"Tomelleri","given":"Enrico","non-dropping-particle":"","parse-names":false,"suffix":""},{"dropping-particle":"","family":"Ciais","given":"Philippe","non-dropping-particle":"","parse-names":false,"suffix":""},{"dropping-particle":"","family":"Jung","given":"Martin","non-dropping-particle":"","parse-names":false,"suffix":""},{"dropping-particle":"","family":"Carvalhais","given":"Nuno","non-dropping-particle":"","parse-names":false,"suffix":""},{"dropping-particle":"","family":"Rödenbeck","given":"Christian","non-dropping-particle":"","parse-names":false,"suffix":""},{"dropping-particle":"","family":"Arain","given":"M. Altaf","non-dropping-particle":"","parse-names":false,"suffix":""},{"dropping-particle":"","family":"Baldocchi","given":"Dennis","non-dropping-particle":"","parse-names":false,"suffix":""},{"dropping-particle":"","family":"Bonan","given":"Gordon B.","non-dropping-particle":"","parse-names":false,"suffix":""},{"dropping-particle":"","family":"Bondeau","given":"Alberte","non-dropping-particle":"","parse-names":false,"suffix":""},{"dropping-particle":"","family":"Cescatti","given":"Alessandro","non-dropping-particle":"","parse-names":false,"suffix":""},{"dropping-particle":"","family":"Lasslop","given":"Gitta","non-dropping-particle":"","parse-names":false,"suffix":""},{"dropping-particle":"","family":"Lindroth","given":"Anders","non-dropping-particle":"","parse-names":false,"suffix":""},{"dropping-particle":"","family":"Lomas","given":"Mark","non-dropping-particle":"","parse-names":false,"suffix":""},{"dropping-particle":"","family":"Luyssaert","given":"Sebastiaan","non-dropping-particle":"","parse-names":false,"suffix":""},{"dropping-particle":"","family":"Margolis","given":"Hank","non-dropping-particle":"","parse-names":false,"suffix":""},{"dropping-particle":"","family":"Oleson","given":"Keith W.","non-dropping-particle":"","parse-names":false,"suffix":""},{"dropping-particle":"","family":"Roupsard","given":"Olivier","non-dropping-particle":"","parse-names":false,"suffix":""},{"dropping-particle":"","family":"Veenendaal","given":"Elmar","non-dropping-particle":"","parse-names":false,"suffix":""},{"dropping-particle":"","family":"Viovy","given":"Nicolas","non-dropping-particle":"","parse-names":false,"suffix":""},{"dropping-particle":"","family":"Williams","given":"Christopher","non-dropping-particle":"","parse-names":false,"suffix":""},{"dropping-particle":"","family":"Woodward","given":"F. Ian","non-dropping-particle":"","parse-names":false,"suffix":""},{"dropping-particle":"","family":"Papale","given":"Dario","non-dropping-particle":"","parse-names":false,"suffix":""}],"container-title":"Science","id":"ITEM-1","issued":{"date-parts":[["2010"]]},"page":"834-838","title":"Terrestrial gross carbon dioxide uptake: Global distribution and covariation with climate","type":"article-journal","volume":"329"},"uris":["http://www.mendeley.com/documents/?uuid=023db8be-d2f9-4b38-be64-03d093f5574f"]},{"id":"ITEM-2","itemData":{"DOI":"10.2307/3867963","ISSN":"15409295","abstract":"While the earth's climate can affect the structure and functioning of terrestrial ecosystems, the process also works in reverse. As a result, changes in terrestrial ecosystems may influence climate through both biophysical and biogeochemical processes. This two-way link between the physical climate system and the biosphere is under increasing scrutiny. We review recent developments in the analysis of this interaction, focusing in particular on how alterations in the structure and functioning of terrestrial ecosystems, through either human land-use practices or global climate change, may effect the future of the earth's climate.","author":[{"dropping-particle":"","family":"Foley","given":"Jonathan A.","non-dropping-particle":"","parse-names":false,"suffix":""},{"dropping-particle":"","family":"Costa","given":"Marcos Heil","non-dropping-particle":"","parse-names":false,"suffix":""},{"dropping-particle":"","family":"Delire","given":"Christine","non-dropping-particle":"","parse-names":false,"suffix":""},{"dropping-particle":"","family":"Ramankutty","given":"Navin","non-dropping-particle":"","parse-names":false,"suffix":""},{"dropping-particle":"","family":"Snyder","given":"Peter","non-dropping-particle":"","parse-names":false,"suffix":""}],"container-title":"Frontiers in Ecology and the Environment","id":"ITEM-2","issue":"1","issued":{"date-parts":[["2003"]]},"page":"38-44","title":"Green Surprise? How Terrestrial Ecosystems Could Affect Earth's Climate","type":"article-journal","volume":"1"},"uris":["http://www.mendeley.com/documents/?uuid=08500f73-72e8-4ac8-aa7f-7eb464ecf426"]}],"mendeley":{"formattedCitation":"(Foley &lt;i&gt;et al.&lt;/i&gt;, 2003; Beer &lt;i&gt;et al.&lt;/i&gt;, 2010)","plainTextFormattedCitation":"(Foley et al., 2003; Beer et al., 2010)","previouslyFormattedCitation":"(Foley &lt;i&gt;et al.&lt;/i&gt;, 2003; Beer &lt;i&gt;et al.&lt;/i&gt;, 2010)"},"properties":{"noteIndex":0},"schema":"https://github.com/citation-style-language/schema/raw/master/csl-citation.json"}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(Foley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xml:space="preserve">, 2003; Beer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small relative changes in carbon fluxes from these forests can have a considerable influence on atmospheric CO</w:t>
      </w:r>
      <w:r w:rsidRPr="00872293">
        <w:rPr>
          <w:rFonts w:ascii="Times New Roman" w:eastAsia="Times New Roman" w:hAnsi="Times New Roman" w:cs="Times New Roman"/>
          <w:vertAlign w:val="subscript"/>
        </w:rPr>
        <w:t>2</w:t>
      </w:r>
      <w:r w:rsidRPr="00872293">
        <w:rPr>
          <w:rFonts w:ascii="Times New Roman" w:eastAsia="Times New Roman" w:hAnsi="Times New Roman" w:cs="Times New Roman"/>
        </w:rPr>
        <w:t xml:space="preserve"> concentration </w:t>
      </w:r>
      <w:r w:rsidR="00CE76B7" w:rsidRPr="00872293">
        <w:rPr>
          <w:rFonts w:ascii="Times New Roman" w:eastAsia="Times New Roman" w:hAnsi="Times New Roman" w:cs="Times New Roman"/>
        </w:rPr>
        <w:fldChar w:fldCharType="begin" w:fldLock="1"/>
      </w:r>
      <w:r w:rsidR="00252562" w:rsidRPr="00872293">
        <w:rPr>
          <w:rFonts w:ascii="Times New Roman" w:eastAsia="Times New Roman" w:hAnsi="Times New Roman" w:cs="Times New Roman"/>
        </w:rPr>
        <w:instrText>ADDIN CSL_CITATION {"citationItems":[{"id":"ITEM-1","itemData":{"DOI":"10.1034/j.1600-0889.1992.t01-1-00001.x","ISSN":"16000889","abstract":"We review measured rates of soil respiration from terrestrial and wetland ecosystems to define the annual global CO2 flux from soils, to identify uncertainties in the global flux estimate, and to investigate the influences of temperature, precipitation, and vegetation on soil respiration rates. The annual global CO2 flux from soils is estimated to average (+- S.D.) 68 +- 4 PgC/ yr, based on extrapolations from biome land areas. Relatively few measurements of soil respiration exist from arid, semi-arid, and tropical regions; these regions should be priorities for additional research. On a global scale, soil respiration rates are positively correlated with mean annual air temperatures and mean annual precipitation. There is a close correlation between mean annual net primary productivity (NPP) of different vegetation biomes and their mean annual soil respiration rates, with soil respiration averaging 24% higher than mean annual NPP. This difference represents a minimum estimate of the contribution of root respiration to the total soil CO2efflux. Estimates of soil C turnover rates range from 500 years in tundra and peaty wetlands to 10 years in tropical savannas. We also evaluate the potential impacts of human activities on soil respiration rates, with particular focus on land use changes, soil fertilization, irrigation and drainage, and climate changes. The impacts of human activities on soil respiration rates are poorly documented, and vary among sites. Of particular importance are potential changes in temperatures and precipitation. Based on a review of in situ measurements, the Q10 value for total soil respiration has a median value of 2.4. Increased soil respiration with global warming is likely to provide a positive feedback to the greenhouse effect","author":[{"dropping-particle":"","family":"Raich","given":"J. W.","non-dropping-particle":"","parse-names":false,"suffix":""},{"dropping-particle":"","family":"Schlesinger","given":"W. H.","non-dropping-particle":"","parse-names":false,"suffix":""}],"container-title":"Tellus B","id":"ITEM-1","issue":"2","issued":{"date-parts":[["1992"]]},"page":"81-99","title":"The global carbon dioxide flux in soil respiration and its relationship to vegetation and climate","type":"article-journal","volume":"44"},"uris":["http://www.mendeley.com/documents/?uuid=e97ecd6c-6ebd-4822-9a46-5312795fd973"]},{"id":"ITEM-2","itemData":{"DOI":"10.1111/j.1469-185X.2012.00232.x","ISSN":"14647931","abstract":"Tropical forests play a major role in regulating global carbon (C) fluxes and stocks, and even small changes to C cycling in this productive biome could dramatically affect atmospheric carbon dioxide (CO(2) ) concentrations. Temperature is expected to increase over all land surfaces in the future, yet we have a surprisingly poor understanding of how tropical forests will respond to this significant climatic change. Here we present a contemporary synthesis of the existing data and what they suggest about how tropical forests will respond to increasing temperatures. Our goals were to: (i) determine whether there is enough evidence to support the conclusion that increased temperature will affect tropical forest C balance; (ii) if there is sufficient evidence, determine what direction this effect will take; and, (iii) establish what steps should to be taken to resolve the uncertainties surrounding tropical forest responses to increasing temperatures. We approach these questions from a mass-balance perspective and therefore focus primarily on the effects of temperature on inputs and outputs of C, spanning microbial- to ecosystem-scale responses. We found that, while there is the strong potential for temperature to affect processes related to C cycling and storage in tropical forests, a notable lack of data combined with the physical, biological and chemical diversity of the forests themselves make it difficult to resolve this issue with certainty. We suggest a variety of experimental approaches that could help elucidate how tropical forests will respond to warming, including large-scale in situ manipulation experiments, longer term field experiments, the incorporation of a range of scales in the investigation of warming effects (both spatial and temporal), as well as the inclusion of a diversity of tropical forest sites. Finally, we highlight areas of tropical forest research where notably few data are available, including temperature effects on: nutrient cycling, heterotrophic versus autotrophic respiration, thermal acclimation versus substrate limitation of plant and microbial communities, below-ground C allocation, species composition (plant and microbial), and the hydraulic architecture of roots. Whether or not tropical forests will become a source or a sink of C in a warmer world remains highly uncertain. Given the importance of these ecosystems to the global C budget, resolving this uncertainty is a primary research priority.","author":[{"dropping-particle":"","family":"Wood","given":"Tana E.","non-dropping-particle":"","parse-names":false,"suffix":""},{"dropping-particle":"","family":"Cavaleri","given":"Molly A.","non-dropping-particle":"","parse-names":false,"suffix":""},{"dropping-particle":"","family":"Reed","given":"Sasha C.","non-dropping-particle":"","parse-names":false,"suffix":""}],"container-title":"Biological Reviews","id":"ITEM-2","issue":"4","issued":{"date-parts":[["2012"]]},"page":"912-927","title":"Tropical forest carbon balance in a warmer world: A critical review spanning microbial- to ecosystem-scale processes","type":"article-journal","volume":"87"},"uris":["http://www.mendeley.com/documents/?uuid=12d7c72e-5f86-4766-b373-8b2f75f91961"]},{"id":"ITEM-3","itemData":{"DOI":"10.1111/gcb.12860","ISSN":"13652486","abstract":"©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Biology","id":"ITEM-3","issue":"6","issued":{"date-parts":[["2015"]]},"page":"2111-2121","title":"Urgent need for warming experiments in tropical forests","type":"article-journal","volume":"21"},"uris":["http://www.mendeley.com/documents/?uuid=1849b672-6e54-4799-a060-836ad328c75f"]}],"mendeley":{"formattedCitation":"(Raich &amp; Schlesinger, 1992; Wood &lt;i&gt;et al.&lt;/i&gt;, 2012b; Cavaleri &lt;i&gt;et al.&lt;/i&gt;, 2015)","manualFormatting":"(Raich &amp; Schlesinger, 1992; Wood et al., 2012; Cavaleri et al., 2015)","plainTextFormattedCitation":"(Raich &amp; Schlesinger, 1992; Wood et al., 2012b; Cavaleri et al., 2015)","previouslyFormattedCitation":"(Raich &amp; Schlesinger, 1992; Wood &lt;i&gt;et al.&lt;/i&gt;, 2012b; Cavaleri &lt;i&gt;et al.&lt;/i&gt;, 2015)"},"properties":{"noteIndex":0},"schema":"https://github.com/citation-style-language/schema/raw/master/csl-citation.json"}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(Raich &amp; Schlesinger, 1992; Wood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2012; Cavaleri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2015)</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bookmarkEnd w:id="70"/>
      <w:r w:rsidRPr="00872293">
        <w:rPr>
          <w:rFonts w:ascii="Times New Roman" w:eastAsia="Times New Roman" w:hAnsi="Times New Roman" w:cs="Times New Roman"/>
        </w:rPr>
        <w:t xml:space="preserve">Further, tropical ecosystem carbon balances are affected by multiple climate disturbances such as hurricanes, droughts, floods, and fires </w:t>
      </w:r>
      <w:bookmarkStart w:id="71" w:name="_Hlk47538968"/>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{"citationItems":[{"id":"ITEM-1","itemData":{"DOI":"10.1146/annurev-environ-030713-155141","ISSN":"1543-5938","abstract":"The Anthropocene is characterized as an epoch when human influence has begun to fundamentally alter many aspects of the Earth system and many of the planet's biomes. Here, we review and synthesize our understanding of Anthropocene changes in tropical forests. Key facets include deforestation driven by agricultural expansion, timber and wood extraction, the loss of fauna that maintain critical ecological connections, the spread of fire, landscape fragmentation, the spread of second-growth forests, new species invasion and pathogen spread, increasing CO, and climate change. The patterns of change are spatially heterogeneous, are often characterized by strong interactions among different drivers, can have both large-scale and remote effects, and can play out through ecological cascades over long timescales. As a consequence, most tropical forests are on a trajectory to becoming altered ecosystems, with the degree of alteration dependent on the intensity and duration of the current bottleneck of human-induced pressures. We highlight the importance of this understanding to develop the strategies necessary for shaping the transition of tropical forests through the early Anthropocene, as well as highlight the opportunities and challenges for the tropical forest science community in the coming decades.","author":[{"dropping-particle":"","family":"Malhi","given":"Yadvinder","non-dropping-particle":"","parse-names":false,"suffix":""},{"dropping-particle":"","family":"Gardner","given":"Toby A.","non-dropping-particle":"","parse-names":false,"suffix":""},{"dropping-particle":"","family":"Goldsmith","given":"Gregory R.","non-dropping-particle":"","parse-names":false,"suffix":""},{"dropping-particle":"","family":"Silman","given":"Miles R.","non-dropping-particle":"","parse-names":false,"suffix":""},{"dropping-particle":"","family":"Zelazowski","given":"Przemyslaw","non-dropping-particle":"","parse-names":false,"suffix":""}],"container-title":"Annual Review of Environment and Resources","id":"ITEM-1","issued":{"date-parts":[["2014"]]},"page":"125-159","title":"Tropical Forests in the Anthropocene","type":"article-journal","volume":"39"},"uris":["http://www.mendeley.com/documents/?uuid=56c6593f-b767-4698-8932-c9ac50c58c04"]},{"id":"ITEM-2","itemData":{"author":[{"dropping-particle":"","family":"Harris","given":"N. L.","non-dropping-particle":"","parse-names":false,"suffix":""},{"dropping-particle":"","family":"Lugo","given":"A. E.","non-dropping-particle":"","parse-names":false,"suffix":""}],"container-title":"Luquillo Experimental Forest: Research History and Opportunities","editor":[{"dropping-particle":"","family":"Harris","given":"Nancy L.","non-dropping-particle":"","parse-names":false,"suffix":""},{"dropping-particle":"","family":"Lugo","given":"Ariel E.","non-dropping-particle":"","parse-names":false,"suffix":""},{"dropping-particle":"","family":"Brown","given":"Sandra","non-dropping-particle":"","parse-names":false,"suffix":""},{"dropping-particle":"","family":"Heartsill Scalley","given":"Tamara","non-dropping-particle":"","parse-names":false,"suffix":""}],"id":"ITEM-2","issued":{"date-parts":[["2012"]]},"page":"21-49","publisher":"U.S. Department of Agriculture","title":"Disturbances","type":"chapter"},"uris":["http://www.mendeley.com/documents/?uuid=5527b864-1e0a-4e5d-b99d-7b8985f0fb92"]}],"mendeley":{"formattedCitation":"(Harris &amp; Lugo, 2012; Malhi &lt;i&gt;et al.&lt;/i&gt;, 2014)","plainTextFormattedCitation":"(Harris &amp; Lugo, 2012; Malhi et al., 2014)","previouslyFormattedCitation":"(Harris &amp; Lugo, 2012; Malhi &lt;i&gt;et al.&lt;/i&gt;, 2014)"},"properties":{"noteIndex":0},"schema":"https://github.com/citation-style-language/schema/raw/master/csl-citation.json"}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(Harris &amp; Lugo, 2012; Malhi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2014)</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bookmarkEnd w:id="71"/>
      <w:r w:rsidRPr="00872293">
        <w:rPr>
          <w:rFonts w:ascii="Times New Roman" w:eastAsia="Times New Roman" w:hAnsi="Times New Roman" w:cs="Times New Roman"/>
        </w:rPr>
        <w:t xml:space="preserve">Hurricanes, which originate in tropical waters, are considered one of the most intense weather disturbances affecting forest ecosystems, and </w:t>
      </w:r>
      <w:r w:rsidRPr="00872293">
        <w:rPr>
          <w:rFonts w:ascii="Times New Roman" w:hAnsi="Times New Roman" w:cs="Times New Roman"/>
        </w:rPr>
        <w:t>the eastern Caribbean</w:t>
      </w:r>
      <w:r w:rsidRPr="00872293">
        <w:rPr>
          <w:rFonts w:ascii="Times New Roman" w:eastAsia="Times New Roman" w:hAnsi="Times New Roman" w:cs="Times New Roman"/>
        </w:rPr>
        <w:t xml:space="preserve"> is one of the</w:t>
      </w:r>
      <w:r w:rsidRPr="00872293">
        <w:rPr>
          <w:rFonts w:ascii="Times New Roman" w:hAnsi="Times New Roman" w:cs="Times New Roman"/>
        </w:rPr>
        <w:t xml:space="preserve"> most susceptible land areas to strong hurricanes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{"citationItems":[{"id":"ITEM-1","itemData":{"DOI":"10.1007/978-94-007-1363-5_32","abstract":"Hurricanes, typhoons, tropical cyclones, and other tropical storms affect many areas of the globe. Although the names used vary regionally, here I will refer to hurricanes to describe the impacts of these tropical storms globally. The intensity and frequency of hurricanes vary dramatically in different areas of the globe, but their origins are always in warm tropical waters such as the North Atlantic off the African coast, or the central Pacific Ocean. Hurricanes result from the interaction of heated sea water with global wind circulation patterns to create a contained meteorological system with persistent cyclonic circulation rotating around a low-pressure center (Fig. 32.1). Hurricanes initially arise from tropical storms with incomplete circulation, and as they grow in strength the circulation (counterclockwise in the Northern Hemisphere, clockwise in the Southern) closes with an “eye” in the center. Once the circulation is complete, the system is referred to as a hurricane if wind speeds exceed 119 km h −1 . Each hurricane has both a speed (the rate at which the storm is moving across the face of the earth) and a strength (the velocity of the cyclonic circulation). The strength of the hurricane changes over time, and usually declines after initial landfall. Damage to forests is typically a function of the hurricane strength, which determines the likelihood of both damage to trees and the storm surges that can occur in low-lying coastal areas. Hurricanes are often associated with high rains, with totals of 25 cm or more.","author":[{"dropping-particle":"","family":"McDowell","given":"William H.","non-dropping-particle":"","parse-names":false,"suffix":""}],"container-title":"Forest Hydrology and Biogeochemistry","id":"ITEM-1","issued":{"date-parts":[["2011"]]},"page":"643-657","title":"Impacts of Hurricanes on Forest Hydrology and Biogeochemistry","type":"chapter"},"uris":["http://www.mendeley.com/documents/?uuid=6985834e-226f-48b7-8118-7ce3b8bc9dbf"]}],"mendeley":{"formattedCitation":"(McDowell, 2011)","plainTextFormattedCitation":"(McDowell, 2011)","previouslyFormattedCitation":"(McDowell, 2011)"},"properties":{"noteIndex":0},"schema":"https://github.com/citation-style-language/schema/raw/master/csl-citation.json"}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(McDowell, 2011)</w:t>
      </w:r>
      <w:r w:rsidR="00CE76B7" w:rsidRPr="00872293">
        <w:rPr>
          <w:rFonts w:ascii="Times New Roman" w:hAnsi="Times New Roman" w:cs="Times New Roman"/>
        </w:rPr>
        <w:fldChar w:fldCharType="end"/>
      </w:r>
      <w:r w:rsidRPr="00872293">
        <w:rPr>
          <w:rFonts w:ascii="Times New Roman" w:hAnsi="Times New Roman" w:cs="Times New Roman"/>
        </w:rPr>
        <w:t xml:space="preserve">. </w:t>
      </w:r>
      <w:r w:rsidRPr="00872293">
        <w:rPr>
          <w:rFonts w:ascii="Times New Roman" w:eastAsia="Times New Roman" w:hAnsi="Times New Roman" w:cs="Times New Roman"/>
        </w:rPr>
        <w:t xml:space="preserve">Recovery of forest carbon budgets and fluxes, including plant roots, take from 10 to 60 years following a Category 4 </w:t>
      </w:r>
      <w:r w:rsidRPr="00872293">
        <w:rPr>
          <w:rFonts w:ascii="Times New Roman" w:eastAsia="Times New Roman" w:hAnsi="Times New Roman" w:cs="Times New Roman"/>
        </w:rPr>
        <w:lastRenderedPageBreak/>
        <w:t xml:space="preserve">hurricane disturbance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{"citationItems":[{"id":"ITEM-1","itemData":{"DOI":"10.2307/2388250","ISSN":"00063606","abstract":"Following disturbance by Hurricane Hugo in September 1989, live fine root standing stocks (to a depth of 10cm) declined to zero over a three month period at Luqillo Experimental Forest, and fluctuated greatly thereafter. Maximum fine root biomass (49 g/m 2 ) occurred in June 1990. Dead root standing stocks (mean 423 g/m 2 ) were relatively constant through the study period. Recovery of fine roots following the initial hurricane-related mortality appears to be a slow process, regulated at least initially by environmental factors such as precipitation. -from Authors","author":[{"dropping-particle":"","family":"Parrotta","given":"John A.","non-dropping-particle":"","parse-names":false,"suffix":""},{"dropping-particle":"","family":"Lodge","given":"D. Jean","non-dropping-particle":"","parse-names":false,"suffix":""}],"container-title":"Biotropica","id":"ITEM-1","issued":{"date-parts":[["1991"]]},"title":"Fine Root Dynamics in a Subtropical Wet Forest Following Hurricane Disturbance in Puerto Rico","type":"article-journal"},"uris":["http://www.mendeley.com/documents/?uuid=47faa566-4b30-4d53-80b4-30fdbb7132cc"]},{"id":"ITEM-2","itemData":{"DOI":"10.2307/2261670","ISSN":"00220477","abstract":"1 Live and dead","author":[{"dropping-particle":"","family":"Silver","given":"Whendee L.","non-dropping-particle":"","parse-names":false,"suffix":""},{"dropping-particle":"","family":"Vogt","given":"Kristiina A.","non-dropping-particle":"","parse-names":false,"suffix":""}],"container-title":"The Journal of Ecology","id":"ITEM-2","issued":{"date-parts":[["1993"]]},"title":"Fine Root Dynamics Following Single and Multiple Disturbances in a Subtropical Wet Forest Ecosystem","type":"article-journal"},"uris":["http://www.mendeley.com/documents/?uuid=f353087a-6c9a-4227-a909-6458a12b3319"]},{"id":"ITEM-3","itemData":{"DOI":"10.1579/0044-7447-29.2.106","ISSN":"00447447","abstract":"The coexistence of hurricanes, coral reefs, and rainforests in the Caribbean demonstrates that highly structured ecosystems with great diversity can flourish in spite of recurring exposure to intense destructive energy. Coral reefs develop in response to wave energy and resist hurricanes largely by virtue of their structural strength. Limited fetch also protects some reefs from fully developed hurricane waves. While storms may produce dramatic local reef damage, they appear to have little impact on the ability of coral reefs to provide food or habitat for fish and other animals. Rainforests experience an enormous increase in wind energy during hurricanes with dramatic structural changes in the vegetation. The resulting changes in forest microclimate are larger than those on reefs and the loss of fruit, leaves, cover, and microclimate has a great impact on animal populations. Recovery of many aspects of rainforest structure and function is rapid, though there may be long-term changes in species composition. While resistance and repair have maintained reefs and rainforests in the past, human impacts may threaten their ability to survive.","author":[{"dropping-particle":"","family":"Lugo","given":"Ariel E.","non-dropping-particle":"","parse-names":false,"suffix":""},{"dropping-particle":"","family":"Rogers","given":"Caroline S.","non-dropping-particle":"","parse-names":false,"suffix":""},{"dropping-particle":"","family":"Nixon","given":"Scott W.","non-dropping-particle":"","parse-names":false,"suffix":""}],"container-title":"Ambio","id":"ITEM-3","issue":"2","issued":{"date-parts":[["2000"]]},"page":"106-114","title":"Hurricanes, coral reefs and rainforests: Resistance, ruin and recovery in the Caribbean","type":"article-journal","volume":"29"},"uris":["http://www.mendeley.com/documents/?uuid=cb9dd568-4e44-4f5e-aae1-3de0b3436a06"]},{"id":"ITEM-4","itemData":{"DOI":"10.1007/s11104-009-9926-z","ISSN":"0032079X","abstract":"Humid tropical forests are dynamic ecosystems that experience multiple and overlapping disturbance events that vary in frequency, intensity, and spatial extent. Here we report the results of a 10-year study investigating the effects of forest clearing and multiple hurricanes on ecosystem carbon reservoirs, nutrient pools and vegetation. The aboveground plant community was most heavily affected by multiple disturbances, with the 9-year-old stands showing high rates of hurricane-induced mortality relative to surrounding forest. Belowground pools were less affected. Live fine root biomass fluctuated in response to multiple disturbances, but returned to pre-disturbance levels after 10 years. Soil C was resilient to clearing and hurricanes, probably due to the large pool s</w:instrText>
      </w:r>
      <w:r w:rsidR="00045A85" w:rsidRPr="00872293">
        <w:rPr>
          <w:rFonts w:ascii="Times New Roman" w:eastAsia="Times New Roman" w:hAnsi="Times New Roman" w:cs="Times New Roman"/>
          <w:lang w:val="es-BO"/>
        </w:rPr>
        <w:instrText>ize and high clay content. Soil P fluctuated over time, declining during periods of rapid plant recovery and growth. With the exception of K, base cations recovered within 2 years following clearing and showed little response to hurricane disturbance. © The Author(s) 2009.","author":[{"dropping-particle":"","family":"Teh","given":"Yit Arn","non-dropping-particle":"","parse-names":false,"suffix":""},{"dropping-particle":"","family":"Silver","given":"Whendee L.","non-dropping-particle":"","parse-names":false,"suffix":""},{"dropping-particle":"","family":"Scatena","given":"Frederick N.","non-dropping-particle":"","parse-names":false,"suffix":""}],"container-title":"Plant and Soil","id":"ITEM-4","issue":"1","issued":{"date-parts":[["2009"]]},"page":"197-212","title":"A decade of belowground reorganization following multiple disturbances in a subtropical wet forest","type":"article-journal","volume":"323"},"uris":["http://www.mendeley.com/documents/?uuid=b245ce54-2f2c-47d8-8c85-a246a5e75cd5"]}],"mendeley":{"formattedCitation":"(Parrotta &amp; Lodge, 1991; Silver &amp; Vogt, 1993; Lugo &lt;i&gt;et al.&lt;/i&gt;, 2000; Teh &lt;i&gt;et al.&lt;/i&gt;, 2009)","plainTextFormattedCitation":"(Parrotta &amp; Lodge, 1991; Silver &amp; Vogt, 1993; Lugo et al., 2000; Teh et al., 2009)","previouslyFormattedCitation":"(Parrotta &amp; Lodge, 1991; Silver &amp; Vogt, 1993; Lugo &lt;i&gt;et al.&lt;/i&gt;, 2000; Teh &lt;i&gt;et al.&lt;/i&gt;, 2009)"},"properties":{"noteIndex":0},"schema":"https://github.com/citation-style-language/schema/raw/master/csl-citation.json"}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lang w:val="es-BO"/>
        </w:rPr>
        <w:t xml:space="preserve">(Parrotta &amp; Lodge, 1991; Silver &amp; Vogt, 1993; Lugo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2000; Teh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2009)</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lang w:val="es-BO"/>
        </w:rPr>
        <w:t>.</w:t>
      </w:r>
      <w:r w:rsidRPr="00872293">
        <w:rPr>
          <w:rFonts w:ascii="Times New Roman" w:hAnsi="Times New Roman" w:cs="Times New Roman"/>
          <w:lang w:val="es-BO"/>
        </w:rPr>
        <w:t xml:space="preserve"> </w:t>
      </w:r>
      <w:r w:rsidRPr="00872293">
        <w:rPr>
          <w:rFonts w:ascii="Times New Roman" w:hAnsi="Times New Roman" w:cs="Times New Roman"/>
        </w:rPr>
        <w:t>Yet, these studies have not considered the interacting effects of antecedent warming on the pace, magnitude, or trajectory of tropical forest recovery from hurricanes.</w:t>
      </w:r>
    </w:p>
    <w:p w14:paraId="4CCE3BD3" w14:textId="77777777" w:rsidR="00E563F7" w:rsidRPr="00872293" w:rsidRDefault="00E563F7" w:rsidP="00E563F7">
      <w:pPr>
        <w:spacing w:line="360" w:lineRule="auto"/>
        <w:rPr>
          <w:rFonts w:ascii="Times New Roman" w:eastAsia="Times New Roman" w:hAnsi="Times New Roman" w:cs="Times New Roman"/>
        </w:rPr>
      </w:pPr>
    </w:p>
    <w:p w14:paraId="1ED9F249" w14:textId="0D367CF3" w:rsidR="00E563F7" w:rsidRPr="00872293" w:rsidRDefault="00E563F7" w:rsidP="00E563F7">
      <w:pPr>
        <w:autoSpaceDE w:val="0"/>
        <w:autoSpaceDN w:val="0"/>
        <w:adjustRightInd w:val="0"/>
        <w:spacing w:line="360" w:lineRule="auto"/>
        <w:rPr>
          <w:rFonts w:ascii="Times New Roman" w:eastAsia="Times New Roman" w:hAnsi="Times New Roman" w:cs="Times New Roman"/>
        </w:rPr>
      </w:pPr>
      <w:r w:rsidRPr="00872293">
        <w:rPr>
          <w:rFonts w:ascii="Times New Roman" w:eastAsia="Times New Roman" w:hAnsi="Times New Roman" w:cs="Times New Roman"/>
          <w:highlight w:val="white"/>
        </w:rPr>
        <w:t xml:space="preserve">Increasing temperatures can affect </w:t>
      </w:r>
      <w:r w:rsidRPr="00872293">
        <w:rPr>
          <w:rFonts w:ascii="Times New Roman" w:eastAsia="Times New Roman" w:hAnsi="Times New Roman" w:cs="Times New Roman"/>
        </w:rPr>
        <w:t xml:space="preserve">root production directly or indirectly through alterations to metabolic processes, nutrient mineralization, water input, and </w:t>
      </w:r>
      <w:r w:rsidRPr="00872293">
        <w:rPr>
          <w:rFonts w:ascii="Times New Roman" w:hAnsi="Times New Roman" w:cs="Times New Roman"/>
        </w:rPr>
        <w:t xml:space="preserve">carbon assimilation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{"citationItems":[{"id":"ITEM-1","itemData":{"DOI":"10.1007/s004420050892","ISSN":"00298549","abstract":"Root demographic processes (birth and death) were measured using minirhizotrons in the soil warming experiments at the summit of Great Dun Fell, United Kingdom (845 m). The soil warming treatment raised soil temperature at 2 cm depth by nearly 3 degrees C. The first experiment ran for 6 months (1994), the second for 18 (1995-1996). In both experiments, heating increased death rates for roots, but birth rates were not significantly increased in the first experiment. The lack of stimulation of death rate in 1996 is probably an artefact, caused by completion of measurements in late summer of 1996, before the seasonal demography was concluded: root death continued over the winter of 1995-1996. Measurements of instantaneous death rates confirmed this: they were accelerated by warming in the second experiment. In the one complete year (1995-1996) in which measurements were taken, net root numbers by the end of the year were not affected by soil warming. The best explanatory environmental variable for root birth rate in both experiments was photosynthetically active radiation (PAR) flux, averaged over the previous 5 (first experiment) or 10 days (second experiment). In the second experiment, the relationship between birth rate and PAR flux was steeper and stronger in heated than in unheated plots. Death rate was best explained by vegetation temperature. These results provide further evidence that root production acclimates to temperature and is driven by the availability of photosynthate. The stimulation of root growth due to soil warming was almost certainly the result of changes in nutrient availability following enhanced decomposition.","author":[{"dropping-particle":"","family":"Fitter","given":"A. H.","non-dropping-particle":"","parse-names":false,"suffix":""},{"dropping-particle":"","family":"Self","given":"G. K.","non-dropping-particle":"","parse-names":false,"suffix":""},{"dropping-particle":"","family":"Brown","given":"T. K.","non-dropping-particle":"","parse-names":false,"suffix":""},{"dropping-particle":"","family":"Bogie","given":"D. S.","non-dropping-particle":"","parse-names":false,"suffix":""},{"dropping-particle":"","family":"Graves","given":"J. D.","non-dropping-particle":"","parse-names":false,"suffix":""},{"dropping-particle":"","family":"Benham","given":"D.","non-dropping-particle":"","parse-names":false,"suffix":""},{"dropping-particle":"","family":"Ineson","given":"P.","non-dropping-particle":"","parse-names":false,"suffix":""}],"container-title":"Oecologia","id":"ITEM-1","issue":"4","issued":{"date-parts":[["1999"]]},"page":"575-581","title":"Root production and turnover in an upland grassland subjected to artificial soil warming respond to radiation flux and nutrients, not temperature","type":"article-journal","volume":"120"},"uris":["http://www.mendeley.com/documents/?uuid=d94aa61c-7796-42bd-bff8-f65cc2792f4a"]},{"id":"ITEM-2","itemData":{"DOI":"10.1046/j.1469-8137.2000.00689.x","ISSN":"0028646X","abstract":"Soil temperature can influence the functioning of roots in many ways. If soil moisture and nutrient availability are adequate, rates of root length extension and root mortality increase with increasing soil temperature, at least up to an optimal temperature for root growth, which seems to vary among taxa. Root growth and root mortality are highly seasonal in perennial plants, with a flush of growth in spring and significant mortality in the fall. At present we do not understand whether root growth phenology responds to the same temperature cues that are known to control shoot growth. We also do not understand whether the flush of root growth in the spring depends on the utilization of stored nonstructural carbohydrates, or if it is fueled by current photosynthate. Root respiration increases exponentially with temperature, but Q(10) values range widely from c. 1.5 to ]3.0. Significant questions yet to be resolved are: whether rates of root respiration acclimate to soil temperature, and what mechanisms control acclimation if it occurs. Limited data suggest that fine roots depend heavily on the import of new carbon (C) from the canopy during the growing season. We hypothesize that root growth and root respiration are tightly linked to whole-canopy assimilation through complex source-sink relationships within the plant. Our understanding of how the whole plant responds to dynamic changes in soil temperature, moisture and nutrient availability is poor, even though it is well known that multiple growth-limiting resources change simultaneously through time during a typical growing season. We review the interactions between soil temperature and other growth-limiting factors to illustrate how simple generalizations about temperature and root functioning can be misleading.","author":[{"dropping-particle":"","family":"Pregitzer","given":"Kurt S.","non-dropping-particle":"","parse-names":false,"suffix":""},{"dropping-particle":"","family":"King","given":"John S.","non-dropping-particle":"","parse-names":false,"suffix":""},{"dropping-particle":"","family":"Burton","given":"Andrew J.","non-dropping-particle":"","parse-names":false,"suffix":""},{"dropping-particle":"","family":"Brown","given":"Shannon E.","non-dropping-particle":"","parse-names":false,"suffix":""}],"container-title":"New Phytologist","id":"ITEM-2","issue":"1","issued":{"date-parts":[["2000"]]},"page":"105-115","title":"Responses of tree fine roots to temperature","type":"article-journal","volume":"147"},"uris":["http://www.mendeley.com/documents/?uuid=177deccf-9f3f-4f11-b983-7847e5415415"]},{"id":"ITEM-3","itemData":{"DOI":"10.1093/treephys/23.4.273","ISSN":"0829318X","abstract":"Increasing global temperatures could potentially cause large increases in root respiration and associated soil CO2 efflux. However, if root respiration acclimates to higher temperatures, increases in soil CO2 efflux from this source would be much less. Throughout the snow-free season, we measured fine root respiration in the field at ambient soil temperature in a sugar maple (Acer saccharum Marsh.) forest and a red pine (Pinus resinosa Ait.) plantation in Michigan. The objectives were to determine effects of soil temperature, soil water availability and experimental N additions on root respiration rates, and to test for temperature acclimation in response to seasonal changes in soil temperature. Soil temperature and soil water availability were important predictors of root respiration and together explained 76% of the variation in root respiration rates in the red pine plantation and 71% of the variation in the sugar maple forest. Root N concentration explained an additional 6% of the variation in the sugar maple trees. Experimental N additions did not affect root respiration rates at either site. From April to November, root respiration rates measured in the field increased exponentially with increasing soil temperature. For sugar maple, long-term Q10 values calculated from the field data were slightly, but not significantly, less than short-term Q10 values determined for instantaneous temperature series conducted in the laboratory (2.4 versus 2.62.7). For red pine, long-term and short-term Q10 values were similar (3.0 versus 3.0). Sugar maple root respiration rates at constant reference temperatures of 6, 18 and 24 degrees C were measured in the laboratory at various times during the year when field soil temperatures varied from 0.4 to 16.8 degrees C. No relationship existed between ambient soil temperature just before sampling and root respiration rates at 6 and 18 degrees C (P = 0.37 and 0.86, respectively), and only a very weak relationship was found between ambient soil temperature and root respiration at 24 degrees C (P = 0.08, slope = 0.09). We conclude that root respiration in these species undergoes little, if any, acclimation to seasonal changes in soil temperature.","author":[{"dropping-particle":"","family":"Burton","given":"Andrew J.","non-dropping-particle":"","parse-names":false,"suffix":""},{"dropping-particle":"","family":"Pregitzer","given":"Kurt S.","non-dropping-particle":"","parse-names":false,"suffix":""}],"container-title":"Tree Physiology","id":"ITEM-3","issue":"4","issued":{"date-parts":[["2003"]]},"page":"273-280","title":"Field measurements of root respiration indicate little to no seasonal temperature acclimation for sugar maple and red pine","type":"article-journal","volume":"23"},"uris":["http://www.mendeley.com/documents/?uuid=49f63c03-6df8-46b6-b7d1-8a7b94b8cfaa"]},{"id":"ITEM-4","itemData":{"DOI":"10.2136/sssaj1999.634990x","abstract":"Intensive site preparation for forest tree planting may result in a mid-rotation decline in soil N availability. Such decline has not been fully documented. This study was conducted in a loblolly pine (Pinus taeda L.) plantation in the Piedmont of North Carolina to evaluate the effects of nutrient removal during harvest and site preparation on N availability at mid-rotation. Treatments, installed in 1981, consisted of a combination of harvest (stem-only vs. whole-tree) and site preparation (chop and burn vs. shear, pile, and disk), with a split-plot of vegetation control (no herbicide vs. herbicide). In 1995 net N mineralization was examined by monthly in situ soil incubations from May through November (7 mo). Net N mineralization was approximately 3 times lower at mid-rotation than shortly after treatment. A 5 degrees C drop in soil temperature at 10-cm depth helped explain approximate to 50% of this decline. At mid-rotation, harvest intensity, but not site preparation intensity, affected N mineralization, with stem-only harvest plots mineralizing 11 kg N ha(-1) more than whole-tree harvest plots during the seven months. Chop-burn-no herbicide plots mineralized 34(+/-3) kg N ha(-1), chop-burn-herbicide: 30(+/-3) kg N ha(-1), shear-pile-disk-herbicide: 28(+/-3) kg N ha(-1), and shear-pile-disk-no herbicide: 19(+/-3) kg N ha(-1) in the seven months. Mid-rotation mineralization was positively correlated with soil temperature and negatively correlated with soil P and soil C:N ratio. The effect of harvest on N mineralization was probably exerted through P nutrition, whereas the lack of site preparation effects suggested that large nutrient removals that occurred with shearing and piling did not have lasting and negative effects on N availability in this plantation.","author":[{"dropping-particle":"","family":"Piatek","given":"Kathryn B.","non-dropping-particle":"","parse-names":false,"suffix":""},{"dropping-particle":"","family":"Allen","given":"H.Lee","non-dropping-particle":"","parse-names":false,"suffix":""}],"container-title":"Soil Science Society of America Journal","id":"ITEM-4","issue":"4","issued":{"date-parts":[["2010"]]},"page":"990-998","title":"Nitrogen Mineralization in a Pine Plantation Fifteen Years After Harvesting and Site Preparation","type":"article-journal","volume":"63"},"uris":["http://www.mendeley.com/documents/?uuid=fa5edde4-cc3f-4276-81b7-8e806a9c4f3b"]},{"id":"ITEM-5","itemData":{"DOI":"10.1093/treephys/tpr066","ISSN":"0829318X","abstract":"Examining the responses of root standing crop (biomass and necromass) and chemistry to soil warming is crucial for understanding root dynamics and functioning in the face of global climate change. We assessed the standing crop, total nitrogen (N) and carbon (C) compounds in tree roots and soil net N mineralization over the growing season after 6 years of experimental soil warming in a temperate deciduous forest in 2008. Roots were sorted into four different categories: live and dead fine roots (≤1 mm in diameter) and live and dead coarse roots (1-4 mm in diameter). Total root standing crop (live plus dead) in the top 10cm of soil in the warmed area was 42.5% (378.4 vs. 658.5gm -2) lower than in the control area, while live root standing crop in the warmed area was 62% lower than in the control area. Soil net N mineralization over the growing season increased by 79.4% in the warmed relative to the control area. Soil warming did not significantly change the concentrations of C and C compounds (sugar, starch, hemicellulose, cellulose and lignin) in the four root categories. However, total N concentration in the live fine roots in the warmed area was 10.5% (13.7 vs. 12.4 mg g -1) higher and C:N ratio was 8.6% (38.5 vs. 42.1) lower than in the control area. The increase in N concentration in the live fine roots could be attributed to the increase in soil N availability due to soil warming. Net N mineralization was negatively correlated with both live and dead fine roots in the mineral soil that is home to the majority of roots, suggesting that soil warming increases N mineralization, decreases fine root biomass and thus decreases C allocation belowground. © The Author 2011. Published by Oxford University Press. All rights reserved.","author":[{"dropping-particle":"","family":"Zhou","given":"Yumei","non-dropping-particle":"","parse-names":false,"suffix":""},{"dropping-particle":"","family":"Tang","given":"Jianwu","non-dropping-particle":"","parse-names":false,"suffix":""},{"dropping-particle":"","family":"Melillo","given":"Jerry M.","non-dropping-particle":"","parse-names":false,"suffix":""},{"dropping-particle":"","family":"Butler","given":"Sarah","non-dropping-particle":"","parse-names":false,"suffix":""},{"dropping-particle":"","family":"Mohan","given":"Jacqueline E.","non-dropping-particle":"","parse-names":false,"suffix":""}],"container-title":"Tree Physiology","id":"ITEM-5","issue":"7","issued":{"date-parts":[["2011"]]},"page":"707-717","title":"Root standing crop and chemistry after six years of soil warming in a temperate forest","type":"article-journal","volume":"31"},"uris":["http://www.mendeley.com/documents/?uuid=246ad468-edd5-44aa-a6af-a3c45b1433c5"]},{"id":"ITEM-6","itemData":{"DOI":"10.1046/j.1365-2486.2003.00622.x","ISSN":"13541013","abstract":"Understanding how exogenous and endogenous factors control the distribution, production and mortality of fine roots is fundamental to assessing the implications of global change, yet our knowledge of control over fine root dynamics remains rudimentary. To improve understanding of these processes, the present study developed regression relationships between environmental variables and fine root dynamics within a northern hardwood forest in New Hampshire, USA, which was experimentally manipulated with a snow removal treatment. Fine roots (&lt;1 mm diameter) were observed using minirhizotrons for 2 years in sugar maple and yellow birch stands and analyzed in relation to temperature, water and nutrient availability. Fine root dynamics at this site fluctuated seasonally, with growth and mortality peaking during warmer months. Monthly fine root production was strongly associated with mean monthly air temperature and neither soil moisture nor nutrient availability added additional predictive power to this relationship. This relationship exhibited a seasonal temperature hysteresis, which was altered by snow removal treatment. These results suggest that both exogenous and endogenous cues may be important in controlling fine root growth in this system. Proportional fine root mortality was directly associated with mean monthly soil temperature, and proportional fine root mortality during the over-winter interval was strongly related to whether the soil froze. The strong relationship between fine root production and air temperature reported herein contrasts with findings from some hardwood forest sites and indicates that controls on fine root dynamics vary geographically. Future research must more clearly distinguish between endogenous and exogenous control over fine root dynamics in various ecosystems.","author":[{"dropping-particle":"","family":"Tierney","given":"Geraldine L.","non-dropping-particle":"","parse-names":false,"suffix":""},{"dropping-particle":"","family":"Fahey","given":"Timothy J.","non-dropping-particle":"","parse-names":false,"suffix":""},{"dropping-particle":"","family":"Groffman","given":"Peter M.","non-dropping-particle":"","parse-names":false,"suffix":""},{"dropping-particle":"","family":"Hardy","given":"Janet P.","non-dropping-particle":"","parse-names":false,"suffix":""},{"dropping-particle":"","family":"Fitzhugh","given":"Ross D.","non-dropping-particle":"","parse-names":false,"suffix":""},{"dropping-particle":"","family":"Driscoll","given":"Charles T.","non-dropping-particle":"","parse-names":false,"suffix":""},{"dropping-particle":"","family":"Yavitt","given":"Joseph B.","non-dropping-particle":"","parse-names":false,"suffix":""}],"container-title":"Global Change Biology","id":"ITEM-6","issue":"5","issued":{"date-parts":[["2003"]]},"page":"670-679","title":"Environmental control of fine root dynamics in a northern hardwood forest","type":"article-journal","volume":"9"},"uris":["http://www.mendeley.com/documents/?uuid=2b6edcd4-be49-41d8-bd4e-e918b4040220"]}],"mendeley":{"formattedCitation":"(Fitter &lt;i&gt;et al.&lt;/i&gt;, 1999; Pregitzer &lt;i&gt;et al.&lt;/i&gt;, 2000; Burton &amp; Pregitzer, 2003; Tierney &lt;i&gt;et al.&lt;/i&gt;, 2003; Piatek &amp; Allen, 2010; Zhou &lt;i&gt;et al.&lt;/i&gt;, 2011)","plainTextFormattedCitation":"(Fitter et al., 1999; Pregitzer et al., 2000; Burton &amp; Pregitzer, 2003; Tierney et al., 2003; Piatek &amp; Allen, 2010; Zhou et al., 2011)","previouslyFormattedCitation":"(Fitter &lt;i&gt;et al.&lt;/i&gt;, 1999; Pregitzer &lt;i&gt;et al.&lt;/i&gt;, 2000; Burton &amp; Pregitzer, 2003; Tierney &lt;i&gt;et al.&lt;/i&gt;, 2003; Piatek &amp; Allen, 2010; Zhou &lt;i&gt;et al.&lt;/i&gt;, 2011)"},"properties":{"noteIndex":0},"schema":"https://github.com/citation-style-language/schema/raw/master/csl-citation.json"}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(Fitter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1999; Pregitzer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2000; Burton &amp; Pregitzer, 2003; Tierney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2003; Piatek &amp; Allen, 2010; Zhou </w:t>
      </w:r>
      <w:r w:rsidR="00D64D1F" w:rsidRPr="00872293">
        <w:rPr>
          <w:rFonts w:ascii="Times New Roman" w:hAnsi="Times New Roman" w:cs="Times New Roman"/>
          <w:i/>
          <w:noProof/>
        </w:rPr>
        <w:t>et al.</w:t>
      </w:r>
      <w:r w:rsidR="00D64D1F" w:rsidRPr="00872293">
        <w:rPr>
          <w:rFonts w:ascii="Times New Roman" w:hAnsi="Times New Roman" w:cs="Times New Roman"/>
          <w:noProof/>
        </w:rPr>
        <w:t>, 2011)</w:t>
      </w:r>
      <w:r w:rsidR="00CE76B7" w:rsidRPr="00872293">
        <w:rPr>
          <w:rFonts w:ascii="Times New Roman" w:hAnsi="Times New Roman" w:cs="Times New Roman"/>
        </w:rPr>
        <w:fldChar w:fldCharType="end"/>
      </w:r>
      <w:r w:rsidRPr="00872293">
        <w:rPr>
          <w:rFonts w:ascii="Times New Roman" w:hAnsi="Times New Roman" w:cs="Times New Roman"/>
        </w:rPr>
        <w:t>.</w:t>
      </w:r>
      <w:r w:rsidRPr="00872293">
        <w:rPr>
          <w:rFonts w:ascii="Times New Roman" w:eastAsia="Times New Roman" w:hAnsi="Times New Roman" w:cs="Times New Roman"/>
        </w:rPr>
        <w:t xml:space="preserve"> The effect of climate warming, though, is not consistent across tree species or forest type. </w:t>
      </w:r>
      <w:bookmarkStart w:id="72" w:name="_Hlk47537156"/>
      <w:r w:rsidRPr="00872293">
        <w:rPr>
          <w:rFonts w:ascii="Times New Roman" w:hAnsi="Times New Roman" w:cs="Times New Roman"/>
        </w:rPr>
        <w:t xml:space="preserve">For example, some studies show that high temperature can increase root mortality rates due to higher evapotranspiration, leading to water shortage effects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 xml:space="preserve">ADDIN CSL_CITATION {"citationItems":[{"id":"ITEM-1","itemData":{"DOI":"10.1023/A:1004298804353","ISSN":"0032079X","abstract":"The production and mortality of roots is an important factor determining nutrient and carbon fluxes in terrestrial ecosystems. However, the effect of temperature on the longevity of roots is not understood. In this study the impact of changes in temperature on the longevity of Lolium perenne roots was determined. Plants were grown at 15 </w:instrText>
      </w:r>
      <w:r w:rsidR="00045A85" w:rsidRPr="00872293">
        <w:rPr>
          <w:rFonts w:ascii="Tahoma" w:hAnsi="Tahoma" w:cs="Tahoma"/>
        </w:rPr>
        <w:instrText>�</w:instrText>
      </w:r>
      <w:r w:rsidR="00045A85" w:rsidRPr="00872293">
        <w:rPr>
          <w:rFonts w:ascii="Times New Roman" w:hAnsi="Times New Roman" w:cs="Times New Roman"/>
        </w:rPr>
        <w:instrText xml:space="preserve">C, 21 </w:instrText>
      </w:r>
      <w:r w:rsidR="00045A85" w:rsidRPr="00872293">
        <w:rPr>
          <w:rFonts w:ascii="Tahoma" w:hAnsi="Tahoma" w:cs="Tahoma"/>
        </w:rPr>
        <w:instrText>�</w:instrText>
      </w:r>
      <w:r w:rsidR="00045A85" w:rsidRPr="00872293">
        <w:rPr>
          <w:rFonts w:ascii="Times New Roman" w:hAnsi="Times New Roman" w:cs="Times New Roman"/>
        </w:rPr>
        <w:instrText xml:space="preserve">C and 27 </w:instrText>
      </w:r>
      <w:r w:rsidR="00045A85" w:rsidRPr="00872293">
        <w:rPr>
          <w:rFonts w:ascii="Tahoma" w:hAnsi="Tahoma" w:cs="Tahoma"/>
        </w:rPr>
        <w:instrText>�</w:instrText>
      </w:r>
      <w:r w:rsidR="00045A85" w:rsidRPr="00872293">
        <w:rPr>
          <w:rFonts w:ascii="Times New Roman" w:hAnsi="Times New Roman" w:cs="Times New Roman"/>
        </w:rPr>
        <w:instrText>C and their roots observed using a minirhizotron system. Major effects of temperature were measured with large reductions in root longevity occurring at higher temperatures. The implications of these data are discussed.","author":[{"dropping-particle":"","family":"Forbes","given":"P. J.","non-dropping-particle":"","parse-names":false,"suffix":""},{"dropping-particle":"","family":"Black","given":"K. E.","non-dropping-particle":"","parse-names":false,"suffix":""},{"dropping-particle":"","family":"Hooker","given":"J. E.","non-dropping-particle":"","parse-names":false,"suffix":""}],"container-title":"Plant and Soil","id":"ITEM-1","issue":"1","issued":{"date-parts":[["1997"]]},"page":"87-90","title":"Temperature-induced alteration to root longevity in Lolium perenne","type":"article-journal","volume":"190"},"uris":["http://www.mendeley.com/documents/?uuid=c959a7ca-f975-4490-9691-a7ff0810836d"]},{"id":"ITEM-2","itemData":{"DOI":"10.1007/s004420050892","ISSN":"00298549","abstract":"Root demographic processes (birth and death) were measured using minirhizotrons in the soil warming experiments at the summit of Great Dun Fell, United Kingdom (845 m). The soil warming treatment raised soil temperature at 2 cm depth by nearly 3 degrees C. The first experiment ran for 6 months (1994), the second for 18 (1995-1996). In both experiments, heating increased death rates for roots, but birth rates were not significantly increased in the first experiment. The lack of stimulation of death rate in 1996 is probably an artefact, caused by completion of measurements in late summer of 1996, before the seasonal demography was concluded: root death continued over the winter of 1995-1996. Measurements of instantaneous death rates confirmed this: they were accelerated by warming in the second experiment. In the one complete year (1995-1996) in which measurements were taken, net root numbers by the end of the year were not affected by soil warming. The best explanatory environmental variable for root birth rate in both experiments was photosynthetically active radiation (PAR) flux, averaged over the previous 5 (first experiment) or 10 days (second experiment). In the second experiment, the relationship between birth rate and PAR flux was steeper and stronger in heated than in unheated plots. Death rate was best explained by vegetation temperature. These results provide further evidence that root production acclimates to temperature and is driven by the availability of photosynthate. The stimulation of root growth due to soil warming was almost certainly the result of changes in nutrient availability following enhanced decomposition.","author":[{"dropping-particle":"","family":"Fitter","given":"A. H.","non-dropping-particle":"","parse-names":false,"suffix":""},{"dropping-particle":"","family":"Self","given":"G. K.","non-dropping-particle":"","parse-names":false,"suffix":""},{"dropping-particle":"","family":"Brown","given":"T. K.","non-dropping-particle":"","parse-names":false,"suffix":""},{"dropping-particle":"","family":"Bogie","given":"D. S.","non-dropping-particle":"","parse-names":false,"suffix":""},{"dropping-particle":"","family":"Graves","given":"J. D.","non-dropping-particle":"","parse-names":false,"suffix":""},{"dropping-particle":"","family":"Benham","given":"D.","non-dropping-particle":"","parse-names":false,"suffix":""},{"dropping-particle":"","family":"Ineson","given":"P.","non-dropping-particle":"","parse-names":false,"suffix":""}],"container-title":"Oecologia","id":"ITEM-2","issue":"4","issued":{"date-parts":[["1999"]]},"page":"575-581","title":"Root production and turnover in an upland grassland subjected to artificial soil warming respond to radiation flux and nutrients, not temperature","type":"article-journal","volume":"120"},"uris":["http://www.mendeley.com/documents/?uuid=d94aa61c-7796-42bd-bff8-f65cc2792f4a"]},{"id":"ITEM-3","itemData":{"abstract":"We describe a model-based clustering method for using multilocus genotype data to infer population structure and assign individuals to populations. We assume a model in which there are K populations (where K may be unknown), each of which is characterized by a set of allele frequencies at each locus. Individuals in the sample are assigned (probabilistically) to populations, or jointly to two or more populations if their genotypes indicate that they are admixed. Our model does not assume a particular mutation process, and it can be applied to most of the commonly used genetic markers, provided that they are not closely linked. Applications of our method include demonstrating the presence of population structure, assigning individuals to populations, studying hybrid zones, and identifying migrants and admixed individuals. We show that the method can produce highly accurate assignments using modest numbers of loci-e.g. , seven microsatellite loci in an example using genotype data from an endangered bird species. The software used for this article is available from http://www.stats.ox.ac.uk/ approximately pritch/home. html.","author":[{"dropping-particle":"","family":"Pritchard","given":"J K","non-dropping-particle":"","parse-names":false,"suffix":""},{"dropping-particle":"","family":"Stephens","given":"M","non-dropping-particle":"","parse-names":false,"suffix":""},{"dropping-particle":"","family":"Donnelly","given":"P","non-dropping-particle":"","parse-names":false,"suffix":""}],"chapter-number":"945","container-title":"Genetics","id":"ITEM-3","issue":"2","issued":{"date-parts":[["2000"]]},"page":"945-959","publisher":"Genetics Soc America","title":"Inference of population structure using multilocus genotype data.","type":"article-journal","volume":"155"},"uris":["http://www.mendeley.com/documents/?uuid=f6024f15-9c7d-45d6-a277-30582c5ad039"]},{"id":"ITEM-4","itemData":{"DOI":"10.1111/j.1469-8137.2004.01034.x","ISSN":"0028646X","abstract":"Fine roots are the key link for plant water and nutrient uptake, soil carbon (C) input and soil microbial activity in forest ecosystems, and play a critical role in regulating ecosystem C balance and its response to global change.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Phytologist","id":"ITEM-4","issue":"2","issued":{"date-parts":[["2004"]]},"page":"437-446","title":"CO2 enrichment and warming of the atmosphere enhance both productivity and mortality of maple tree fine roots","type":"article-journal","volume":"162"},"uris":["http://www.mendeley.com/documents/?uuid=e8305978-6ac6-42ff-8942-45dd992e0855"]},{"id":"ITEM-5","itemData":{"DOI":"10.1111/j.1365-2486.2004.00733.x","ISSN":"13541013","abstract":"The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Biology","id":"ITEM-5","issue":"2","issued":{"date-parts":[["2004"]]},"page":"182-188","title":"Interactive effects of soil warming and fertilization root production, mortality, and longevity in a Norway spruce stand in Northern Sweden","type":"article-journal","volume":"10"},"uris":["http://www.mendeley.com/documents/?uuid=13abc1f4-c945-4204-a671-53a35f6c1b66"]},{"id":"ITEM-6","itemData":{"DOI":"10.1126/sciadv.aaz1834","abstract":"Plant-soil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Advances","id":"ITEM-6","issue":"11","issued":{"date-parts":[["2019","11","1"]]},"page":"eaaz1834","title":"Climate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ecosystems","type":"article-journal","volume":"5"},"uris":["http://www.mendeley.com/documents/?uuid=f33656d6-3f72-4af2-aefc-f4b86350a8e6"]}],"mendeley":{"formattedCitation":"(Forbes &lt;i&gt;et al.&lt;/i&gt;, 1997; Fitter &lt;i&gt;et al.&lt;/i&gt;, 1999; Pritchard &lt;i&gt;et al.&lt;/i&gt;, 2000; Majdi &amp; Öhrvik, 2004; Wan &lt;i&gt;et al.&lt;/i&gt;, 2004a; Pugnaire &lt;i&gt;et al.&lt;/i&gt;, 2019)","manualFormatting":"(Forbes et al., 1997; Fitter et al., 1999; Pritchard et al., 2000; Majdi &amp; Öhrvik, 2004; Wan et al., 2004)","plainTextFormattedCitation":"(Forbes et al., 1997; Fitter et al., 1999; Pritchard et al., 2000; Majdi &amp; Öhrvik, 2004; Wan et al., 2004a; Pugnaire et al., 2019)","previouslyFormattedCitation":"(Forbes &lt;i&gt;et al.&lt;/i&gt;, 1997; Fitter &lt;i&gt;et al.&lt;/i&gt;, 1999; Pritchard &lt;i&gt;et al.&lt;/i&gt;, 2000; Majdi &amp; Öhrvik, 2004; Wan &lt;i&gt;et al.&lt;/i&gt;, 2004a; Pugnaire &lt;i&gt;et al.&lt;/i&gt;, 2019)"},"properties":{"noteIndex":0},"schema":"https://github.com/citation-style-language/schema/raw/master/csl-citation.json"}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 xml:space="preserve">(Forbes </w:t>
      </w:r>
      <w:r w:rsidRPr="00872293">
        <w:rPr>
          <w:rFonts w:ascii="Times New Roman" w:hAnsi="Times New Roman" w:cs="Times New Roman"/>
          <w:i/>
          <w:noProof/>
        </w:rPr>
        <w:t>et al.</w:t>
      </w:r>
      <w:r w:rsidRPr="00872293">
        <w:rPr>
          <w:rFonts w:ascii="Times New Roman" w:hAnsi="Times New Roman" w:cs="Times New Roman"/>
          <w:noProof/>
        </w:rPr>
        <w:t xml:space="preserve">, 1997; Fitter </w:t>
      </w:r>
      <w:r w:rsidRPr="00872293">
        <w:rPr>
          <w:rFonts w:ascii="Times New Roman" w:hAnsi="Times New Roman" w:cs="Times New Roman"/>
          <w:i/>
          <w:noProof/>
        </w:rPr>
        <w:t>et al.</w:t>
      </w:r>
      <w:r w:rsidRPr="00872293">
        <w:rPr>
          <w:rFonts w:ascii="Times New Roman" w:hAnsi="Times New Roman" w:cs="Times New Roman"/>
          <w:noProof/>
        </w:rPr>
        <w:t xml:space="preserve">, 1999; Pritchard </w:t>
      </w:r>
      <w:r w:rsidRPr="00872293">
        <w:rPr>
          <w:rFonts w:ascii="Times New Roman" w:hAnsi="Times New Roman" w:cs="Times New Roman"/>
          <w:i/>
          <w:noProof/>
        </w:rPr>
        <w:t>et al.</w:t>
      </w:r>
      <w:r w:rsidRPr="00872293">
        <w:rPr>
          <w:rFonts w:ascii="Times New Roman" w:hAnsi="Times New Roman" w:cs="Times New Roman"/>
          <w:noProof/>
        </w:rPr>
        <w:t xml:space="preserve">, 2000; Majdi &amp; Öhrvik, 2004; Wan </w:t>
      </w:r>
      <w:r w:rsidRPr="00872293">
        <w:rPr>
          <w:rFonts w:ascii="Times New Roman" w:hAnsi="Times New Roman" w:cs="Times New Roman"/>
          <w:i/>
          <w:noProof/>
        </w:rPr>
        <w:t>et al.</w:t>
      </w:r>
      <w:r w:rsidRPr="00872293">
        <w:rPr>
          <w:rFonts w:ascii="Times New Roman" w:hAnsi="Times New Roman" w:cs="Times New Roman"/>
          <w:noProof/>
        </w:rPr>
        <w:t>, 2004)</w:t>
      </w:r>
      <w:r w:rsidR="00CE76B7" w:rsidRPr="00872293">
        <w:rPr>
          <w:rFonts w:ascii="Times New Roman" w:hAnsi="Times New Roman" w:cs="Times New Roman"/>
        </w:rPr>
        <w:fldChar w:fldCharType="end"/>
      </w:r>
      <w:r w:rsidRPr="00872293">
        <w:rPr>
          <w:rFonts w:ascii="Times New Roman" w:hAnsi="Times New Roman" w:cs="Times New Roman"/>
        </w:rPr>
        <w:t xml:space="preserve">. Others show an increase in root production due to enhanced nutrient availability from decomposition </w:t>
      </w:r>
      <w:r w:rsidR="00E14F2E" w:rsidRPr="00872293">
        <w:rPr>
          <w:rFonts w:ascii="Times New Roman" w:hAnsi="Times New Roman" w:cs="Times New Roman"/>
        </w:rPr>
        <w:fldChar w:fldCharType="begin" w:fldLock="1"/>
      </w:r>
      <w:r w:rsidR="006558F1" w:rsidRPr="00872293">
        <w:rPr>
          <w:rFonts w:ascii="Times New Roman" w:hAnsi="Times New Roman" w:cs="Times New Roman"/>
        </w:rPr>
        <w:instrText>ADDIN CSL_CITATION {"citationItems":[{"id":"ITEM-1","itemData":{"DOI":"10.1111/j.1469-8137.2004.01034.x","ISSN":"0028646X","abstract":"Fine roots are the key link for plant water and nutrient uptake, soil carbon (C) input and soil microbial activity in forest ecosystems, and play a critical role in regulating ecosystem C balance and its response to global change.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Phytologist","id":"ITEM-1","issue":"2","issued":{"date-parts":[["2004"]]},"page":"437-446","title":"CO2 enrichment and warming of the atmosphere enhance both productivity and mortality of maple tree fine roots","type":"article-journal","volume":"162"},"uris":["http://www.mendeley.com/documents/?uuid=e8305978-6ac6-42ff-8942-45dd992e0855"]},{"id":"ITEM-2","itemData":{"DOI":"10.1111/j.1365-2486.2004.00733.x","ISSN":"13541013","abstract":"The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Biology","id":"ITEM-2","issue":"2","issued":{"date-parts":[["2004"]]},"page":"182-188","title":"Interactive effects of soil warming and fertilization root production, mortality, and longevity in a Norway spruce stand in Northern Sweden","type":"article-journal","volume":"10"},"uris":["http://www.mendeley.com/documents/?uuid=13abc1f4-c945-4204-a671-53a35f6c1b66"]},{"id":"ITEM-3","itemData":{"DOI":"10.1007/s10021-012-9525-3","ISSN":"14329840","abstract":"Human-induced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-3","issue":"4","issued":{"date-parts":[["2012"]]},"page":"542-554","title":"Root Biomass Dynamics Under Experimental Warming and Doubled Precipitation in a Tallgrass Prairie","type":"article-journal","volume":"15"},"uris":["http://www.mendeley.com/documents/?uuid=1f682530-69b0-4b9f-8410-2a104ef6031f"]},{"id":"ITEM-4","itemData":{"DOI":"10.1126/sciadv.aaz1834","abstract":"Plant-soil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Advances","id":"ITEM-4","issue":"11","issued":{"date-parts":[["2019","11","1"]]},"page":"eaaz1834","title":"Climate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ecosystems","type":"article-journal","volume":"5"},"uris":["http://www.mendeley.com/documents/?uuid=f33656d6-3f72-4af2-aefc-f4b86350a8e6"]}],"mendeley":{"formattedCitation":"(Majdi &amp; Öhrvik, 2004; Wan &lt;i&gt;et al.&lt;/i&gt;, 2004a; Zhou &lt;i&gt;et al.&lt;/i&gt;, 2012; Pugnaire &lt;i&gt;et al.&lt;/i&gt;, 2019)","plainTextFormattedCitation":"(Majdi &amp; Öhrvik, 2004; Wan et al., 2004a; Zhou et al., 2012; Pugnaire et al., 2019)","previouslyFormattedCitation":"(Majdi &amp; Öhrvik, 2004; Wan &lt;i&gt;et al.&lt;/i&gt;, 2004a; Zhou &lt;i&gt;et al.&lt;/i&gt;, 2012; Pugnaire &lt;i&gt;et al.&lt;/i&gt;, 2019)"},"properties":{"noteIndex":0},"schema":"https://github.com/citation-style-language/schema/raw/master/csl-citation.json"}</w:instrText>
      </w:r>
      <w:r w:rsidR="00E14F2E" w:rsidRPr="00872293">
        <w:rPr>
          <w:rFonts w:ascii="Times New Roman" w:hAnsi="Times New Roman" w:cs="Times New Roman"/>
        </w:rPr>
        <w:fldChar w:fldCharType="separate"/>
      </w:r>
      <w:r w:rsidR="00E14F2E" w:rsidRPr="00872293">
        <w:rPr>
          <w:rFonts w:ascii="Times New Roman" w:hAnsi="Times New Roman" w:cs="Times New Roman"/>
          <w:noProof/>
        </w:rPr>
        <w:t xml:space="preserve">(Majdi &amp; Öhrvik, 2004; Wan </w:t>
      </w:r>
      <w:r w:rsidR="00E14F2E" w:rsidRPr="00872293">
        <w:rPr>
          <w:rFonts w:ascii="Times New Roman" w:hAnsi="Times New Roman" w:cs="Times New Roman"/>
          <w:i/>
          <w:noProof/>
        </w:rPr>
        <w:t>et al.</w:t>
      </w:r>
      <w:r w:rsidR="00E14F2E" w:rsidRPr="00872293">
        <w:rPr>
          <w:rFonts w:ascii="Times New Roman" w:hAnsi="Times New Roman" w:cs="Times New Roman"/>
          <w:noProof/>
        </w:rPr>
        <w:t xml:space="preserve">, 2004a; Zhou </w:t>
      </w:r>
      <w:r w:rsidR="00E14F2E" w:rsidRPr="00872293">
        <w:rPr>
          <w:rFonts w:ascii="Times New Roman" w:hAnsi="Times New Roman" w:cs="Times New Roman"/>
          <w:i/>
          <w:noProof/>
        </w:rPr>
        <w:t>et al.</w:t>
      </w:r>
      <w:r w:rsidR="00E14F2E" w:rsidRPr="00872293">
        <w:rPr>
          <w:rFonts w:ascii="Times New Roman" w:hAnsi="Times New Roman" w:cs="Times New Roman"/>
          <w:noProof/>
        </w:rPr>
        <w:t xml:space="preserve">, 2012; Pugnaire </w:t>
      </w:r>
      <w:r w:rsidR="00E14F2E" w:rsidRPr="00872293">
        <w:rPr>
          <w:rFonts w:ascii="Times New Roman" w:hAnsi="Times New Roman" w:cs="Times New Roman"/>
          <w:i/>
          <w:noProof/>
        </w:rPr>
        <w:t>et al.</w:t>
      </w:r>
      <w:r w:rsidR="00E14F2E" w:rsidRPr="00872293">
        <w:rPr>
          <w:rFonts w:ascii="Times New Roman" w:hAnsi="Times New Roman" w:cs="Times New Roman"/>
          <w:noProof/>
        </w:rPr>
        <w:t>, 2019)</w:t>
      </w:r>
      <w:r w:rsidR="00E14F2E" w:rsidRPr="00872293">
        <w:rPr>
          <w:rFonts w:ascii="Times New Roman" w:hAnsi="Times New Roman" w:cs="Times New Roman"/>
        </w:rPr>
        <w:fldChar w:fldCharType="end"/>
      </w:r>
      <w:r w:rsidRPr="00872293">
        <w:rPr>
          <w:rFonts w:ascii="Times New Roman" w:hAnsi="Times New Roman" w:cs="Times New Roman"/>
        </w:rPr>
        <w:t xml:space="preserve">, or no response in root dynamics to soil warming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{"citationItems":[{"id":"ITEM-1","itemData":{"DOI":"10.1371/journal.pbio.0030319","ISSN":"15449173","abstract":"In this century, increasing concentrations of carbon dioxide (CO2) and other greenhouse gases in the Earth's atmosphere are expected to cause warmer surface temperatures and changes in precipitation patterns. At the same time, reactive nitrogen is entering natural systems at unprecedented rates. These global environmental changes have consequences for the functioning of natural ecosystems, and responses of these systems may feed back to affect climate and atmospheric composition. Here, we report plant growth responses of an ecosystem exposed to factorial combinations of four expected global environmental changes. We exposed California grassland to elevated CO2, temperature, precipitation, and nitrogen deposition for five years. Root and shoot production did not respond to elevated CO2 or modest warming. Supplemental precipitation led to increases in shoot production and offsetting decreases in root production. Supplemental nitrate deposition increased total production by an average of 26%, primarily by stimulating shoot growth. Interactions among the main treatments were rare. Together, these results suggest that production in this grassland will respond minimally to changes in CO2 and winter precipitation, and to small amounts of warming. Increased nitrate deposition would have stronger effects on the grassland. Aside from this nitrate response, expectations that a changing atmosphere and climate would promote carbon storage by increasing plant growth appear unlikely to be realized in this system.","author":[{"dropping-particle":"","family":"Dukes","given":"Jeffrey S.","non-dropping-particle":"","parse-names":false,"suffix":""},{"dropping-particle":"","family":"Chiariello","given":"Nona R.","non-dropping-particle":"","parse-names":false,"suffix":""},{"dropping-particle":"","family":"Cleland","given":"Elsa E.","non-dropping-particle":"","parse-names":false,"suffix":""},{"dropping-particle":"","family":"Moore","given":"Lisa A.","non-dropping-particle":"","parse-names":false,"suffix":""},{"dropping-particle":"","family":"Rebecca Shaw","given":"M.","non-dropping-particle":"","parse-names":false,"suffix":""},{"dropping-particle":"","family":"Thayer","given":"Susan","non-dropping-particle":"","parse-names":false,"suffix":""},{"dropping-particle":"","family":"Tobeck","given":"Todd","non-dropping-particle":"","parse-names":false,"suffix":""},{"dropping-particle":"","family":"Mooney","given":"Harold A.","non-dropping-particle":"","parse-names":false,"suffix":""},{"dropping-particle":"","family":"Field","given":"Christopher B.","non-dropping-particle":"","parse-names":false,"suffix":""}],"container-title":"PLoS Biology","id":"ITEM-1","issue":"10","issued":{"date-parts":[["2005"]]},"title":"Responses of grassland production to single and multiple global environmental changes","type":"article-journal","volume":"3"},"uris":["http://www.mendeley.com/documents/?uuid=5e9d4e06-e28a-4cdc-ad6f-d3f0f6df029d"]}],"mendeley":{"formattedCitation":"(Dukes &lt;i&gt;et al.&lt;/i&gt;, 2005)","plainTextFormattedCitation":"(Dukes et al., 2005)","previouslyFormattedCitation":"(Dukes &lt;i&gt;et al.&lt;/i&gt;, 2005)"},"properties":{"noteIndex":0},"schema":"https://github.com/citation-style-language/schema/raw/master/csl-citation.json"}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(Dukes </w:t>
      </w:r>
      <w:r w:rsidR="00D64D1F" w:rsidRPr="00872293">
        <w:rPr>
          <w:rFonts w:ascii="Times New Roman" w:hAnsi="Times New Roman" w:cs="Times New Roman"/>
          <w:i/>
          <w:noProof/>
        </w:rPr>
        <w:t>et al.</w:t>
      </w:r>
      <w:r w:rsidR="00D64D1F" w:rsidRPr="00872293">
        <w:rPr>
          <w:rFonts w:ascii="Times New Roman" w:hAnsi="Times New Roman" w:cs="Times New Roman"/>
          <w:noProof/>
        </w:rPr>
        <w:t>, 2005)</w:t>
      </w:r>
      <w:r w:rsidR="00CE76B7" w:rsidRPr="00872293">
        <w:rPr>
          <w:rFonts w:ascii="Times New Roman" w:hAnsi="Times New Roman" w:cs="Times New Roman"/>
        </w:rPr>
        <w:fldChar w:fldCharType="end"/>
      </w:r>
      <w:r w:rsidRPr="00872293">
        <w:rPr>
          <w:rFonts w:ascii="Times New Roman" w:hAnsi="Times New Roman" w:cs="Times New Roman"/>
        </w:rPr>
        <w:t xml:space="preserve">. </w:t>
      </w:r>
      <w:bookmarkEnd w:id="72"/>
      <w:r w:rsidRPr="00872293">
        <w:rPr>
          <w:rFonts w:ascii="Times New Roman" w:eastAsia="Times New Roman" w:hAnsi="Times New Roman" w:cs="Times New Roman"/>
        </w:rPr>
        <w:t xml:space="preserve">However, most manipulative warming studies have focused </w:t>
      </w:r>
      <w:r w:rsidRPr="00872293">
        <w:rPr>
          <w:rFonts w:ascii="Times New Roman" w:hAnsi="Times New Roman" w:cs="Times New Roman"/>
        </w:rPr>
        <w:t>on single-factor experiments with highly variable results</w:t>
      </w:r>
      <w:r w:rsidR="00953200" w:rsidRPr="00872293">
        <w:rPr>
          <w:rFonts w:ascii="Times New Roman" w:hAnsi="Times New Roman" w:cs="Times New Roman"/>
        </w:rPr>
        <w:t xml:space="preserv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{"citationItems":[{"id":"ITEM-1","itemData":{"DOI":"10.1073/pnas.0403491101","ISSN":"00278424","abstract":"Fine-root production and turnover are important regulators of the biogeochemical cycles of ecosystems and key components of their response to global change. We present a nearly continuous 6-year record of fine-root production and mortality from minirhizotron analysis of a closed-canopy, deciduous sweetgum forest in a free-air CO2 enrichment experiment. Annual production of fine roots was more than doubled in plots with 550 ppm CO2 compared with plots in ambient air. This response was the primary component of the sustained 22% increase in net primary productivity. Annual fine-root mortality matched annual production, and the mean residence time of roots was not altered by elevated CO2, but peak fine-root standing crop in midsummer was significantly higher in CO2-enriched plots, especially deeper in the soil profile. The preferential allocation of additional carbon to fine roots, which have a fast turnover rate in this species, rather than to stemwood reduces the possibility of long-term enhancement by elevated CO2 of carbon sequestration in biomass. However, sequestration of some of the fine-root carbon in soil pools is not precluded, and there may be other benefits to the tree from a seasonally larger and deeper fine-root system. Root-system dynamics can explain differences among ecosystems in their response to elevated atmospheric CO2; hence, accurate assessments of carbon flux and storage in forests in a globally changing atmosphere must account for this unseen and difficult-to-measure component.","author":[{"dropping-particle":"","family":"Norby","given":"Richard J.","non-dropping-particle":"","parse-names":false,"suffix":""},{"dropping-particle":"","family":"Ledford","given":"Joanne","non-dropping-particle":"","parse-names":false,"suffix":""},{"dropping-particle":"","family":"Reilly","given":"Carolyn D.","non-dropping-particle":"","parse-names":false,"suffix":""},{"dropping-particle":"","family":"Miller","given":"Nicole E.","non-dropping-particle":"","parse-names":false,"suffix":""},{"dropping-particle":"","family":"O'Neill","given":"Elizabeth G.","non-dropping-particle":"","parse-names":false,"suffix":""}],"container-title":"Proceedings of the National Academy of Sciences of the United States of America","id":"ITEM-1","issue":"26","issued":{"date-parts":[["2004"]]},"page":"9689-9693","title":"Fine-root production dominates response of a deciduous forest to atmospheric CO2 enrichment","type":"article-journal","volume":"101"},"uris":["http://www.mendeley.com/documents/?uuid=0523c892-10c1-4a41-b56d-d1c78246eb9c"]},{"id":"ITEM-2","itemData":{"DOI":"10.1007/s10021-012-9525-3","ISSN":"14329840","abstract":"Human-induced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-2","issue":"4","issued":{"date-parts":[["2012"]]},"page":"542-554","title":"Root Biomass Dynamics Under Experimental Warming and Doubled Precipitation in a Tallgrass Prairie","type":"article-journal","volume":"15"},"uris":["http://www.mendeley.com/documents/?uuid=1f682530-69b0-4b9f-8410-2a104ef6031f"]}],"mendeley":{"formattedCitation":"(Norby &lt;i&gt;et al.&lt;/i&gt;, 2004; Zhou &lt;i&gt;et al.&lt;/i&gt;, 2012)","plainTextFormattedCitation":"(Norby et al., 2004; Zhou et al., 2012)","previouslyFormattedCitation":"(Norby &lt;i&gt;et al.&lt;/i&gt;, 2004; Zhou &lt;i&gt;et al.&lt;/i&gt;, 2012)"},"properties":{"noteIndex":0},"schema":"https://github.com/citation-style-language/schema/raw/master/csl-citation.json"}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(Norby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2004; Zhou </w:t>
      </w:r>
      <w:r w:rsidR="00D64D1F" w:rsidRPr="00872293">
        <w:rPr>
          <w:rFonts w:ascii="Times New Roman" w:hAnsi="Times New Roman" w:cs="Times New Roman"/>
          <w:i/>
          <w:noProof/>
        </w:rPr>
        <w:t>et al.</w:t>
      </w:r>
      <w:r w:rsidR="00D64D1F" w:rsidRPr="00872293">
        <w:rPr>
          <w:rFonts w:ascii="Times New Roman" w:hAnsi="Times New Roman" w:cs="Times New Roman"/>
          <w:noProof/>
        </w:rPr>
        <w:t>, 2012)</w:t>
      </w:r>
      <w:r w:rsidR="00CE76B7" w:rsidRPr="00872293">
        <w:rPr>
          <w:rFonts w:ascii="Times New Roman" w:hAnsi="Times New Roman" w:cs="Times New Roman"/>
        </w:rPr>
        <w:fldChar w:fldCharType="end"/>
      </w:r>
      <w:r w:rsidR="008C05C6" w:rsidRPr="00872293">
        <w:rPr>
          <w:rFonts w:ascii="Times New Roman" w:eastAsia="Times New Roman" w:hAnsi="Times New Roman" w:cs="Times New Roman"/>
        </w:rPr>
        <w:t>.</w:t>
      </w:r>
    </w:p>
    <w:p w14:paraId="2A308BD3" w14:textId="77777777" w:rsidR="00E563F7" w:rsidRPr="00872293" w:rsidRDefault="00E563F7" w:rsidP="00E563F7">
      <w:pPr>
        <w:spacing w:line="360" w:lineRule="auto"/>
        <w:rPr>
          <w:rFonts w:ascii="Times New Roman" w:eastAsia="Times New Roman" w:hAnsi="Times New Roman" w:cs="Times New Roman"/>
        </w:rPr>
      </w:pPr>
    </w:p>
    <w:p w14:paraId="2370E510" w14:textId="51419F7F" w:rsidR="00E563F7" w:rsidRPr="00872293" w:rsidRDefault="00E563F7" w:rsidP="00E563F7">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Given the uncertainty surrounding climatic influences on root dynamics, w</w:t>
      </w:r>
      <w:r w:rsidRPr="00872293">
        <w:rPr>
          <w:rFonts w:ascii="Times New Roman" w:eastAsia="Times New Roman" w:hAnsi="Times New Roman" w:cs="Times New Roman"/>
        </w:rPr>
        <w:t xml:space="preserve">e developed </w:t>
      </w:r>
      <w:r w:rsidR="008C05C6" w:rsidRPr="00872293">
        <w:rPr>
          <w:rFonts w:ascii="Times New Roman" w:eastAsia="Times New Roman" w:hAnsi="Times New Roman" w:cs="Times New Roman"/>
        </w:rPr>
        <w:t xml:space="preserve">study </w:t>
      </w:r>
      <w:r w:rsidR="00695996" w:rsidRPr="00872293">
        <w:rPr>
          <w:rFonts w:ascii="Times New Roman" w:eastAsia="Times New Roman" w:hAnsi="Times New Roman" w:cs="Times New Roman"/>
        </w:rPr>
        <w:t xml:space="preserve">on </w:t>
      </w:r>
      <w:r w:rsidRPr="00872293">
        <w:rPr>
          <w:rFonts w:ascii="Times New Roman" w:eastAsia="Times New Roman" w:hAnsi="Times New Roman" w:cs="Times New Roman"/>
        </w:rPr>
        <w:t xml:space="preserve">an </w:t>
      </w:r>
      <w:r w:rsidRPr="00872293">
        <w:rPr>
          <w:rFonts w:ascii="Times New Roman" w:eastAsia="Times New Roman" w:hAnsi="Times New Roman" w:cs="Times New Roman"/>
          <w:i/>
        </w:rPr>
        <w:t>in situ</w:t>
      </w:r>
      <w:r w:rsidRPr="00872293">
        <w:rPr>
          <w:rFonts w:ascii="Times New Roman" w:eastAsia="Times New Roman" w:hAnsi="Times New Roman" w:cs="Times New Roman"/>
        </w:rPr>
        <w:t xml:space="preserve"> warming experiment in a tropical forest (Puerto Rico), the Tropical Responses to Altered Climate Experiment (TRACE). The warming treatment </w:t>
      </w:r>
      <w:r w:rsidR="00695996" w:rsidRPr="00872293">
        <w:rPr>
          <w:rFonts w:ascii="Times New Roman" w:eastAsia="Times New Roman" w:hAnsi="Times New Roman" w:cs="Times New Roman"/>
        </w:rPr>
        <w:t xml:space="preserve">in TRACE </w:t>
      </w:r>
      <w:r w:rsidRPr="00872293">
        <w:rPr>
          <w:rFonts w:ascii="Times New Roman" w:eastAsia="Times New Roman" w:hAnsi="Times New Roman" w:cs="Times New Roman"/>
        </w:rPr>
        <w:t xml:space="preserve">was applied for one year (root images were collected for 7 months) before hurricanes Irma and María </w:t>
      </w:r>
      <w:r w:rsidR="00A42886" w:rsidRPr="00872293">
        <w:rPr>
          <w:rFonts w:ascii="Times New Roman" w:eastAsia="Times New Roman" w:hAnsi="Times New Roman" w:cs="Times New Roman"/>
        </w:rPr>
        <w:t>passed over</w:t>
      </w:r>
      <w:r w:rsidRPr="00872293">
        <w:rPr>
          <w:rFonts w:ascii="Times New Roman" w:eastAsia="Times New Roman" w:hAnsi="Times New Roman" w:cs="Times New Roman"/>
        </w:rPr>
        <w:t xml:space="preserve"> the island in September 2017. The hurricane events </w:t>
      </w:r>
      <w:r w:rsidRPr="00872293">
        <w:rPr>
          <w:rFonts w:ascii="Times New Roman" w:hAnsi="Times New Roman" w:cs="Times New Roman"/>
        </w:rPr>
        <w:t>provided an extraordinary opportunity to explore how forests will recover following hurricane disturbance under a warmer future climate</w:t>
      </w:r>
      <w:r w:rsidRPr="00872293">
        <w:rPr>
          <w:rFonts w:ascii="Times New Roman" w:eastAsia="Times New Roman" w:hAnsi="Times New Roman" w:cs="Times New Roman"/>
        </w:rPr>
        <w:t xml:space="preserve">. We followed the root system response for 10 months following hurricane disturbance with no warming applied, so that we could evaluate the potential legacy effect of prior warming on the recovery process. The initial objectives of this study were to investigate how root standing stock, root biomass production, and root biomass mortality responded to </w:t>
      </w:r>
      <w:r w:rsidRPr="00872293">
        <w:rPr>
          <w:rFonts w:ascii="Times New Roman" w:eastAsia="Times New Roman" w:hAnsi="Times New Roman" w:cs="Times New Roman"/>
          <w:vertAlign w:val="superscript"/>
        </w:rPr>
        <w:t>+</w:t>
      </w:r>
      <w:r w:rsidRPr="00872293">
        <w:rPr>
          <w:rFonts w:ascii="Times New Roman" w:eastAsia="Times New Roman" w:hAnsi="Times New Roman" w:cs="Times New Roman"/>
        </w:rPr>
        <w:t xml:space="preserve">4 </w:t>
      </w:r>
      <w:proofErr w:type="spellStart"/>
      <w:r w:rsidRPr="00872293">
        <w:rPr>
          <w:rFonts w:ascii="Times New Roman" w:eastAsia="Times New Roman" w:hAnsi="Times New Roman" w:cs="Times New Roman"/>
          <w:vertAlign w:val="superscript"/>
        </w:rPr>
        <w:t>o</w:t>
      </w:r>
      <w:r w:rsidRPr="00872293">
        <w:rPr>
          <w:rFonts w:ascii="Times New Roman" w:eastAsia="Times New Roman" w:hAnsi="Times New Roman" w:cs="Times New Roman"/>
        </w:rPr>
        <w:t>C</w:t>
      </w:r>
      <w:proofErr w:type="spellEnd"/>
      <w:r w:rsidRPr="00872293">
        <w:rPr>
          <w:rFonts w:ascii="Times New Roman" w:eastAsia="Times New Roman" w:hAnsi="Times New Roman" w:cs="Times New Roman"/>
        </w:rPr>
        <w:t xml:space="preserve"> warming treatment. After the hurricanes, our additional objectives were to measure how these root dynamics responded to hurricane disturbances and to assess if and how prior warming had legacy effects. Finally, we assessed how these responses changed with soil depth and environmental variables that have the potential to affect root dynamics (i.e., soil microclimate and soil nutrient status). </w:t>
      </w:r>
    </w:p>
    <w:p w14:paraId="3D104E43" w14:textId="77777777" w:rsidR="00121454" w:rsidRPr="00872293" w:rsidRDefault="00032BAB" w:rsidP="00296C07">
      <w:pPr>
        <w:pStyle w:val="Heading2"/>
        <w:spacing w:before="0" w:after="0" w:line="360" w:lineRule="auto"/>
        <w:rPr>
          <w:rFonts w:cs="Times New Roman"/>
        </w:rPr>
      </w:pPr>
      <w:bookmarkStart w:id="73" w:name="_Toc53689076"/>
      <w:r w:rsidRPr="00872293">
        <w:rPr>
          <w:rFonts w:cs="Times New Roman"/>
        </w:rPr>
        <w:lastRenderedPageBreak/>
        <w:t>Materials and methods</w:t>
      </w:r>
      <w:bookmarkEnd w:id="73"/>
    </w:p>
    <w:bookmarkStart w:id="74" w:name="_Toc53689077"/>
    <w:p w14:paraId="359723B4" w14:textId="77777777" w:rsidR="00476271" w:rsidRPr="00872293" w:rsidRDefault="00513656" w:rsidP="00296C07">
      <w:pPr>
        <w:pStyle w:val="Heading3"/>
        <w:spacing w:before="0" w:after="0" w:line="360" w:lineRule="auto"/>
      </w:pPr>
      <w:sdt>
        <w:sdtPr>
          <w:tag w:val="goog_rdk_0"/>
          <w:id w:val="-1501345572"/>
        </w:sdtPr>
        <w:sdtContent/>
      </w:sdt>
      <w:r w:rsidR="006765A2" w:rsidRPr="00872293">
        <w:t>Study site</w:t>
      </w:r>
      <w:bookmarkEnd w:id="74"/>
    </w:p>
    <w:p w14:paraId="02416F2F" w14:textId="173D4A6A" w:rsidR="00106A2D" w:rsidRPr="00872293" w:rsidRDefault="00186916" w:rsidP="00296C07">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The experimental site is located within the Luquillo Experimental Forest, at the USDA Forest Service </w:t>
      </w:r>
      <w:proofErr w:type="spellStart"/>
      <w:r w:rsidRPr="00872293">
        <w:rPr>
          <w:rFonts w:ascii="Times New Roman" w:eastAsia="Times New Roman" w:hAnsi="Times New Roman" w:cs="Times New Roman"/>
        </w:rPr>
        <w:t>Sabana</w:t>
      </w:r>
      <w:proofErr w:type="spellEnd"/>
      <w:r w:rsidRPr="00872293">
        <w:rPr>
          <w:rFonts w:ascii="Times New Roman" w:eastAsia="Times New Roman" w:hAnsi="Times New Roman" w:cs="Times New Roman"/>
        </w:rPr>
        <w:t xml:space="preserve"> Field Research Station, in northeastern Puerto Rico (LEF; </w:t>
      </w:r>
      <w:r w:rsidRPr="00872293">
        <w:rPr>
          <w:rFonts w:ascii="Times New Roman" w:hAnsi="Times New Roman" w:cs="Times New Roman"/>
        </w:rPr>
        <w:t>18°19'48"</w:t>
      </w:r>
      <w:r w:rsidRPr="00872293">
        <w:rPr>
          <w:rFonts w:ascii="Times New Roman" w:eastAsia="Times New Roman" w:hAnsi="Times New Roman" w:cs="Times New Roman"/>
        </w:rPr>
        <w:t xml:space="preserve">N, </w:t>
      </w:r>
      <w:r w:rsidRPr="00872293">
        <w:rPr>
          <w:rFonts w:ascii="Times New Roman" w:hAnsi="Times New Roman" w:cs="Times New Roman"/>
        </w:rPr>
        <w:t>65°43'48</w:t>
      </w:r>
      <w:r w:rsidRPr="00872293">
        <w:rPr>
          <w:rFonts w:ascii="Times New Roman" w:eastAsia="Times New Roman" w:hAnsi="Times New Roman" w:cs="Times New Roman"/>
        </w:rPr>
        <w:t xml:space="preserve">′W). The area is considered a wet “sub-tropical” forest according to the life zones of </w:t>
      </w:r>
      <w:sdt>
        <w:sdtPr>
          <w:rPr>
            <w:rFonts w:ascii="Times New Roman" w:hAnsi="Times New Roman" w:cs="Times New Roman"/>
          </w:rPr>
          <w:tag w:val="goog_rdk_1"/>
          <w:id w:val="2101449434"/>
        </w:sdtPr>
        <w:sdtContent/>
      </w:sdt>
      <w:sdt>
        <w:sdtPr>
          <w:rPr>
            <w:rFonts w:ascii="Times New Roman" w:hAnsi="Times New Roman" w:cs="Times New Roman"/>
          </w:rPr>
          <w:tag w:val="goog_rdk_2"/>
          <w:id w:val="556359921"/>
        </w:sdtPr>
        <w:sdtContent/>
      </w:sdt>
      <w:r w:rsidRPr="00872293">
        <w:rPr>
          <w:rFonts w:ascii="Times New Roman" w:eastAsia="Times New Roman" w:hAnsi="Times New Roman" w:cs="Times New Roman"/>
        </w:rPr>
        <w:t xml:space="preserve">Holdridge, and “tropical” according to the climate classification of </w:t>
      </w:r>
      <w:proofErr w:type="spellStart"/>
      <w:r w:rsidRPr="00872293">
        <w:rPr>
          <w:rFonts w:ascii="Times New Roman" w:eastAsia="Times New Roman" w:hAnsi="Times New Roman" w:cs="Times New Roman"/>
        </w:rPr>
        <w:t>Köppen</w:t>
      </w:r>
      <w:proofErr w:type="spellEnd"/>
      <w:r w:rsidRPr="00872293">
        <w:rPr>
          <w:rFonts w:ascii="Times New Roman" w:eastAsia="Times New Roman" w:hAnsi="Times New Roman" w:cs="Times New Roman"/>
        </w:rPr>
        <w:t xml:space="preserve">-Geiger, and Trewartha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{"citationItems":[{"id":"ITEM-1","itemData":{"DOI":"10.1017/CBO9781107415324.004","ISBN":"U. S. Forest Service Res. Paper 18","ISSN":"1098-6596","PMID":"25246403","abstract":"Most of the neotropical nations except Mexico and Brazil are mapped according to the Holdridge system of ecological life zones. In order to have comparability with these areas, Puerto Rico and the U.S. Virgin Islands were mapped and a discussion and a description of each life zone were written. The manuscript in English offers water balances, a description of the Holdridge theory of biotemperature, and greater detail in generaL The shortened version in Spanish is intended as a field manual to be used with the map. Six life zones are present on these islands and are present also in South and Central America, representing large areas there. Research done on the islands will be directly applicable to those areas and conversely, successful practices done there will be applicable in corresponding life zones on the islands.","author":[{"dropping-particle":"","family":"Ewel","given":"John J.","non-dropping-particle":"","parse-names":false,"suffix":""},{"dropping-particle":"","family":"Whitmore","given":"Jacob L.","non-dropping-particle":"","parse-names":false,"suffix":""}],"container-title":"Forest Service Research","id":"ITEM-1","issued":{"date-parts":[["1973"]]},"title":"The ecological life zones of Puerto Rico and the U.S.Virgin Islands","type":"article-journal"},"uris":["http://www.mendeley.com/documents/?uuid=a74ab2bc-ab57-4bf6-a69c-3cf2d2b208a6"]},{"id":"ITEM-2","itemData":{"DOI":"10.3390/atmos3010181","author":[{"dropping-particle":"","family":"Jacob","given":"Daniela","non-dropping-particle":"","parse-names":false,"suffix":""},{"dropping-particle":"","family":"Elizalde","given":"Alberto","non-dropping-particle":"","parse-names":false,"suffix":""},{"dropping-particle":"","family":"Haensler","given":"Andreas","non-dropping-particle":"","parse-names":false,"suffix":""},{"dropping-particle":"","family":"Hagemann","given":"Stefan","non-dropping-particle":"","parse-names":false,"suffix":""},{"dropping-particle":"","family":"Kumar","given":"Pankaj","non-dropping-particle":"","parse-names":false,"suffix":""},{"dropping-particle":"","family":"Podzun","given":"Ralf","non-dropping-particle":"","parse-names":false,"suffix":""},{"dropping-particle":"","family":"Rechid","given":"Diana","non-dropping-particle":"","parse-names":false,"suffix":""},{"dropping-particle":"","family":"Remedio","given":"Armelle Reca","non-dropping-particle":"","parse-names":false,"suffix":""},{"dropping-particle":"","family":"Saeed","given":"Fahad","non-dropping-particle":"","parse-names":false,"suffix":""},{"dropping-particle":"","family":"Sieck","given":"Kevin","non-dropping-particle":"","parse-names":false,"suffix":""},{"dropping-particle":"","family":"Teichmann","given":"Claas","non-dropping-particle":"","parse-names":false,"suffix":""},{"dropping-particle":"","family":"Wilhelm","given":"Christof","non-dropping-particle":"","parse-names":false,"suffix":""}],"container-title":"Atmosphere","id":"ITEM-2","issued":{"date-parts":[["2012","12","1"]]},"page":"181-1993390","title":"Assessing the Transferability of the Regional Climate Model REMO to Different COordinated Regional Climate Downscaling EXperiment (CORDEX) Regions","type":"article-journal","volume":"3"},"uris":["http://www.mendeley.com/documents/?uuid=745888fc-93d5-4f23-993c-0305ca98d538"]},{"id":"ITEM-3","itemData":{"DOI":"10.1127/0941-2948/2006/0130","author":[{"dropping-particle":"","family":"Kottek","given":"Markus","non-dropping-particle":"","parse-names":false,"suffix":""},{"dropping-particle":"","family":"Grieser","given":"Jürgen","non-dropping-particle":"","parse-names":false,"suffix":""},{"dropping-particle":"","family":"Beck","given":"Christoph","non-dropping-particle":"","parse-names":false,"suffix":""},{"dropping-particle":"","family":"Rudolf","given":"Bruno","non-dropping-particle":"","parse-names":false,"suffix":""},{"dropping-particle":"","family":"Rubel","given":"Franz","non-dropping-particle":"","parse-names":false,"suffix":""}],"container-title":"Meteorologische Zeitschrift","id":"ITEM-3","issued":{"date-parts":[["2006","5","2"]]},"page":"259-263","title":"World Map of the Köppen-Geiger Climate Classification Updated","type":"article-journal","volume":"15"},"uris":["http://www.mendeley.com/documents/?uuid=d85ea26d-2775-43cc-b261-8d0d8d62ae28"]}],"mendeley":{"formattedCitation":"(Ewel &amp; Whitmore, 1973; Kottek &lt;i&gt;et al.&lt;/i&gt;, 2006; Jacob &lt;i&gt;et al.&lt;/i&gt;, 2012)","plainTextFormattedCitation":"(Ewel &amp; Whitmore, 1973; Kottek et al., 2006; Jacob et al., 2012)","previouslyFormattedCitation":"(Ewel &amp; Whitmore, 1973; Kottek &lt;i&gt;et al.&lt;/i&gt;, 2006; Jacob &lt;i&gt;et al.&lt;/i&gt;, 2012)"},"properties":{"noteIndex":0},"schema":"https://github.com/citation-style-language/schema/raw/master/csl-citation.json"}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(Ewel &amp; Whitmore, 1973; Kottek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xml:space="preserve">, 2006; Jacob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2012)</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site is in a secondary forest that has been recovering from deforestation for approximately 70 years at the time of this study, it is approximately 100 m above sea level, receives on average 3,300 mm of rainfall annually, and has a mean annual temperature of 24 </w:t>
      </w:r>
      <w:proofErr w:type="spellStart"/>
      <w:r w:rsidRPr="00872293">
        <w:rPr>
          <w:rFonts w:ascii="Times New Roman" w:eastAsia="Times New Roman" w:hAnsi="Times New Roman" w:cs="Times New Roman"/>
          <w:vertAlign w:val="superscript"/>
        </w:rPr>
        <w:t>o</w:t>
      </w:r>
      <w:r w:rsidRPr="00872293">
        <w:rPr>
          <w:rFonts w:ascii="Times New Roman" w:eastAsia="Times New Roman" w:hAnsi="Times New Roman" w:cs="Times New Roman"/>
        </w:rPr>
        <w:t>C</w:t>
      </w:r>
      <w:proofErr w:type="spellEnd"/>
      <w:r w:rsidRPr="00872293">
        <w:rPr>
          <w:rFonts w:ascii="Times New Roman" w:eastAsia="Times New Roman" w:hAnsi="Times New Roman" w:cs="Times New Roman"/>
        </w:rPr>
        <w:t xml:space="preserve">, with little variation throughout the year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{"citationItems":[{"id":"ITEM-1","itemData":{"DOI":"10.1002/ece3.3780","ISSN":"20457758","abstract":"The response of tropical forests to global warming is one of the largest uncertainties in predicting the future carbon balance of Earth. To determine the likely effects of elevated temperatures on tropical forest understory plants and soils, as well as other ecosystems, an infrared (IR) heater system was developed to provide in situ warming for the Tropical Responses to Altered Climate Experiment (TRACE) in the Luquillo Experimental Forest in Puerto Rico. Three replicate heated 4-m-diameter plots were warmed to maintain a 4°C increase in understory vegetation compared to three unheated control plots, as sensed by IR thermometers. The equipment was larger than any used previously and was subjected to challenges different from those of many temperate ecosystem warming systems, including frequent power surges and outages, high humidity, heavy rains, hurricanes, saturated clayey soils, and steep slopes. The system was able to maintain the target 4.0°C increase in hourly average vegetation temperatures to within ± 0.1°C. The vegetation was heterogeneous and on a 21° slope, which decreased uniformity of the warming treatment on the plots; yet, the green leaves were fairly uniformly warmed, and there was little difference among 0–10 cm depth soil temperatures at the plot centers, edges, and midway between. Soil temperatures at the 40–50 cm depth increased about 3°C compared to the controls after a month of warming. As expected, the soil in the heated plots dried faster than that of the control plots, but the average soil moisture remained adequate for the plants. The TRACE heating system produced an adequately uniform warming precisely controlled down to at least 50-cm soil depth, thereby creating a treatment that allows for assessing mechanistic responses of tropical plants and soil to warming, with applicability to other ecosystems. No physical obstacles to scaling the approach to taller vegetation (i.e., trees) and larger plots were observed. ","author":[{"dropping-particle":"","family":"Kimball","given":"Bruce A.","non-dropping-particle":"","parse-names":false,"suffix":""},{"dropping-particle":"","family":"Alonso-Rodríguez","given":"Aura M.","non-dropping-particle":"","parse-names":false,"suffix":""},{"dropping-particle":"","family":"Cavaleri","given":"Molly A.","non-dropping-particle":"","parse-names":false,"suffix":""},{"dropping-particle":"","family":"Reed","given":"Sasha C.","non-dropping-particle":"","parse-names":false,"suffix":""},{"dropping-particle":"","family":"González","given":"Grizelle","non-dropping-particle":"","parse-names":false,"suffix":""},{"dropping-particle":"","family":"Wood","given":"Tana E.","non-dropping-particle":"","parse-names":false,"suffix":""}],"container-title":"Ecology and Evolution","id":"ITEM-1","issue":"4","issued":{"date-parts":[["2018"]]},"page":"1932-1944","title":"Infrared heater system for warming tropical forest understory plants and soils","type":"article-journal","volume":"8"},"uris":["http://www.mendeley.com/documents/?uuid=7d122267-6f71-4857-a51f-29fdba15caea"]},{"id":"ITEM-2","itemData":{"abstract":"—Long-terrn rainfall and discharge data from the Luquillo Experimental Forest (LEF) were an-alysed to develop relationships between rainfall, stream-runoff and elevation. These relationships were then used with a Geographic Information System (GIS) to determine spatially-averaged, mean annual hydrologic budgets for watersheds and forest types within the study area. A significant relationship exists between 1) elevation and mean annual rainfall; 2) elevation and the average number of days per year without rainfall; 3) annual stream runoff and the weighted mean elevation of a watershed; and 4) annual stream runoff and the elevation of the gaging station. A comparison of rainfall patterns between a high and a low elevation station indicated that annual and seasonal variations in rainfall are similiar along the elevational gradient. However, the upper elevation station had greater annual mean rainfall (4436 mm/yr compared to 3524 mn/yr) while the lower station had a greater variation in daily, monthly, and annual totals. Model estimates indicate that a total of 3864 mm/yr (444 hm 3) of rainfall falls on the forest in an average year. The Tabonuco, Colorado, Palm, and Dwarf forest types receive an estimated annual rainfall of 3537, 4191, 4167, and 4849 mm/yr, respectively. Of the average annual rainfall input, 65% (2526 mm/yr) is converted to runoff and the remaind-ing 35% (1338 mm/yr) is lost from the system by evapotranspiration and other abstractions. In comparsion to other tropical forests, the LEF as a whole has more evapotranspiration than many tropical montane forests but less than many lowland tropical forests. RESUMEN.—Mediante un analisis de regresion, se identificaron relaciones entre lluvia, descarga, y elevacion, utilizando datos obtenidos de estaciones localizadas en la Estacion Experimental de Luquillo (EEL). Estas relaciones fueron integradas a un Sistema de Informacion Geografico para lograr un analisis espacial y balance de agua para las cuencas y tipos de bosque en el area de estudio. Existen relaciones significativas entre: 1) elevacion y lluvia promedio anual: 2) elevacion y el numero promedio de dias al ano sin lluvia; 3) descarga promedio anual y la elevacion promedio; y 4) descarga anual y la elevacion de esa misma estacion. Una comparacion de datos de lluvia obtenidos en partes altas y bajas del bosque demostro un patron de lluvia anual muy similar. La estacion localizada a una mayor elevacion tuvo una mayor cantidad de lluvia promed…","author":[{"dropping-particle":"","family":"Garcia-Martino","given":"Andres R.","non-dropping-particle":"","parse-names":false,"suffix":""},{"dropping-particle":"","family":"Warner","given":"Glenn S.","non-dropping-particle":"","parse-names":false,"suffix":""},{"dropping-particle":"","family":"Scatena","given":"Frederick N.","non-dropping-particle":"","parse-names":false,"suffix":""},{"dropping-particle":"","family":"Civico","given":"Daniel","non-dropping-particle":"","parse-names":false,"suffix":""}],"container-title":"Caribbean Journal of Science","id":"ITEM-2","issue":"4","issued":{"date-parts":[["1996"]]},"page":"41-24","title":"Rainfall, Runoff and Elevation Relationships in the Luquillo Mountains of Puerto Rico*","type":"article-journal","volume":"32"},"uris":["http://www.mendeley.com/documents/?uuid=2afe9134-a088-4a58-985c-c23f12a6563e"]}],"mendeley":{"formattedCitation":"(Garcia-Martino &lt;i&gt;et al.&lt;/i&gt;, 1996; Kimball &lt;i&gt;et al.&lt;/i&gt;, 2018a)","manualFormatting":"(Garcia-Martino, Warner, Scatena, &amp; Civico, 1996; Kimball et al., 2018)","plainTextFormattedCitation":"(Garcia-Martino et al., 1996; Kimball et al., 2018a)","previouslyFormattedCitation":"(Garcia-Martino &lt;i&gt;et al.&lt;/i&gt;, 1996; Kimball &lt;i&gt;et al.&lt;/i&gt;, 2018a)"},"properties":{"noteIndex":0},"schema":"https://github.com/citation-style-language/schema/raw/master/csl-citation.json"}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(Garcia-Martino, Warner, Scatena, &amp; Civico, 1996; Kimball </w:t>
      </w:r>
      <w:r w:rsidR="00F54869" w:rsidRPr="00872293">
        <w:rPr>
          <w:rFonts w:ascii="Times New Roman" w:hAnsi="Times New Roman" w:cs="Times New Roman"/>
          <w:i/>
          <w:noProof/>
        </w:rPr>
        <w:t>et al.,</w:t>
      </w:r>
      <w:r w:rsidRPr="00872293">
        <w:rPr>
          <w:rFonts w:ascii="Times New Roman" w:eastAsia="Times New Roman" w:hAnsi="Times New Roman" w:cs="Times New Roman"/>
          <w:noProof/>
        </w:rPr>
        <w:t xml:space="preserve"> 2018)</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soils, derived from volcanoclastic sediments are </w:t>
      </w:r>
      <w:proofErr w:type="spellStart"/>
      <w:r w:rsidRPr="00872293">
        <w:rPr>
          <w:rFonts w:ascii="Times New Roman" w:eastAsia="Times New Roman" w:hAnsi="Times New Roman" w:cs="Times New Roman"/>
        </w:rPr>
        <w:t>Ultisols</w:t>
      </w:r>
      <w:proofErr w:type="spellEnd"/>
      <w:r w:rsidRPr="00872293">
        <w:rPr>
          <w:rFonts w:ascii="Times New Roman" w:eastAsia="Times New Roman" w:hAnsi="Times New Roman" w:cs="Times New Roman"/>
        </w:rPr>
        <w:t xml:space="preserve"> and are clay-rich and high in aluminum and iron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{"citationItems":[{"id":"ITEM-1","itemData":{"abstract":"This paper summerizes the physiographic setting and historical uses of the Bisley experimental watersheds. These watersheds are the site of long-term watershed studies in the Luquillo Experimental Forest of Puerto Rico. Each of these watersheds drains deep, clayey soils that overlie a highly dissected terrain underlain by volcanoclastic sandstones. The drainages are covered by secundary Tabonuco type forets and recieve about 3,500 mm/yr of rainfall. Since European settlement, about 490 year ago, the study area has been explored for precious ores, cultivated and selectively logged. The major obstacle to the exploration of the resources of the watersheds has been inaccessibility. High rainfall, steeply sloping terrain, and slippery clay soils combine to make transportation in the area real difficult. The most rapid change to the Bisley landscape occured at the end of the 19th century and the beginning of the 20th century. During this time, local agricultural activity was at a maximum, timber was being exported from the region, and copper mines wre active in thr Rio Blanco area. In addition to human activity, major hurricanes occurred in 1892 and 1932. Human-induced disturbance in the watersheds has been selective in both space and time. The pattern of disturbance is contrary to that described in other temperate and tropical forests. Antropogenic disturbance in these watersheds has apparently increased the spatial hetrogenity of the forest. The success of both natural and induced regeneration in the area suggests that the impact of human disturbance was greater on forest structure than its long-term productivity. NOTES\\ - Landslide in LEF associated with metamorphic contact zone.\\ -","author":[{"dropping-particle":"","family":"Scatena","given":"F N","non-dropping-particle":"","parse-names":false,"suffix":""}],"container-title":"Forest Service- Southern Forest Experiment Station; General Technical Report SO-72","id":"ITEM-1","issued":{"date-parts":[["1989"]]},"page":"22","title":"An Introduction to the Physiography and History of the Bisley Experimental Watersheds in the Luquillo Mountains of Puerto Rico","type":"article-journal","volume":"72"},"uris":["http://www.mendeley.com/documents/?uuid=fe29dec6-1cd6-40ab-ae4f-fd681315211f"]},{"id":"ITEM-2","itemData":{"DOI":"https://doi.org/10.2737/SO-GTR-44","author":[{"dropping-particle":"","family":"Brown","given":"Sandra","non-dropping-particle":"","parse-names":false,"suffix":""},{"dropping-particle":"","family":"Lugo","given":"Ariel E","non-dropping-particle":"","parse-names":false,"suffix":""},{"dropping-particle":"","family":"Silander","given":"Susan","non-dropping-particle":"","parse-names":false,"suffix":""},{"dropping-particle":"","family":"Liegel","given":"Leon","non-dropping-particle":"","parse-names":false,"suffix":""}],"id":"ITEM-2","issued":{"date-parts":[["1983"]]},"title":"Research History and Opportunities in the Luquillo Experimental Forest","type":"book"},"uris":["http://www.mendeley.com/documents/?uuid=ec907ef6-1236-48f2-ac81-4550a446f521"]}],"mendeley":{"formattedCitation":"(Brown &lt;i&gt;et al.&lt;/i&gt;, 1983; Scatena, 1989)","plainTextFormattedCitation":"(Brown et al., 1983; Scatena, 1989)","previouslyFormattedCitation":"(Brown &lt;i&gt;et al.&lt;/i&gt;, 1983; Scatena, 1989)"},"properties":{"noteIndex":0},"schema":"https://github.com/citation-style-language/schema/raw/master/csl-citation.json"}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(Brown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1983; Scatena, 1989)</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Prior to hurricanes Irma and María, common mature tree species in this forest were </w:t>
      </w:r>
      <w:proofErr w:type="spellStart"/>
      <w:r w:rsidRPr="00872293">
        <w:rPr>
          <w:rFonts w:ascii="Times New Roman" w:eastAsia="Times New Roman" w:hAnsi="Times New Roman" w:cs="Times New Roman"/>
          <w:i/>
        </w:rPr>
        <w:t>Prestoea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montana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Psychotria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brachiata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Syzygium</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jambos</w:t>
      </w:r>
      <w:proofErr w:type="spellEnd"/>
      <w:r w:rsidRPr="00872293">
        <w:rPr>
          <w:rFonts w:ascii="Times New Roman" w:eastAsia="Times New Roman" w:hAnsi="Times New Roman" w:cs="Times New Roman"/>
          <w:i/>
        </w:rPr>
        <w:t xml:space="preserve">, </w:t>
      </w:r>
      <w:r w:rsidRPr="00872293">
        <w:rPr>
          <w:rFonts w:ascii="Times New Roman" w:eastAsia="Times New Roman" w:hAnsi="Times New Roman" w:cs="Times New Roman"/>
        </w:rPr>
        <w:t>and</w:t>
      </w:r>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Sloanea</w:t>
      </w:r>
      <w:proofErr w:type="spellEnd"/>
      <w:r w:rsidRPr="00872293">
        <w:rPr>
          <w:rFonts w:ascii="Times New Roman" w:eastAsia="Times New Roman" w:hAnsi="Times New Roman" w:cs="Times New Roman"/>
          <w:i/>
        </w:rPr>
        <w:t xml:space="preserve"> </w:t>
      </w:r>
      <w:proofErr w:type="spellStart"/>
      <w:r w:rsidRPr="00872293">
        <w:rPr>
          <w:rFonts w:ascii="Times New Roman" w:eastAsia="Times New Roman" w:hAnsi="Times New Roman" w:cs="Times New Roman"/>
          <w:i/>
        </w:rPr>
        <w:t>berteriana</w:t>
      </w:r>
      <w:proofErr w:type="spellEnd"/>
      <w:r w:rsidRPr="00872293">
        <w:rPr>
          <w:rFonts w:ascii="Times New Roman" w:eastAsia="Times New Roman" w:hAnsi="Times New Roman" w:cs="Times New Roman"/>
          <w:i/>
        </w:rPr>
        <w:t xml:space="preserve">, </w:t>
      </w:r>
      <w:r w:rsidRPr="00872293">
        <w:rPr>
          <w:rFonts w:ascii="Times New Roman" w:eastAsia="Times New Roman" w:hAnsi="Times New Roman" w:cs="Times New Roman"/>
        </w:rPr>
        <w:t xml:space="preserve">with an average diameter of 8 cm and a mean canopy height of 20 m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{"citationItems":[{"id":"ITEM-1","itemData":{"DOI":"10.3390/rs5084045","ISSN":"20724292","abstract":"The combination of LiDAR and optical remotely sensed data provides unique information about ecosystem structure and function. Here, we describe the development, validation and application of a new airborne system that integrates commercial off the shelf LiDAR hyperspectral and thermal components in a compact, lightweight and portable system. Goddard's LiDAR, Hyperspectral and Thermal (G-LiHT) airborne imager is a unique system that permits simultaneous measurements of vegetation structure, foliar spectra and surface temperatures at very high spatial resolution (~1 m) on a wide range of airborne platforms. The complementary nature of LiDAR, optical and thermal data provide an analytical framework for the development of new algorithms to map plant species composition, plant functional types, biodiversity, biomass and carbon stocks, and plant growth. In addition, G-LiHT data enhance our ability to validate data from existing satellite missions and support NASA Earth Science research. G-LiHT's data processing and distribution system is designed to give scientists open access to both low- and high-level data products (http://gliht.gsfc.nasa.gov), which will stimulate the community development of synergistic data fusion algorithms. G-LiHT has been used to collect more than 6,500 km2 of data for NASA-sponsored studies across a broad range of ecoregions in the USA and Mexico. In this paper, we document G-LiHT design considerations, physical specifications, instrument performance and calibration and acquisition parameters. In addition, we describe the data processing system and higher-level data products that are freely distributed under NASA's Data and Information policy. © 2013 by the authors.","author":[{"dropping-particle":"","family":"Cook","given":"Bruce D.","non-dropping-particle":"","parse-names":false,"suffix":""},{"dropping-particle":"","family":"Corp","given":"Lawrence A.","non-dropping-particle":"","parse-names":false,"suffix":""},{"dropping-particle":"","family":"Nelson","given":"Ross F.","non-dropping-particle":"","parse-names":false,"suffix":""},{"dropping-particle":"","family":"Middleton","given":"Elizabeth M.","non-dropping-particle":"","parse-names":false,"suffix":""},{"dropping-particle":"","family":"Morton","given":"Douglas C.","non-dropping-particle":"","parse-names":false,"suffix":""},{"dropping-particle":"","family":"McCorkel","given":"Joel T.","non-dropping-particle":"","parse-names":false,"suffix":""},{"dropping-particle":"","family":"Masek","given":"Jeffrey G.","non-dropping-particle":"","parse-names":false,"suffix":""},{"dropping-particle":"","family":"Ranson","given":"Kenneth J.","non-dropping-particle":"","parse-names":false,"suffix":""},{"dropping-particle":"","family":"Ly","given":"Vuong","non-dropping-particle":"","parse-names":false,"suffix":""},{"dropping-particle":"","family":"Montesano","given":"Paul M.","non-dropping-particle":"","parse-names":false,"suffix":""}],"container-title":"Remote Sensing","id":"ITEM-1","issue":"8","issued":{"date-parts":[["2013"]]},"page":"4045-4066","title":"NASA goddard's LiDAR, hyperspectral and thermal (G-LiHT) airborne imager","type":"article-journal","volume":"5"},"uris":["http://www.mendeley.com/documents/?uuid=f2c2401b-2f16-4bb0-916b-83fc765ef775"]}],"mendeley":{"formattedCitation":"(Cook &lt;i&gt;et al.&lt;/i&gt;, 2013)","plainTextFormattedCitation":"(Cook et al., 2013)","previouslyFormattedCitation":"(Cook &lt;i&gt;et al.&lt;/i&gt;, 2013)"},"properties":{"noteIndex":0},"schema":"https://github.com/citation-style-language/schema/raw/master/csl-citation.json"}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(Cook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2013)</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and canopy openness of ~10% </w:t>
      </w:r>
      <w:r w:rsidR="00CE76B7" w:rsidRPr="00872293">
        <w:rPr>
          <w:rFonts w:ascii="Times New Roman" w:eastAsia="Times New Roman" w:hAnsi="Times New Roman" w:cs="Times New Roman"/>
        </w:rPr>
        <w:fldChar w:fldCharType="begin" w:fldLock="1"/>
      </w:r>
      <w:r w:rsidR="00D46643" w:rsidRPr="00872293">
        <w:rPr>
          <w:rFonts w:ascii="Times New Roman" w:eastAsia="Times New Roman" w:hAnsi="Times New Roman" w:cs="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2020)","plainTextFormattedCitation":"(Reed et al., 2020)","previouslyFormattedCitation":"(Reed &lt;i&gt;et al.&lt;/i&gt;,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995129" w:rsidRPr="00872293">
        <w:rPr>
          <w:rFonts w:ascii="Times New Roman" w:eastAsia="Times New Roman" w:hAnsi="Times New Roman" w:cs="Times New Roman"/>
          <w:noProof/>
        </w:rPr>
        <w:t xml:space="preserve">(Reed </w:t>
      </w:r>
      <w:r w:rsidR="00995129" w:rsidRPr="00872293">
        <w:rPr>
          <w:rFonts w:ascii="Times New Roman" w:eastAsia="Times New Roman" w:hAnsi="Times New Roman" w:cs="Times New Roman"/>
          <w:i/>
          <w:noProof/>
        </w:rPr>
        <w:t>et al.</w:t>
      </w:r>
      <w:r w:rsidR="00995129" w:rsidRPr="00872293">
        <w:rPr>
          <w:rFonts w:ascii="Times New Roman" w:eastAsia="Times New Roman" w:hAnsi="Times New Roman" w:cs="Times New Roman"/>
          <w:noProof/>
        </w:rPr>
        <w:t>, 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vertical rooting distribution in Puerto Rico typically shows &gt; 80% of fine root biomass is found in the first 20 cm of soil depth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J.","non-dropping-particle":"","parse-names":false,"suffix":""}],"container-title":"Biotropica","id":"ITEM-1","issue":"3","issued":{"date-parts":[["2020"]]},"page":"563-576","title":"A historical and comparative review of 50 years of root data collection in Puerto Rico","type":"article-journal","volume":"52"},"uris":["http://www.mendeley.com/documents/?uuid=27bc4c68-821d-4b96-979d-b5709dfa9b6c"]}],"mendeley":{"formattedCitation":"(Yaffar &amp; Norby, 2020)","plainTextFormattedCitation":"(Yaffar &amp; Norby, 2020)","previouslyFormattedCitation":"(Yaffar &amp; Norby,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(Yaffar &amp; Norby, 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w:t>
      </w:r>
    </w:p>
    <w:p w14:paraId="255C7E5B" w14:textId="77777777" w:rsidR="00D046B3" w:rsidRPr="00872293" w:rsidRDefault="00D046B3" w:rsidP="00296C07">
      <w:pPr>
        <w:spacing w:line="360" w:lineRule="auto"/>
        <w:rPr>
          <w:rFonts w:ascii="Times New Roman" w:eastAsia="Times New Roman" w:hAnsi="Times New Roman" w:cs="Times New Roman"/>
        </w:rPr>
      </w:pPr>
    </w:p>
    <w:p w14:paraId="235319CB" w14:textId="77777777" w:rsidR="00476271" w:rsidRPr="00872293" w:rsidRDefault="007D5D98" w:rsidP="00296C07">
      <w:pPr>
        <w:pStyle w:val="Heading3"/>
        <w:spacing w:before="0" w:after="0" w:line="360" w:lineRule="auto"/>
      </w:pPr>
      <w:bookmarkStart w:id="75" w:name="_Toc53689078"/>
      <w:r w:rsidRPr="00872293">
        <w:t>The warming experiment</w:t>
      </w:r>
      <w:bookmarkEnd w:id="75"/>
    </w:p>
    <w:p w14:paraId="461151AC" w14:textId="0899917C" w:rsidR="00E563F7" w:rsidRPr="00872293" w:rsidRDefault="00E563F7" w:rsidP="00296C07">
      <w:pPr>
        <w:autoSpaceDE w:val="0"/>
        <w:autoSpaceDN w:val="0"/>
        <w:adjustRightInd w:val="0"/>
        <w:spacing w:before="240" w:line="360" w:lineRule="auto"/>
        <w:rPr>
          <w:rFonts w:ascii="Times New Roman" w:eastAsia="Times New Roman" w:hAnsi="Times New Roman" w:cs="Times New Roman"/>
        </w:rPr>
      </w:pPr>
      <w:bookmarkStart w:id="76" w:name="_Hlk46933022"/>
      <w:r w:rsidRPr="00872293">
        <w:rPr>
          <w:rFonts w:ascii="Times New Roman" w:eastAsia="Times New Roman" w:hAnsi="Times New Roman" w:cs="Times New Roman"/>
        </w:rPr>
        <w:t xml:space="preserve">The experiment has six plots, three control and three warmed, that are </w:t>
      </w:r>
      <w:r w:rsidRPr="00872293">
        <w:rPr>
          <w:rFonts w:ascii="Times New Roman" w:hAnsi="Times New Roman" w:cs="Times New Roman"/>
          <w:bCs/>
        </w:rPr>
        <w:t>12 m</w:t>
      </w:r>
      <w:r w:rsidRPr="00872293">
        <w:rPr>
          <w:rFonts w:ascii="Times New Roman" w:hAnsi="Times New Roman" w:cs="Times New Roman"/>
          <w:bCs/>
          <w:vertAlign w:val="superscript"/>
        </w:rPr>
        <w:t>2</w:t>
      </w:r>
      <w:r w:rsidRPr="00872293">
        <w:rPr>
          <w:rFonts w:ascii="Times New Roman" w:hAnsi="Times New Roman" w:cs="Times New Roman"/>
          <w:bCs/>
        </w:rPr>
        <w:t xml:space="preserve"> </w:t>
      </w:r>
      <w:r w:rsidRPr="00872293">
        <w:rPr>
          <w:rFonts w:ascii="Times New Roman" w:eastAsia="Times New Roman" w:hAnsi="Times New Roman" w:cs="Times New Roman"/>
        </w:rPr>
        <w:t xml:space="preserve">and hexagonal in shape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{"citationItems":[{"id":"ITEM-1","itemData":{"DOI":"10.1002/ece3.3780","ISSN":"20457758","abstract":"The response of tropical forests to global warming is one of the largest uncertainties in predicting the future carbon balance of Earth. To determine the likely effects of elevated temperatures on tropical forest understory plants and soils, as well as other ecosystems, an infrared (IR) heater system was developed to provide in situ warming for the Tropical Responses to Altered Climate Experiment (TRACE) in the Luquillo Experimental Forest in Puerto Rico. Three replicate heated 4-m-diameter plots were warmed to maintain a 4°C increase in understory vegetation compared to three unheated control plots, as sensed by IR thermometers. The equipment was larger than any used previously and was subjected to challenges different from those of many temperate ecosystem warming systems, including frequent power surges and outages, high humidity, heavy rains, hurricanes, saturated clayey soils, and steep slopes. The system was able to maintain the target 4.0°C increase in hourly average vegetation temperatures to within ± 0.1°C. The vegetation was heterogeneous and on a 21° slope, which decreased uniformity of the warming treatment on the plots; yet, the green leaves were fairly uniformly warmed, and there was little difference among 0–10 cm depth soil temperatures at the plot centers, edges, and midway between. Soil temperatures at the 40–50 cm depth increased about 3°C compared to the controls after a month of warming. As expected, the soil in the heated plots dried faster than that of the control plots, but the average soil moisture remained adequate for the plants. The TRACE heating system produced an adequately uniform warming precisely controlled down to at least 50-cm soil depth, thereby creating a treatment that allows for assessing mechanistic responses of tropical plants and soil to warming, with applicability to other ecosystems. No physical obstacles to scaling the approach to taller vegetation (i.e., trees) and larger plots were observed.","author":[{"dropping-particle":"","family":"Kimball","given":"Bruce A.","non-dropping-particle":"","parse-names":false,"suffix":""},{"dropping-particle":"","family":"Alonso-Rodríguez","given":"Aura M.","non-dropping-particle":"","parse-names":false,"suffix":""},{"dropping-particle":"","family":"Cavaleri","given":"Molly A.","non-dropping-particle":"","parse-names":false,"suffix":""},{"dropping-particle":"","family":"Reed","given":"Sasha C.","non-dropping-particle":"","parse-names":false,"suffix":""},{"dropping-particle":"","family":"González","given":"Grizelle","non-dropping-particle":"","parse-names":false,"suffix":""},{"dropping-particle":"","family":"Wood","given":"Tana E.","non-dropping-particle":"","parse-names":false,"suffix":""}],"container-title":"Ecology and Evolution","id":"ITEM-1","issue":"4","issued":{"date-parts":[["2018"]]},"page":"1932-1944","title":"Infrared heater system for warming tropical forest understory plants and soils","type":"article-journal","volume":"8"},"uris":["http://www.mendeley.com/documents/?uuid=19097f77-f58e-4da3-8f31-93e55fc2603e"]}],"mendeley":{"formattedCitation":"(Kimball &lt;i&gt;et al.&lt;/i&gt;, 2018b)","manualFormatting":"(Kimball et al., 2018)","plainTextFormattedCitation":"(Kimball et al., 2018b)","previouslyFormattedCitation":"(Kimball &lt;i&gt;et al.&lt;/i&gt;, 2018b)"},"properties":{"noteIndex":0},"schema":"https://github.com/citation-style-language/schema/raw/master/csl-citation.json"}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(Kimball </w:t>
      </w:r>
      <w:r w:rsidR="00F54869" w:rsidRPr="00872293">
        <w:rPr>
          <w:rFonts w:ascii="Times New Roman" w:hAnsi="Times New Roman" w:cs="Times New Roman"/>
          <w:i/>
          <w:noProof/>
        </w:rPr>
        <w:t>et al.,</w:t>
      </w:r>
      <w:r w:rsidRPr="00872293">
        <w:rPr>
          <w:rFonts w:ascii="Times New Roman" w:eastAsia="Times New Roman" w:hAnsi="Times New Roman" w:cs="Times New Roman"/>
          <w:noProof/>
        </w:rPr>
        <w:t xml:space="preserve"> 2018)</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heated plots have an array of six infrared (IR) heaters each (Model </w:t>
      </w:r>
      <w:proofErr w:type="spellStart"/>
      <w:r w:rsidRPr="00872293">
        <w:rPr>
          <w:rFonts w:ascii="Times New Roman" w:eastAsia="Times New Roman" w:hAnsi="Times New Roman" w:cs="Times New Roman"/>
        </w:rPr>
        <w:t>Raymax</w:t>
      </w:r>
      <w:proofErr w:type="spellEnd"/>
      <w:r w:rsidRPr="00872293">
        <w:rPr>
          <w:rFonts w:ascii="Times New Roman" w:eastAsia="Times New Roman" w:hAnsi="Times New Roman" w:cs="Times New Roman"/>
        </w:rPr>
        <w:t xml:space="preserve"> 1010, Watlow Electric Manufacturing Co., St. Louis, MO) at approximately 3.6 m from the ground that, prior to the hurricanes, warmed the understory and soils to 4 </w:t>
      </w:r>
      <w:proofErr w:type="spellStart"/>
      <w:r w:rsidRPr="00872293">
        <w:rPr>
          <w:rFonts w:ascii="Times New Roman" w:eastAsia="Times New Roman" w:hAnsi="Times New Roman" w:cs="Times New Roman"/>
          <w:vertAlign w:val="superscript"/>
        </w:rPr>
        <w:t>o</w:t>
      </w:r>
      <w:r w:rsidRPr="00872293">
        <w:rPr>
          <w:rFonts w:ascii="Times New Roman" w:eastAsia="Times New Roman" w:hAnsi="Times New Roman" w:cs="Times New Roman"/>
        </w:rPr>
        <w:t>C</w:t>
      </w:r>
      <w:proofErr w:type="spellEnd"/>
      <w:r w:rsidRPr="00872293">
        <w:rPr>
          <w:rFonts w:ascii="Times New Roman" w:eastAsia="Times New Roman" w:hAnsi="Times New Roman" w:cs="Times New Roman"/>
        </w:rPr>
        <w:t xml:space="preserve"> above the ambient temperatures. Plot locations were selected in the understory to avoid canopy trees such that heaters were above the canopy layer. The warming experiment started in September 2016. Each plot has soil temperature and moisture sensors at three depths (</w:t>
      </w:r>
      <w:r w:rsidRPr="00872293">
        <w:rPr>
          <w:rFonts w:ascii="Times New Roman" w:eastAsia="Lato-Regular" w:hAnsi="Times New Roman" w:cs="Times New Roman"/>
        </w:rPr>
        <w:t>0–10, 20–30, and 40–50 cm), in addition to air temperature and relative humidity sensors.</w:t>
      </w:r>
      <w:r w:rsidRPr="00872293">
        <w:rPr>
          <w:rFonts w:ascii="Times New Roman" w:hAnsi="Times New Roman" w:cs="Times New Roman"/>
        </w:rPr>
        <w:t xml:space="preserve"> </w:t>
      </w:r>
      <w:r w:rsidRPr="00872293">
        <w:rPr>
          <w:rFonts w:ascii="Times New Roman" w:eastAsia="Times New Roman" w:hAnsi="Times New Roman" w:cs="Times New Roman"/>
        </w:rPr>
        <w:t xml:space="preserve">Soil temperatures were ~3.6 °C warmer than controls in 0–10 cm depth, and ~3 °C warmer than control at </w:t>
      </w:r>
      <w:r w:rsidRPr="00872293">
        <w:rPr>
          <w:rFonts w:ascii="Times New Roman" w:eastAsia="Lato-Regular" w:hAnsi="Times New Roman" w:cs="Times New Roman"/>
        </w:rPr>
        <w:t>20–30 cm and</w:t>
      </w:r>
      <w:r w:rsidRPr="00872293">
        <w:rPr>
          <w:rFonts w:ascii="Times New Roman" w:eastAsia="Times New Roman" w:hAnsi="Times New Roman" w:cs="Times New Roman"/>
        </w:rPr>
        <w:t xml:space="preserve"> 40–</w:t>
      </w:r>
      <w:r w:rsidRPr="00872293">
        <w:rPr>
          <w:rFonts w:ascii="Times New Roman" w:eastAsia="Times New Roman" w:hAnsi="Times New Roman" w:cs="Times New Roman"/>
        </w:rPr>
        <w:lastRenderedPageBreak/>
        <w:t xml:space="preserve">50 cm in depths after one month of warming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{"citationItems":[{"id":"ITEM-1","itemData":{"DOI":"10.1002/ece3.3780","ISSN":"20457758","abstract":"The response of tropical forests to global warming is one of the largest uncertainties in predicting the future carbon balance of Earth. To determine the likely effects of elevated temperatures on tropical forest understory plants and soils, as well as other ecosystems, an infrared (IR) heater system was developed to provide in situ warming for the Tropical Responses to Altered Climate Experiment (TRACE) in the Luquillo Experimental Forest in Puerto Rico. Three replicate heated 4-m-diameter plots were warmed to maintain a 4°C increase in understory vegetation compared to three unheated control plots, as sensed by IR thermometers. The equipment was larger than any used previously and was subjected to challenges different from those of many temperate ecosystem warming systems, including frequent power surges and outages, high humidity, heavy rains, hurricanes, saturated clayey soils, and steep slopes. The system was able to maintain the target 4.0°C increase in hourly average vegetation temperatures to within ± 0.1°C. The vegetation was heterogeneous and on a 21° slope, which decreased uniformity of the warming treatment on the plots; yet, the green leaves were fairly uniformly warmed, and there was little difference among 0–10 cm depth soil temperatures at the plot centers, edges, and midway between. Soil temperatures at the 40–50 cm depth increased about 3°C compared to the controls after a month of warming. As expected, the soil in the heated plots dried faster than that of the control plots, but the average soil moisture remained adequate for the plants. The TRACE heating system produced an adequately uniform warming precisely controlled down to at least 50-cm soil depth, thereby creating a treatment that allows for assessing mechanistic responses of tropical plants and soil to warming, with applicability to other ecosystems. No physical obstacles to scaling the approach to taller vegetation (i.e., trees) and larger plots were observed. ","author":[{"dropping-particle":"","family":"Kimball","given":"Bruce A.","non-dropping-particle":"","parse-names":false,"suffix":""},{"dropping-particle":"","family":"Alonso-Rodríguez","given":"Aura M.","non-dropping-particle":"","parse-names":false,"suffix":""},{"dropping-particle":"","family":"Cavaleri","given":"Molly A.","non-dropping-particle":"","parse-names":false,"suffix":""},{"dropping-particle":"","family":"Reed","given":"Sasha C.","non-dropping-particle":"","parse-names":false,"suffix":""},{"dropping-particle":"","family":"González","given":"Grizelle","non-dropping-particle":"","parse-names":false,"suffix":""},{"dropping-particle":"","family":"Wood","given":"Tana E.","non-dropping-particle":"","parse-names":false,"suffix":""}],"container-title":"Ecology and Evolution","id":"ITEM-1","issue":"4","issued":{"date-parts":[["2018"]]},"page":"1932-1944","title":"Infrared heater system for warming tropical forest understory plants and soils","type":"article-journal","volume":"8"},"uris":["http://www.mendeley.com/documents/?uuid=7d122267-6f71-4857-a51f-29fdba15caea"]}],"mendeley":{"formattedCitation":"(Kimball &lt;i&gt;et al.&lt;/i&gt;, 2018a)","manualFormatting":"(Kimball et al., 2018)","plainTextFormattedCitation":"(Kimball et al., 2018a)","previouslyFormattedCitation":"(Kimball &lt;i&gt;et al.&lt;/i&gt;, 2018a)"},"properties":{"noteIndex":0},"schema":"https://github.com/citation-style-language/schema/raw/master/csl-citation.json"}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(Kimball </w:t>
      </w:r>
      <w:r w:rsidR="00F54869" w:rsidRPr="00872293">
        <w:rPr>
          <w:rFonts w:ascii="Times New Roman" w:hAnsi="Times New Roman" w:cs="Times New Roman"/>
          <w:i/>
          <w:noProof/>
        </w:rPr>
        <w:t>et al.,</w:t>
      </w:r>
      <w:r w:rsidRPr="00872293">
        <w:rPr>
          <w:rFonts w:ascii="Times New Roman" w:eastAsia="Times New Roman" w:hAnsi="Times New Roman" w:cs="Times New Roman"/>
          <w:noProof/>
        </w:rPr>
        <w:t xml:space="preserve"> 2018)</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design and detailed description of the plot installation can be found in Kimball </w:t>
      </w:r>
      <w:r w:rsidR="00F54869" w:rsidRPr="00872293">
        <w:rPr>
          <w:rFonts w:ascii="Times New Roman" w:hAnsi="Times New Roman" w:cs="Times New Roman"/>
          <w:i/>
          <w:noProof/>
        </w:rPr>
        <w:t xml:space="preserve">et al. </w:t>
      </w:r>
      <w:r w:rsidRPr="00872293">
        <w:rPr>
          <w:rFonts w:ascii="Times New Roman" w:eastAsia="Times New Roman" w:hAnsi="Times New Roman" w:cs="Times New Roman"/>
        </w:rPr>
        <w:t xml:space="preserve">(2018). Prior to and during the year of warming, the TRACE team collected climate and soil microclimate data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{"citationItems":[{"id":"ITEM-1","itemData":{"DOI":"10.1002/ece3.3780","ISSN":"20457758","abstract":"The response of tropical forests to global warming is one of the largest uncertainties in predicting the future carbon balance of Earth. To determine the likely effects of elevated temperatures on tropical forest understory plants and soils, as well as other ecosystems, an infrared (IR) heater system was developed to provide in situ warming for the Tropical Responses to Altered Climate Experiment (TRACE) in the Luquillo Experimental Forest in Puerto Rico. Three replicate heated 4-m-diameter plots were warmed to maintain a 4°C increase in understory vegetation compared to three unheated control plots, as sensed by IR thermometers. The equipment was larger than any used previously and was subjected to challenges different from those of many temperate ecosystem warming systems, including frequent power surges and outages, high humidity, heavy rains, hurricanes, saturated clayey soils, and steep slopes. The system was able to maintain the target 4.0°C increase in hourly average vegetation temperatures to within ± 0.1°C. The vegetation was heterogeneous and on a 21° slope, which decreased uniformity of the warming treatment on the plots; yet, the green leaves were fairly uniformly warmed, and there was little difference among 0–10 cm depth soil temperatures at the plot centers, edges, and midway between. Soil temperatures at the 40–50 cm depth increased about 3°C compared to the controls after a month of warming. As expected, the soil in the heated plots dried faster than that of the control plots, but the average soil moisture remained adequate for the plants. The TRACE heating system produced an adequately uniform warming precisely controlled down to at least 50-cm soil depth, thereby creating a treatment that allows for assessing mechanistic responses of tropical plants and soil to warming, with applicability to other ecosystems. No physical obstacles to scaling the approach to taller vegetation (i.e., trees) and larger plots were observed. ","author":[{"dropping-particle":"","family":"Kimball","given":"Bruce A.","non-dropping-particle":"","parse-names":false,"suffix":""},{"dropping-particle":"","family":"Alonso-Rodríguez","given":"Aura M.","non-dropping-particle":"","parse-names":false,"suffix":""},{"dropping-particle":"","family":"Cavaleri","given":"Molly A.","non-dropping-particle":"","parse-names":false,"suffix":""},{"dropping-particle":"","family":"Reed","given":"Sasha C.","non-dropping-particle":"","parse-names":false,"suffix":""},{"dropping-particle":"","family":"González","given":"Grizelle","non-dropping-particle":"","parse-names":false,"suffix":""},{"dropping-particle":"","family":"Wood","given":"Tana E.","non-dropping-particle":"","parse-names":false,"suffix":""}],"container-title":"Ecology and Evolution","id":"ITEM-1","issue":"4","issued":{"date-parts":[["2018"]]},"page":"1932-1944","title":"Infrared heater system for warming tropical forest understory plants and soils","type":"article-journal","volume":"8"},"uris":["http://www.mendeley.com/documents/?uuid=7d122267-6f71-4857-a51f-29fdba15caea"]}],"mendeley":{"formattedCitation":"(Kimball &lt;i&gt;et al.&lt;/i&gt;, 2018a)","plainTextFormattedCitation":"(Kimball et al., 2018a)","previouslyFormattedCitation":"(Kimball &lt;i&gt;et al.&lt;/i&gt;, 2018a)"},"properties":{"noteIndex":0},"schema":"https://github.com/citation-style-language/schema/raw/master/csl-citation.json"}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(Kimball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2018a)</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soil biogeochemistry data </w:t>
      </w:r>
      <w:r w:rsidR="00CE76B7" w:rsidRPr="00872293">
        <w:rPr>
          <w:rFonts w:ascii="Times New Roman" w:eastAsia="Times New Roman" w:hAnsi="Times New Roman" w:cs="Times New Roman"/>
        </w:rPr>
        <w:fldChar w:fldCharType="begin" w:fldLock="1"/>
      </w:r>
      <w:r w:rsidR="00D46643" w:rsidRPr="00872293">
        <w:rPr>
          <w:rFonts w:ascii="Times New Roman" w:eastAsia="Times New Roman" w:hAnsi="Times New Roman" w:cs="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2020)","plainTextFormattedCitation":"(Reed et al., 2020)","previouslyFormattedCitation":"(Reed &lt;i&gt;et al.&lt;/i&gt;,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995129" w:rsidRPr="00872293">
        <w:rPr>
          <w:rFonts w:ascii="Times New Roman" w:eastAsia="Times New Roman" w:hAnsi="Times New Roman" w:cs="Times New Roman"/>
          <w:noProof/>
        </w:rPr>
        <w:t xml:space="preserve">(Reed </w:t>
      </w:r>
      <w:r w:rsidR="00995129" w:rsidRPr="00872293">
        <w:rPr>
          <w:rFonts w:ascii="Times New Roman" w:eastAsia="Times New Roman" w:hAnsi="Times New Roman" w:cs="Times New Roman"/>
          <w:i/>
          <w:noProof/>
        </w:rPr>
        <w:t>et al.</w:t>
      </w:r>
      <w:r w:rsidR="00995129" w:rsidRPr="00872293">
        <w:rPr>
          <w:rFonts w:ascii="Times New Roman" w:eastAsia="Times New Roman" w:hAnsi="Times New Roman" w:cs="Times New Roman"/>
          <w:noProof/>
        </w:rPr>
        <w:t>, 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aboveground </w:t>
      </w:r>
      <w:r w:rsidR="007904C5" w:rsidRPr="00872293">
        <w:rPr>
          <w:rFonts w:ascii="Times New Roman" w:eastAsia="Times New Roman" w:hAnsi="Times New Roman" w:cs="Times New Roman"/>
        </w:rPr>
        <w:fldChar w:fldCharType="begin" w:fldLock="1"/>
      </w:r>
      <w:r w:rsidR="007904C5" w:rsidRPr="00872293">
        <w:rPr>
          <w:rFonts w:ascii="Times New Roman" w:eastAsia="Times New Roman" w:hAnsi="Times New Roman" w:cs="Times New Roman"/>
        </w:rPr>
        <w:instrText>ADDIN CSL_CITATION {"citationItems":[{"id":"ITEM-1","itemData":{"DOI":"10.1111/gcb.15087","ISSN":"13652486","author":[{"dropping-particle":"","family":"Bachelot","given":"Benedicte","non-dropping-particle":"","parse-names":false,"suffix":""},{"dropping-particle":"","family":"Alonso-Rodríguez","given":"Aura M.","non-dropping-particle":"","parse-names":false,"suffix":""},{"dropping-particle":"","family":"Aldrich-Wolfe","given":"Laura","non-dropping-particle":"","parse-names":false,"suffix":""},{"dropping-particle":"","family":"Cavaleri","given":"Molly A.","non-dropping-particle":"","parse-names":false,"suffix":""},{"dropping-particle":"","family":"Reed","given":"Sasha C.","non-dropping-particle":"","parse-names":false,"suffix":""},{"dropping-particle":"","family":"Wood","given":"Tana E.","non-dropping-particle":"","parse-names":false,"suffix":""}],"container-title":"Global Change Biology","id":"ITEM-1","issue":"6","issued":{"date-parts":[["2020"]]},"page":"3417-3428","title":"Altered climate leads to positive density-dependent feedbacks in a tropical wet forest","type":"article-journal","volume":"26"},"uris":["http://www.mendeley.com/documents/?uuid=bc607676-4bf3-462d-929d-9996ad456a25"]},{"id":"ITEM-2","itemData":{"DOI":"https://doi.org/10.1002/ece3.6589","author":[{"dropping-particle":"","family":"Kennard","given":"Deborah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Evolution","id":"ITEM-2","issued":{"date-parts":[["2020"]]},"title":"Tropical understory herbaceous community responds more strongly to hurricane disturbance than to experimental warming","type":"article-journal"},"uris":["http://www.mendeley.com/documents/?uuid=4470553f-487f-40af-aac1-bc912293b68c"]},{"id":"ITEM-3","itemData":{"DOI":"10.3389/ffgc.2020.576320","author":[{"dropping-particle":"","family":"Carter","given":"Kelsey R.","non-dropping-particle":"","parse-names":false,"suffix":""},{"dropping-particle":"","family":"Wood","given":"Tana E.","non-dropping-particle":"","parse-names":false,"suffix":""},{"dropping-particle":"","family":"Reed","given":"Sasha C.","non-dropping-particle":"","parse-names":false,"suffix":""},{"dropping-particle":"","family":"Schwartz","given":"Elsa C.","non-dropping-particle":"","parse-names":false,"suffix":""},{"dropping-particle":"","family":"Reinsel","given":"Madeline B.","non-dropping-particle":"","parse-names":false,"suffix":""},{"dropping-particle":"","family":"Yang","given":"Xi","non-dropping-particle":"","parse-names":false,"suffix":""},{"dropping-particle":"","family":"Cavaleri","given":"Molly A.","non-dropping-particle":"","parse-names":false,"suffix":""}],"container-title":"Frontiers in Forests and Global Change","id":"ITEM-3","issued":{"date-parts":[["2020"]]},"title":"Photosynthetic and Respiratory Acclimation of Understory Shrubs in Response to in situ Experimental Warming of a Wet Tropical Forest","type":"article-journal"},"uris":["http://www.mendeley.com/documents/?uuid=de83b28e-fa0d-441b-85bf-605baaf66ec5"]}],"mendeley":{"formattedCitation":"(Bachelot &lt;i&gt;et al.&lt;/i&gt;, 2020; Carter &lt;i&gt;et al.&lt;/i&gt;, 2020; Kennard &lt;i&gt;et al.&lt;/i&gt;, 2020)","plainTextFormattedCitation":"(Bachelot et al., 2020; Carter et al., 2020; Kennard et al., 2020)","previouslyFormattedCitation":"(Bachelot &lt;i&gt;et al.&lt;/i&gt;, 2020; Kennard &lt;i&gt;et al.&lt;/i&gt;, 2020)"},"properties":{"noteIndex":0},"schema":"https://github.com/citation-style-language/schema/raw/master/csl-citation.json"}</w:instrText>
      </w:r>
      <w:r w:rsidR="007904C5" w:rsidRPr="00872293">
        <w:rPr>
          <w:rFonts w:ascii="Times New Roman" w:eastAsia="Times New Roman" w:hAnsi="Times New Roman" w:cs="Times New Roman"/>
        </w:rPr>
        <w:fldChar w:fldCharType="separate"/>
      </w:r>
      <w:r w:rsidR="007904C5" w:rsidRPr="00872293">
        <w:rPr>
          <w:rFonts w:ascii="Times New Roman" w:eastAsia="Times New Roman" w:hAnsi="Times New Roman" w:cs="Times New Roman"/>
          <w:noProof/>
        </w:rPr>
        <w:t xml:space="preserve">(Bachelot </w:t>
      </w:r>
      <w:r w:rsidR="007904C5" w:rsidRPr="00872293">
        <w:rPr>
          <w:rFonts w:ascii="Times New Roman" w:eastAsia="Times New Roman" w:hAnsi="Times New Roman" w:cs="Times New Roman"/>
          <w:i/>
          <w:noProof/>
        </w:rPr>
        <w:t>et al.</w:t>
      </w:r>
      <w:r w:rsidR="007904C5" w:rsidRPr="00872293">
        <w:rPr>
          <w:rFonts w:ascii="Times New Roman" w:eastAsia="Times New Roman" w:hAnsi="Times New Roman" w:cs="Times New Roman"/>
          <w:noProof/>
        </w:rPr>
        <w:t xml:space="preserve">, 2020; Carter </w:t>
      </w:r>
      <w:r w:rsidR="007904C5" w:rsidRPr="00872293">
        <w:rPr>
          <w:rFonts w:ascii="Times New Roman" w:eastAsia="Times New Roman" w:hAnsi="Times New Roman" w:cs="Times New Roman"/>
          <w:i/>
          <w:noProof/>
        </w:rPr>
        <w:t>et al.</w:t>
      </w:r>
      <w:r w:rsidR="007904C5" w:rsidRPr="00872293">
        <w:rPr>
          <w:rFonts w:ascii="Times New Roman" w:eastAsia="Times New Roman" w:hAnsi="Times New Roman" w:cs="Times New Roman"/>
          <w:noProof/>
        </w:rPr>
        <w:t xml:space="preserve">, 2020; Kennard </w:t>
      </w:r>
      <w:r w:rsidR="007904C5" w:rsidRPr="00872293">
        <w:rPr>
          <w:rFonts w:ascii="Times New Roman" w:eastAsia="Times New Roman" w:hAnsi="Times New Roman" w:cs="Times New Roman"/>
          <w:i/>
          <w:noProof/>
        </w:rPr>
        <w:t>et al.</w:t>
      </w:r>
      <w:r w:rsidR="007904C5" w:rsidRPr="00872293">
        <w:rPr>
          <w:rFonts w:ascii="Times New Roman" w:eastAsia="Times New Roman" w:hAnsi="Times New Roman" w:cs="Times New Roman"/>
          <w:noProof/>
        </w:rPr>
        <w:t>, 2020)</w:t>
      </w:r>
      <w:r w:rsidR="007904C5" w:rsidRPr="00872293">
        <w:rPr>
          <w:rFonts w:ascii="Times New Roman" w:eastAsia="Times New Roman" w:hAnsi="Times New Roman" w:cs="Times New Roman"/>
        </w:rPr>
        <w:fldChar w:fldCharType="end"/>
      </w:r>
      <w:r w:rsidR="007904C5"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and belowground data, including root dynamics (present study). </w:t>
      </w:r>
    </w:p>
    <w:p w14:paraId="2177048F" w14:textId="77777777" w:rsidR="00E563F7" w:rsidRPr="00872293" w:rsidRDefault="00E563F7" w:rsidP="00E563F7">
      <w:pPr>
        <w:autoSpaceDE w:val="0"/>
        <w:autoSpaceDN w:val="0"/>
        <w:adjustRightInd w:val="0"/>
        <w:spacing w:line="360" w:lineRule="auto"/>
        <w:rPr>
          <w:rFonts w:ascii="Times New Roman" w:eastAsia="Times New Roman" w:hAnsi="Times New Roman" w:cs="Times New Roman"/>
        </w:rPr>
      </w:pPr>
    </w:p>
    <w:p w14:paraId="6DF6A9F4" w14:textId="0E5CCF29" w:rsidR="00E563F7" w:rsidRPr="00872293" w:rsidRDefault="00E563F7" w:rsidP="00E563F7">
      <w:pPr>
        <w:spacing w:line="360" w:lineRule="auto"/>
        <w:rPr>
          <w:rFonts w:ascii="Times New Roman" w:eastAsia="Times New Roman" w:hAnsi="Times New Roman" w:cs="Times New Roman"/>
        </w:rPr>
      </w:pPr>
      <w:r w:rsidRPr="00872293">
        <w:rPr>
          <w:rFonts w:ascii="Times New Roman" w:eastAsia="Times New Roman" w:hAnsi="Times New Roman" w:cs="Times New Roman"/>
        </w:rPr>
        <w:t>We used three different methods to measure root traits: minirhizotron tubes, soil core collections, and root in-growth cores. In each plot we installed two acrylic minirhizotron tubes (Pena-</w:t>
      </w:r>
      <w:proofErr w:type="spellStart"/>
      <w:r w:rsidRPr="00872293">
        <w:rPr>
          <w:rFonts w:ascii="Times New Roman" w:eastAsia="Times New Roman" w:hAnsi="Times New Roman" w:cs="Times New Roman"/>
        </w:rPr>
        <w:t>Plas</w:t>
      </w:r>
      <w:proofErr w:type="spellEnd"/>
      <w:r w:rsidRPr="00872293">
        <w:rPr>
          <w:rFonts w:ascii="Times New Roman" w:eastAsia="Times New Roman" w:hAnsi="Times New Roman" w:cs="Times New Roman"/>
        </w:rPr>
        <w:t xml:space="preserve">, Pittsburgh, Pennsylvania, USA)  of 5.1 cm inner diameter and 1.8 m long with a water-tight plug at the bottom, at 45° angle from the horizontal (as described in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{"citationItems":[{"id":"ITEM-1","itemData":{"DOI":"10.1073/pnas.0403491101","ISSN":"00278424","abstract":"Fine-root production and turnover are important regulators of the biogeochemical cycles of ecosystems and key components of their response to global change. We present a nearly continuous 6-year record of fine-root production and mortality from minirhizotron analysis of a closed-canopy, deciduous sweetgum forest in a free-air CO2 enrichment experiment. Annual production of fine roots was more than doubled in plots with 550 ppm CO2 compared with plots in ambient air. This response was the primary component of the sustained 22% increase in net primary productivity. Annual fine-root mortality matched annual production, and the mean residence time of roots was not altered by elevated CO2, but peak fine-root standing crop in midsummer was significantly higher in CO2-enriched plots, especially deeper in the soil profile. The preferential allocation of additional carbon to fine roots, which have a fast turnover rate in this species, rather than to stemwood reduces the possibility of long-term enhancement by elevated CO2 of carbon sequestration in biomass. However, sequestration of some of the fine-root carbon in soil pools is not precluded, and there may be other benefits to the tree from a seasonally larger and deeper fine-root system. Root-system dynamics can explain differences among ecosystems in their response to elevated atmospheric CO2; hence, accurate assessments of carbon flux and storage in forests in a globally changing atmosphere must account for this unseen and difficult-to-measure component.","author":[{"dropping-particle":"","family":"Norby","given":"Richard J.","non-dropping-particle":"","parse-names":false,"suffix":""},{"dropping-particle":"","family":"Ledford","given":"Joanne","non-dropping-particle":"","parse-names":false,"suffix":""},{"dropping-particle":"","family":"Reilly","given":"Carolyn D.","non-dropping-particle":"","parse-names":false,"suffix":""},{"dropping-particle":"","family":"Miller","given":"Nicole E.","non-dropping-particle":"","parse-names":false,"suffix":""},{"dropping-particle":"","family":"O'Neill","given":"Elizabeth G.","non-dropping-particle":"","parse-names":false,"suffix":""}],"container-title":"Proceedings of the National Academy of Sciences of the United States of America","id":"ITEM-1","issue":"26","issued":{"date-parts":[["2004"]]},"page":"9689-9693","title":"Fine-root production dominates response of a deciduous forest to atmospheric CO2 enrichment","type":"article-journal","volume":"101"},"uris":["http://www.mendeley.com/documents/?uuid=0523c892-10c1-4a41-b56d-d1c78246eb9c"]}],"mendeley":{"formattedCitation":"(Norby &lt;i&gt;et al.&lt;/i&gt;, 2004)","manualFormatting":"Norby, Ledford, Reilly, Miller, &amp; O’Neill, 2004)","plainTextFormattedCitation":"(Norby et al., 2004)","previouslyFormattedCitation":"(Norby &lt;i&gt;et al.&lt;/i&gt;, 2004)"},"properties":{"noteIndex":0},"schema":"https://github.com/citation-style-language/schema/raw/master/csl-citation.json"}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Norby, Ledford, Reilly, Miller, &amp; O’Neill, 2004)</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The installation took place in February 2015, more than a year before the warming treatment was applied, allowing soil and roots to </w:t>
      </w:r>
      <w:r w:rsidR="00033308" w:rsidRPr="00872293">
        <w:rPr>
          <w:rFonts w:ascii="Times New Roman" w:eastAsia="Times New Roman" w:hAnsi="Times New Roman" w:cs="Times New Roman"/>
        </w:rPr>
        <w:t>acclimate</w:t>
      </w:r>
      <w:r w:rsidRPr="00872293">
        <w:rPr>
          <w:rFonts w:ascii="Times New Roman" w:eastAsia="Times New Roman" w:hAnsi="Times New Roman" w:cs="Times New Roman"/>
        </w:rPr>
        <w:t xml:space="preserve">. We collected soil cores in March 2016, before warming began (three per plot using cores that were 5.1 cm in diameter and 10 cm in length), and we confirmed no difference in root biomass between plots assigned to warming treatment (328 </w:t>
      </w:r>
      <w:r w:rsidRPr="00872293">
        <w:rPr>
          <w:rFonts w:ascii="Times New Roman" w:eastAsia="Times New Roman" w:hAnsi="Times New Roman" w:cs="Times New Roman"/>
          <w:u w:val="single"/>
        </w:rPr>
        <w:t>+</w:t>
      </w:r>
      <w:r w:rsidRPr="00872293">
        <w:rPr>
          <w:rFonts w:ascii="Times New Roman" w:eastAsia="Times New Roman" w:hAnsi="Times New Roman" w:cs="Times New Roman"/>
        </w:rPr>
        <w:t>32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and those assigned for control (322 </w:t>
      </w:r>
      <w:r w:rsidRPr="00872293">
        <w:rPr>
          <w:rFonts w:ascii="Times New Roman" w:eastAsia="Times New Roman" w:hAnsi="Times New Roman" w:cs="Times New Roman"/>
          <w:u w:val="single"/>
        </w:rPr>
        <w:t>+</w:t>
      </w:r>
      <w:r w:rsidRPr="00872293">
        <w:rPr>
          <w:rFonts w:ascii="Times New Roman" w:eastAsia="Times New Roman" w:hAnsi="Times New Roman" w:cs="Times New Roman"/>
        </w:rPr>
        <w:t>44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in the top 10 cm of soil. We started taking root images with the minirhizotron camera in February 2017 to measure root length and diameter, as described below. We also installed three root in-growth cores (5 cm in diameter and 10 cm in length) per plot </w:t>
      </w:r>
      <w:proofErr w:type="gramStart"/>
      <w:r w:rsidRPr="00872293">
        <w:rPr>
          <w:rFonts w:ascii="Times New Roman" w:eastAsia="Times New Roman" w:hAnsi="Times New Roman" w:cs="Times New Roman"/>
        </w:rPr>
        <w:t>on</w:t>
      </w:r>
      <w:proofErr w:type="gramEnd"/>
      <w:r w:rsidRPr="00872293">
        <w:rPr>
          <w:rFonts w:ascii="Times New Roman" w:eastAsia="Times New Roman" w:hAnsi="Times New Roman" w:cs="Times New Roman"/>
        </w:rPr>
        <w:t xml:space="preserve"> April 2017, and these cores were harvested every 4 months until June 2018 to measure root morphological traits. </w:t>
      </w:r>
    </w:p>
    <w:p w14:paraId="1983FF9C" w14:textId="77777777" w:rsidR="009710E8" w:rsidRPr="00872293" w:rsidRDefault="009710E8" w:rsidP="00E563F7">
      <w:pPr>
        <w:spacing w:line="360" w:lineRule="auto"/>
        <w:rPr>
          <w:rFonts w:ascii="Times New Roman" w:eastAsia="Times New Roman" w:hAnsi="Times New Roman" w:cs="Times New Roman"/>
        </w:rPr>
      </w:pPr>
    </w:p>
    <w:p w14:paraId="2AE2E4D6" w14:textId="77777777" w:rsidR="00381F95" w:rsidRPr="00872293" w:rsidRDefault="007D5D98" w:rsidP="009710E8">
      <w:pPr>
        <w:pStyle w:val="Heading3"/>
        <w:spacing w:before="0" w:after="0" w:line="360" w:lineRule="auto"/>
      </w:pPr>
      <w:bookmarkStart w:id="77" w:name="_Toc53689079"/>
      <w:r w:rsidRPr="00872293">
        <w:t>The hurricane events</w:t>
      </w:r>
      <w:bookmarkEnd w:id="77"/>
    </w:p>
    <w:bookmarkEnd w:id="76"/>
    <w:p w14:paraId="5D71AE7F" w14:textId="7F48E644" w:rsidR="0042293C" w:rsidRPr="00872293" w:rsidRDefault="0042293C" w:rsidP="00CD08B7">
      <w:pPr>
        <w:spacing w:before="240" w:line="360" w:lineRule="auto"/>
        <w:rPr>
          <w:rFonts w:ascii="Times New Roman" w:hAnsi="Times New Roman" w:cs="Times New Roman"/>
        </w:rPr>
      </w:pPr>
      <w:r w:rsidRPr="00872293">
        <w:rPr>
          <w:rFonts w:ascii="Times New Roman" w:eastAsia="Times New Roman" w:hAnsi="Times New Roman" w:cs="Times New Roman"/>
        </w:rPr>
        <w:t>The warming treatment was stopped after 11.5 months of heating on September 6</w:t>
      </w:r>
      <w:r w:rsidRPr="00872293">
        <w:rPr>
          <w:rFonts w:ascii="Times New Roman" w:eastAsia="Times New Roman" w:hAnsi="Times New Roman" w:cs="Times New Roman"/>
          <w:vertAlign w:val="superscript"/>
        </w:rPr>
        <w:t>th</w:t>
      </w:r>
      <w:r w:rsidRPr="00872293">
        <w:rPr>
          <w:rFonts w:ascii="Times New Roman" w:eastAsia="Times New Roman" w:hAnsi="Times New Roman" w:cs="Times New Roman"/>
        </w:rPr>
        <w:t xml:space="preserve">, 2017, due to Hurricane Irma passing </w:t>
      </w:r>
      <w:r w:rsidR="00DB3E9B" w:rsidRPr="00872293">
        <w:rPr>
          <w:rFonts w:ascii="Times New Roman" w:eastAsia="Times New Roman" w:hAnsi="Times New Roman" w:cs="Times New Roman"/>
        </w:rPr>
        <w:t>97 km</w:t>
      </w:r>
      <w:r w:rsidRPr="00872293">
        <w:rPr>
          <w:rFonts w:ascii="Times New Roman" w:eastAsia="Times New Roman" w:hAnsi="Times New Roman" w:cs="Times New Roman"/>
        </w:rPr>
        <w:t xml:space="preserve"> north of Puerto Rico (Category 5) and Hurricane María passing from southeast to northwest across the island on September 20</w:t>
      </w:r>
      <w:r w:rsidRPr="00872293">
        <w:rPr>
          <w:rFonts w:ascii="Times New Roman" w:eastAsia="Times New Roman" w:hAnsi="Times New Roman" w:cs="Times New Roman"/>
          <w:vertAlign w:val="superscript"/>
        </w:rPr>
        <w:t>th</w:t>
      </w:r>
      <w:r w:rsidRPr="00872293">
        <w:rPr>
          <w:rFonts w:ascii="Times New Roman" w:eastAsia="Times New Roman" w:hAnsi="Times New Roman" w:cs="Times New Roman"/>
        </w:rPr>
        <w:t xml:space="preserve"> 2017 (Category 4). Hurricane María had sustained winds up to 250 km hr</w:t>
      </w:r>
      <w:r w:rsidRPr="00872293">
        <w:rPr>
          <w:rFonts w:ascii="Times New Roman" w:eastAsia="Times New Roman" w:hAnsi="Times New Roman" w:cs="Times New Roman"/>
          <w:vertAlign w:val="superscript"/>
        </w:rPr>
        <w:t xml:space="preserve">-1 </w:t>
      </w:r>
      <w:r w:rsidRPr="00872293">
        <w:rPr>
          <w:rFonts w:ascii="Times New Roman" w:hAnsi="Times New Roman" w:cs="Times New Roman"/>
        </w:rPr>
        <w:t>(</w:t>
      </w:r>
      <w:r w:rsidRPr="00872293">
        <w:rPr>
          <w:rFonts w:ascii="Times New Roman" w:eastAsia="Times New Roman" w:hAnsi="Times New Roman" w:cs="Times New Roman"/>
        </w:rPr>
        <w:t xml:space="preserve">among </w:t>
      </w:r>
      <w:r w:rsidRPr="00872293">
        <w:rPr>
          <w:rFonts w:ascii="Times New Roman" w:hAnsi="Times New Roman" w:cs="Times New Roman"/>
        </w:rPr>
        <w:t xml:space="preserve">the strongest on record for the island;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{"citationItems":[{"id":"ITEM-1","itemData":{"DOI":"10.1007/s10021-020-00491-x","ISSN":"14350629","abstract":"Ecologists addressed the effects of disturbances from the onset of the field by focusing on ecesis, which is the process by which organisms migrate and establish under the environmental conditions created by disturbances. Ecesis is the onset of succession, a self-organizing process whose nature, speed, and outcome depend in part on the outcomes of ecesis and the residual legacies remaining after disturbances. A by-product of succession after a disturbance is the reorganization of species dominance, or novelty. The degree of novelty in the outcome increases with the severity of the disturbance event. Initially, ecologists focused mostly on non-anthropogenic disturbances, but as human activity intensified and became a global force, more attention was given to the effects of anthropogenic disturbances on ecosystems. Today, anthropogenic and non-anthropogenic disturbances and their interactions are increasingly affecting ecosystems, particularly those exposed to extreme disturbance events. Extreme disturbance events are complex and low probability events composed of several disturbance forces that individually and in synergy affect different sectors of ecosystems, including the conditions that drive ecesis. I review the literature on disturbance research including the effects of extreme disturbance events on social–ecological–technological systems (SETSs). A SETS is an ecosystem defined by the flow and accumulation of energy through the medium of organisms, constructed infrastructure, institutions, and their environment. Human intentions, values, and capacities are part of the functioning of SETS, and they can drive ecological processes as do non-anthropogenic forces. Moreover, human-directed activities after an extreme disturbance event affect whole landscapes. The passage of hurricane María over the Puerto Rico SETS established that extreme disturbance events are of such power and complexity that they can influence the level and kind of relationship between humans and the environment, including the structure and species composition of the ecological systems within SETS. However, extreme disturbance events such as hurricanes have not changed the successional trajectory originally impulsed by anthropogenic disturbances. Thus, the species composition and functioning of novel forests in Puerto Rico are tied to economic activity in the social and technological sectors of SETS. It is no longer possible to interpret ecosystem functioning without considering the …","author":[{"dropping-particle":"","family":"Lugo","given":"Ariel E.","non-dropping-particle":"","parse-names":false,"suffix":""}],"container-title":"Ecosystems","id":"ITEM-1","issued":{"date-parts":[["2020"]]},"page":"1-22","title":"Effects of Extreme Disturbance Events: From Ecesis to Social–Ecological–Technological Systems","type":"article-journal"},"uris":["http://www.mendeley.com/documents/?uuid=21adfef3-cb78-42fd-8e3e-759a261fc37a"]}],"mendeley":{"formattedCitation":"(Lugo, 2020)","manualFormatting":"Lugo, 2020)","plainTextFormattedCitation":"(Lugo, 2020)","previouslyFormattedCitation":"(Lugo, 2020)"},"properties":{"noteIndex":0},"schema":"https://github.com/citation-style-language/schema/raw/master/csl-citation.json"}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Lugo, 2020)</w:t>
      </w:r>
      <w:r w:rsidR="00CE76B7" w:rsidRPr="00872293">
        <w:rPr>
          <w:rFonts w:ascii="Times New Roman" w:hAnsi="Times New Roman" w:cs="Times New Roman"/>
        </w:rPr>
        <w:fldChar w:fldCharType="end"/>
      </w:r>
      <w:r w:rsidRPr="00872293">
        <w:rPr>
          <w:rFonts w:ascii="Times New Roman" w:hAnsi="Times New Roman" w:cs="Times New Roman"/>
        </w:rPr>
        <w:t>; rainfall averaged</w:t>
      </w:r>
      <w:r w:rsidRPr="00872293">
        <w:rPr>
          <w:rFonts w:ascii="Times New Roman" w:eastAsia="Times New Roman" w:hAnsi="Times New Roman" w:cs="Times New Roman"/>
        </w:rPr>
        <w:t xml:space="preserve"> 500 mm in just 24 hours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{"citationItems":[{"id":"ITEM-1","itemData":{"abstract":"Maria was a very severe Cape Verde Hurricane that ravaged the island of Dominica at category 5 (on the Saffir-Simpson Hurricane Wind Scale) intensity, and later devastated Puerto Rico as a high-end category 4 hurricane. It also inflicted serious damage on some of the other islands of the northeastern Caribbean Sea. Maria is the third costliest hurricane in United States history.","author":[{"dropping-particle":"","family":"Pasch","given":"Richard J.","non-dropping-particle":"","parse-names":false,"suffix":""},{"dropping-particle":"","family":"Penny","given":"Andrew B.","non-dropping-particle":"","parse-names":false,"suffix":""},{"dropping-particle":"","family":"Berg","given":"Robbie","non-dropping-particle":"","parse-names":false,"suffix":""}],"container-title":"National Weather Service","id":"ITEM-1","issued":{"date-parts":[["2019"]]},"title":"National Hurricane center tropical cyclone report: Hurricane Maria (AL152017)","type":"article"},"uris":["http://www.mendeley.com/documents/?uuid=353a8f6c-1948-455d-89ac-c5f6402549ba"]}],"mendeley":{"formattedCitation":"(Pasch &lt;i&gt;et al.&lt;/i&gt;, 2019)","plainTextFormattedCitation":"(Pasch et al., 2019)","previouslyFormattedCitation":"(Pasch &lt;i&gt;et al.&lt;/i&gt;, 2019)"},"properties":{"noteIndex":0},"schema":"https://github.com/citation-style-language/schema/raw/master/csl-citation.json"}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(Pasch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2019)</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r w:rsidRPr="00872293">
        <w:rPr>
          <w:rFonts w:ascii="Times New Roman" w:hAnsi="Times New Roman" w:cs="Times New Roman"/>
        </w:rPr>
        <w:t xml:space="preserve">Instantaneous tree mortality rates were twice that of Hurricane Hugo (~15%;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{"citationItems":[{"id":"ITEM-1","itemData":{"DOI":"10.1038/s41467-019-09319-2","ISSN":"20411723","abstract":"Tropical cyclones are expected to intensify under a warming climate, with uncertain effects on tropical forests. One key challenge to predicting how more intense storms will influence these ecosystems is to attribute impacts specifically to storm meteorology rather than differences in forest characteristics. Here we compare tree damage data collected in the same forest in Puerto Rico after Hurricanes Hugo (1989, category 3), Georges (1998, category 3), and María (2017, category 4). María killed twice as many trees as Hugo, and for all but two species, broke 2- to 12-fold more stems than the other two storms. Species with high density wood were resistant to uprooting, hurricane-induced mortality, and were protected from breakage during Hugo but not María. Tree inventories and a wind exposure model allow us to attribute these differences in impacts to storm meteorology. A better understanding of risk factors associated with tree species susceptibility to severe storms is key to predicting the future of forest ecosystems under climate warming.","author":[{"dropping-particle":"","family":"Uriarte","given":"María","non-dropping-particle":"","parse-names":false,"suffix":""},{"dropping-particle":"","family":"Thompson","given":"Jill","non-dropping-particle":"","parse-names":false,"suffix":""},{"dropping-particle":"","family":"Zimmerman","given":"Jess K.","non-dropping-particle":"","parse-names":false,"suffix":""}],"container-title":"Nature Communications","id":"ITEM-1","issue":"1","issued":{"date-parts":[["2019"]]},"page":"1-7","title":"Hurricane María tripled stem breaks and doubled tree mortality relative to other major storms","type":"article-journal","volume":"10"},"uris":["http://www.mendeley.com/documents/?uuid=0281d088-026a-4a0b-a9d2-74ba703dab29"]}],"mendeley":{"formattedCitation":"(Uriarte &lt;i&gt;et al.&lt;/i&gt;, 2019a)","manualFormatting":"Uriarte et al. 2019a)","plainTextFormattedCitation":"(Uriarte et al., 2019a)","previouslyFormattedCitation":"(Uriarte &lt;i&gt;et al.&lt;/i&gt;, 2019a)"},"properties":{"noteIndex":0},"schema":"https://github.com/citation-style-language/schema/raw/master/csl-citation.json"}</w:instrText>
      </w:r>
      <w:r w:rsidR="00CE76B7" w:rsidRPr="00872293">
        <w:rPr>
          <w:rFonts w:ascii="Times New Roman" w:hAnsi="Times New Roman" w:cs="Times New Roman"/>
        </w:rPr>
        <w:fldChar w:fldCharType="separate"/>
      </w:r>
      <w:r w:rsidR="007522CB" w:rsidRPr="00872293">
        <w:rPr>
          <w:rFonts w:ascii="Times New Roman" w:hAnsi="Times New Roman" w:cs="Times New Roman"/>
          <w:noProof/>
        </w:rPr>
        <w:t xml:space="preserve">Uriarte </w:t>
      </w:r>
      <w:r w:rsidR="007522CB" w:rsidRPr="00872293">
        <w:rPr>
          <w:rFonts w:ascii="Times New Roman" w:hAnsi="Times New Roman" w:cs="Times New Roman"/>
          <w:i/>
          <w:noProof/>
        </w:rPr>
        <w:t>et al.</w:t>
      </w:r>
      <w:r w:rsidR="007522CB" w:rsidRPr="00872293">
        <w:rPr>
          <w:rFonts w:ascii="Times New Roman" w:hAnsi="Times New Roman" w:cs="Times New Roman"/>
          <w:noProof/>
        </w:rPr>
        <w:t xml:space="preserve"> 2019a)</w:t>
      </w:r>
      <w:r w:rsidR="00CE76B7" w:rsidRPr="00872293">
        <w:rPr>
          <w:rFonts w:ascii="Times New Roman" w:hAnsi="Times New Roman" w:cs="Times New Roman"/>
        </w:rPr>
        <w:fldChar w:fldCharType="end"/>
      </w:r>
      <w:r w:rsidRPr="00872293">
        <w:rPr>
          <w:rFonts w:ascii="Times New Roman" w:hAnsi="Times New Roman" w:cs="Times New Roman"/>
        </w:rPr>
        <w:t xml:space="preserve">. </w:t>
      </w:r>
      <w:r w:rsidRPr="00872293">
        <w:rPr>
          <w:rFonts w:ascii="Times New Roman" w:eastAsia="Times New Roman" w:hAnsi="Times New Roman" w:cs="Times New Roman"/>
        </w:rPr>
        <w:t xml:space="preserve">The energy dose dissipated from the combined winds of Hurricanes María and Irma was </w:t>
      </w:r>
      <w:r w:rsidRPr="00872293">
        <w:rPr>
          <w:rFonts w:ascii="Times New Roman" w:hAnsi="Times New Roman" w:cs="Times New Roman"/>
        </w:rPr>
        <w:t>232 PJ m</w:t>
      </w:r>
      <w:r w:rsidRPr="00872293">
        <w:rPr>
          <w:rFonts w:ascii="Times New Roman" w:hAnsi="Times New Roman" w:cs="Times New Roman"/>
          <w:vertAlign w:val="superscript"/>
        </w:rPr>
        <w:t>-1</w:t>
      </w:r>
      <w:r w:rsidRPr="00872293">
        <w:rPr>
          <w:rFonts w:ascii="Times New Roman" w:hAnsi="Times New Roman" w:cs="Times New Roman"/>
        </w:rPr>
        <w:t xml:space="preserve"> of vertical air </w:t>
      </w:r>
      <w:r w:rsidR="00CE76B7" w:rsidRPr="00872293">
        <w:rPr>
          <w:rFonts w:ascii="Times New Roman" w:hAnsi="Times New Roman" w:cs="Times New Roman"/>
        </w:rPr>
        <w:lastRenderedPageBreak/>
        <w:fldChar w:fldCharType="begin" w:fldLock="1"/>
      </w:r>
      <w:r w:rsidR="00045A85" w:rsidRPr="00872293">
        <w:rPr>
          <w:rFonts w:ascii="Times New Roman" w:hAnsi="Times New Roman" w:cs="Times New Roman"/>
        </w:rPr>
        <w:instrText>ADDIN CSL_CITATION {"citationItems":[{"id":"ITEM-1","itemData":{"DOI":"10.3390/rs10091386","ISSN":"20724292","abstract":"The impact of Hurricane Maria on the U.S. Caribbean was used to study the causes of remotely-sensed spatial variation in the effects of (1) vegetation index loss and (2) landslide occurrence. The vegetation index is a measure of canopy 'greenness', a combination of leaf chlorophyll, leaf area, canopy cover and structure. A generalized linear model was made for each kind of effect, using idealized maps of the hurricane forces, along with three landscape characteristics that were significantly associated. In each model, one of these characteristics was forest fragmentation, and another was a measure of disturbance-propensity. For the greenness loss model, the hurricane force was wind, the disturbance-propensity measure was initial greenness, and the third landscape characteristic was fraction forest cover. For the landslide occurrence model, the hurricane force was rain, the disturbance-propensity measure was amount of land slope, and the third landscape characteristic was soil clay content. The model of greenness loss had a pseudo R2 of 0.73 and showed the U.S. Caribbean lost 31% of its initial greenness from the hurricane, with 51% lost from the initial in the Luquillo Experimental Forest (LEF) from Hurricane Maria along with Hurricane Irma. More greenness disturbance was seen in areas with less wind sheltering, higher elevation and topographic sides. The model of landslide occurrence had a pseudo R2 of 0.53 and showed the U.S. Caribbean had 34% of its area and 52% of the LEF area with a landslide density of at least one in 1 km2 from Hurricane Maria. Four experiments with parameters from previous storms of wind speed, storm duration, rainfall, and forest structure over the same storm path and topographic landscape were run as examples of possible future scenarios. While intensity of the storm makes by far the largest scenario difference, forest fragmentation makes a sizable difference especially in vulnerable areas of high clay content or high wind susceptibility. This study showed the utility of simple hurricane force calculations connected with landscape characteristics and remote-sensing data to determine forest susceptibility to hurricane effects.","author":[{"dropping-particle":"","family":"Beusekom","given":"Ashley E.","non-dropping-particle":"Van","parse-names":false,"suffix":""},{"dropping-particle":"","family":"Álvarez-Berríos","given":"Nora L.","non-dropping-particle":"","parse-names":false,"suffix":""},{"dropping-particle":"","family":"Gould","given":"William A.","non-dropping-particle":"","parse-names":false,"suffix":""},{"dropping-particle":"","family":"Quiñones","given":"Maya","non-dropping-particle":"","parse-names":false,"suffix":""},{"dropping-particle":"","family":"González","given":"Grizelle","non-dropping-particle":"","parse-names":false,"suffix":""}],"container-title":"Remote Sensing","id":"ITEM-1","issue":"9","issued":{"date-parts":[["2018"]]},"page":"1386","title":"Hurricane Maria in the U.S. Caribbean: Disturbance forces, variation of effects, and implications for future storms","type":"article-journal","volume":"10"},"uris":["http://www.mendeley.com/documents/?uuid=970b5e89-3ba5-4d59-b6c8-50ab0e49a13c"]}],"mendeley":{"formattedCitation":"(Van Beusekom &lt;i&gt;et al.&lt;/i&gt;, 2018)","plainTextFormattedCitation":"(Van Beusekom et al., 2018)","previouslyFormattedCitation":"(Van Beusekom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(Van Beusekom </w:t>
      </w:r>
      <w:r w:rsidR="00D64D1F" w:rsidRPr="00872293">
        <w:rPr>
          <w:rFonts w:ascii="Times New Roman" w:hAnsi="Times New Roman" w:cs="Times New Roman"/>
          <w:i/>
          <w:noProof/>
        </w:rPr>
        <w:t>et al.</w:t>
      </w:r>
      <w:r w:rsidR="00D64D1F"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xml:space="preserve">, which is equivalent to the energy released by an explosion of 55 megatons of TNT over Puerto Rico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{"citationItems":[{"id":"ITEM-1","itemData":{"DOI":"10.1007/s10021-020-00491-x","ISSN":"14350629","abstract":"Ecologists addressed the effects of disturbances from the onset of the field by focusing on ecesis, which is the process by which organisms migrate and establish under the environmental conditions created by disturbances. Ecesis is the onset of succession, a self-organizing process whose nature, speed, and outcome depend in part on the outcomes of ecesis and the residual legacies remaining after disturbances. A by-product of succession after a disturbance is the reorganization of species dominance, or novelty. The degree of novelty in the outcome increases with the severity of the disturbance event. Initially, ecologists focused mostly on non-anthropogenic disturbances, but as human activity intensified and became a global force, more attention was given to the effects of anthropogenic disturbances on ecosystems. Today, anthropogenic and non-anthropogenic disturbances and their interactions are increasingly affecting ecosystems, particularly those exposed to extreme disturbance events. Extreme disturbance events are complex and low probability events composed of several disturbance forces that individually and in synergy affect different sectors of ecosystems, including the conditions that drive ecesis. I review the literature on disturbance research including the effects of extreme disturbance events on social–ecological–technological systems (SETSs). A SETS is an ecosystem defined by the flow and accumulation of energy through the medium of organisms, constructed infrastructure, institutions, and their environment. Human intentions, values, and capacities are part of the functioning of SETS, and they can drive ecological processes as do non-anthropogenic forces. Moreover, human-directed activities after an extreme disturbance event affect whole landscapes. The passage of hurricane María over the Puerto Rico SETS established that extreme disturbance events are of such power and complexity that they can influence the level and kind of relationship between humans and the environment, including the structure and species composition of the ecological systems within SETS. However, extreme disturbance events such as hurricanes have not changed the successional trajectory originally impulsed by anthropogenic disturbances. Thus, the species composition and functioning of novel forests in Puerto Rico are tied to economic activity in the social and technological sectors of SETS. It is no longer possible to interpret ecosystem functioning without considering the …","author":[{"dropping-particle":"","family":"Lugo","given":"Ariel E.","non-dropping-particle":"","parse-names":false,"suffix":""}],"container-title":"Ecosystems","id":"ITEM-1","issued":{"date-parts":[["2020"]]},"page":"1-22","title":"Effects of Extreme Disturbance Events: From Ecesis to Social–Ecological–Technological Systems","type":"article-journal"},"uris":["http://www.mendeley.com/documents/?uuid=21adfef3-cb78-42fd-8e3e-759a261fc37a"]}],"mendeley":{"formattedCitation":"(Lugo, 2020)","plainTextFormattedCitation":"(Lugo, 2020)","previouslyFormattedCitation":"(Lugo, 2020)"},"properties":{"noteIndex":0},"schema":"https://github.com/citation-style-language/schema/raw/master/csl-citation.json"}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(Lugo, 2020)</w:t>
      </w:r>
      <w:r w:rsidR="00CE76B7" w:rsidRPr="00872293">
        <w:rPr>
          <w:rFonts w:ascii="Times New Roman" w:hAnsi="Times New Roman" w:cs="Times New Roman"/>
        </w:rPr>
        <w:fldChar w:fldCharType="end"/>
      </w:r>
      <w:r w:rsidRPr="00872293">
        <w:rPr>
          <w:rFonts w:ascii="Times New Roman" w:hAnsi="Times New Roman" w:cs="Times New Roman"/>
        </w:rPr>
        <w:t>.</w:t>
      </w:r>
    </w:p>
    <w:p w14:paraId="6D402649" w14:textId="77777777" w:rsidR="0042293C" w:rsidRPr="00872293" w:rsidRDefault="0042293C" w:rsidP="0042293C">
      <w:pPr>
        <w:spacing w:line="360" w:lineRule="auto"/>
        <w:rPr>
          <w:rFonts w:ascii="Times New Roman" w:eastAsia="Times New Roman" w:hAnsi="Times New Roman" w:cs="Times New Roman"/>
        </w:rPr>
      </w:pPr>
    </w:p>
    <w:p w14:paraId="5109AACA" w14:textId="09DE7646" w:rsidR="0042293C" w:rsidRPr="00872293" w:rsidRDefault="0042293C" w:rsidP="0042293C">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The hurricane events resulted in reduction of canopy cover at our experimental site from ~90% to 30%, and there was no difference in canopy loss among the six plots </w:t>
      </w:r>
      <w:r w:rsidR="00CE76B7" w:rsidRPr="00872293">
        <w:rPr>
          <w:rFonts w:ascii="Times New Roman" w:eastAsia="Times New Roman" w:hAnsi="Times New Roman" w:cs="Times New Roman"/>
        </w:rPr>
        <w:fldChar w:fldCharType="begin" w:fldLock="1"/>
      </w:r>
      <w:r w:rsidR="00D46643" w:rsidRPr="00872293">
        <w:rPr>
          <w:rFonts w:ascii="Times New Roman" w:eastAsia="Times New Roman" w:hAnsi="Times New Roman" w:cs="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2020)","manualFormatting":"(Reed et al., 2020; S1)","plainTextFormattedCitation":"(Reed et al., 2020)","previouslyFormattedCitation":"(Reed &lt;i&gt;et al.&lt;/i&gt;,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7A7B22" w:rsidRPr="00872293">
        <w:rPr>
          <w:rFonts w:ascii="Times New Roman" w:eastAsia="Times New Roman" w:hAnsi="Times New Roman" w:cs="Times New Roman"/>
          <w:noProof/>
        </w:rPr>
        <w:t xml:space="preserve">(Reed </w:t>
      </w:r>
      <w:r w:rsidR="00C20013" w:rsidRPr="00872293">
        <w:rPr>
          <w:rFonts w:ascii="Times New Roman" w:hAnsi="Times New Roman" w:cs="Times New Roman"/>
          <w:i/>
          <w:noProof/>
        </w:rPr>
        <w:t>et al.,</w:t>
      </w:r>
      <w:r w:rsidR="007A7B22" w:rsidRPr="00872293">
        <w:rPr>
          <w:rFonts w:ascii="Times New Roman" w:eastAsia="Times New Roman" w:hAnsi="Times New Roman" w:cs="Times New Roman"/>
          <w:noProof/>
        </w:rPr>
        <w:t xml:space="preserve"> 2020; </w:t>
      </w:r>
      <w:r w:rsidR="00D97404" w:rsidRPr="00872293">
        <w:rPr>
          <w:rFonts w:ascii="Times New Roman" w:eastAsia="Times New Roman" w:hAnsi="Times New Roman" w:cs="Times New Roman"/>
          <w:noProof/>
        </w:rPr>
        <w:t>Figure 10</w:t>
      </w:r>
      <w:r w:rsidR="007A7B22" w:rsidRPr="00872293">
        <w:rPr>
          <w:rFonts w:ascii="Times New Roman" w:eastAsia="Times New Roman" w:hAnsi="Times New Roman" w:cs="Times New Roman"/>
          <w:noProof/>
        </w:rPr>
        <w:t>)</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Immediately following the hurricanes, the forest floor was no longer visible due to the resulting input of branches and leaf litter (Figure 1</w:t>
      </w:r>
      <w:r w:rsidR="00C4242D" w:rsidRPr="00872293">
        <w:rPr>
          <w:rFonts w:ascii="Times New Roman" w:eastAsia="Times New Roman" w:hAnsi="Times New Roman" w:cs="Times New Roman"/>
        </w:rPr>
        <w:t>1</w:t>
      </w:r>
      <w:r w:rsidRPr="00872293">
        <w:rPr>
          <w:rFonts w:ascii="Times New Roman" w:eastAsia="Times New Roman" w:hAnsi="Times New Roman" w:cs="Times New Roman"/>
        </w:rPr>
        <w:t xml:space="preserve">). Only one out of 12 minirhizotron tubes was broken by a tree fall, and another was slightly shifted upwards by an uprooted tree. These two tubes were thus not considered in our analysis. The understory recovery was dominated by </w:t>
      </w:r>
      <w:r w:rsidRPr="00872293">
        <w:rPr>
          <w:rFonts w:ascii="Times New Roman" w:hAnsi="Times New Roman" w:cs="Times New Roman"/>
        </w:rPr>
        <w:t xml:space="preserve">graminoid species during the first 4 months following the hurricanes, especially </w:t>
      </w:r>
      <w:proofErr w:type="spellStart"/>
      <w:r w:rsidRPr="00872293">
        <w:rPr>
          <w:rFonts w:ascii="Times New Roman" w:hAnsi="Times New Roman" w:cs="Times New Roman"/>
          <w:i/>
        </w:rPr>
        <w:t>Ichnanthus</w:t>
      </w:r>
      <w:proofErr w:type="spellEnd"/>
      <w:r w:rsidRPr="00872293">
        <w:rPr>
          <w:rFonts w:ascii="Times New Roman" w:hAnsi="Times New Roman" w:cs="Times New Roman"/>
          <w:i/>
        </w:rPr>
        <w:t xml:space="preserve"> </w:t>
      </w:r>
      <w:proofErr w:type="spellStart"/>
      <w:r w:rsidRPr="00872293">
        <w:rPr>
          <w:rFonts w:ascii="Times New Roman" w:hAnsi="Times New Roman" w:cs="Times New Roman"/>
          <w:i/>
        </w:rPr>
        <w:t>pallens</w:t>
      </w:r>
      <w:proofErr w:type="spellEnd"/>
      <w:r w:rsidRPr="00872293">
        <w:rPr>
          <w:rFonts w:ascii="Times New Roman" w:hAnsi="Times New Roman" w:cs="Times New Roman"/>
          <w:i/>
        </w:rPr>
        <w:t xml:space="preserve"> </w:t>
      </w:r>
      <w:r w:rsidR="00CE76B7" w:rsidRPr="00872293">
        <w:rPr>
          <w:rFonts w:ascii="Times New Roman" w:hAnsi="Times New Roman" w:cs="Times New Roman"/>
          <w:i/>
        </w:rPr>
        <w:fldChar w:fldCharType="begin" w:fldLock="1"/>
      </w:r>
      <w:r w:rsidR="00045A85" w:rsidRPr="00872293">
        <w:rPr>
          <w:rFonts w:ascii="Times New Roman" w:hAnsi="Times New Roman" w:cs="Times New Roman"/>
          <w:i/>
        </w:rPr>
        <w:instrText>ADDIN CSL_CITATION {"citationItems":[{"id":"ITEM-1","itemData":{"DOI":"https://doi.org/10.1002/ece3.6589","author":[{"dropping-particle":"","family":"Kennard","given":"Deborah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Evolution","id":"ITEM-1","issued":{"date-parts":[["2020"]]},"title":"Tropical understory herbaceous community responds more strongly to hurricane disturbance than to experimental warming","type":"article-journal"},"uris":["http://www.mendeley.com/documents/?uuid=4470553f-487f-40af-aac1-bc912293b68c"]}],"mendeley":{"formattedCitation":"(Kennard &lt;i&gt;et al.&lt;/i&gt;, 2020)","plainTextFormattedCitation":"(Kennard et al., 2020)","previouslyFormattedCitation":"(Kennard &lt;i&gt;et al.&lt;/i&gt;, 2020)"},"properties":{"noteIndex":0},"schema":"https://github.com/citation-style-language/schema/raw/master/csl-citation.json"}</w:instrText>
      </w:r>
      <w:r w:rsidR="00CE76B7" w:rsidRPr="00872293">
        <w:rPr>
          <w:rFonts w:ascii="Times New Roman" w:hAnsi="Times New Roman" w:cs="Times New Roman"/>
          <w:i/>
        </w:rPr>
        <w:fldChar w:fldCharType="separate"/>
      </w:r>
      <w:r w:rsidR="00D64D1F" w:rsidRPr="00872293">
        <w:rPr>
          <w:rFonts w:ascii="Times New Roman" w:hAnsi="Times New Roman" w:cs="Times New Roman"/>
          <w:noProof/>
        </w:rPr>
        <w:t xml:space="preserve">(Kennard </w:t>
      </w:r>
      <w:r w:rsidR="00D64D1F" w:rsidRPr="00872293">
        <w:rPr>
          <w:rFonts w:ascii="Times New Roman" w:hAnsi="Times New Roman" w:cs="Times New Roman"/>
          <w:i/>
          <w:noProof/>
        </w:rPr>
        <w:t>et al.</w:t>
      </w:r>
      <w:r w:rsidR="00D64D1F" w:rsidRPr="00872293">
        <w:rPr>
          <w:rFonts w:ascii="Times New Roman" w:hAnsi="Times New Roman" w:cs="Times New Roman"/>
          <w:noProof/>
        </w:rPr>
        <w:t>, 2020)</w:t>
      </w:r>
      <w:r w:rsidR="00CE76B7" w:rsidRPr="00872293">
        <w:rPr>
          <w:rFonts w:ascii="Times New Roman" w:hAnsi="Times New Roman" w:cs="Times New Roman"/>
          <w:i/>
        </w:rPr>
        <w:fldChar w:fldCharType="end"/>
      </w:r>
      <w:r w:rsidRPr="00872293">
        <w:rPr>
          <w:rFonts w:ascii="Times New Roman" w:hAnsi="Times New Roman" w:cs="Times New Roman"/>
        </w:rPr>
        <w:t>.</w:t>
      </w:r>
      <w:r w:rsidRPr="00872293">
        <w:rPr>
          <w:rFonts w:ascii="Times New Roman" w:eastAsia="Times New Roman" w:hAnsi="Times New Roman" w:cs="Times New Roman"/>
        </w:rPr>
        <w:t xml:space="preserve"> After 9 months the understory was denser, with pioneer woody species like </w:t>
      </w:r>
      <w:r w:rsidRPr="00872293">
        <w:rPr>
          <w:rFonts w:ascii="Times New Roman" w:eastAsia="Times New Roman" w:hAnsi="Times New Roman" w:cs="Times New Roman"/>
          <w:i/>
          <w:iCs/>
        </w:rPr>
        <w:t xml:space="preserve">Cecropia </w:t>
      </w:r>
      <w:proofErr w:type="spellStart"/>
      <w:r w:rsidRPr="00872293">
        <w:rPr>
          <w:rFonts w:ascii="Times New Roman" w:eastAsia="Times New Roman" w:hAnsi="Times New Roman" w:cs="Times New Roman"/>
          <w:i/>
          <w:iCs/>
        </w:rPr>
        <w:t>schreberiana</w:t>
      </w:r>
      <w:proofErr w:type="spellEnd"/>
      <w:r w:rsidRPr="00872293">
        <w:rPr>
          <w:rFonts w:ascii="Times New Roman" w:eastAsia="Times New Roman" w:hAnsi="Times New Roman" w:cs="Times New Roman"/>
        </w:rPr>
        <w:t xml:space="preserve"> being more abundant (Figure 1</w:t>
      </w:r>
      <w:r w:rsidR="00C4242D" w:rsidRPr="00872293">
        <w:rPr>
          <w:rFonts w:ascii="Times New Roman" w:eastAsia="Times New Roman" w:hAnsi="Times New Roman" w:cs="Times New Roman"/>
        </w:rPr>
        <w:t>1</w:t>
      </w:r>
      <w:r w:rsidRPr="00872293">
        <w:rPr>
          <w:rFonts w:ascii="Times New Roman" w:eastAsia="Times New Roman" w:hAnsi="Times New Roman" w:cs="Times New Roman"/>
        </w:rPr>
        <w:t>).</w:t>
      </w:r>
    </w:p>
    <w:p w14:paraId="366C13A0" w14:textId="77777777" w:rsidR="009710E8" w:rsidRPr="00872293" w:rsidRDefault="009710E8" w:rsidP="0042293C">
      <w:pPr>
        <w:spacing w:line="360" w:lineRule="auto"/>
        <w:rPr>
          <w:rFonts w:ascii="Times New Roman" w:eastAsia="Times New Roman" w:hAnsi="Times New Roman" w:cs="Times New Roman"/>
        </w:rPr>
      </w:pPr>
    </w:p>
    <w:p w14:paraId="7AE9F35A" w14:textId="77777777" w:rsidR="006D15A1" w:rsidRPr="00872293" w:rsidRDefault="007D5D98" w:rsidP="00296C07">
      <w:pPr>
        <w:pStyle w:val="Heading3"/>
        <w:spacing w:before="0" w:after="0" w:line="360" w:lineRule="auto"/>
      </w:pPr>
      <w:bookmarkStart w:id="78" w:name="_Toc53689080"/>
      <w:r w:rsidRPr="00872293">
        <w:t>Root measurements</w:t>
      </w:r>
      <w:bookmarkEnd w:id="78"/>
    </w:p>
    <w:p w14:paraId="7C29BA14" w14:textId="3CA7BBDE" w:rsidR="009607B5" w:rsidRPr="00872293" w:rsidRDefault="009607B5" w:rsidP="005C426F">
      <w:pPr>
        <w:spacing w:before="240" w:line="360" w:lineRule="auto"/>
        <w:rPr>
          <w:rFonts w:ascii="Times New Roman" w:eastAsia="Times New Roman" w:hAnsi="Times New Roman" w:cs="Times New Roman"/>
        </w:rPr>
      </w:pPr>
      <w:r w:rsidRPr="00872293">
        <w:rPr>
          <w:rFonts w:ascii="Times New Roman" w:hAnsi="Times New Roman" w:cs="Times New Roman"/>
        </w:rPr>
        <w:t>Images were taken with a wireless manual minirhizotron camera (</w:t>
      </w:r>
      <w:proofErr w:type="spellStart"/>
      <w:r w:rsidRPr="00872293">
        <w:rPr>
          <w:rFonts w:ascii="Times New Roman" w:hAnsi="Times New Roman" w:cs="Times New Roman"/>
        </w:rPr>
        <w:t>RhizoSystems</w:t>
      </w:r>
      <w:proofErr w:type="spellEnd"/>
      <w:r w:rsidRPr="00872293">
        <w:rPr>
          <w:rFonts w:ascii="Times New Roman" w:hAnsi="Times New Roman" w:cs="Times New Roman"/>
        </w:rPr>
        <w:t>, LLC, Idyllwild, California, USA) from continuous windows of soil area (8</w:t>
      </w:r>
      <w:r w:rsidR="003709C5" w:rsidRPr="00872293">
        <w:rPr>
          <w:rFonts w:ascii="Times New Roman" w:hAnsi="Times New Roman" w:cs="Times New Roman"/>
        </w:rPr>
        <w:t>.3</w:t>
      </w:r>
      <w:r w:rsidRPr="00872293">
        <w:rPr>
          <w:rFonts w:ascii="Times New Roman" w:hAnsi="Times New Roman" w:cs="Times New Roman"/>
        </w:rPr>
        <w:t xml:space="preserve"> mm wide, </w:t>
      </w:r>
      <w:r w:rsidR="003709C5" w:rsidRPr="00872293">
        <w:rPr>
          <w:rFonts w:ascii="Times New Roman" w:hAnsi="Times New Roman" w:cs="Times New Roman"/>
        </w:rPr>
        <w:t>6.4</w:t>
      </w:r>
      <w:r w:rsidRPr="00872293">
        <w:rPr>
          <w:rFonts w:ascii="Times New Roman" w:hAnsi="Times New Roman" w:cs="Times New Roman"/>
        </w:rPr>
        <w:t xml:space="preserve"> mm tall) along the upper surface of the tube and for the entire tube length. There were 220 windows (images) per tube. We collected and analyzed 78,760 images in total, 36,960 of which were from the 7 months of the warming experiment, and 41,800 images from the 10 months after Hurricanes Irma and María. We analyzed all sessions (measurement collection day) using </w:t>
      </w:r>
      <w:proofErr w:type="spellStart"/>
      <w:r w:rsidRPr="00872293">
        <w:rPr>
          <w:rFonts w:ascii="Times New Roman" w:hAnsi="Times New Roman" w:cs="Times New Roman"/>
        </w:rPr>
        <w:t>RootFly</w:t>
      </w:r>
      <w:proofErr w:type="spellEnd"/>
      <w:r w:rsidRPr="00872293">
        <w:rPr>
          <w:rFonts w:ascii="Times New Roman" w:hAnsi="Times New Roman" w:cs="Times New Roman"/>
        </w:rPr>
        <w:t xml:space="preserve"> software version 2.0.2 (Clemson University, SC, USA, 2005-2011; </w:t>
      </w:r>
      <w:hyperlink r:id="rId30" w:history="1">
        <w:r w:rsidR="002B4296" w:rsidRPr="00872293">
          <w:rPr>
            <w:rStyle w:val="Hyperlink"/>
            <w:rFonts w:ascii="Times New Roman" w:hAnsi="Times New Roman" w:cs="Times New Roman"/>
            <w:color w:val="auto"/>
          </w:rPr>
          <w:t>https://www.quantitative-plant.org/software/rootfly</w:t>
        </w:r>
      </w:hyperlink>
      <w:r w:rsidR="002B4296" w:rsidRPr="00872293">
        <w:rPr>
          <w:rFonts w:ascii="Times New Roman" w:hAnsi="Times New Roman" w:cs="Times New Roman"/>
        </w:rPr>
        <w:t xml:space="preserve">). </w:t>
      </w:r>
      <w:r w:rsidRPr="00872293">
        <w:rPr>
          <w:rFonts w:ascii="Times New Roman" w:hAnsi="Times New Roman" w:cs="Times New Roman"/>
        </w:rPr>
        <w:t>The same person, DY, processed all images.</w:t>
      </w:r>
      <w:r w:rsidR="0061706A" w:rsidRPr="00872293">
        <w:rPr>
          <w:rFonts w:ascii="Times New Roman" w:hAnsi="Times New Roman" w:cs="Times New Roman"/>
        </w:rPr>
        <w:t xml:space="preserve"> </w:t>
      </w:r>
      <w:r w:rsidR="0061706A" w:rsidRPr="00872293">
        <w:rPr>
          <w:rFonts w:ascii="Times New Roman" w:eastAsia="Times New Roman" w:hAnsi="Times New Roman" w:cs="Times New Roman"/>
        </w:rPr>
        <w:t xml:space="preserve">The minirhizotron data reported here are freely available from the NGEE-Tropics data archive </w:t>
      </w:r>
      <w:r w:rsidR="0061706A" w:rsidRPr="00872293">
        <w:rPr>
          <w:rFonts w:ascii="Times New Roman" w:eastAsia="Times New Roman" w:hAnsi="Times New Roman" w:cs="Times New Roman"/>
        </w:rPr>
        <w:fldChar w:fldCharType="begin" w:fldLock="1"/>
      </w:r>
      <w:r w:rsidR="0061706A" w:rsidRPr="00872293">
        <w:rPr>
          <w:rFonts w:ascii="Times New Roman" w:eastAsia="Times New Roman" w:hAnsi="Times New Roman" w:cs="Times New Roman"/>
        </w:rPr>
        <w:instrText>ADDIN CSL_CITATION {"citationItems":[{"id":"ITEM-1","itemData":{"DOI":"http://dx.doi.org/10.15486/ngt/1582598","author":[{"dropping-particle":"","family":"Yaffar","given":"Daniela","non-dropping-particle":"","parse-names":false,"suffix":""}],"id":"ITEM-1","issued":{"date-parts":[["2020"]]},"publisher":"NGEE Tropics Data Collection. (dataset)","title":"Root production Minirhizotron analysis from the TRACE_PR plot in Sabana, Puerto Rico","type":"article"},"uris":["http://www.mendeley.com/documents/?uuid=c5b942dc-8b18-47a0-a537-c292d8ea58b2"]}],"mendeley":{"formattedCitation":"(Yaffar, 2020)","plainTextFormattedCitation":"(Yaffar, 2020)","previouslyFormattedCitation":"(Yaffar, 2020)"},"properties":{"noteIndex":0},"schema":"https://github.com/citation-style-language/schema/raw/master/csl-citation.json"}</w:instrText>
      </w:r>
      <w:r w:rsidR="0061706A" w:rsidRPr="00872293">
        <w:rPr>
          <w:rFonts w:ascii="Times New Roman" w:eastAsia="Times New Roman" w:hAnsi="Times New Roman" w:cs="Times New Roman"/>
        </w:rPr>
        <w:fldChar w:fldCharType="separate"/>
      </w:r>
      <w:r w:rsidR="0061706A" w:rsidRPr="00872293">
        <w:rPr>
          <w:rFonts w:ascii="Times New Roman" w:eastAsia="Times New Roman" w:hAnsi="Times New Roman" w:cs="Times New Roman"/>
          <w:noProof/>
        </w:rPr>
        <w:t>(Yaffar, 2020)</w:t>
      </w:r>
      <w:r w:rsidR="0061706A" w:rsidRPr="00872293">
        <w:rPr>
          <w:rFonts w:ascii="Times New Roman" w:eastAsia="Times New Roman" w:hAnsi="Times New Roman" w:cs="Times New Roman"/>
        </w:rPr>
        <w:fldChar w:fldCharType="end"/>
      </w:r>
      <w:r w:rsidR="0061706A" w:rsidRPr="00872293">
        <w:rPr>
          <w:rFonts w:ascii="Times New Roman" w:eastAsia="Times New Roman" w:hAnsi="Times New Roman" w:cs="Times New Roman"/>
        </w:rPr>
        <w:t>.</w:t>
      </w:r>
    </w:p>
    <w:p w14:paraId="67D4912B" w14:textId="77777777" w:rsidR="009607B5" w:rsidRPr="00872293" w:rsidRDefault="009607B5" w:rsidP="00916183">
      <w:pPr>
        <w:spacing w:line="360" w:lineRule="auto"/>
        <w:rPr>
          <w:rFonts w:ascii="Times New Roman" w:hAnsi="Times New Roman" w:cs="Times New Roman"/>
        </w:rPr>
      </w:pPr>
    </w:p>
    <w:p w14:paraId="60D1FADB" w14:textId="367EAFFA" w:rsidR="009607B5" w:rsidRPr="00872293" w:rsidRDefault="009607B5" w:rsidP="00916183">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We measured length and diameter of each root segment seen on the images. We used changes in root length and diameter to report root dynamics in this study. The appearance or growth in root length and diameter was considered root production. Root disappearance, without subsequent reappearance, was considered root mortality, as in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{"citationItems":[{"id":"ITEM-1","itemData":{"DOI":"10.1016/S0098-8472(01)00077-6","ISSN":"00988472","abstract":"Minirhizotrons provide a nondestructive, in situ method for directly viewing and studying fine roots. Although many insights into fine roots have been gained using minirhizotrons, a review of the literature indicates a wide variation in how minirhizotrons and minirhizotron data are used. Tube installation is critical, and steps must be taken to insure good soil/tube contact without compacting the soil. Ideally, soil adjacent to minirhizotrons will mimic bulk soil. Tube installation causes some degree of soil disturbance and has the potential to create artifacts in subsequent root data and analysis. We therefore recommend a waiting period between tube installation and image collection of 6-12 months to allow roots to recolonize the space around the tubes and to permit nutrients to return to pre-disturbance levels. To make repeated observations of individual roots for the purposes of quantifying their dynamic properties (e.g. root production, turnover or lifespan), tubes should be secured to prevent movement. The frequency of image collection depends upon the root parameters being measured or calculated and the time and resources available for collecting images and extracting data. However, long sampling intervals of 8 weeks or more can result in large underestimates of root dynamic properties because more fine roots will be born and die unobserved between sampling events. A sampling interval of 2 weeks or less reduces these underestimates to acceptable levels. While short sample intervals are desirable, they can lead to a potential trade-off between the number of minirhizotron tubes used and the number of frames analyzed per tube. Analyzing fewer frames per minirhizotron tube is one way to reduce costs with only minor effects on data variation. The quality of minirhizotron data should be assessed and reported; procedures for quantifying the quality of minirhizotron data are presented here. Root length is a more sensitive metric for dynamic root properties than the root number. To make minirhizotron data from separate experiments more easily comparable, idiosyncratic units should be avoided. Volumetric units compatible with aboveground plant measures make minirhizotron-based estimates of root standing crop, production and turnover more useful. Methods for calculating the volumetric root data are discussed and an example presented. Procedures for estimating fine root lifespan are discussed. © 2001 Elsevier Science B.V.","author":[{"dropping-particle":"","family":"Johnson","given":"M. G.","non-dropping-particle":"","parse-names":false,"suffix":""},{"dropping-particle":"","family":"Tingey","given":"D. T.","non-dropping-particle":"","parse-names":false,"suffix":""},{"dropping-particle":"","family":"Phillips","given":"D. L.","non-dropping-particle":"","parse-names":false,"suffix":""},{"dropping-particle":"","family":"Storm","given":"M. J.","non-dropping-particle":"","parse-names":false,"suffix":""}],"container-title":"Environmental and Experimental Botany","id":"ITEM-1","issue":"3","issued":{"date-parts":[["2001"]]},"page":"263-289","title":"Advancing fine root research with minirhizotrons","type":"article-journal","volume":"45"},"uris":["http://www.mendeley.com/documents/?uuid=ee64caae-5a6b-4885-b5a0-886d93e65c3a"]}],"mendeley":{"formattedCitation":"(Johnson &lt;i&gt;et al.&lt;/i&gt;, 2001)","manualFormatting":"Johnson et al. (2001)","plainTextFormattedCitation":"(Johnson et al., 2001)","previouslyFormattedCitation":"(Johnson &lt;i&gt;et al.&lt;/i&gt;, 2001)"},"properties":{"noteIndex":0},"schema":"https://github.com/citation-style-language/schema/raw/master/csl-citation.json"}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Johnson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(2001)</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w:t>
      </w:r>
      <w:r w:rsidR="00D40068"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We calculated root surface area using root length and diameter and applying the formula of the area of a cylinder. We calculated root biomass by using a correlation between root diameter and root mass per </w:t>
      </w:r>
      <w:r w:rsidRPr="00872293">
        <w:rPr>
          <w:rFonts w:ascii="Times New Roman" w:eastAsia="Times New Roman" w:hAnsi="Times New Roman" w:cs="Times New Roman"/>
        </w:rPr>
        <w:lastRenderedPageBreak/>
        <w:t xml:space="preserve">length (RML) from the soil core samples, as described by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{"citationItems":[{"id":"ITEM-1","itemData":{"DOI":"10.1111/j.1469-8137.2008.02516.x","ISSN":"0028646X","abstract":"• Greater fine-root production under elevated [CO2] may increase the input of carbon (C) and nitrogen (N) to the soil profile because fine root populations turn over quickly in forested ecosystems. • Here, the effect of elevated [CO2] was assessed on root biomass and N inputs at several soil depths by combining a long-term minirhizotron dataset with continuous, root-specific measurements of root mass and [N]. The experiment was conducted in a CO2-enriched sweetgum (Liquidambar styraciflua) plantation. • CO2 enrichment had no effect on root tissue density or [N] within a given diameter class. Root biomass production and standing crop were doubled under elevated [CO2]. Though fine-root turnover declined under elevated [CO2], fine-root mortality was also nearly doubled under CO2 enrichment. Over 9 yr, root mortality resulted in 681 g m-2 of extra C and 9 g m-2 of extra N input to the soil system under elevated [CO2]. At least half of these inputs were below 30 cm soil depth. • Increased C and N input to the soil under CO2 enrichment, especially below 30 cm depth, might alter soil C storage and N mineralization. Future research should focus on quantifying root decomposition dynamics and C and N mineralization deeper in the soil.","author":[{"dropping-particle":"","family":"Iversen","given":"Colleen M.","non-dropping-particle":"","parse-names":false,"suffix":""},{"dropping-particle":"","family":"Ledford","given":"Joanne","non-dropping-particle":"","parse-names":false,"suffix":""},{"dropping-particle":"","family":"Norby","given":"Richard J.","non-dropping-particle":"","parse-names":false,"suffix":""}],"container-title":"New Phytologist","id":"ITEM-1","issued":{"date-parts":[["2008"]]},"title":"CO2 enrichment increases carbon and nitrogen input from fine roots in a deciduous forest","type":"article-journal"},"uris":["http://www.mendeley.com/documents/?uuid=abed114f-1e53-472e-a4c5-d8ffc543622f"]}],"mendeley":{"formattedCitation":"(Iversen &lt;i&gt;et al.&lt;/i&gt;, 2008)","manualFormatting":"Iversen et al. (2008)","plainTextFormattedCitation":"(Iversen et al., 2008)","previouslyFormattedCitation":"(Iversen &lt;i&gt;et al.&lt;/i&gt;, 2008)"},"properties":{"noteIndex":0},"schema":"https://github.com/citation-style-language/schema/raw/master/csl-citation.json"}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Iversen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(2008)</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To calculate root biomass by soil surface area, we first calculated the volume of soil observed by adding a depth of field to every window. The depth of field was calibrated by comparing the root biomass of the first 10 cm of depth from the minirhizotron tubes with the root biomass of cores collected on the same dates, following the approach of</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{"citationItems":[{"id":"ITEM-1","itemData":{"DOI":"10.1002/pei3.10010","ISSN":"2575-6265","abstract":"• A common assumption in tropical ecology is that root systems respond rapidly to climatic cues but that most of that response is limited to the uppermost layer of the soil, with relatively limited changes in deeper layers. However, this assumption has not been tested directly, preventing models from accurately predicting the response of tropical forests to environmental change. • We measured seasonal dynamics of fine roots in an upper-slope plateau in Central Amazonia mature forest using minirhizotrons to 90 cm depth, which were cali- brated with fine roots extracted from soil cores. • Root productivity and mortality in surface soil layers were positively correlated with precipitation, whereas root standing length was greater during the dry pe- riods at the deeper layers. Contrary to historical assumptions, a large fraction of fine-root standing biomass (46%) and productivity (41%) was found in soil layers deeper than 30 cm. Furthermore, root turnover decreased linearly with soil depth. • Our findings demonstrate a relationship between fine-root dynamics and precipi- tation regimes in Central Amazonia. Our results also emphasize the importance of deeper roots for accurate estimates of primary productivity and the interaction between roots and carbon, water, and nutrients.","author":[{"dropping-particle":"","family":"Cordeiro","given":"Amanda L.","non-dropping-particle":"","parse-names":false,"suffix":""},{"dropping-particle":"","family":"Norby","given":"Richard J.","non-dropping-particle":"","parse-names":false,"suffix":""},{"dropping-particle":"","family":"Andersen","given":"Kelly M.","non-dropping-particle":"","parse-names":false,"suffix":""},{"dropping-particle":"","family":"Valverde‐Barrantes","given":"Oscar","non-dropping-particle":"","parse-names":false,"suffix":""},{"dropping-particle":"","family":"Fuchslueger","given":"Lucia","non-dropping-particle":"","parse-names":false,"suffix":""},{"dropping-particle":"","family":"Oblitas","given":"Erick","non-dropping-particle":"","parse-names":false,"suffix":""},{"dropping-particle":"","family":"Hartley","given":"Iain P.","non-dropping-particle":"","parse-names":false,"suffix":""},{"dropping-particle":"","family":"Iversen","given":"Colleen M.","non-dropping-particle":"","parse-names":false,"suffix":""},{"dropping-particle":"","family":"Gonçalves","given":"Nathan B.","non-dropping-particle":"","parse-names":false,"suffix":""},{"dropping-particle":"","family":"Takeshi","given":"Bruno","non-dropping-particle":"","parse-names":false,"suffix":""},{"dropping-particle":"","family":"Lapola","given":"David M.","non-dropping-particle":"","parse-names":false,"suffix":""},{"dropping-particle":"","family":"Quesada","given":"Carlos A.","non-dropping-particle":"","parse-names":false,"suffix":""}],"container-title":"Plant-Environment Interactions","id":"ITEM-1","issued":{"date-parts":[["2020"]]},"title":"Fine‐root dynamics vary with soil depth and precipitation in a low‐nutrient tropical forest in the Central Amazonia","type":"article-journal"},"uris":["http://www.mendeley.com/documents/?uuid=644185cd-7986-4e49-9185-7aa7e63039b0"]}],"mendeley":{"formattedCitation":"(Cordeiro &lt;i&gt;et al.&lt;/i&gt;, 2020)","manualFormatting":" Cordeiro et al. (2020)","plainTextFormattedCitation":"(Cordeiro et al., 2020)","previouslyFormattedCitation":"(Cordeiro &lt;i&gt;et al.&lt;/i&gt;,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 Cordeiro </w:t>
      </w:r>
      <w:r w:rsidRPr="00872293">
        <w:rPr>
          <w:rFonts w:ascii="Times New Roman" w:eastAsia="Times New Roman" w:hAnsi="Times New Roman" w:cs="Times New Roman"/>
          <w:i/>
          <w:iCs/>
          <w:noProof/>
        </w:rPr>
        <w:t>et al.</w:t>
      </w:r>
      <w:r w:rsidRPr="00872293">
        <w:rPr>
          <w:rFonts w:ascii="Times New Roman" w:eastAsia="Times New Roman" w:hAnsi="Times New Roman" w:cs="Times New Roman"/>
          <w:noProof/>
        </w:rPr>
        <w:t xml:space="preserve"> (2020)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Our depth of field was 1 mm, which is close to the 0.78 mm reported by</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{"citationItems":[{"id":"ITEM-1","itemData":{"DOI":"10.1890/0012-9615(2002)072[0311:TGBOR]2.0.CO;2","ISSN":"00129615","abstract":"Studies in global plant biogeography have almost exclusively analyzed relationships of abiotic and biotic factors with the distribution and structure of vegetation aboveground. The goal of this study was to extend such analyses to the belowground structure of vegetation by determining the biotic and abiotic factors that influence vertical root distributions in the soil, including soil, climate, and plant properties. The analysis used a database of vertical root profiles from the literature with 475 profiles from 209 geographic locations. Since most profiles were not sampled to the maximum rooting depth, several techniques were used to estimate the amount of roots at greater depths, to a maximum of 3 m in some systems. The accuracy of extrapolations was tested using a subset of deeply (&gt;2 m) sampled or completely sampled profiles. Vertical root distributions for each profile were characterized by the interpolated 50% and 95% rooting depths (the depths above which 50% or 95% of all roots were located). General linear models incorporating plant life-form dominance, climate, and soil variables explained as much as 50% of the variance in rooting depths for various biomes and life-forms. Annual potential evapotranspiration (PET) and precipitation together accounted for the largest proportion of the variance (12-16% globally and 38% in some systems). Mean 95% rooting depths increased with decreasing latitude from 80° to 30° but showed no clear trend in the tropics. Annual PET, annual precipitation, and length of the warm season were all positively correlated with rooting depths. Rooting depths in tropical vegetation were only weakly correlated with climatic variables but were strongly correlated with sampling depths, suggesting that even after extrapolation, sampling depths there were often insufficient to characterize root profiles. Globally, &gt;90% of all profiles had at least 50% of all roots in the upper 0.3 m of the soil profile (including organic horizons) and 95% of all roots in the upper 2 m. Deeper rooting depths were mainly found in water-limited ecosystems. Deeper 95% rooting depths were also found for shrublands compared to grasslands, in sandy soils vs. clay or loam soils, and in systems with relatively shallow organic horizons compared with deeper organic horizons.","author":[{"dropping-particle":"","family":"Schenk","given":"H. Jochen","non-dropping-particle":"","parse-names":false,"suffix":""},{"dropping-particle":"","family":"Jackson","given":"Robert B.","non-dropping-particle":"","parse-names":false,"suffix":""}],"container-title":"Ecological Monographs","id":"ITEM-1","issue":"3","issued":{"date-parts":[["2002"]]},"page":"311-328","title":"The global biogeography of roots","type":"article-journal","volume":"72"},"uris":["http://www.mendeley.com/documents/?uuid=a52f5df8-4f49-4c73-81eb-14f9a0314e8c"]}],"mendeley":{"formattedCitation":"(Schenk &amp; Jackson, 2002)","manualFormatting":" ","plainTextFormattedCitation":"(Schenk &amp; Jackson, 2002)","previouslyFormattedCitation":"(Schenk &amp; Jackson, 2002)"},"properties":{"noteIndex":0},"schema":"https://github.com/citation-style-language/schema/raw/master/csl-citation.json"}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sidDel="00263EE7">
        <w:rPr>
          <w:rFonts w:ascii="Times New Roman" w:eastAsia="Times New Roman" w:hAnsi="Times New Roman" w:cs="Times New Roman"/>
          <w:noProof/>
        </w:rPr>
        <w:t xml:space="preserve"> </w:t>
      </w:r>
      <w:r w:rsidR="00CE76B7" w:rsidRPr="00872293">
        <w:rPr>
          <w:rFonts w:ascii="Times New Roman" w:eastAsia="Times New Roman" w:hAnsi="Times New Roman" w:cs="Times New Roman"/>
        </w:rPr>
        <w:fldChar w:fldCharType="end"/>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{"citationItems":[{"id":"ITEM-1","itemData":{"DOI":"10.1007/s11104-013-1930-7","ISSN":"0032079X","abstract":"Background and aims: Accurate data on the standing crop, production, and turnover of fine roots is essential to our understanding of major terrestrial ecological processes. Minirhizotrons offer a unique opportunity to study the dynamic processes of root systems, but are susceptible to several measurement biases. Methods: We use roots extracted from minirhizotron tube surfaces to calculate the depth of field of a minirhizotron image and present a model to correct for the underestimation of root diameters obscured by soil in minirhizotron images. Results: Non-linear regression analysis resulted in an estimated depth of field of 0.78 mm for minirhizotron images. Unadjusted minirhizotron data underestimated root net primary production and fine root standing crop by 61 % when compared to adjusted data using our depth of field and root diameter corrections. Changes in depth of field accounted for &gt;99 % of standing crop adjustments with root diameter corrections accounting for &lt;1 %. Conclusions: Our results represent the first effort to empirically derive depth of field for minirhizotron images. This work may explain the commonly reported underestimation of fine roots using minirhizotrons, and stands to improve the ability of researchers to accurately scale minirhizotron data to large soil volumes. © 2013 Springer Science+Business Media Dordrecht.","author":[{"dropping-particle":"","family":"Taylor","given":"Benton N.","non-dropping-particle":"","parse-names":false,"suffix":""},{"dropping-particle":"V.","family":"Beidler","given":"Katilyn","non-dropping-particle":"","parse-names":false,"suffix":""},{"dropping-particle":"","family":"Strand","given":"Allan E.","non-dropping-particle":"","parse-names":false,"suffix":""},{"dropping-particle":"","family":"Pritchard","given":"Seth G.","non-dropping-particle":"","parse-names":false,"suffix":""}],"container-title":"Plant and Soil","id":"ITEM-1","issued":{"date-parts":[["2014"]]},"title":"Improved scaling of minirhizotron data using an empirically-derived depth of field and correcting for the underestimation of root diameters","type":"article-journal"},"uris":["http://www.mendeley.com/documents/?uuid=271bff16-92bb-4ca1-a8a4-40f04a24541f"]}],"mendeley":{"formattedCitation":"(Taylor &lt;i&gt;et al.&lt;/i&gt;, 2014)","manualFormatting":"Taylor et al. (2014)","plainTextFormattedCitation":"(Taylor et al., 2014)","previouslyFormattedCitation":"(Taylor &lt;i&gt;et al.&lt;/i&gt;, 2014)"},"properties":{"noteIndex":0},"schema":"https://github.com/citation-style-language/schema/raw/master/csl-citation.json"}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Taylor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(2014)</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Finally, we calculated root turnover by dividing annual root production by the mean standing stock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{"citationItems":[{"id":"ITEM-1","itemData":{"DOI":"10.1007/BF00378292","ISSN":"00298549","abstract":"Two methods of estimating fine root production and turnover are compared for 13 forest ecosystems exhibiting a wide range in form (NH₄⁺ vs. NO₃⁻) and quantity of available nitrogen. The two methods are by comparison of seasonal maxima and minima in biomess and by nitrogen budgeting. Both methods give similar results for stands with low rates of nitrification. The budgeting method predicts higher fine root turnover and productivity than the max-min method for systems with significant rates of nitrification.","author":[{"dropping-particle":"","family":"Aber","given":"John D.","non-dropping-particle":"","parse-names":false,"suffix":""},{"dropping-particle":"","family":"Melillo","given":"Jerry M.","non-dropping-particle":"","parse-names":false,"suffix":""},{"dropping-particle":"","family":"Nadelhoffer","given":"Knute J.","non-dropping-particle":"","parse-names":false,"suffix":""},{"dropping-particle":"","family":"McClaugherty","given":"Charles A.","non-dropping-particle":"","parse-names":false,"suffix":""},{"dropping-particle":"","family":"Pastor","given":"John","non-dropping-particle":"","parse-names":false,"suffix":""}],"container-title":"Oecologia","id":"ITEM-1","issue":"3","issued":{"date-parts":[["1985"]]},"page":"317-321","title":"Fine root turnover in forest ecosystems in relation to quantity and form of nitrogen availability: a comparison of two methods","type":"article-journal","volume":"66"},"uris":["http://www.mendeley.com/documents/?uuid=b9f4a620-80e0-4407-bcd7-2b7ba77a774c"]},{"id":"ITEM-2","itemData":{"DOI":"10.1007/BF00002935","ISSN":"01682563","abstract":"Root production and turnover were studied using sequential core sampling and observations in permanent minirhizotrons in the field in three dry heathland stands dominated by the evergreen dwarfshrub Calluna vulgaris and the grasses Deschampsia flexuosa and Molinia caerulea, respectively. Root biomass production, estimated by core sampling, amounted to 160 (Calluna), 180 (Deschampsia) and 1380 (Molinia) g textm^-2 textyr^-1, respectively. Root biomass turnover rate in Calluna (0.64 textyr^-1) was lower compared with the grasses (Deschampsia: 0.96 textyr^-1; Molinia 1.68 textyr^-1). Root length turnover rate was 0.75-0.77 textyr^-1 (Deschampsia) and 1.17-1.49 textyr^-1 (Molinia), respectively. No resorption of N and P from senescing roots was observed in either species. Input of organic N into the soil due to root turnover, estimated using the core sampling data, amounted to 1.8 g N textm^-2 textyr^-1 (Calluna), 1.7 g N textm^-2 textyr^-1 (Deschampsia) and 19.7 g N textm^-2 textyr^-1 (Molinia), respectively. The organic P input was 0.05, 0.07 and 0.55 g P textm^-2 textyr^-1, respectively. Using the minirhizotron turnover estimates these values were 20-22% (Deschampsia) and 11-30% (Molinia) lower. When the biomass turnover data were used, it appeared that in the Molinia stand root turnover contributed 67% to total litter production, 87% to total litter nitrogen loss and 84% to total litter phosphorus loss. For Calluna and Deschampsia these percentages were about three and two times lower, respectively. This study shows that (1) Root turnover is a key factor in ecosystem C, N, and P cycling; and that (2) The relative importance of root turnover differs between species.","author":[{"dropping-particle":"","family":"Aerts","given":"R.","non-dropping-particle":"","parse-names":false,"suffix":""},{"dropping-particle":"","family":"Bakker","given":"C.","non-dropping-particle":"","parse-names":false,"suffix":""},{"dropping-particle":"","family":"Caluwe","given":"H.","non-dropping-particle":"De","parse-names":false,"suffix":""}],"container-title":"Biogeochemistry","id":"ITEM-2","issue":"3","issued":{"date-parts":[["1992"]]},"page":"175-190","title":"Root turnover as determinant of the cycling of C, N, and P in a dry heathland ecosystem","type":"article-journal","volume":"15"},"uris":["http://www.mendeley.com/documents/?uuid=9aca8da9-711a-40e9-a3d8-cafac1372af7"]}],"mendeley":{"formattedCitation":"(Aber &lt;i&gt;et al.&lt;/i&gt;, 1985; Aerts &lt;i&gt;et al.&lt;/i&gt;, 1992)","plainTextFormattedCitation":"(Aber et al., 1985; Aerts et al., 1992)","previouslyFormattedCitation":"(Aber &lt;i&gt;et al.&lt;/i&gt;, 1985; Aerts &lt;i&gt;et al.&lt;/i&gt;, 1992)"},"properties":{"noteIndex":0},"schema":"https://github.com/citation-style-language/schema/raw/master/csl-citation.json"}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(Aber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xml:space="preserve">, 1985; Aerts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1992)</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sdt>
        <w:sdtPr>
          <w:rPr>
            <w:rFonts w:ascii="Times New Roman" w:hAnsi="Times New Roman" w:cs="Times New Roman"/>
          </w:rPr>
          <w:tag w:val="goog_rdk_9"/>
          <w:id w:val="1208302492"/>
        </w:sdtPr>
        <w:sdtContent/>
      </w:sdt>
      <w:r w:rsidRPr="00872293">
        <w:rPr>
          <w:rFonts w:ascii="Times New Roman" w:eastAsia="Times New Roman" w:hAnsi="Times New Roman" w:cs="Times New Roman"/>
        </w:rPr>
        <w:t xml:space="preserve">from the 7 months before the hurricane and </w:t>
      </w:r>
      <w:sdt>
        <w:sdtPr>
          <w:rPr>
            <w:rFonts w:ascii="Times New Roman" w:hAnsi="Times New Roman" w:cs="Times New Roman"/>
          </w:rPr>
          <w:tag w:val="goog_rdk_10"/>
          <w:id w:val="762579502"/>
        </w:sdtPr>
        <w:sdtContent/>
      </w:sdt>
      <w:r w:rsidRPr="00872293">
        <w:rPr>
          <w:rFonts w:ascii="Times New Roman" w:eastAsia="Times New Roman" w:hAnsi="Times New Roman" w:cs="Times New Roman"/>
        </w:rPr>
        <w:t>10 months after. We separated roots by their diameter class (&lt; 1 mm, 1-2 mm, &gt; 2 mm), and more than 90% of roots had a diameter of less than 2 mm. We performed the analysis considering all root diameters for before and after the hurricanes. A second analysis after the hurricanes focused just on roots &gt;2mm diameter to distinguish woody roots from herbaceous roots, following</w:t>
      </w:r>
      <w:r w:rsidR="006558F1" w:rsidRPr="00872293">
        <w:rPr>
          <w:rFonts w:ascii="Times New Roman" w:eastAsia="Times New Roman" w:hAnsi="Times New Roman" w:cs="Times New Roman"/>
        </w:rPr>
        <w:t xml:space="preserve"> </w:t>
      </w:r>
      <w:r w:rsidR="006558F1" w:rsidRPr="00872293">
        <w:rPr>
          <w:rFonts w:ascii="Times New Roman" w:eastAsia="Times New Roman" w:hAnsi="Times New Roman" w:cs="Times New Roman"/>
        </w:rPr>
        <w:fldChar w:fldCharType="begin" w:fldLock="1"/>
      </w:r>
      <w:r w:rsidR="00203259" w:rsidRPr="00872293">
        <w:rPr>
          <w:rFonts w:ascii="Times New Roman" w:eastAsia="Times New Roman" w:hAnsi="Times New Roman" w:cs="Times New Roman"/>
        </w:rPr>
        <w:instrText>ADDIN CSL_CITATION {"citationItems":[{"id":"ITEM-1","itemData":{"DOI":"10.1038/nature25783","ISSN":"14764687","abstract":"Plant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family":"Lu","given":"Mingzhen","non-dropping-partic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O.","non-dropping-particle":"","parse-names":false,"suffix":""}],"container-title":"Nature","id":"ITEM-1","issued":{"date-parts":[["2018"]]},"title":"Evolutionary history resolves global organization of root functional traits","type":"article-journal"},"uris":["http://www.mendeley.com/documents/?uuid=1817280e-1c00-44ab-85ba-ffe80bef79e0"]}],"mendeley":{"formattedCitation":"(Ma &lt;i&gt;et al.&lt;/i&gt;, 2018)","manualFormatting":"Ma et al. (2018)","plainTextFormattedCitation":"(Ma et al., 2018)","previouslyFormattedCitation":"(Ma &lt;i&gt;et al.&lt;/i&gt;, 2018)"},"properties":{"noteIndex":0},"schema":"https://github.com/citation-style-language/schema/raw/master/csl-citation.json"}</w:instrText>
      </w:r>
      <w:r w:rsidR="006558F1" w:rsidRPr="00872293">
        <w:rPr>
          <w:rFonts w:ascii="Times New Roman" w:eastAsia="Times New Roman" w:hAnsi="Times New Roman" w:cs="Times New Roman"/>
        </w:rPr>
        <w:fldChar w:fldCharType="separate"/>
      </w:r>
      <w:r w:rsidR="006558F1" w:rsidRPr="00872293">
        <w:rPr>
          <w:rFonts w:ascii="Times New Roman" w:eastAsia="Times New Roman" w:hAnsi="Times New Roman" w:cs="Times New Roman"/>
          <w:noProof/>
        </w:rPr>
        <w:t xml:space="preserve">Ma </w:t>
      </w:r>
      <w:r w:rsidR="006558F1" w:rsidRPr="00872293">
        <w:rPr>
          <w:rFonts w:ascii="Times New Roman" w:eastAsia="Times New Roman" w:hAnsi="Times New Roman" w:cs="Times New Roman"/>
          <w:i/>
          <w:noProof/>
        </w:rPr>
        <w:t>et al.</w:t>
      </w:r>
      <w:r w:rsidR="006558F1" w:rsidRPr="00872293">
        <w:rPr>
          <w:rFonts w:ascii="Times New Roman" w:eastAsia="Times New Roman" w:hAnsi="Times New Roman" w:cs="Times New Roman"/>
          <w:noProof/>
        </w:rPr>
        <w:t xml:space="preserve"> (2018)</w:t>
      </w:r>
      <w:r w:rsidR="006558F1" w:rsidRPr="00872293">
        <w:rPr>
          <w:rFonts w:ascii="Times New Roman" w:eastAsia="Times New Roman" w:hAnsi="Times New Roman" w:cs="Times New Roman"/>
        </w:rPr>
        <w:fldChar w:fldCharType="end"/>
      </w:r>
      <w:r w:rsidR="006558F1" w:rsidRPr="00872293">
        <w:rPr>
          <w:rFonts w:ascii="Times New Roman" w:eastAsia="Times New Roman" w:hAnsi="Times New Roman" w:cs="Times New Roman"/>
        </w:rPr>
        <w:t>.</w:t>
      </w:r>
      <w:r w:rsidR="0061706A" w:rsidRPr="00872293">
        <w:rPr>
          <w:rFonts w:ascii="Times New Roman" w:eastAsia="Times New Roman" w:hAnsi="Times New Roman" w:cs="Times New Roman"/>
        </w:rPr>
        <w:t xml:space="preserve"> </w:t>
      </w:r>
    </w:p>
    <w:p w14:paraId="7F2F4C77" w14:textId="77777777" w:rsidR="008C4D69" w:rsidRPr="00872293" w:rsidRDefault="008C4D69" w:rsidP="00916183">
      <w:pPr>
        <w:spacing w:line="360" w:lineRule="auto"/>
        <w:rPr>
          <w:rFonts w:ascii="Times New Roman" w:eastAsia="Times New Roman" w:hAnsi="Times New Roman" w:cs="Times New Roman"/>
          <w:b/>
        </w:rPr>
      </w:pPr>
    </w:p>
    <w:p w14:paraId="54956CB6" w14:textId="3AE50933" w:rsidR="00616ED1" w:rsidRPr="00872293" w:rsidRDefault="00616ED1" w:rsidP="00916183">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Soil cores (5 cm diameter and 10 cm depth) were collected using a PVC core. We manually picked all </w:t>
      </w:r>
      <w:r w:rsidR="008F6492" w:rsidRPr="00872293">
        <w:rPr>
          <w:rFonts w:ascii="Times New Roman" w:eastAsia="Times New Roman" w:hAnsi="Times New Roman" w:cs="Times New Roman"/>
        </w:rPr>
        <w:t xml:space="preserve">visible roots from each core after sorting the soil samples </w:t>
      </w:r>
      <w:proofErr w:type="gramStart"/>
      <w:r w:rsidR="008F6492" w:rsidRPr="00872293">
        <w:rPr>
          <w:rFonts w:ascii="Times New Roman" w:eastAsia="Times New Roman" w:hAnsi="Times New Roman" w:cs="Times New Roman"/>
        </w:rPr>
        <w:t>twice</w:t>
      </w:r>
      <w:r w:rsidRPr="00872293">
        <w:rPr>
          <w:rFonts w:ascii="Times New Roman" w:eastAsia="Times New Roman" w:hAnsi="Times New Roman" w:cs="Times New Roman"/>
        </w:rPr>
        <w:t>,</w:t>
      </w:r>
      <w:r w:rsidR="008F6492" w:rsidRPr="00872293">
        <w:rPr>
          <w:rFonts w:ascii="Times New Roman" w:eastAsia="Times New Roman" w:hAnsi="Times New Roman" w:cs="Times New Roman"/>
        </w:rPr>
        <w:t xml:space="preserve"> and</w:t>
      </w:r>
      <w:proofErr w:type="gramEnd"/>
      <w:r w:rsidRPr="00872293">
        <w:rPr>
          <w:rFonts w:ascii="Times New Roman" w:eastAsia="Times New Roman" w:hAnsi="Times New Roman" w:cs="Times New Roman"/>
        </w:rPr>
        <w:t xml:space="preserve"> separated them into coarse (&gt; 2 mm in diameter) and fine (</w:t>
      </w:r>
      <w:r w:rsidRPr="00872293">
        <w:rPr>
          <w:rFonts w:ascii="Times New Roman" w:eastAsia="Times New Roman" w:hAnsi="Times New Roman" w:cs="Times New Roman"/>
          <w:u w:val="single"/>
        </w:rPr>
        <w:t xml:space="preserve">&lt; </w:t>
      </w:r>
      <w:r w:rsidRPr="00872293">
        <w:rPr>
          <w:rFonts w:ascii="Times New Roman" w:eastAsia="Times New Roman" w:hAnsi="Times New Roman" w:cs="Times New Roman"/>
        </w:rPr>
        <w:t xml:space="preserve">2 mm in diameter), live and dead, and cleaned gently with distilled water. We then scanned live fine roots using the </w:t>
      </w:r>
      <w:proofErr w:type="spellStart"/>
      <w:r w:rsidRPr="00872293">
        <w:rPr>
          <w:rFonts w:ascii="Times New Roman" w:eastAsia="Times New Roman" w:hAnsi="Times New Roman" w:cs="Times New Roman"/>
        </w:rPr>
        <w:t>WinRHIZO</w:t>
      </w:r>
      <w:proofErr w:type="spellEnd"/>
      <w:r w:rsidRPr="00872293">
        <w:rPr>
          <w:rFonts w:ascii="Times New Roman" w:eastAsia="Times New Roman" w:hAnsi="Times New Roman" w:cs="Times New Roman"/>
        </w:rPr>
        <w:t xml:space="preserve"> root-scanning software program (Regent Instruments, Inc., Québec, Canada) to measure total root length, average root diameter, </w:t>
      </w:r>
      <w:proofErr w:type="gramStart"/>
      <w:r w:rsidRPr="00872293">
        <w:rPr>
          <w:rFonts w:ascii="Times New Roman" w:eastAsia="Times New Roman" w:hAnsi="Times New Roman" w:cs="Times New Roman"/>
        </w:rPr>
        <w:t>volume</w:t>
      </w:r>
      <w:proofErr w:type="gramEnd"/>
      <w:r w:rsidRPr="00872293">
        <w:rPr>
          <w:rFonts w:ascii="Times New Roman" w:eastAsia="Times New Roman" w:hAnsi="Times New Roman" w:cs="Times New Roman"/>
        </w:rPr>
        <w:t xml:space="preserve"> and root surface area. All roots were oven dried by diameter class at 65 °C for at least 48 h and then weighed to obtain root biomass and calculate root biomass per volume. These data plus data from additional 30 individual roots that were collected from outside the plots (to increase sample size), that were also scanned, dried, and weighed were used to determine root mass per unit length (RML, mg cm</w:t>
      </w:r>
      <w:r w:rsidRPr="00872293">
        <w:rPr>
          <w:rFonts w:ascii="Times New Roman" w:eastAsia="Times New Roman" w:hAnsi="Times New Roman" w:cs="Times New Roman"/>
          <w:vertAlign w:val="superscript"/>
        </w:rPr>
        <w:t>–1</w:t>
      </w:r>
      <w:r w:rsidRPr="00872293">
        <w:rPr>
          <w:rFonts w:ascii="Times New Roman" w:eastAsia="Times New Roman" w:hAnsi="Times New Roman" w:cs="Times New Roman"/>
        </w:rPr>
        <w:t xml:space="preserve">) before and after the hurricanes, and then used to calculate root biomass of minirhizotron measurements from root length and diameter. Measurements of soil </w:t>
      </w:r>
      <w:r w:rsidR="00B03E3E" w:rsidRPr="00872293">
        <w:rPr>
          <w:rFonts w:ascii="Times New Roman" w:eastAsia="Times New Roman" w:hAnsi="Times New Roman" w:cs="Times New Roman"/>
        </w:rPr>
        <w:t>Bray-</w:t>
      </w:r>
      <w:r w:rsidRPr="00872293">
        <w:rPr>
          <w:rFonts w:ascii="Times New Roman" w:eastAsia="Times New Roman" w:hAnsi="Times New Roman" w:cs="Times New Roman"/>
        </w:rPr>
        <w:t xml:space="preserve">extractable </w:t>
      </w:r>
      <w:r w:rsidR="00B03E3E" w:rsidRPr="00872293">
        <w:rPr>
          <w:rFonts w:ascii="Times New Roman" w:eastAsia="Times New Roman" w:hAnsi="Times New Roman" w:cs="Times New Roman"/>
        </w:rPr>
        <w:t>phosphate (</w:t>
      </w:r>
      <w:r w:rsidRPr="00872293">
        <w:rPr>
          <w:rFonts w:ascii="Times New Roman" w:hAnsi="Times New Roman" w:cs="Times New Roman"/>
        </w:rPr>
        <w:t>PO</w:t>
      </w:r>
      <w:r w:rsidRPr="00872293">
        <w:rPr>
          <w:rFonts w:ascii="Times New Roman" w:hAnsi="Times New Roman" w:cs="Times New Roman"/>
          <w:vertAlign w:val="subscript"/>
        </w:rPr>
        <w:t>4</w:t>
      </w:r>
      <w:r w:rsidRPr="00872293">
        <w:rPr>
          <w:rFonts w:ascii="Times New Roman" w:hAnsi="Times New Roman" w:cs="Times New Roman"/>
          <w:vertAlign w:val="superscript"/>
        </w:rPr>
        <w:t>3-</w:t>
      </w:r>
      <w:r w:rsidR="00B03E3E" w:rsidRPr="00872293">
        <w:rPr>
          <w:rFonts w:ascii="Times New Roman" w:eastAsia="Times New Roman" w:hAnsi="Times New Roman" w:cs="Times New Roman"/>
        </w:rPr>
        <w:t xml:space="preserve">), KCL-extractable </w:t>
      </w:r>
      <w:r w:rsidR="0085091F" w:rsidRPr="00872293">
        <w:rPr>
          <w:rFonts w:ascii="Times New Roman" w:eastAsia="Times New Roman" w:hAnsi="Times New Roman" w:cs="Times New Roman"/>
        </w:rPr>
        <w:t xml:space="preserve">inorganic nitrogen (N; </w:t>
      </w:r>
      <w:r w:rsidR="00B77F2D" w:rsidRPr="00872293">
        <w:rPr>
          <w:rFonts w:ascii="Times New Roman" w:eastAsia="Times New Roman" w:hAnsi="Times New Roman" w:cs="Times New Roman"/>
        </w:rPr>
        <w:t>ammonium</w:t>
      </w:r>
      <w:r w:rsidR="0085091F" w:rsidRPr="00872293">
        <w:rPr>
          <w:rFonts w:ascii="Times New Roman" w:eastAsia="Times New Roman" w:hAnsi="Times New Roman" w:cs="Times New Roman"/>
        </w:rPr>
        <w:t xml:space="preserve">: </w:t>
      </w:r>
      <w:r w:rsidRPr="00872293">
        <w:rPr>
          <w:rFonts w:ascii="Times New Roman" w:hAnsi="Times New Roman" w:cs="Times New Roman"/>
        </w:rPr>
        <w:t>NH</w:t>
      </w:r>
      <w:r w:rsidRPr="00872293">
        <w:rPr>
          <w:rFonts w:ascii="Times New Roman" w:hAnsi="Times New Roman" w:cs="Times New Roman"/>
          <w:vertAlign w:val="subscript"/>
        </w:rPr>
        <w:t>4</w:t>
      </w:r>
      <w:r w:rsidRPr="00872293">
        <w:rPr>
          <w:rFonts w:ascii="Times New Roman" w:hAnsi="Times New Roman" w:cs="Times New Roman"/>
          <w:vertAlign w:val="superscript"/>
        </w:rPr>
        <w:t>+</w:t>
      </w:r>
      <w:r w:rsidR="0085091F" w:rsidRPr="00872293">
        <w:rPr>
          <w:rFonts w:ascii="Times New Roman" w:eastAsia="Times New Roman" w:hAnsi="Times New Roman" w:cs="Times New Roman"/>
        </w:rPr>
        <w:t xml:space="preserve">, </w:t>
      </w:r>
      <w:r w:rsidR="00B77F2D" w:rsidRPr="00872293">
        <w:rPr>
          <w:rFonts w:ascii="Times New Roman" w:eastAsia="Times New Roman" w:hAnsi="Times New Roman" w:cs="Times New Roman"/>
        </w:rPr>
        <w:t>and nitrate</w:t>
      </w:r>
      <w:r w:rsidR="0085091F" w:rsidRPr="00872293">
        <w:rPr>
          <w:rFonts w:ascii="Times New Roman" w:eastAsia="Times New Roman" w:hAnsi="Times New Roman" w:cs="Times New Roman"/>
        </w:rPr>
        <w:t xml:space="preserve">: </w:t>
      </w:r>
      <w:r w:rsidRPr="00872293">
        <w:rPr>
          <w:rFonts w:ascii="Times New Roman" w:hAnsi="Times New Roman" w:cs="Times New Roman"/>
        </w:rPr>
        <w:t>NO</w:t>
      </w:r>
      <w:r w:rsidRPr="00872293">
        <w:rPr>
          <w:rFonts w:ascii="Times New Roman" w:hAnsi="Times New Roman" w:cs="Times New Roman"/>
          <w:vertAlign w:val="subscript"/>
        </w:rPr>
        <w:t>3</w:t>
      </w:r>
      <w:r w:rsidRPr="00872293">
        <w:rPr>
          <w:rFonts w:ascii="Times New Roman" w:hAnsi="Times New Roman" w:cs="Times New Roman"/>
          <w:vertAlign w:val="superscript"/>
        </w:rPr>
        <w:t>-</w:t>
      </w:r>
      <w:r w:rsidR="00B77F2D" w:rsidRPr="00872293">
        <w:rPr>
          <w:rFonts w:ascii="Times New Roman" w:eastAsia="Times New Roman" w:hAnsi="Times New Roman" w:cs="Times New Roman"/>
        </w:rPr>
        <w:t>),</w:t>
      </w:r>
      <w:r w:rsidRPr="00872293">
        <w:rPr>
          <w:rFonts w:ascii="Times New Roman" w:eastAsia="Times New Roman" w:hAnsi="Times New Roman" w:cs="Times New Roman"/>
        </w:rPr>
        <w:t xml:space="preserve"> total dissolved carbon </w:t>
      </w:r>
      <w:r w:rsidR="00871192" w:rsidRPr="00872293">
        <w:rPr>
          <w:rFonts w:ascii="Times New Roman" w:eastAsia="Times New Roman" w:hAnsi="Times New Roman" w:cs="Times New Roman"/>
        </w:rPr>
        <w:t xml:space="preserve">(C) </w:t>
      </w:r>
      <w:r w:rsidRPr="00872293">
        <w:rPr>
          <w:rFonts w:ascii="Times New Roman" w:eastAsia="Times New Roman" w:hAnsi="Times New Roman" w:cs="Times New Roman"/>
        </w:rPr>
        <w:t xml:space="preserve">and </w:t>
      </w:r>
      <w:r w:rsidR="00871192" w:rsidRPr="00872293">
        <w:rPr>
          <w:rFonts w:ascii="Times New Roman" w:eastAsia="Times New Roman" w:hAnsi="Times New Roman" w:cs="Times New Roman"/>
        </w:rPr>
        <w:t>N</w:t>
      </w:r>
      <w:r w:rsidRPr="00872293">
        <w:rPr>
          <w:rFonts w:ascii="Times New Roman" w:eastAsia="Times New Roman" w:hAnsi="Times New Roman" w:cs="Times New Roman"/>
        </w:rPr>
        <w:t xml:space="preserve">, and microbial biomass </w:t>
      </w:r>
      <w:r w:rsidR="00871192" w:rsidRPr="00872293">
        <w:rPr>
          <w:rFonts w:ascii="Times New Roman" w:eastAsia="Times New Roman" w:hAnsi="Times New Roman" w:cs="Times New Roman"/>
        </w:rPr>
        <w:t>N</w:t>
      </w:r>
      <w:r w:rsidRPr="00872293">
        <w:rPr>
          <w:rFonts w:ascii="Times New Roman" w:eastAsia="Times New Roman" w:hAnsi="Times New Roman" w:cs="Times New Roman"/>
        </w:rPr>
        <w:t>, phosphorus</w:t>
      </w:r>
      <w:r w:rsidR="00871192" w:rsidRPr="00872293">
        <w:rPr>
          <w:rFonts w:ascii="Times New Roman" w:eastAsia="Times New Roman" w:hAnsi="Times New Roman" w:cs="Times New Roman"/>
        </w:rPr>
        <w:t xml:space="preserve"> (P)</w:t>
      </w:r>
      <w:r w:rsidRPr="00872293">
        <w:rPr>
          <w:rFonts w:ascii="Times New Roman" w:eastAsia="Times New Roman" w:hAnsi="Times New Roman" w:cs="Times New Roman"/>
        </w:rPr>
        <w:t xml:space="preserve">, and </w:t>
      </w:r>
      <w:r w:rsidR="00871192" w:rsidRPr="00872293">
        <w:rPr>
          <w:rFonts w:ascii="Times New Roman" w:eastAsia="Times New Roman" w:hAnsi="Times New Roman" w:cs="Times New Roman"/>
        </w:rPr>
        <w:t xml:space="preserve">C </w:t>
      </w:r>
      <w:r w:rsidRPr="00872293">
        <w:rPr>
          <w:rFonts w:ascii="Times New Roman" w:eastAsia="Times New Roman" w:hAnsi="Times New Roman" w:cs="Times New Roman"/>
        </w:rPr>
        <w:t xml:space="preserve">concentrations in these cores are described by </w:t>
      </w:r>
      <w:r w:rsidR="00CE76B7" w:rsidRPr="00872293">
        <w:rPr>
          <w:rFonts w:ascii="Times New Roman" w:eastAsia="Times New Roman" w:hAnsi="Times New Roman" w:cs="Times New Roman"/>
        </w:rPr>
        <w:fldChar w:fldCharType="begin" w:fldLock="1"/>
      </w:r>
      <w:r w:rsidR="00D46643" w:rsidRPr="00872293">
        <w:rPr>
          <w:rFonts w:ascii="Times New Roman" w:eastAsia="Times New Roman" w:hAnsi="Times New Roman" w:cs="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2020)","manualFormatting":"Reed et al. (2020)","plainTextFormattedCitation":"(Reed et al., 2020)","previouslyFormattedCitation":"(Reed &lt;i&gt;et al.&lt;/i&gt;, 2020)"},"properties":{"noteIndex":0},"schema":"https://github.com/citation-style-language/schema/raw/master/csl-citation.json"}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Reed </w:t>
      </w:r>
      <w:r w:rsidRPr="00872293">
        <w:rPr>
          <w:rFonts w:ascii="Times New Roman" w:eastAsia="Times New Roman" w:hAnsi="Times New Roman" w:cs="Times New Roman"/>
          <w:i/>
          <w:noProof/>
        </w:rPr>
        <w:t xml:space="preserve">et al. </w:t>
      </w:r>
      <w:r w:rsidRPr="00872293">
        <w:rPr>
          <w:rFonts w:ascii="Times New Roman" w:eastAsia="Times New Roman" w:hAnsi="Times New Roman" w:cs="Times New Roman"/>
          <w:noProof/>
        </w:rPr>
        <w:t>(2020)</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w:t>
      </w:r>
    </w:p>
    <w:p w14:paraId="03786926" w14:textId="77777777" w:rsidR="00972981" w:rsidRPr="00872293" w:rsidRDefault="00972981" w:rsidP="00916183">
      <w:pPr>
        <w:spacing w:line="360" w:lineRule="auto"/>
        <w:rPr>
          <w:rFonts w:ascii="Times New Roman" w:eastAsia="Times New Roman" w:hAnsi="Times New Roman" w:cs="Times New Roman"/>
        </w:rPr>
      </w:pPr>
    </w:p>
    <w:p w14:paraId="3D6680EA" w14:textId="32EBD8A9" w:rsidR="00972981" w:rsidRPr="00872293" w:rsidRDefault="00972981" w:rsidP="00156F5E">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Root in-growth cores were made using a </w:t>
      </w:r>
      <w:r w:rsidRPr="00872293">
        <w:rPr>
          <w:rFonts w:ascii="Times New Roman" w:hAnsi="Times New Roman" w:cs="Times New Roman"/>
        </w:rPr>
        <w:t xml:space="preserve">rigid </w:t>
      </w:r>
      <w:r w:rsidRPr="00872293">
        <w:rPr>
          <w:rFonts w:ascii="Times New Roman" w:eastAsia="Times New Roman" w:hAnsi="Times New Roman" w:cs="Times New Roman"/>
        </w:rPr>
        <w:t xml:space="preserve">mesh of polypropylene and had a 5.5 cm inner diameter and 14 cm length (5 mm × 3 mm hole size). The in-growth cores were filled with </w:t>
      </w:r>
      <w:r w:rsidRPr="00872293">
        <w:rPr>
          <w:rFonts w:ascii="Times New Roman" w:eastAsia="Times New Roman" w:hAnsi="Times New Roman" w:cs="Times New Roman"/>
        </w:rPr>
        <w:lastRenderedPageBreak/>
        <w:t xml:space="preserve">homogenized, root-free soil that was collected adjacent to the plots. In-growth cores were first placed in the plots in </w:t>
      </w:r>
      <w:proofErr w:type="gramStart"/>
      <w:r w:rsidRPr="00872293">
        <w:rPr>
          <w:rFonts w:ascii="Times New Roman" w:eastAsia="Times New Roman" w:hAnsi="Times New Roman" w:cs="Times New Roman"/>
        </w:rPr>
        <w:t>April,</w:t>
      </w:r>
      <w:proofErr w:type="gramEnd"/>
      <w:r w:rsidRPr="00872293">
        <w:rPr>
          <w:rFonts w:ascii="Times New Roman" w:eastAsia="Times New Roman" w:hAnsi="Times New Roman" w:cs="Times New Roman"/>
        </w:rPr>
        <w:t xml:space="preserve"> 2017. All roots in-growth cores were collected every 3 months from installation, and roots were manually separated from the soil following each collection. Fine and coarse roots were divided into live and dead components. Live fine roots were scanned to measure length, diameter, and volume as described from soil cores. All roots were oven dried and weighed. After every in-growth core was removed, we installed a new in-growth core in the same hole. We used these data to measure morphology (root specific length and root diameter) before and after the hurricane.</w:t>
      </w:r>
    </w:p>
    <w:p w14:paraId="1CE3A144" w14:textId="77777777" w:rsidR="00361EAB" w:rsidRPr="00872293" w:rsidRDefault="00361EAB" w:rsidP="00156F5E">
      <w:pPr>
        <w:spacing w:line="360" w:lineRule="auto"/>
        <w:rPr>
          <w:rFonts w:ascii="Times New Roman" w:eastAsia="Times New Roman" w:hAnsi="Times New Roman" w:cs="Times New Roman"/>
        </w:rPr>
      </w:pPr>
    </w:p>
    <w:p w14:paraId="206C6DFF" w14:textId="77777777" w:rsidR="006B0276" w:rsidRPr="00872293" w:rsidRDefault="007D5D98" w:rsidP="00361EAB">
      <w:pPr>
        <w:pStyle w:val="Heading3"/>
        <w:spacing w:before="0" w:after="0" w:line="360" w:lineRule="auto"/>
      </w:pPr>
      <w:bookmarkStart w:id="79" w:name="_Toc53689081"/>
      <w:r w:rsidRPr="00872293">
        <w:t>Statistical analysis</w:t>
      </w:r>
      <w:bookmarkEnd w:id="79"/>
    </w:p>
    <w:p w14:paraId="6D1A50A4" w14:textId="3682C9D2" w:rsidR="00E264D2" w:rsidRPr="00872293" w:rsidRDefault="00E264D2" w:rsidP="00156F5E">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For all statistical analyses, we used R 3.4.4 (</w:t>
      </w:r>
      <w:r w:rsidRPr="00872293">
        <w:rPr>
          <w:rFonts w:ascii="Times New Roman" w:hAnsi="Times New Roman" w:cs="Times New Roman"/>
          <w:shd w:val="clear" w:color="auto" w:fill="FFFFFF"/>
        </w:rPr>
        <w:t>R Core Team and contributors worldwide)</w:t>
      </w:r>
      <w:r w:rsidRPr="00872293">
        <w:rPr>
          <w:rFonts w:ascii="Times New Roman" w:eastAsia="Times New Roman" w:hAnsi="Times New Roman" w:cs="Times New Roman"/>
        </w:rPr>
        <w:t xml:space="preserve">. To assess changes in root morphology through time using in-growth core data, we used a repeated measure mixed </w:t>
      </w:r>
      <w:r w:rsidR="00D40068" w:rsidRPr="00872293">
        <w:rPr>
          <w:rFonts w:ascii="Times New Roman" w:eastAsia="Times New Roman" w:hAnsi="Times New Roman" w:cs="Times New Roman"/>
        </w:rPr>
        <w:t xml:space="preserve">effect </w:t>
      </w:r>
      <w:r w:rsidRPr="00872293">
        <w:rPr>
          <w:rFonts w:ascii="Times New Roman" w:eastAsia="Times New Roman" w:hAnsi="Times New Roman" w:cs="Times New Roman"/>
        </w:rPr>
        <w:t xml:space="preserve">model ANOVA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{"citationItems":[{"id":"ITEM-1","itemData":{"ISBN":"9780874216561","ISSN":"0717-6163","PMID":"15003161","abstract":"Mycotoxins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discussed.","author":[{"dropping-particle":"","family":"Littel","given":"Ramon C.","non-dropping-particle":"","parse-names":false,"suffix":""},{"dropping-particle":"","family":"Milliken","given":"George A.","non-dropping-particle":"","parse-names":false,"suffix":""},{"dropping-particle":"","family":"Stroup","given":"Walter W.","non-dropping-particle":"","parse-names":false,"suffix":""},{"dropping-particle":"","family":"Wolfinger","given":"Russel D.","non-dropping-particle":"","parse-names":false,"suffix":""},{"dropping-particle":"","family":"Schabenberger","given":"Oliver","non-dropping-particle":"","parse-names":false,"suffix":""}],"container-title":"Igarss 2014","id":"ITEM-1","issued":{"date-parts":[["2006"]]},"title":"SAS for Mixed Models, Second Edition","type":"book"},"uris":["http://www.mendeley.com/documents/?uuid=b105dacf-a46b-4bd0-960a-637b3e595b79"]},{"id":"ITEM-2","itemData":{"ISBN":"9780387874579","ISSN":"00195847","PMID":"20829683","abstract":"This greatly expanded second edition of Survival Analysis- A Self-learning Text provides a highly readable description of state-of-the-art methods of analysis of survival/event-history data. This text is suitable for researchers and statisticians working in the medical and other life sciences as well as statisticians in academia who teach introductory and second-level courses on survival analysis. The second edition continues to use the unique \"lecture-book\" format of the first (1996) edition with the addition of three new chapters on advanced topics: Chapter 7: Parametric Models Chapter 8: Recurrent events Chapter 9: Competing Risks. Also, the Computer Appendix has been revised to provide step-by-step instructions for using the computer packages STATA (Version 7.0), SAS (Version 8.2), and SPSS (version 11.5) to carry out the procedures presented in the main text. The original six chapters have been modified slightly to expand and clarify aspects of survival analysis in response to suggestions by students, colleagues and reviewers, and to add theoretical background, particularly regarding the formulation of the (partial) likelihood functions for proportional hazards, stratified, and extended Cox regression models David Kleinbaum is Professor of Epidemiology at the Rollins School of Public Health at Emory University, Atlanta, Georgia. Dr. Kleinbaum is internationally known for innovative textbooks and teaching on epidemiological methods, multiple linear regression, logistic regression, and survival analysis. He has provided extensive worldwide short-course training in over 150 short courses on statistical and epidemiological methods. He is also the author of ActivEpi (2002), an interactive computer-based instructional text on fundamentals of epidemiology, which has been used in a variety of educational environments including distance learning. Mitchel Klein is Research Assistant Professor with a joint appointment in the Department of Environmental and Occupational Health (EOH) and the Department of Epidemiology, also at the Rollins School of Public Health at Emory University. Dr. Klein is also co-author with Dr. Kleinbaum of the second edition of Logistic Regression- A Self-Learning Text (2002). He has regularly taught epidemiologic methods courses at Emory to graduate students in public health and in clinical medicine. He is responsible for the epidemiologic methods training of physicians enrolled in Emorya??s Master of Science in Clinical Research Prog…","author":[{"dropping-particle":"","family":"Zuur","given":"A F","non-dropping-particle":"","parse-names":false,"suffix":""},{"dropping-particle":"","family":"Ieno","given":"E N","non-dropping-particle":"","parse-names":false,"suffix":""},{"dropping-particle":"","family":"Walker","given":"N J","non-dropping-particle":"","parse-names":false,"suffix":""},{"dropping-particle":"","family":"Saveliev","given":"A A","non-dropping-particle":"","parse-names":false,"suffix":""},{"dropping-particle":"","family":"Smith","given":"G M","non-dropping-particle":"","parse-names":false,"suffix":""}],"container-title":"Genetics","id":"ITEM-2","issued":{"date-parts":[["2009"]]},"title":"Statistics for biology and health, mixed effects models and extensions in ecology with R","type":"book"},"uris":["http://www.mendeley.com/documents/?uuid=030a70fb-c2f0-4c5a-8046-bc4c7c352c4d"]}],"mendeley":{"formattedCitation":"(Littel &lt;i&gt;et al.&lt;/i&gt;, 2006; Zuur &lt;i&gt;et al.&lt;/i&gt;, 2009)","plainTextFormattedCitation":"(Littel et al., 2006; Zuur et al., 2009)"},"properties":{"noteIndex":0},"schema":"https://github.com/citation-style-language/schema/raw/master/csl-citation.json"}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(Littel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2006; Zuur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2009)</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and tested the differences in specific root length (SRL) and fine-root diameter over time and the treatment effect. We included the interaction of treatment and time</w:t>
      </w:r>
      <w:r w:rsidR="00573D63" w:rsidRPr="00872293">
        <w:rPr>
          <w:rFonts w:ascii="Times New Roman" w:eastAsia="Times New Roman" w:hAnsi="Times New Roman" w:cs="Times New Roman"/>
        </w:rPr>
        <w:t xml:space="preserve"> </w:t>
      </w:r>
      <w:r w:rsidR="00CE5471" w:rsidRPr="00872293">
        <w:rPr>
          <w:rFonts w:ascii="Times New Roman" w:eastAsia="Times New Roman" w:hAnsi="Times New Roman" w:cs="Times New Roman"/>
        </w:rPr>
        <w:t xml:space="preserve">as a fixed effect and treatment within plot as a random effect </w:t>
      </w:r>
      <w:r w:rsidRPr="00872293">
        <w:rPr>
          <w:rFonts w:ascii="Times New Roman" w:eastAsia="Times New Roman" w:hAnsi="Times New Roman" w:cs="Times New Roman"/>
        </w:rPr>
        <w:t xml:space="preserve">(See Table </w:t>
      </w:r>
      <w:r w:rsidR="00713983" w:rsidRPr="00872293">
        <w:rPr>
          <w:rFonts w:ascii="Times New Roman" w:eastAsia="Times New Roman" w:hAnsi="Times New Roman" w:cs="Times New Roman"/>
        </w:rPr>
        <w:t>7</w:t>
      </w:r>
      <w:r w:rsidRPr="00872293">
        <w:rPr>
          <w:rFonts w:ascii="Times New Roman" w:eastAsia="Times New Roman" w:hAnsi="Times New Roman" w:cs="Times New Roman"/>
        </w:rPr>
        <w:t>)</w:t>
      </w:r>
      <w:r w:rsidR="006911D3" w:rsidRPr="00872293">
        <w:rPr>
          <w:rFonts w:ascii="Times New Roman" w:eastAsia="Times New Roman" w:hAnsi="Times New Roman" w:cs="Times New Roman"/>
        </w:rPr>
        <w:t>, w</w:t>
      </w:r>
      <w:r w:rsidRPr="00872293">
        <w:rPr>
          <w:rFonts w:ascii="Times New Roman" w:eastAsia="Times New Roman" w:hAnsi="Times New Roman" w:cs="Times New Roman"/>
        </w:rPr>
        <w:t xml:space="preserve">e used the </w:t>
      </w:r>
      <w:proofErr w:type="spellStart"/>
      <w:r w:rsidRPr="00872293">
        <w:rPr>
          <w:rFonts w:ascii="Times New Roman" w:eastAsia="Times New Roman" w:hAnsi="Times New Roman" w:cs="Times New Roman"/>
        </w:rPr>
        <w:t>lmer</w:t>
      </w:r>
      <w:proofErr w:type="spellEnd"/>
      <w:r w:rsidRPr="00872293">
        <w:rPr>
          <w:rFonts w:ascii="Times New Roman" w:eastAsia="Times New Roman" w:hAnsi="Times New Roman" w:cs="Times New Roman"/>
        </w:rPr>
        <w:t xml:space="preserve">() function from the lme4 package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Software","id":"ITEM-1","issued":{"date-parts":[["2015"]]},"title":"Fitting linear mixed-effects models using lme4","type":"article-journal"},"uris":["http://www.mendeley.com/documents/?uuid=ec025df6-aa0f-4c70-9a43-ab0b806cd73a"]}],"mendeley":{"formattedCitation":"(Bates &lt;i&gt;et al.&lt;/i&gt;, 2015)","plainTextFormattedCitation":"(Bates et al., 2015)","previouslyFormattedCitation":"(Bates &lt;i&gt;et al.&lt;/i&gt;, 2015)"},"properties":{"noteIndex":0},"schema":"https://github.com/citation-style-language/schema/raw/master/csl-citation.json"}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(Bates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2015)</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To determine the relationship between root mass and root morphology, we log transformed the power function described by Iversen et al. (2008) to best fit the regression between root mass per length (mg cm</w:t>
      </w:r>
      <w:r w:rsidRPr="00872293">
        <w:rPr>
          <w:rFonts w:ascii="Times New Roman" w:eastAsia="Times New Roman" w:hAnsi="Times New Roman" w:cs="Times New Roman"/>
          <w:vertAlign w:val="superscript"/>
        </w:rPr>
        <w:t>–1</w:t>
      </w:r>
      <w:r w:rsidRPr="00872293">
        <w:rPr>
          <w:rFonts w:ascii="Times New Roman" w:eastAsia="Times New Roman" w:hAnsi="Times New Roman" w:cs="Times New Roman"/>
        </w:rPr>
        <w:t xml:space="preserve">) and diameter from individual root samples collected from the soil cores before and after the hurricanes. </w:t>
      </w:r>
    </w:p>
    <w:p w14:paraId="259493E6" w14:textId="77777777" w:rsidR="00E264D2" w:rsidRPr="00872293" w:rsidRDefault="00E264D2" w:rsidP="00E264D2">
      <w:pPr>
        <w:spacing w:line="360" w:lineRule="auto"/>
        <w:rPr>
          <w:rFonts w:ascii="Times New Roman" w:eastAsia="Times New Roman" w:hAnsi="Times New Roman" w:cs="Times New Roman"/>
        </w:rPr>
      </w:pPr>
    </w:p>
    <w:p w14:paraId="4FFA9CD2" w14:textId="0C30EC64" w:rsidR="00E264D2" w:rsidRPr="00872293" w:rsidRDefault="00E264D2" w:rsidP="00E264D2">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We analyzed the minirhizotron data using two hierarchical models for each independent variable: total root standing stock, root biomass production, and root biomass mortality for </w:t>
      </w:r>
      <w:r w:rsidRPr="00872293">
        <w:rPr>
          <w:rFonts w:ascii="Times New Roman" w:hAnsi="Times New Roman" w:cs="Times New Roman"/>
        </w:rPr>
        <w:t xml:space="preserve">before and after the hurricanes separately </w:t>
      </w:r>
      <w:r w:rsidRPr="00872293">
        <w:rPr>
          <w:rFonts w:ascii="Times New Roman" w:eastAsia="Times New Roman" w:hAnsi="Times New Roman" w:cs="Times New Roman"/>
        </w:rPr>
        <w:t xml:space="preserve">using lme4() function from the lme4 package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Software","id":"ITEM-1","issued":{"date-parts":[["2015"]]},"title":"Fitting linear mixed-effects models using lme4","type":"article-journal"},"uris":["http://www.mendeley.com/documents/?uuid=ec025df6-aa0f-4c70-9a43-ab0b806cd73a"]}],"mendeley":{"formattedCitation":"(Bates &lt;i&gt;et al.&lt;/i&gt;, 2015)","plainTextFormattedCitation":"(Bates et al., 2015)","previouslyFormattedCitation":"(Bates &lt;i&gt;et al.&lt;/i&gt;, 2015)"},"properties":{"noteIndex":0},"schema":"https://github.com/citation-style-language/schema/raw/master/csl-citation.json"}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(Bates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2015)</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bookmarkStart w:id="80" w:name="_Hlk43137756"/>
      <w:bookmarkStart w:id="81" w:name="_Hlk53817650"/>
      <w:r w:rsidRPr="00872293">
        <w:rPr>
          <w:rFonts w:ascii="Times New Roman" w:eastAsia="Times New Roman" w:hAnsi="Times New Roman" w:cs="Times New Roman"/>
        </w:rPr>
        <w:t xml:space="preserve">The first mixed effect model intended to answer whether treatment affected root dynamics and included the following independent variables: soil temperature and moisture, treatment, and session. We only included soil temperature and not air temperature due to their </w:t>
      </w:r>
      <w:r w:rsidRPr="00872293">
        <w:rPr>
          <w:rFonts w:ascii="Times New Roman" w:hAnsi="Times New Roman" w:cs="Times New Roman"/>
        </w:rPr>
        <w:t xml:space="preserve">strong correlation. </w:t>
      </w:r>
      <w:r w:rsidRPr="00872293">
        <w:rPr>
          <w:rFonts w:ascii="Times New Roman" w:eastAsia="Times New Roman" w:hAnsi="Times New Roman" w:cs="Times New Roman"/>
        </w:rPr>
        <w:t xml:space="preserve">The second mixed effect model aimed to answer if there was an effect of treatment over time in root dynamics; thus, it included the independent variables mentioned above and the interaction between treatment and session. Soil moisture and temperature were taken as the </w:t>
      </w:r>
      <w:r w:rsidRPr="00872293">
        <w:rPr>
          <w:rFonts w:ascii="Times New Roman" w:eastAsia="Times New Roman" w:hAnsi="Times New Roman" w:cs="Times New Roman"/>
        </w:rPr>
        <w:lastRenderedPageBreak/>
        <w:t xml:space="preserve">average value for the </w:t>
      </w:r>
      <w:proofErr w:type="gramStart"/>
      <w:r w:rsidRPr="00872293">
        <w:rPr>
          <w:rFonts w:ascii="Times New Roman" w:eastAsia="Times New Roman" w:hAnsi="Times New Roman" w:cs="Times New Roman"/>
        </w:rPr>
        <w:t>period of time</w:t>
      </w:r>
      <w:proofErr w:type="gramEnd"/>
      <w:r w:rsidRPr="00872293">
        <w:rPr>
          <w:rFonts w:ascii="Times New Roman" w:eastAsia="Times New Roman" w:hAnsi="Times New Roman" w:cs="Times New Roman"/>
        </w:rPr>
        <w:t xml:space="preserve"> since the previous session. </w:t>
      </w:r>
      <w:bookmarkEnd w:id="80"/>
      <w:r w:rsidRPr="00872293">
        <w:rPr>
          <w:rFonts w:ascii="Times New Roman" w:eastAsia="Times New Roman" w:hAnsi="Times New Roman" w:cs="Times New Roman"/>
        </w:rPr>
        <w:t xml:space="preserve">The random grouping of independent variables was by plot for every model. We checked collinearity in each model using the </w:t>
      </w:r>
      <w:proofErr w:type="spellStart"/>
      <w:r w:rsidRPr="00872293">
        <w:rPr>
          <w:rFonts w:ascii="Times New Roman" w:eastAsia="Times New Roman" w:hAnsi="Times New Roman" w:cs="Times New Roman"/>
        </w:rPr>
        <w:t>check.collinearity</w:t>
      </w:r>
      <w:proofErr w:type="spellEnd"/>
      <w:r w:rsidRPr="00872293">
        <w:rPr>
          <w:rFonts w:ascii="Times New Roman" w:eastAsia="Times New Roman" w:hAnsi="Times New Roman" w:cs="Times New Roman"/>
        </w:rPr>
        <w:t xml:space="preserve">() function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author":[{"dropping-particle":"","family":"Lüdecke","given":"Daniel","non-dropping-particle":"","parse-names":false,"suffix":""},{"dropping-particle":"","family":"Makowski","given":"Dominique","non-dropping-particle":"","parse-names":false,"suffix":""},{"dropping-particle":"","family":"Waggoner","given":"Philip","non-dropping-particle":"","parse-names":false,"suffix":""},{"dropping-particle":"","family":"Patil","given":"Indrajeet","non-dropping-particle":"","parse-names":false,"suffix":""}],"id":"ITEM-1","issued":{"date-parts":[["2020"]]},"number":"R package version 0.4.7.","title":"Performance: Assessment of Regression Models Performance","type":"article"},"uris":["http://www.mendeley.com/documents/?uuid=37f9aafd-7456-492b-bac2-c05bbb178a4d"]}],"mendeley":{"formattedCitation":"(Lüdecke &lt;i&gt;et al.&lt;/i&gt;, 2020)","plainTextFormattedCitation":"(Lüdecke et al., 2020)","previouslyFormattedCitation":"(Lüdecke &lt;i&gt;et al.&lt;/i&gt;, 2020)"},"properties":{"noteIndex":0},"schema":"https://github.com/citation-style-language/schema/raw/master/csl-citation.json"}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(Lüdecke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2020)</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Temperature presented high collinearity with session and treatment before the hurricanes, and it was removed from the pre-hurricane models. </w:t>
      </w:r>
      <w:bookmarkEnd w:id="81"/>
      <w:r w:rsidRPr="00872293">
        <w:rPr>
          <w:rFonts w:ascii="Times New Roman" w:eastAsia="Times New Roman" w:hAnsi="Times New Roman" w:cs="Times New Roman"/>
        </w:rPr>
        <w:t xml:space="preserve">We combined all data from each tube and averaged by plot since soil moisture and soil temperature data were plot-level variables. We also averaged soil temperature and moisture across different depths for this analysis. We employed a top-down strategy for model selection, and we </w:t>
      </w:r>
      <w:bookmarkStart w:id="82" w:name="_Hlk43137687"/>
      <w:r w:rsidRPr="00872293">
        <w:rPr>
          <w:rFonts w:ascii="Times New Roman" w:eastAsia="Times New Roman" w:hAnsi="Times New Roman" w:cs="Times New Roman"/>
        </w:rPr>
        <w:t>built two-level mixed models</w:t>
      </w:r>
      <w:bookmarkEnd w:id="82"/>
      <w:r w:rsidRPr="00872293">
        <w:rPr>
          <w:rFonts w:ascii="Times New Roman" w:eastAsia="Times New Roman" w:hAnsi="Times New Roman" w:cs="Times New Roman"/>
        </w:rPr>
        <w:t>. We considered the model with the lowest BIC as the best fit model. A</w:t>
      </w:r>
      <w:r w:rsidRPr="00872293">
        <w:rPr>
          <w:rFonts w:ascii="Times New Roman" w:eastAsia="Gungsuh" w:hAnsi="Times New Roman" w:cs="Times New Roman"/>
        </w:rPr>
        <w:t xml:space="preserve">ll models with a ∆BIC value &lt; 2 were considered to have equivalent levels of support </w:t>
      </w:r>
      <w:r w:rsidRPr="00872293">
        <w:rPr>
          <w:rFonts w:ascii="Times New Roman" w:eastAsia="Gungsuh" w:hAnsi="Times New Roman" w:cs="Times New Roman"/>
        </w:rPr>
        <w:fldChar w:fldCharType="begin" w:fldLock="1"/>
      </w:r>
      <w:r w:rsidRPr="00872293">
        <w:rPr>
          <w:rFonts w:ascii="Times New Roman" w:eastAsia="Gungsuh" w:hAnsi="Times New Roman" w:cs="Times New Roman"/>
        </w:rPr>
        <w:instrText>ADDIN CSL_CITATION {"citationItems":[{"id":"ITEM-1","itemData":{"DOI":"10.1177/0049124104268644","ISSN":"00491241","abstract":"The model selection literature has been generally poor at reflecting the deep foundations of the Akaike information criterion (AIC) and at making appropriate comparisons to the Bayesian information criterion (BIC). There is a clear philosophy, a sound criterion based in information theory, and a rigorous statistical foundation for AIC. AIC can be justified as Bayesian using a \"savvy\" prior on models that is a function of sample size and the number of model parameters. Furthermore, BIC can be derived as a non-Bayesian result. Therefore, arguments about using AIC versus BIC for model selection cannot be from a Bayes versus frequentist perspective. The philosophical context of what is assumed about reality, approximating models, and the intent of model-based inference should determine whether AIC or BIC is used. Various facets of such multimodel inference are presented here, particularly methods of model averaging.","author":[{"dropping-particle":"","family":"Burnham","given":"Kenneth P.","non-dropping-particle":"","parse-names":false,"suffix":""},{"dropping-particle":"","family":"Anderson","given":"David R.","non-dropping-particle":"","parse-names":false,"suffix":""}],"container-title":"Sociological Methods and Research","id":"ITEM-1","issue":"2","issued":{"date-parts":[["2004"]]},"page":"261-304","title":"Multimodel inference: Understanding AIC and BIC in model selection","type":"article-journal","volume":"33"},"uris":["http://www.mendeley.com/documents/?uuid=8a836238-2ead-4368-bdd3-addc3562a30b"]}],"mendeley":{"formattedCitation":"(Burnham &amp; Anderson, 2004)","plainTextFormattedCitation":"(Burnham &amp; Anderson, 2004)","previouslyFormattedCitation":"(Burnham &amp; Anderson, 2004)"},"properties":{"noteIndex":0},"schema":"https://github.com/citation-style-language/schema/raw/master/csl-citation.json"}</w:instrText>
      </w:r>
      <w:r w:rsidRPr="00872293">
        <w:rPr>
          <w:rFonts w:ascii="Times New Roman" w:eastAsia="Gungsuh" w:hAnsi="Times New Roman" w:cs="Times New Roman"/>
        </w:rPr>
        <w:fldChar w:fldCharType="separate"/>
      </w:r>
      <w:r w:rsidRPr="00872293">
        <w:rPr>
          <w:rFonts w:ascii="Times New Roman" w:eastAsia="Gungsuh" w:hAnsi="Times New Roman" w:cs="Times New Roman"/>
          <w:noProof/>
        </w:rPr>
        <w:t>(Burnham &amp; Anderson, 2004)</w:t>
      </w:r>
      <w:r w:rsidRPr="00872293">
        <w:rPr>
          <w:rFonts w:ascii="Times New Roman" w:eastAsia="Gungsuh" w:hAnsi="Times New Roman" w:cs="Times New Roman"/>
        </w:rPr>
        <w:fldChar w:fldCharType="end"/>
      </w:r>
      <w:r w:rsidRPr="00872293">
        <w:rPr>
          <w:rFonts w:ascii="Times New Roman" w:eastAsia="Gungsuh" w:hAnsi="Times New Roman" w:cs="Times New Roman"/>
        </w:rPr>
        <w:t xml:space="preserve">, otherwise we considered the simplest model to be the best fit. </w:t>
      </w:r>
      <w:r w:rsidRPr="00872293">
        <w:rPr>
          <w:rFonts w:ascii="Times New Roman" w:eastAsia="Times New Roman" w:hAnsi="Times New Roman" w:cs="Times New Roman"/>
        </w:rPr>
        <w:t>Non-normal data were log-transformed before analysis, and differences were considered significant at P &lt; 0.05. We used QQ plots and Shapiro-Wilk test to evaluate all the assumptions for normality. Additionally we ran these two models on only coarse root standing stock for after the hurricanes to assess the potential influence of post-hurricane plant community (herbaceous vs. woody) on our dependent variables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family":"Lu","given":"Mingzhen","non-dropping-partic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O.","non-dropping-particle":"","parse-names":false,"suffix":""}],"container-title":"Nature","id":"ITEM-1","issued":{"date-parts":[["2018"]]},"page":"94-97","title":"Evolutionary history resolves global organization of root functional traits","type":"article-journal","volume":"555"},"uris":["http://www.mendeley.com/documents/?uuid=47014ff8-a2a4-401f-901a-0c70bd61b8ba"]}],"mendeley":{"formattedCitation":"(Ma &lt;i&gt;et al.&lt;/i&gt;, 2018)","manualFormatting":"Ma et al., 2018)","plainTextFormattedCitation":"(Ma et al., 2018)","previouslyFormattedCitation":"(Ma &lt;i&gt;et al.&lt;/i&gt;, 2018)"},"properties":{"noteIndex":0},"schema":"https://github.com/citation-style-language/schema/raw/master/csl-citation.json"}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Ma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2018)</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p>
    <w:p w14:paraId="5C5EFBF4" w14:textId="77777777" w:rsidR="00E264D2" w:rsidRPr="00872293" w:rsidRDefault="00E264D2" w:rsidP="00E264D2">
      <w:pPr>
        <w:spacing w:line="360" w:lineRule="auto"/>
        <w:rPr>
          <w:rFonts w:ascii="Times New Roman" w:eastAsia="Times New Roman" w:hAnsi="Times New Roman" w:cs="Times New Roman"/>
        </w:rPr>
      </w:pPr>
    </w:p>
    <w:p w14:paraId="42F4AD69" w14:textId="1BF3AFD8" w:rsidR="00E264D2" w:rsidRPr="00872293" w:rsidRDefault="00E264D2" w:rsidP="00E264D2">
      <w:pPr>
        <w:spacing w:line="360" w:lineRule="auto"/>
        <w:rPr>
          <w:rFonts w:ascii="Times New Roman" w:eastAsia="Times New Roman" w:hAnsi="Times New Roman" w:cs="Times New Roman"/>
        </w:rPr>
      </w:pPr>
      <w:bookmarkStart w:id="83" w:name="_Hlk53819827"/>
      <w:r w:rsidRPr="00872293">
        <w:rPr>
          <w:rFonts w:ascii="Times New Roman" w:eastAsia="Times New Roman" w:hAnsi="Times New Roman" w:cs="Times New Roman"/>
        </w:rPr>
        <w:t>We performed</w:t>
      </w:r>
      <w:r w:rsidR="00494C67" w:rsidRPr="00872293">
        <w:rPr>
          <w:rFonts w:ascii="Times New Roman" w:eastAsia="Times New Roman" w:hAnsi="Times New Roman" w:cs="Times New Roman"/>
        </w:rPr>
        <w:t xml:space="preserve"> multiple</w:t>
      </w:r>
      <w:r w:rsidRPr="00872293">
        <w:rPr>
          <w:rFonts w:ascii="Times New Roman" w:eastAsia="Times New Roman" w:hAnsi="Times New Roman" w:cs="Times New Roman"/>
        </w:rPr>
        <w:t xml:space="preserve"> </w:t>
      </w:r>
      <w:r w:rsidR="008F6492" w:rsidRPr="00872293">
        <w:rPr>
          <w:rFonts w:ascii="Times New Roman" w:eastAsia="Times New Roman" w:hAnsi="Times New Roman" w:cs="Times New Roman"/>
        </w:rPr>
        <w:t>linear</w:t>
      </w:r>
      <w:r w:rsidRPr="00872293">
        <w:rPr>
          <w:rFonts w:ascii="Times New Roman" w:eastAsia="Times New Roman" w:hAnsi="Times New Roman" w:cs="Times New Roman"/>
        </w:rPr>
        <w:t xml:space="preserve"> models using the </w:t>
      </w:r>
      <w:proofErr w:type="spellStart"/>
      <w:r w:rsidRPr="00872293">
        <w:rPr>
          <w:rFonts w:ascii="Times New Roman" w:eastAsia="Times New Roman" w:hAnsi="Times New Roman" w:cs="Times New Roman"/>
        </w:rPr>
        <w:t>lm</w:t>
      </w:r>
      <w:proofErr w:type="spellEnd"/>
      <w:r w:rsidRPr="00872293">
        <w:rPr>
          <w:rFonts w:ascii="Times New Roman" w:eastAsia="Times New Roman" w:hAnsi="Times New Roman" w:cs="Times New Roman"/>
        </w:rPr>
        <w:t xml:space="preserve"> () function from the </w:t>
      </w:r>
      <w:r w:rsidR="00826FC0" w:rsidRPr="00872293">
        <w:rPr>
          <w:rFonts w:ascii="Times New Roman" w:eastAsia="Times New Roman" w:hAnsi="Times New Roman" w:cs="Times New Roman"/>
        </w:rPr>
        <w:t>stats</w:t>
      </w:r>
      <w:r w:rsidRPr="00872293">
        <w:rPr>
          <w:rFonts w:ascii="Times New Roman" w:eastAsia="Times New Roman" w:hAnsi="Times New Roman" w:cs="Times New Roman"/>
        </w:rPr>
        <w:t xml:space="preserve"> package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Software","id":"ITEM-1","issued":{"date-parts":[["2015"]]},"title":"Fitting linear mixed-effects models using lme4","type":"article-journal"},"uris":["http://www.mendeley.com/documents/?uuid=ec025df6-aa0f-4c70-9a43-ab0b806cd73a"]}],"mendeley":{"formattedCitation":"(Bates &lt;i&gt;et al.&lt;/i&gt;, 2015)","plainTextFormattedCitation":"(Bates et al., 2015)","previouslyFormattedCitation":"(Bates &lt;i&gt;et al.&lt;/i&gt;, 2015)"},"properties":{"noteIndex":0},"schema":"https://github.com/citation-style-language/schema/raw/master/csl-citation.json"}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w:t>
      </w:r>
      <w:r w:rsidR="00826FC0" w:rsidRPr="00872293">
        <w:rPr>
          <w:rFonts w:ascii="Times New Roman" w:eastAsia="Times New Roman" w:hAnsi="Times New Roman" w:cs="Times New Roman"/>
          <w:noProof/>
        </w:rPr>
        <w:t>Chambers</w:t>
      </w:r>
      <w:r w:rsidRPr="00872293">
        <w:rPr>
          <w:rFonts w:ascii="Times New Roman" w:eastAsia="Times New Roman" w:hAnsi="Times New Roman" w:cs="Times New Roman"/>
          <w:noProof/>
        </w:rPr>
        <w:t>, 201</w:t>
      </w:r>
      <w:r w:rsidR="00826FC0" w:rsidRPr="00872293">
        <w:rPr>
          <w:rFonts w:ascii="Times New Roman" w:eastAsia="Times New Roman" w:hAnsi="Times New Roman" w:cs="Times New Roman"/>
          <w:noProof/>
        </w:rPr>
        <w:t>7</w:t>
      </w:r>
      <w:r w:rsidRPr="00872293">
        <w:rPr>
          <w:rFonts w:ascii="Times New Roman" w:eastAsia="Times New Roman" w:hAnsi="Times New Roman" w:cs="Times New Roman"/>
          <w:noProof/>
        </w:rPr>
        <w:t>)</w:t>
      </w:r>
      <w:r w:rsidRPr="00872293">
        <w:rPr>
          <w:rFonts w:ascii="Times New Roman" w:eastAsia="Times New Roman" w:hAnsi="Times New Roman" w:cs="Times New Roman"/>
        </w:rPr>
        <w:fldChar w:fldCharType="end"/>
      </w:r>
      <w:r w:rsidRPr="00872293">
        <w:rPr>
          <w:rFonts w:ascii="Times New Roman" w:hAnsi="Times New Roman" w:cs="Times New Roman"/>
          <w:shd w:val="clear" w:color="auto" w:fill="FFFFFF"/>
        </w:rPr>
        <w:t xml:space="preserve"> to test the </w:t>
      </w:r>
      <w:r w:rsidR="00494C67" w:rsidRPr="00872293">
        <w:rPr>
          <w:rFonts w:ascii="Times New Roman" w:hAnsi="Times New Roman" w:cs="Times New Roman"/>
          <w:shd w:val="clear" w:color="auto" w:fill="FFFFFF"/>
        </w:rPr>
        <w:t xml:space="preserve">relationship </w:t>
      </w:r>
      <w:r w:rsidRPr="00872293">
        <w:rPr>
          <w:rFonts w:ascii="Times New Roman" w:hAnsi="Times New Roman" w:cs="Times New Roman"/>
          <w:shd w:val="clear" w:color="auto" w:fill="FFFFFF"/>
        </w:rPr>
        <w:t xml:space="preserve">of soil </w:t>
      </w:r>
      <w:r w:rsidR="006911D3" w:rsidRPr="00872293">
        <w:rPr>
          <w:rFonts w:ascii="Times New Roman" w:hAnsi="Times New Roman" w:cs="Times New Roman"/>
          <w:shd w:val="clear" w:color="auto" w:fill="FFFFFF"/>
        </w:rPr>
        <w:t>parameters</w:t>
      </w:r>
      <w:r w:rsidR="00F65F47" w:rsidRPr="00872293">
        <w:rPr>
          <w:rFonts w:ascii="Times New Roman" w:hAnsi="Times New Roman" w:cs="Times New Roman"/>
          <w:shd w:val="clear" w:color="auto" w:fill="FFFFFF"/>
        </w:rPr>
        <w:t xml:space="preserve"> </w:t>
      </w:r>
      <w:r w:rsidR="00494C67" w:rsidRPr="00872293">
        <w:rPr>
          <w:rFonts w:ascii="Times New Roman" w:eastAsia="Times New Roman" w:hAnsi="Times New Roman" w:cs="Times New Roman"/>
        </w:rPr>
        <w:t>with</w:t>
      </w:r>
      <w:r w:rsidRPr="00872293">
        <w:rPr>
          <w:rFonts w:ascii="Times New Roman" w:eastAsia="Times New Roman" w:hAnsi="Times New Roman" w:cs="Times New Roman"/>
        </w:rPr>
        <w:t xml:space="preserve"> </w:t>
      </w:r>
      <w:r w:rsidR="00F65F47" w:rsidRPr="00872293">
        <w:rPr>
          <w:rFonts w:ascii="Times New Roman" w:eastAsia="Times New Roman" w:hAnsi="Times New Roman" w:cs="Times New Roman"/>
        </w:rPr>
        <w:t xml:space="preserve">total </w:t>
      </w:r>
      <w:r w:rsidRPr="00872293">
        <w:rPr>
          <w:rFonts w:ascii="Times New Roman" w:eastAsia="Times New Roman" w:hAnsi="Times New Roman" w:cs="Times New Roman"/>
        </w:rPr>
        <w:t xml:space="preserve">root production and mortality </w:t>
      </w:r>
      <w:r w:rsidR="00502E11">
        <w:rPr>
          <w:rFonts w:ascii="Times New Roman" w:eastAsia="Times New Roman" w:hAnsi="Times New Roman" w:cs="Times New Roman"/>
        </w:rPr>
        <w:t xml:space="preserve">during the warming treatment pre-hurricanes </w:t>
      </w:r>
      <w:r w:rsidRPr="00872293">
        <w:rPr>
          <w:rFonts w:ascii="Times New Roman" w:eastAsia="Times New Roman" w:hAnsi="Times New Roman" w:cs="Times New Roman"/>
        </w:rPr>
        <w:t xml:space="preserve">(September 2017) and after 10 months post-hurricanes (June 2018). </w:t>
      </w:r>
      <w:r w:rsidR="00F65F47" w:rsidRPr="00872293">
        <w:rPr>
          <w:rFonts w:ascii="Times New Roman" w:eastAsia="Times New Roman" w:hAnsi="Times New Roman" w:cs="Times New Roman"/>
        </w:rPr>
        <w:t>Soil parameters included soil</w:t>
      </w:r>
      <w:r w:rsidR="00FF28F4" w:rsidRPr="00872293">
        <w:rPr>
          <w:rFonts w:ascii="Times New Roman" w:eastAsia="Times New Roman" w:hAnsi="Times New Roman" w:cs="Times New Roman"/>
        </w:rPr>
        <w:t xml:space="preserve"> extractable</w:t>
      </w:r>
      <w:r w:rsidR="00F65F47" w:rsidRPr="00872293">
        <w:rPr>
          <w:rFonts w:ascii="Times New Roman" w:eastAsia="Times New Roman" w:hAnsi="Times New Roman" w:cs="Times New Roman"/>
        </w:rPr>
        <w:t xml:space="preserve"> and microbial nutrient concentrations </w:t>
      </w:r>
      <w:r w:rsidR="00F65F47" w:rsidRPr="00872293">
        <w:rPr>
          <w:rFonts w:ascii="Times New Roman" w:hAnsi="Times New Roman" w:cs="Times New Roman"/>
          <w:shd w:val="clear" w:color="auto" w:fill="FFFFFF"/>
        </w:rPr>
        <w:t>(NH</w:t>
      </w:r>
      <w:r w:rsidR="00F65F47" w:rsidRPr="00872293">
        <w:rPr>
          <w:rFonts w:ascii="Times New Roman" w:hAnsi="Times New Roman" w:cs="Times New Roman"/>
          <w:shd w:val="clear" w:color="auto" w:fill="FFFFFF"/>
          <w:vertAlign w:val="subscript"/>
        </w:rPr>
        <w:t>4</w:t>
      </w:r>
      <w:r w:rsidR="00F65F47" w:rsidRPr="00872293">
        <w:rPr>
          <w:rFonts w:ascii="Times New Roman" w:hAnsi="Times New Roman" w:cs="Times New Roman"/>
          <w:shd w:val="clear" w:color="auto" w:fill="FFFFFF"/>
          <w:vertAlign w:val="superscript"/>
        </w:rPr>
        <w:t>+</w:t>
      </w:r>
      <w:r w:rsidR="00F65F47" w:rsidRPr="00872293">
        <w:rPr>
          <w:rFonts w:ascii="Times New Roman" w:hAnsi="Times New Roman" w:cs="Times New Roman"/>
          <w:shd w:val="clear" w:color="auto" w:fill="FFFFFF"/>
        </w:rPr>
        <w:t>, NO</w:t>
      </w:r>
      <w:r w:rsidR="00F65F47" w:rsidRPr="00872293">
        <w:rPr>
          <w:rFonts w:ascii="Times New Roman" w:hAnsi="Times New Roman" w:cs="Times New Roman"/>
          <w:shd w:val="clear" w:color="auto" w:fill="FFFFFF"/>
          <w:vertAlign w:val="subscript"/>
        </w:rPr>
        <w:t>3</w:t>
      </w:r>
      <w:r w:rsidR="00F65F47" w:rsidRPr="00872293">
        <w:rPr>
          <w:rFonts w:ascii="Times New Roman" w:hAnsi="Times New Roman" w:cs="Times New Roman"/>
          <w:shd w:val="clear" w:color="auto" w:fill="FFFFFF"/>
          <w:vertAlign w:val="superscript"/>
        </w:rPr>
        <w:t>-</w:t>
      </w:r>
      <w:r w:rsidR="00F65F47" w:rsidRPr="00872293">
        <w:rPr>
          <w:rFonts w:ascii="Times New Roman" w:hAnsi="Times New Roman" w:cs="Times New Roman"/>
          <w:shd w:val="clear" w:color="auto" w:fill="FFFFFF"/>
        </w:rPr>
        <w:t>, PO</w:t>
      </w:r>
      <w:r w:rsidR="00F65F47" w:rsidRPr="00872293">
        <w:rPr>
          <w:rFonts w:ascii="Times New Roman" w:hAnsi="Times New Roman" w:cs="Times New Roman"/>
          <w:shd w:val="clear" w:color="auto" w:fill="FFFFFF"/>
          <w:vertAlign w:val="subscript"/>
        </w:rPr>
        <w:t>4</w:t>
      </w:r>
      <w:r w:rsidR="00F65F47" w:rsidRPr="00872293">
        <w:rPr>
          <w:rFonts w:ascii="Times New Roman" w:hAnsi="Times New Roman" w:cs="Times New Roman"/>
          <w:shd w:val="clear" w:color="auto" w:fill="FFFFFF"/>
          <w:vertAlign w:val="superscript"/>
        </w:rPr>
        <w:t>3-</w:t>
      </w:r>
      <w:r w:rsidR="00F65F47" w:rsidRPr="00872293">
        <w:rPr>
          <w:rFonts w:ascii="Times New Roman" w:hAnsi="Times New Roman" w:cs="Times New Roman"/>
          <w:shd w:val="clear" w:color="auto" w:fill="FFFFFF"/>
        </w:rPr>
        <w:t xml:space="preserve">; microbial N, P, and C) </w:t>
      </w:r>
      <w:r w:rsidR="00F65F47" w:rsidRPr="00872293">
        <w:rPr>
          <w:rFonts w:ascii="Times New Roman" w:eastAsia="Times New Roman" w:hAnsi="Times New Roman" w:cs="Times New Roman"/>
        </w:rPr>
        <w:t xml:space="preserve">from core samples (from Reed </w:t>
      </w:r>
      <w:r w:rsidR="00F65F47" w:rsidRPr="00872293">
        <w:rPr>
          <w:rFonts w:ascii="Times New Roman" w:eastAsia="Times New Roman" w:hAnsi="Times New Roman" w:cs="Times New Roman"/>
          <w:i/>
          <w:iCs/>
        </w:rPr>
        <w:t>et al</w:t>
      </w:r>
      <w:r w:rsidR="00F65F47" w:rsidRPr="00872293">
        <w:rPr>
          <w:rFonts w:ascii="Times New Roman" w:eastAsia="Times New Roman" w:hAnsi="Times New Roman" w:cs="Times New Roman"/>
        </w:rPr>
        <w:t xml:space="preserve">. 2020), </w:t>
      </w:r>
      <w:r w:rsidR="00923BAA" w:rsidRPr="00872293">
        <w:rPr>
          <w:rFonts w:ascii="Times New Roman" w:eastAsia="Times New Roman" w:hAnsi="Times New Roman" w:cs="Times New Roman"/>
        </w:rPr>
        <w:t xml:space="preserve">and </w:t>
      </w:r>
      <w:r w:rsidR="00F65F47" w:rsidRPr="00872293">
        <w:rPr>
          <w:rFonts w:ascii="Times New Roman" w:eastAsia="Times New Roman" w:hAnsi="Times New Roman" w:cs="Times New Roman"/>
        </w:rPr>
        <w:t>soil temperature and moisture from the soil sensors</w:t>
      </w:r>
      <w:r w:rsidR="00923BAA" w:rsidRPr="00872293">
        <w:rPr>
          <w:rFonts w:ascii="Times New Roman" w:eastAsia="Times New Roman" w:hAnsi="Times New Roman" w:cs="Times New Roman"/>
        </w:rPr>
        <w:t>.</w:t>
      </w:r>
      <w:r w:rsidR="00F65F47"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We also </w:t>
      </w:r>
      <w:r w:rsidR="004F4B17" w:rsidRPr="00872293">
        <w:rPr>
          <w:rFonts w:ascii="Times New Roman" w:eastAsia="Times New Roman" w:hAnsi="Times New Roman" w:cs="Times New Roman"/>
        </w:rPr>
        <w:t xml:space="preserve">tested </w:t>
      </w:r>
      <w:r w:rsidR="00494C67" w:rsidRPr="00872293">
        <w:rPr>
          <w:rFonts w:ascii="Times New Roman" w:eastAsia="Times New Roman" w:hAnsi="Times New Roman" w:cs="Times New Roman"/>
        </w:rPr>
        <w:t>relationship</w:t>
      </w:r>
      <w:r w:rsidR="00887630" w:rsidRPr="00872293">
        <w:rPr>
          <w:rFonts w:ascii="Times New Roman" w:eastAsia="Times New Roman" w:hAnsi="Times New Roman" w:cs="Times New Roman"/>
        </w:rPr>
        <w:t>s</w:t>
      </w:r>
      <w:r w:rsidR="004F4B17" w:rsidRPr="00872293">
        <w:rPr>
          <w:rFonts w:ascii="Times New Roman" w:eastAsia="Times New Roman" w:hAnsi="Times New Roman" w:cs="Times New Roman"/>
        </w:rPr>
        <w:t xml:space="preserve"> of </w:t>
      </w:r>
      <w:r w:rsidRPr="00872293">
        <w:rPr>
          <w:rFonts w:ascii="Times New Roman" w:eastAsia="Times New Roman" w:hAnsi="Times New Roman" w:cs="Times New Roman"/>
        </w:rPr>
        <w:t xml:space="preserve">canopy openness (found in Reed </w:t>
      </w:r>
      <w:r w:rsidRPr="00872293">
        <w:rPr>
          <w:rFonts w:ascii="Times New Roman" w:eastAsia="Times New Roman" w:hAnsi="Times New Roman" w:cs="Times New Roman"/>
          <w:i/>
          <w:iCs/>
        </w:rPr>
        <w:t>et al.</w:t>
      </w:r>
      <w:r w:rsidRPr="00872293">
        <w:rPr>
          <w:rFonts w:ascii="Times New Roman" w:eastAsia="Times New Roman" w:hAnsi="Times New Roman" w:cs="Times New Roman"/>
        </w:rPr>
        <w:t xml:space="preserve"> 2020)</w:t>
      </w:r>
      <w:r w:rsidR="00494C67" w:rsidRPr="00872293">
        <w:rPr>
          <w:rFonts w:ascii="Times New Roman" w:eastAsia="Times New Roman" w:hAnsi="Times New Roman" w:cs="Times New Roman"/>
        </w:rPr>
        <w:t>,</w:t>
      </w:r>
      <w:r w:rsidRPr="00872293">
        <w:rPr>
          <w:rFonts w:ascii="Times New Roman" w:eastAsia="Times New Roman" w:hAnsi="Times New Roman" w:cs="Times New Roman"/>
        </w:rPr>
        <w:t xml:space="preserve"> and total leaf area (Table </w:t>
      </w:r>
      <w:r w:rsidR="00DD4D61" w:rsidRPr="00872293">
        <w:rPr>
          <w:rFonts w:ascii="Times New Roman" w:eastAsia="Times New Roman" w:hAnsi="Times New Roman" w:cs="Times New Roman"/>
        </w:rPr>
        <w:t>5</w:t>
      </w:r>
      <w:r w:rsidRPr="00872293">
        <w:rPr>
          <w:rFonts w:ascii="Times New Roman" w:eastAsia="Times New Roman" w:hAnsi="Times New Roman" w:cs="Times New Roman"/>
        </w:rPr>
        <w:t xml:space="preserve">) per plot </w:t>
      </w:r>
      <w:r w:rsidR="00494C67" w:rsidRPr="00872293">
        <w:rPr>
          <w:rFonts w:ascii="Times New Roman" w:eastAsia="Times New Roman" w:hAnsi="Times New Roman" w:cs="Times New Roman"/>
        </w:rPr>
        <w:t>with</w:t>
      </w:r>
      <w:r w:rsidRPr="00872293">
        <w:rPr>
          <w:rFonts w:ascii="Times New Roman" w:eastAsia="Times New Roman" w:hAnsi="Times New Roman" w:cs="Times New Roman"/>
        </w:rPr>
        <w:t xml:space="preserve"> root dynamics</w:t>
      </w:r>
      <w:r w:rsidR="004F4B17" w:rsidRPr="00872293">
        <w:rPr>
          <w:rFonts w:ascii="Times New Roman" w:eastAsia="Times New Roman" w:hAnsi="Times New Roman" w:cs="Times New Roman"/>
        </w:rPr>
        <w:t xml:space="preserve"> using data </w:t>
      </w:r>
      <w:r w:rsidRPr="00872293">
        <w:rPr>
          <w:rFonts w:ascii="Times New Roman" w:eastAsia="Times New Roman" w:hAnsi="Times New Roman" w:cs="Times New Roman"/>
        </w:rPr>
        <w:t>collect</w:t>
      </w:r>
      <w:r w:rsidR="004F4B17" w:rsidRPr="00872293">
        <w:rPr>
          <w:rFonts w:ascii="Times New Roman" w:eastAsia="Times New Roman" w:hAnsi="Times New Roman" w:cs="Times New Roman"/>
        </w:rPr>
        <w:t>ed</w:t>
      </w:r>
      <w:r w:rsidRPr="00872293">
        <w:rPr>
          <w:rFonts w:ascii="Times New Roman" w:eastAsia="Times New Roman" w:hAnsi="Times New Roman" w:cs="Times New Roman"/>
        </w:rPr>
        <w:t xml:space="preserve"> </w:t>
      </w:r>
      <w:r w:rsidR="004F4B17" w:rsidRPr="00872293">
        <w:rPr>
          <w:rFonts w:ascii="Times New Roman" w:eastAsia="Times New Roman" w:hAnsi="Times New Roman" w:cs="Times New Roman"/>
        </w:rPr>
        <w:t xml:space="preserve">in </w:t>
      </w:r>
      <w:r w:rsidRPr="00872293">
        <w:rPr>
          <w:rFonts w:ascii="Times New Roman" w:eastAsia="Times New Roman" w:hAnsi="Times New Roman" w:cs="Times New Roman"/>
        </w:rPr>
        <w:t>March 2017 and March 2018.</w:t>
      </w:r>
      <w:r w:rsidRPr="00872293" w:rsidDel="00E35B53">
        <w:rPr>
          <w:rFonts w:ascii="Times New Roman" w:eastAsia="Times New Roman" w:hAnsi="Times New Roman" w:cs="Times New Roman"/>
        </w:rPr>
        <w:t xml:space="preserve"> </w:t>
      </w:r>
      <w:r w:rsidRPr="00872293">
        <w:rPr>
          <w:rFonts w:ascii="Times New Roman" w:eastAsia="Times New Roman" w:hAnsi="Times New Roman" w:cs="Times New Roman"/>
        </w:rPr>
        <w:t xml:space="preserve">We </w:t>
      </w:r>
      <w:r w:rsidR="004C7CF3" w:rsidRPr="00872293">
        <w:rPr>
          <w:rFonts w:ascii="Times New Roman" w:eastAsia="Times New Roman" w:hAnsi="Times New Roman" w:cs="Times New Roman"/>
        </w:rPr>
        <w:t xml:space="preserve">first </w:t>
      </w:r>
      <w:r w:rsidRPr="00872293">
        <w:rPr>
          <w:rFonts w:ascii="Times New Roman" w:eastAsia="Times New Roman" w:hAnsi="Times New Roman" w:cs="Times New Roman"/>
        </w:rPr>
        <w:t xml:space="preserve">tested the collinearity between the fixed factors, and </w:t>
      </w:r>
      <w:r w:rsidR="004C7CF3" w:rsidRPr="00872293">
        <w:rPr>
          <w:rFonts w:ascii="Times New Roman" w:eastAsia="Times New Roman" w:hAnsi="Times New Roman" w:cs="Times New Roman"/>
        </w:rPr>
        <w:t>removed</w:t>
      </w:r>
      <w:r w:rsidRPr="00872293">
        <w:rPr>
          <w:rFonts w:ascii="Times New Roman" w:eastAsia="Times New Roman" w:hAnsi="Times New Roman" w:cs="Times New Roman"/>
        </w:rPr>
        <w:t xml:space="preserve"> microbial C</w:t>
      </w:r>
      <w:r w:rsidR="004C7CF3" w:rsidRPr="00872293">
        <w:rPr>
          <w:rFonts w:ascii="Times New Roman" w:eastAsia="Times New Roman" w:hAnsi="Times New Roman" w:cs="Times New Roman"/>
        </w:rPr>
        <w:t xml:space="preserve"> from the model</w:t>
      </w:r>
      <w:r w:rsidRPr="00872293">
        <w:rPr>
          <w:rFonts w:ascii="Times New Roman" w:eastAsia="Times New Roman" w:hAnsi="Times New Roman" w:cs="Times New Roman"/>
        </w:rPr>
        <w:t>, due to high collinearity with microbial N and microbial P. Then we ran the models with each factor separately. We started with a model that included the nutrient/aboveground factor</w:t>
      </w:r>
      <w:r w:rsidR="00C31E2D" w:rsidRPr="00872293">
        <w:rPr>
          <w:rFonts w:ascii="Times New Roman" w:eastAsia="Times New Roman" w:hAnsi="Times New Roman" w:cs="Times New Roman"/>
        </w:rPr>
        <w:t>,</w:t>
      </w:r>
      <w:r w:rsidRPr="00872293">
        <w:rPr>
          <w:rFonts w:ascii="Times New Roman" w:eastAsia="Times New Roman" w:hAnsi="Times New Roman" w:cs="Times New Roman"/>
        </w:rPr>
        <w:t xml:space="preserve"> the treatment, and the interaction of the factor with treatment. However, since we found no significant effect of the interaction we dropped </w:t>
      </w:r>
      <w:r w:rsidR="00D15A51" w:rsidRPr="00872293">
        <w:rPr>
          <w:rFonts w:ascii="Times New Roman" w:eastAsia="Times New Roman" w:hAnsi="Times New Roman" w:cs="Times New Roman"/>
        </w:rPr>
        <w:t>it</w:t>
      </w:r>
      <w:r w:rsidR="00C31E2D" w:rsidRPr="00872293">
        <w:rPr>
          <w:rFonts w:ascii="Times New Roman" w:eastAsia="Times New Roman" w:hAnsi="Times New Roman" w:cs="Times New Roman"/>
        </w:rPr>
        <w:t xml:space="preserve">. We also dropped treatment for those models where treatment was not significant </w:t>
      </w:r>
      <w:r w:rsidRPr="00872293">
        <w:rPr>
          <w:rFonts w:ascii="Times New Roman" w:eastAsia="Times New Roman" w:hAnsi="Times New Roman" w:cs="Times New Roman"/>
        </w:rPr>
        <w:t xml:space="preserve">(see table </w:t>
      </w:r>
      <w:r w:rsidR="0073399C" w:rsidRPr="00872293">
        <w:rPr>
          <w:rFonts w:ascii="Times New Roman" w:eastAsia="Times New Roman" w:hAnsi="Times New Roman" w:cs="Times New Roman"/>
        </w:rPr>
        <w:t>6</w:t>
      </w:r>
      <w:r w:rsidRPr="00872293">
        <w:rPr>
          <w:rFonts w:ascii="Times New Roman" w:eastAsia="Times New Roman" w:hAnsi="Times New Roman" w:cs="Times New Roman"/>
        </w:rPr>
        <w:t xml:space="preserve">). </w:t>
      </w:r>
    </w:p>
    <w:bookmarkEnd w:id="83"/>
    <w:p w14:paraId="3FAD72F5" w14:textId="77777777" w:rsidR="00E264D2" w:rsidRPr="00872293" w:rsidRDefault="00E264D2" w:rsidP="00E264D2">
      <w:pPr>
        <w:spacing w:line="360" w:lineRule="auto"/>
        <w:rPr>
          <w:rFonts w:ascii="Times New Roman" w:eastAsia="Times New Roman" w:hAnsi="Times New Roman" w:cs="Times New Roman"/>
        </w:rPr>
      </w:pPr>
    </w:p>
    <w:p w14:paraId="5910D1FF" w14:textId="5F2032A9" w:rsidR="001736EA" w:rsidRDefault="00E264D2" w:rsidP="00916183">
      <w:pPr>
        <w:spacing w:line="360" w:lineRule="auto"/>
        <w:rPr>
          <w:rFonts w:ascii="Times New Roman" w:eastAsia="Times New Roman" w:hAnsi="Times New Roman" w:cs="Times New Roman"/>
        </w:rPr>
      </w:pPr>
      <w:bookmarkStart w:id="84" w:name="_Hlk53820263"/>
      <w:r w:rsidRPr="00872293">
        <w:rPr>
          <w:rFonts w:ascii="Times New Roman" w:eastAsia="Times New Roman" w:hAnsi="Times New Roman" w:cs="Times New Roman"/>
        </w:rPr>
        <w:lastRenderedPageBreak/>
        <w:t xml:space="preserve">We modeled root vertical distribution using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{"citationItems":[{"id":"ITEM-1","itemData":{"DOI":"10.1139/x87-131","ISSN":"0045-5067","abstract":" Measurements of root biomass, number, diameter, and length by soil depth for northern tree species were assembled from 19 published papers, yielding a total of 123 vertical root distributions. Species were classified into three tolerance classes based on successional status. A nonlinear function, Y = 1 − β d , where Y is the cumulative root fraction from the soil surface to depth d in centimetres, was fit to the data for each excavation. The regression coefficient, β, was considered to be a measure of vertical root distribution and was used as a response variable to test whether significant differences in vertical root distributions existed among tolerance classes. Early successional or intolerant species had a significantly greater proportion of roots occurring deeper than did late successional or tolerant species. Differences in vertical root distributions are presumed to be related to the inherent genetic potential of early successional species for deep exploitation of a more homogeneous substrate, resulting from either geologic deposition or nutrient and water redistribution following forest disturbance. Early successional species are also able to adapt to sites limiting in water and nutrients because of their ability to exploit larger volumes of soil. Late successional or shallow-rooted species are better adapted to sites where resources are concentrated near the soil surface as the result of biocycling and soil development. ","author":[{"dropping-particle":"","family":"Gale","given":"M. R.","non-dropping-particle":"","parse-names":false,"suffix":""},{"dropping-particle":"","family":"Grigal","given":"D. F.","non-dropping-particle":"","parse-names":false,"suffix":""}],"container-title":"Canadian Journal of Forest Research","id":"ITEM-1","issued":{"date-parts":[["1987"]]},"title":"Vertical root distributions of northern tree species in relation to successional status","type":"article-journal"},"uris":["http://www.mendeley.com/documents/?uuid=559264d2-56f5-4f44-8e46-b5b6753888da"]}],"mendeley":{"formattedCitation":"(Gale &amp; Grigal, 1987)","manualFormatting":"Gale &amp; Grigal (1987)","plainTextFormattedCitation":"(Gale &amp; Grigal, 1987)","previouslyFormattedCitation":"(Gale &amp; Grigal, 1987)"},"properties":{"noteIndex":0},"schema":"https://github.com/citation-style-language/schema/raw/master/csl-citation.json"}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Gale &amp; Grigal (1987)</w:t>
      </w:r>
      <w:r w:rsidRPr="00872293">
        <w:rPr>
          <w:rFonts w:ascii="Times New Roman" w:eastAsia="Times New Roman" w:hAnsi="Times New Roman" w:cs="Times New Roman"/>
        </w:rPr>
        <w:fldChar w:fldCharType="end"/>
      </w:r>
      <w:r w:rsidRPr="00872293">
        <w:rPr>
          <w:rFonts w:ascii="Times New Roman" w:hAnsi="Times New Roman" w:cs="Times New Roman"/>
        </w:rPr>
        <w:t xml:space="preserve"> asymptotic equation described in Jackson </w:t>
      </w:r>
      <w:r w:rsidRPr="00872293">
        <w:rPr>
          <w:rFonts w:ascii="Times New Roman" w:hAnsi="Times New Roman" w:cs="Times New Roman"/>
          <w:i/>
          <w:iCs/>
        </w:rPr>
        <w:t>et al.</w:t>
      </w:r>
      <w:r w:rsidRPr="00872293">
        <w:rPr>
          <w:rFonts w:ascii="Times New Roman" w:hAnsi="Times New Roman" w:cs="Times New Roman"/>
        </w:rPr>
        <w:t xml:space="preserve"> (1997), in which low beta values represent shallower rooting. </w:t>
      </w:r>
      <w:r w:rsidRPr="00872293">
        <w:rPr>
          <w:rFonts w:ascii="Times New Roman" w:eastAsia="Times New Roman" w:hAnsi="Times New Roman" w:cs="Times New Roman"/>
        </w:rPr>
        <w:t>We used cumulative fraction of biomass from our minirhizotron data by treatment and before and after the hurricanes.</w:t>
      </w:r>
    </w:p>
    <w:p w14:paraId="714476C7" w14:textId="77777777" w:rsidR="00D44D97" w:rsidRPr="00872293" w:rsidRDefault="00D44D97" w:rsidP="00737CC4">
      <w:pPr>
        <w:spacing w:line="360" w:lineRule="auto"/>
        <w:rPr>
          <w:rFonts w:ascii="Times New Roman" w:eastAsia="Times New Roman" w:hAnsi="Times New Roman" w:cs="Times New Roman"/>
        </w:rPr>
      </w:pPr>
    </w:p>
    <w:p w14:paraId="75550F9B" w14:textId="77777777" w:rsidR="000F241E" w:rsidRPr="00872293" w:rsidRDefault="00E273C4" w:rsidP="00156F5E">
      <w:pPr>
        <w:pStyle w:val="Heading2"/>
        <w:spacing w:before="0" w:after="0" w:line="360" w:lineRule="auto"/>
        <w:rPr>
          <w:rFonts w:cs="Times New Roman"/>
        </w:rPr>
      </w:pPr>
      <w:bookmarkStart w:id="85" w:name="_Toc53689082"/>
      <w:bookmarkEnd w:id="84"/>
      <w:r w:rsidRPr="00872293">
        <w:rPr>
          <w:rFonts w:cs="Times New Roman"/>
        </w:rPr>
        <w:t>Results</w:t>
      </w:r>
      <w:bookmarkEnd w:id="85"/>
    </w:p>
    <w:p w14:paraId="5B44A3B2" w14:textId="77777777" w:rsidR="00B6140B" w:rsidRPr="00872293" w:rsidRDefault="00E273C4" w:rsidP="00156F5E">
      <w:pPr>
        <w:pStyle w:val="Heading3"/>
        <w:spacing w:before="0" w:after="0" w:line="360" w:lineRule="auto"/>
      </w:pPr>
      <w:bookmarkStart w:id="86" w:name="_Toc53689083"/>
      <w:r w:rsidRPr="00872293">
        <w:t>Root dynamics</w:t>
      </w:r>
      <w:r w:rsidR="00800EF5" w:rsidRPr="00872293">
        <w:t xml:space="preserve"> in</w:t>
      </w:r>
      <w:r w:rsidRPr="00872293">
        <w:t xml:space="preserve"> response to the warming treatment</w:t>
      </w:r>
      <w:bookmarkEnd w:id="86"/>
    </w:p>
    <w:p w14:paraId="7348BD33" w14:textId="43F33464" w:rsidR="005624B0" w:rsidRPr="00872293" w:rsidRDefault="005624B0" w:rsidP="00156F5E">
      <w:pPr>
        <w:spacing w:before="240" w:line="360" w:lineRule="auto"/>
        <w:rPr>
          <w:rFonts w:ascii="Times New Roman" w:hAnsi="Times New Roman" w:cs="Times New Roman"/>
        </w:rPr>
      </w:pPr>
      <w:r w:rsidRPr="00872293">
        <w:rPr>
          <w:rFonts w:ascii="Times New Roman" w:hAnsi="Times New Roman" w:cs="Times New Roman"/>
        </w:rPr>
        <w:t>Root standing stock in control plots increased during the 7 months of the warming experiment prior to the hurricanes</w:t>
      </w:r>
      <w:r w:rsidR="00800EF5" w:rsidRPr="00872293">
        <w:rPr>
          <w:rFonts w:ascii="Times New Roman" w:hAnsi="Times New Roman" w:cs="Times New Roman"/>
        </w:rPr>
        <w:t>.</w:t>
      </w:r>
      <w:r w:rsidRPr="00872293">
        <w:rPr>
          <w:rFonts w:ascii="Times New Roman" w:hAnsi="Times New Roman" w:cs="Times New Roman"/>
        </w:rPr>
        <w:t xml:space="preserve"> </w:t>
      </w:r>
      <w:r w:rsidR="00800EF5" w:rsidRPr="00872293">
        <w:rPr>
          <w:rFonts w:ascii="Times New Roman" w:hAnsi="Times New Roman" w:cs="Times New Roman"/>
        </w:rPr>
        <w:t>In contrast, root standing stock in the warmed plots declined over the same 7-month period</w:t>
      </w:r>
      <w:r w:rsidRPr="00872293">
        <w:rPr>
          <w:rFonts w:ascii="Times New Roman" w:hAnsi="Times New Roman" w:cs="Times New Roman"/>
        </w:rPr>
        <w:t xml:space="preserve"> (Fig</w:t>
      </w:r>
      <w:r w:rsidR="001621CE" w:rsidRPr="00872293">
        <w:rPr>
          <w:rFonts w:ascii="Times New Roman" w:hAnsi="Times New Roman" w:cs="Times New Roman"/>
        </w:rPr>
        <w:t>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a). The initial standing stock (February 2017) was 649 </w:t>
      </w:r>
      <w:r w:rsidRPr="00872293">
        <w:rPr>
          <w:rFonts w:ascii="Times New Roman" w:hAnsi="Times New Roman" w:cs="Times New Roman"/>
          <w:u w:val="single"/>
        </w:rPr>
        <w:t>+</w:t>
      </w:r>
      <w:r w:rsidRPr="00872293">
        <w:rPr>
          <w:rFonts w:ascii="Times New Roman" w:hAnsi="Times New Roman" w:cs="Times New Roman"/>
        </w:rPr>
        <w:t xml:space="preserve"> 143 g m</w:t>
      </w:r>
      <w:r w:rsidRPr="00872293">
        <w:rPr>
          <w:rFonts w:ascii="Times New Roman" w:hAnsi="Times New Roman" w:cs="Times New Roman"/>
          <w:vertAlign w:val="superscript"/>
        </w:rPr>
        <w:t>-2</w:t>
      </w:r>
      <w:r w:rsidRPr="00872293">
        <w:rPr>
          <w:rFonts w:ascii="Times New Roman" w:hAnsi="Times New Roman" w:cs="Times New Roman"/>
        </w:rPr>
        <w:t xml:space="preserve"> in the control plots and 526 </w:t>
      </w:r>
      <w:r w:rsidRPr="00872293">
        <w:rPr>
          <w:rFonts w:ascii="Times New Roman" w:hAnsi="Times New Roman" w:cs="Times New Roman"/>
          <w:u w:val="single"/>
        </w:rPr>
        <w:t>+</w:t>
      </w:r>
      <w:r w:rsidRPr="00872293">
        <w:rPr>
          <w:rFonts w:ascii="Times New Roman" w:hAnsi="Times New Roman" w:cs="Times New Roman"/>
        </w:rPr>
        <w:t xml:space="preserve"> 237 g m</w:t>
      </w:r>
      <w:r w:rsidRPr="00872293">
        <w:rPr>
          <w:rFonts w:ascii="Times New Roman" w:hAnsi="Times New Roman" w:cs="Times New Roman"/>
          <w:vertAlign w:val="superscript"/>
        </w:rPr>
        <w:t>-2</w:t>
      </w:r>
      <w:r w:rsidRPr="00872293">
        <w:rPr>
          <w:rFonts w:ascii="Times New Roman" w:hAnsi="Times New Roman" w:cs="Times New Roman"/>
        </w:rPr>
        <w:t xml:space="preserve"> in the warmed plots; final values before the hurricanes </w:t>
      </w:r>
      <w:r w:rsidR="000E1A4F" w:rsidRPr="00872293">
        <w:rPr>
          <w:rFonts w:ascii="Times New Roman" w:hAnsi="Times New Roman" w:cs="Times New Roman"/>
        </w:rPr>
        <w:t>affected</w:t>
      </w:r>
      <w:r w:rsidRPr="00872293">
        <w:rPr>
          <w:rFonts w:ascii="Times New Roman" w:hAnsi="Times New Roman" w:cs="Times New Roman"/>
        </w:rPr>
        <w:t xml:space="preserve"> the treatments (September 2017) were 760 </w:t>
      </w:r>
      <w:r w:rsidRPr="00872293">
        <w:rPr>
          <w:rFonts w:ascii="Times New Roman" w:hAnsi="Times New Roman" w:cs="Times New Roman"/>
          <w:u w:val="single"/>
        </w:rPr>
        <w:t>+</w:t>
      </w:r>
      <w:r w:rsidRPr="00872293">
        <w:rPr>
          <w:rFonts w:ascii="Times New Roman" w:hAnsi="Times New Roman" w:cs="Times New Roman"/>
        </w:rPr>
        <w:t xml:space="preserve"> 212 g m</w:t>
      </w:r>
      <w:r w:rsidRPr="00872293">
        <w:rPr>
          <w:rFonts w:ascii="Times New Roman" w:hAnsi="Times New Roman" w:cs="Times New Roman"/>
          <w:vertAlign w:val="superscript"/>
        </w:rPr>
        <w:t>-2</w:t>
      </w:r>
      <w:r w:rsidRPr="00872293">
        <w:rPr>
          <w:rFonts w:ascii="Times New Roman" w:hAnsi="Times New Roman" w:cs="Times New Roman"/>
        </w:rPr>
        <w:t xml:space="preserve"> in control plots and 481 </w:t>
      </w:r>
      <w:r w:rsidRPr="00872293">
        <w:rPr>
          <w:rFonts w:ascii="Times New Roman" w:hAnsi="Times New Roman" w:cs="Times New Roman"/>
          <w:u w:val="single"/>
        </w:rPr>
        <w:t>+</w:t>
      </w:r>
      <w:r w:rsidRPr="00872293">
        <w:rPr>
          <w:rFonts w:ascii="Times New Roman" w:hAnsi="Times New Roman" w:cs="Times New Roman"/>
        </w:rPr>
        <w:t xml:space="preserve"> 81 g m</w:t>
      </w:r>
      <w:r w:rsidRPr="00872293">
        <w:rPr>
          <w:rFonts w:ascii="Times New Roman" w:hAnsi="Times New Roman" w:cs="Times New Roman"/>
          <w:vertAlign w:val="superscript"/>
        </w:rPr>
        <w:t>-2</w:t>
      </w:r>
      <w:r w:rsidRPr="00872293">
        <w:rPr>
          <w:rFonts w:ascii="Times New Roman" w:hAnsi="Times New Roman" w:cs="Times New Roman"/>
        </w:rPr>
        <w:t xml:space="preserve"> in the warmed plots. Through the mixed effect model we </w:t>
      </w:r>
      <w:bookmarkStart w:id="87" w:name="_Hlk43139030"/>
      <w:r w:rsidRPr="00872293">
        <w:rPr>
          <w:rFonts w:ascii="Times New Roman" w:hAnsi="Times New Roman" w:cs="Times New Roman"/>
        </w:rPr>
        <w:t>were able to test the difference in root stock in control plots compared to warming plots over time (</w:t>
      </w:r>
      <w:r w:rsidR="004B6F4C" w:rsidRPr="00872293">
        <w:rPr>
          <w:rFonts w:ascii="Times New Roman" w:hAnsi="Times New Roman" w:cs="Times New Roman"/>
        </w:rPr>
        <w:t>Figure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d; treatment × time, </w:t>
      </w:r>
      <w:r w:rsidRPr="00872293">
        <w:rPr>
          <w:rFonts w:ascii="Times New Roman" w:hAnsi="Times New Roman" w:cs="Times New Roman"/>
          <w:i/>
        </w:rPr>
        <w:t xml:space="preserve">P </w:t>
      </w:r>
      <w:r w:rsidRPr="00872293">
        <w:rPr>
          <w:rFonts w:ascii="Times New Roman" w:hAnsi="Times New Roman" w:cs="Times New Roman"/>
        </w:rPr>
        <w:t>&lt; 0.06) and it was primarily a reflection of the difference in productivity (</w:t>
      </w:r>
      <w:r w:rsidR="004B6F4C" w:rsidRPr="00872293">
        <w:rPr>
          <w:rFonts w:ascii="Times New Roman" w:hAnsi="Times New Roman" w:cs="Times New Roman"/>
        </w:rPr>
        <w:t>Figure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e, time × treatment, </w:t>
      </w:r>
      <w:r w:rsidRPr="00872293">
        <w:rPr>
          <w:rFonts w:ascii="Times New Roman" w:hAnsi="Times New Roman" w:cs="Times New Roman"/>
          <w:i/>
        </w:rPr>
        <w:t>P</w:t>
      </w:r>
      <w:r w:rsidRPr="00872293">
        <w:rPr>
          <w:rFonts w:ascii="Times New Roman" w:hAnsi="Times New Roman" w:cs="Times New Roman"/>
        </w:rPr>
        <w:t xml:space="preserve"> &lt; 0.08, Table</w:t>
      </w:r>
      <w:r w:rsidR="008D09F8" w:rsidRPr="00872293">
        <w:rPr>
          <w:rFonts w:ascii="Times New Roman" w:hAnsi="Times New Roman" w:cs="Times New Roman"/>
        </w:rPr>
        <w:t xml:space="preserve"> </w:t>
      </w:r>
      <w:r w:rsidR="0039286E" w:rsidRPr="00872293">
        <w:rPr>
          <w:rFonts w:ascii="Times New Roman" w:hAnsi="Times New Roman" w:cs="Times New Roman"/>
        </w:rPr>
        <w:t>4</w:t>
      </w:r>
      <w:r w:rsidRPr="00872293">
        <w:rPr>
          <w:rFonts w:ascii="Times New Roman" w:hAnsi="Times New Roman" w:cs="Times New Roman"/>
        </w:rPr>
        <w:t xml:space="preserve">) rather than mortality </w:t>
      </w:r>
      <w:bookmarkEnd w:id="87"/>
      <w:r w:rsidRPr="00872293">
        <w:rPr>
          <w:rFonts w:ascii="Times New Roman" w:hAnsi="Times New Roman" w:cs="Times New Roman"/>
        </w:rPr>
        <w:t>(</w:t>
      </w:r>
      <w:r w:rsidR="004B6F4C" w:rsidRPr="00872293">
        <w:rPr>
          <w:rFonts w:ascii="Times New Roman" w:hAnsi="Times New Roman" w:cs="Times New Roman"/>
        </w:rPr>
        <w:t>Figure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f). Production (</w:t>
      </w:r>
      <w:r w:rsidR="004B6F4C" w:rsidRPr="00872293">
        <w:rPr>
          <w:rFonts w:ascii="Times New Roman" w:hAnsi="Times New Roman" w:cs="Times New Roman"/>
        </w:rPr>
        <w:t>Figure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b) and mortality (</w:t>
      </w:r>
      <w:r w:rsidR="004B6F4C" w:rsidRPr="00872293">
        <w:rPr>
          <w:rFonts w:ascii="Times New Roman" w:hAnsi="Times New Roman" w:cs="Times New Roman"/>
        </w:rPr>
        <w:t>Figure</w:t>
      </w:r>
      <w:r w:rsidRPr="00872293">
        <w:rPr>
          <w:rFonts w:ascii="Times New Roman" w:hAnsi="Times New Roman" w:cs="Times New Roman"/>
        </w:rPr>
        <w:t xml:space="preserve"> </w:t>
      </w:r>
      <w:r w:rsidR="00F42D1D"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c) were highly variable through time</w:t>
      </w:r>
      <w:r w:rsidR="00800EF5" w:rsidRPr="00872293">
        <w:rPr>
          <w:rFonts w:ascii="Times New Roman" w:hAnsi="Times New Roman" w:cs="Times New Roman"/>
        </w:rPr>
        <w:t xml:space="preserve"> (CV of 63%, and 130%, respectively)</w:t>
      </w:r>
      <w:r w:rsidRPr="00872293">
        <w:rPr>
          <w:rFonts w:ascii="Times New Roman" w:hAnsi="Times New Roman" w:cs="Times New Roman"/>
        </w:rPr>
        <w:t xml:space="preserve">. There was no significant time × treatment interaction on root mortality (Table </w:t>
      </w:r>
      <w:r w:rsidR="0039286E" w:rsidRPr="00872293">
        <w:rPr>
          <w:rFonts w:ascii="Times New Roman" w:hAnsi="Times New Roman" w:cs="Times New Roman"/>
        </w:rPr>
        <w:t>4</w:t>
      </w:r>
      <w:r w:rsidRPr="00872293">
        <w:rPr>
          <w:rFonts w:ascii="Times New Roman" w:hAnsi="Times New Roman" w:cs="Times New Roman"/>
        </w:rPr>
        <w:t xml:space="preserve">). The best fit model from the mixed effects model analysis included treatment (warming), time (session), and their interaction (Table </w:t>
      </w:r>
      <w:r w:rsidR="0039286E" w:rsidRPr="00872293">
        <w:rPr>
          <w:rFonts w:ascii="Times New Roman" w:hAnsi="Times New Roman" w:cs="Times New Roman"/>
        </w:rPr>
        <w:t>4</w:t>
      </w:r>
      <w:r w:rsidRPr="00872293">
        <w:rPr>
          <w:rFonts w:ascii="Times New Roman" w:hAnsi="Times New Roman" w:cs="Times New Roman"/>
        </w:rPr>
        <w:t xml:space="preserve">); soil moisture </w:t>
      </w:r>
      <w:r w:rsidR="000E1A4F" w:rsidRPr="00872293">
        <w:rPr>
          <w:rFonts w:ascii="Times New Roman" w:hAnsi="Times New Roman" w:cs="Times New Roman"/>
        </w:rPr>
        <w:t>was not included in the best fit</w:t>
      </w:r>
      <w:r w:rsidRPr="00872293">
        <w:rPr>
          <w:rFonts w:ascii="Times New Roman" w:hAnsi="Times New Roman" w:cs="Times New Roman"/>
        </w:rPr>
        <w:t xml:space="preserve"> model and temperature was removed due to collinearity. Root turnover was 1.97 year</w:t>
      </w:r>
      <w:r w:rsidRPr="00872293">
        <w:rPr>
          <w:rFonts w:ascii="Times New Roman" w:hAnsi="Times New Roman" w:cs="Times New Roman"/>
          <w:vertAlign w:val="superscript"/>
        </w:rPr>
        <w:t>-1</w:t>
      </w:r>
      <w:r w:rsidRPr="00872293">
        <w:rPr>
          <w:rFonts w:ascii="Times New Roman" w:hAnsi="Times New Roman" w:cs="Times New Roman"/>
        </w:rPr>
        <w:t xml:space="preserve"> for the 7 months of the warming experiment (1.93 year</w:t>
      </w:r>
      <w:r w:rsidRPr="00872293">
        <w:rPr>
          <w:rFonts w:ascii="Times New Roman" w:hAnsi="Times New Roman" w:cs="Times New Roman"/>
          <w:vertAlign w:val="superscript"/>
        </w:rPr>
        <w:t>-1</w:t>
      </w:r>
      <w:r w:rsidRPr="00872293">
        <w:rPr>
          <w:rFonts w:ascii="Times New Roman" w:hAnsi="Times New Roman" w:cs="Times New Roman"/>
        </w:rPr>
        <w:t xml:space="preserve"> for control plots and 2.07 year</w:t>
      </w:r>
      <w:r w:rsidRPr="00872293">
        <w:rPr>
          <w:rFonts w:ascii="Times New Roman" w:hAnsi="Times New Roman" w:cs="Times New Roman"/>
          <w:vertAlign w:val="superscript"/>
        </w:rPr>
        <w:t>-1</w:t>
      </w:r>
      <w:r w:rsidRPr="00872293">
        <w:rPr>
          <w:rFonts w:ascii="Times New Roman" w:hAnsi="Times New Roman" w:cs="Times New Roman"/>
        </w:rPr>
        <w:t xml:space="preserve"> for warmed plots). Analyses by root surface area presented a very similar pattern to root standing stock</w:t>
      </w:r>
      <w:r w:rsidR="00535566" w:rsidRPr="00872293">
        <w:rPr>
          <w:rFonts w:ascii="Times New Roman" w:hAnsi="Times New Roman" w:cs="Times New Roman"/>
        </w:rPr>
        <w:t>.</w:t>
      </w:r>
    </w:p>
    <w:p w14:paraId="488F500D" w14:textId="7501E307" w:rsidR="005624B0" w:rsidRPr="00872293" w:rsidRDefault="005624B0" w:rsidP="00916183">
      <w:pPr>
        <w:spacing w:line="360" w:lineRule="auto"/>
        <w:rPr>
          <w:rFonts w:ascii="Times New Roman" w:hAnsi="Times New Roman" w:cs="Times New Roman"/>
        </w:rPr>
      </w:pPr>
    </w:p>
    <w:p w14:paraId="646F69E5" w14:textId="2DCD8DB6" w:rsidR="00E264D2" w:rsidRDefault="00E264D2" w:rsidP="00513656">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From the soil core data, the annual aboveground measurements, and the soil sensors from before the hurricanes, </w:t>
      </w:r>
      <w:bookmarkStart w:id="88" w:name="_Hlk53820325"/>
      <w:r w:rsidRPr="00872293">
        <w:rPr>
          <w:rFonts w:ascii="Times New Roman" w:eastAsia="Times New Roman" w:hAnsi="Times New Roman" w:cs="Times New Roman"/>
        </w:rPr>
        <w:t>we found that soil NH</w:t>
      </w:r>
      <w:r w:rsidRPr="00872293">
        <w:rPr>
          <w:rFonts w:ascii="Times New Roman" w:eastAsia="Times New Roman" w:hAnsi="Times New Roman" w:cs="Times New Roman"/>
          <w:vertAlign w:val="subscript"/>
        </w:rPr>
        <w:t>4</w:t>
      </w:r>
      <w:r w:rsidRPr="00872293">
        <w:rPr>
          <w:rFonts w:ascii="Times New Roman" w:eastAsia="Times New Roman" w:hAnsi="Times New Roman" w:cs="Times New Roman"/>
          <w:vertAlign w:val="superscript"/>
        </w:rPr>
        <w:t>+</w:t>
      </w:r>
      <w:r w:rsidRPr="00872293">
        <w:rPr>
          <w:rFonts w:ascii="Times New Roman" w:eastAsia="Times New Roman" w:hAnsi="Times New Roman" w:cs="Times New Roman"/>
        </w:rPr>
        <w:t xml:space="preserve"> was positively related to root production only when considering treatment in the model (</w:t>
      </w:r>
      <w:r w:rsidR="0019671E" w:rsidRPr="00872293">
        <w:rPr>
          <w:rFonts w:ascii="Times New Roman" w:eastAsia="Times New Roman" w:hAnsi="Times New Roman" w:cs="Times New Roman"/>
        </w:rPr>
        <w:t>P</w:t>
      </w:r>
      <w:r w:rsidRPr="00872293">
        <w:rPr>
          <w:rFonts w:ascii="Times New Roman" w:eastAsia="Times New Roman" w:hAnsi="Times New Roman" w:cs="Times New Roman"/>
        </w:rPr>
        <w:t xml:space="preserve">&lt;0.01, </w:t>
      </w:r>
      <w:r w:rsidRPr="00872293">
        <w:rPr>
          <w:rFonts w:ascii="Times New Roman" w:eastAsia="Times New Roman" w:hAnsi="Times New Roman" w:cs="Times New Roman"/>
          <w:i/>
          <w:iCs/>
        </w:rPr>
        <w:t>R</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=0.95; Table </w:t>
      </w:r>
      <w:r w:rsidR="0073399C" w:rsidRPr="00872293">
        <w:rPr>
          <w:rFonts w:ascii="Times New Roman" w:eastAsia="Times New Roman" w:hAnsi="Times New Roman" w:cs="Times New Roman"/>
        </w:rPr>
        <w:t>6</w:t>
      </w:r>
      <w:r w:rsidRPr="00872293">
        <w:rPr>
          <w:rFonts w:ascii="Times New Roman" w:eastAsia="Times New Roman" w:hAnsi="Times New Roman" w:cs="Times New Roman"/>
        </w:rPr>
        <w:t xml:space="preserve">, Figure </w:t>
      </w:r>
      <w:r w:rsidR="006C3B79" w:rsidRPr="00872293">
        <w:rPr>
          <w:rFonts w:ascii="Times New Roman" w:eastAsia="Times New Roman" w:hAnsi="Times New Roman" w:cs="Times New Roman"/>
        </w:rPr>
        <w:t>1</w:t>
      </w:r>
      <w:r w:rsidRPr="00872293">
        <w:rPr>
          <w:rFonts w:ascii="Times New Roman" w:eastAsia="Times New Roman" w:hAnsi="Times New Roman" w:cs="Times New Roman"/>
        </w:rPr>
        <w:t xml:space="preserve">3a) across the 7 months (Table </w:t>
      </w:r>
      <w:r w:rsidR="0073399C" w:rsidRPr="00872293">
        <w:rPr>
          <w:rFonts w:ascii="Times New Roman" w:eastAsia="Times New Roman" w:hAnsi="Times New Roman" w:cs="Times New Roman"/>
        </w:rPr>
        <w:t>6</w:t>
      </w:r>
      <w:r w:rsidRPr="00872293">
        <w:rPr>
          <w:rFonts w:ascii="Times New Roman" w:eastAsia="Times New Roman" w:hAnsi="Times New Roman" w:cs="Times New Roman"/>
        </w:rPr>
        <w:t xml:space="preserve">). We also found a positive relationship between root production and microbial N throughout all plots </w:t>
      </w:r>
      <w:r w:rsidR="00C9211E" w:rsidRPr="00872293">
        <w:rPr>
          <w:rFonts w:ascii="Times New Roman" w:eastAsia="Times New Roman" w:hAnsi="Times New Roman" w:cs="Times New Roman"/>
        </w:rPr>
        <w:t xml:space="preserve">not </w:t>
      </w:r>
      <w:r w:rsidRPr="00872293">
        <w:rPr>
          <w:rFonts w:ascii="Times New Roman" w:eastAsia="Times New Roman" w:hAnsi="Times New Roman" w:cs="Times New Roman"/>
        </w:rPr>
        <w:t xml:space="preserve">considering treatment in the model (P=0.07, </w:t>
      </w:r>
      <w:r w:rsidRPr="00872293">
        <w:rPr>
          <w:rFonts w:ascii="Times New Roman" w:eastAsia="Times New Roman" w:hAnsi="Times New Roman" w:cs="Times New Roman"/>
          <w:i/>
          <w:iCs/>
        </w:rPr>
        <w:t>R</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=0.5</w:t>
      </w:r>
      <w:r w:rsidR="00C9211E" w:rsidRPr="00872293">
        <w:rPr>
          <w:rFonts w:ascii="Times New Roman" w:eastAsia="Times New Roman" w:hAnsi="Times New Roman" w:cs="Times New Roman"/>
        </w:rPr>
        <w:t>0</w:t>
      </w:r>
      <w:r w:rsidRPr="00872293">
        <w:rPr>
          <w:rFonts w:ascii="Times New Roman" w:eastAsia="Times New Roman" w:hAnsi="Times New Roman" w:cs="Times New Roman"/>
        </w:rPr>
        <w:t>; Fig</w:t>
      </w:r>
      <w:r w:rsidR="006C3B79" w:rsidRPr="00872293">
        <w:rPr>
          <w:rFonts w:ascii="Times New Roman" w:eastAsia="Times New Roman" w:hAnsi="Times New Roman" w:cs="Times New Roman"/>
        </w:rPr>
        <w:t>ure 1</w:t>
      </w:r>
      <w:r w:rsidRPr="00872293">
        <w:rPr>
          <w:rFonts w:ascii="Times New Roman" w:eastAsia="Times New Roman" w:hAnsi="Times New Roman" w:cs="Times New Roman"/>
        </w:rPr>
        <w:t xml:space="preserve">3b, Table </w:t>
      </w:r>
      <w:r w:rsidR="0073399C" w:rsidRPr="00872293">
        <w:rPr>
          <w:rFonts w:ascii="Times New Roman" w:eastAsia="Times New Roman" w:hAnsi="Times New Roman" w:cs="Times New Roman"/>
        </w:rPr>
        <w:lastRenderedPageBreak/>
        <w:t>6</w:t>
      </w:r>
      <w:r w:rsidRPr="00872293">
        <w:rPr>
          <w:rFonts w:ascii="Times New Roman" w:eastAsia="Times New Roman" w:hAnsi="Times New Roman" w:cs="Times New Roman"/>
        </w:rPr>
        <w:t xml:space="preserve">). Microbial N was also positively related to root mortality throughout all plots </w:t>
      </w:r>
      <w:r w:rsidR="00D37877" w:rsidRPr="00872293">
        <w:rPr>
          <w:rFonts w:ascii="Times New Roman" w:eastAsia="Times New Roman" w:hAnsi="Times New Roman" w:cs="Times New Roman"/>
        </w:rPr>
        <w:t>not</w:t>
      </w:r>
      <w:r w:rsidRPr="00872293">
        <w:rPr>
          <w:rFonts w:ascii="Times New Roman" w:eastAsia="Times New Roman" w:hAnsi="Times New Roman" w:cs="Times New Roman"/>
        </w:rPr>
        <w:t xml:space="preserve"> considering treatment in the model (P=0.07, </w:t>
      </w:r>
      <w:r w:rsidRPr="00872293">
        <w:rPr>
          <w:rFonts w:ascii="Times New Roman" w:eastAsia="Times New Roman" w:hAnsi="Times New Roman" w:cs="Times New Roman"/>
          <w:i/>
          <w:iCs/>
        </w:rPr>
        <w:t>R</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=0.5</w:t>
      </w:r>
      <w:r w:rsidR="00D37877" w:rsidRPr="00872293">
        <w:rPr>
          <w:rFonts w:ascii="Times New Roman" w:eastAsia="Times New Roman" w:hAnsi="Times New Roman" w:cs="Times New Roman"/>
        </w:rPr>
        <w:t>0</w:t>
      </w:r>
      <w:r w:rsidRPr="00872293">
        <w:rPr>
          <w:rFonts w:ascii="Times New Roman" w:eastAsia="Times New Roman" w:hAnsi="Times New Roman" w:cs="Times New Roman"/>
        </w:rPr>
        <w:t>; Fig</w:t>
      </w:r>
      <w:r w:rsidR="006C3B79" w:rsidRPr="00872293">
        <w:rPr>
          <w:rFonts w:ascii="Times New Roman" w:eastAsia="Times New Roman" w:hAnsi="Times New Roman" w:cs="Times New Roman"/>
        </w:rPr>
        <w:t>ure 1</w:t>
      </w:r>
      <w:r w:rsidRPr="00872293">
        <w:rPr>
          <w:rFonts w:ascii="Times New Roman" w:eastAsia="Times New Roman" w:hAnsi="Times New Roman" w:cs="Times New Roman"/>
        </w:rPr>
        <w:t xml:space="preserve">3c, Table </w:t>
      </w:r>
      <w:r w:rsidR="0073399C" w:rsidRPr="00872293">
        <w:rPr>
          <w:rFonts w:ascii="Times New Roman" w:eastAsia="Times New Roman" w:hAnsi="Times New Roman" w:cs="Times New Roman"/>
        </w:rPr>
        <w:t>6</w:t>
      </w:r>
      <w:r w:rsidRPr="00872293">
        <w:rPr>
          <w:rFonts w:ascii="Times New Roman" w:eastAsia="Times New Roman" w:hAnsi="Times New Roman" w:cs="Times New Roman"/>
        </w:rPr>
        <w:t>). No aboveground variables showed a relationship with root production before the hurricanes.</w:t>
      </w:r>
    </w:p>
    <w:p w14:paraId="41C24D0B" w14:textId="77777777" w:rsidR="00D44D97" w:rsidRPr="00872293" w:rsidRDefault="00D44D97" w:rsidP="00156F5E">
      <w:pPr>
        <w:spacing w:line="360" w:lineRule="auto"/>
        <w:rPr>
          <w:rFonts w:ascii="Times New Roman" w:eastAsia="Times New Roman" w:hAnsi="Times New Roman" w:cs="Times New Roman"/>
        </w:rPr>
      </w:pPr>
    </w:p>
    <w:p w14:paraId="1ACD360D" w14:textId="77777777" w:rsidR="00BC7788" w:rsidRPr="00872293" w:rsidRDefault="00E273C4" w:rsidP="00156F5E">
      <w:pPr>
        <w:pStyle w:val="Heading3"/>
        <w:spacing w:before="0" w:after="0" w:line="360" w:lineRule="auto"/>
      </w:pPr>
      <w:bookmarkStart w:id="89" w:name="_Toc53689084"/>
      <w:bookmarkEnd w:id="88"/>
      <w:r w:rsidRPr="00872293">
        <w:t>Root dynamics response to the hurricane and the warming treatment legacy</w:t>
      </w:r>
      <w:bookmarkEnd w:id="89"/>
    </w:p>
    <w:p w14:paraId="4D9F6252" w14:textId="361B0FBE" w:rsidR="006F21E1" w:rsidRPr="00872293" w:rsidRDefault="006F21E1" w:rsidP="00156F5E">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Root standing stock increased almost four fold from 774 </w:t>
      </w:r>
      <w:r w:rsidRPr="00872293">
        <w:rPr>
          <w:rFonts w:ascii="Times New Roman" w:eastAsia="Times New Roman" w:hAnsi="Times New Roman" w:cs="Times New Roman"/>
          <w:u w:val="single"/>
        </w:rPr>
        <w:t>+</w:t>
      </w:r>
      <w:r w:rsidRPr="00872293">
        <w:rPr>
          <w:rFonts w:ascii="Times New Roman" w:eastAsia="Times New Roman" w:hAnsi="Times New Roman" w:cs="Times New Roman"/>
        </w:rPr>
        <w:t>223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to 2918 </w:t>
      </w:r>
      <w:r w:rsidRPr="00872293">
        <w:rPr>
          <w:rFonts w:ascii="Times New Roman" w:eastAsia="Times New Roman" w:hAnsi="Times New Roman" w:cs="Times New Roman"/>
          <w:i/>
          <w:iCs/>
          <w:u w:val="single"/>
        </w:rPr>
        <w:t>+</w:t>
      </w:r>
      <w:r w:rsidRPr="00872293">
        <w:rPr>
          <w:rFonts w:ascii="Times New Roman" w:eastAsia="Times New Roman" w:hAnsi="Times New Roman" w:cs="Times New Roman"/>
        </w:rPr>
        <w:t>819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in control plots and three fold in </w:t>
      </w:r>
      <w:r w:rsidR="00A2524D">
        <w:rPr>
          <w:rFonts w:ascii="Times New Roman" w:eastAsia="Times New Roman" w:hAnsi="Times New Roman" w:cs="Times New Roman"/>
        </w:rPr>
        <w:t xml:space="preserve">previously </w:t>
      </w:r>
      <w:r w:rsidRPr="00872293">
        <w:rPr>
          <w:rFonts w:ascii="Times New Roman" w:eastAsia="Times New Roman" w:hAnsi="Times New Roman" w:cs="Times New Roman"/>
        </w:rPr>
        <w:t xml:space="preserve">warmed plots from </w:t>
      </w:r>
      <w:r w:rsidRPr="00872293">
        <w:rPr>
          <w:rFonts w:ascii="Times New Roman" w:hAnsi="Times New Roman" w:cs="Times New Roman"/>
        </w:rPr>
        <w:t xml:space="preserve">569 </w:t>
      </w:r>
      <w:r w:rsidRPr="00872293">
        <w:rPr>
          <w:rFonts w:ascii="Times New Roman" w:hAnsi="Times New Roman" w:cs="Times New Roman"/>
          <w:u w:val="single"/>
        </w:rPr>
        <w:t>+</w:t>
      </w:r>
      <w:r w:rsidRPr="00872293">
        <w:rPr>
          <w:rFonts w:ascii="Times New Roman" w:hAnsi="Times New Roman" w:cs="Times New Roman"/>
        </w:rPr>
        <w:t>102 g m</w:t>
      </w:r>
      <w:r w:rsidRPr="00872293">
        <w:rPr>
          <w:rFonts w:ascii="Times New Roman" w:hAnsi="Times New Roman" w:cs="Times New Roman"/>
          <w:vertAlign w:val="superscript"/>
        </w:rPr>
        <w:t>-2</w:t>
      </w:r>
      <w:r w:rsidRPr="00872293">
        <w:rPr>
          <w:rFonts w:ascii="Times New Roman" w:hAnsi="Times New Roman" w:cs="Times New Roman"/>
        </w:rPr>
        <w:t xml:space="preserve"> to </w:t>
      </w:r>
      <w:r w:rsidRPr="00872293">
        <w:rPr>
          <w:rFonts w:ascii="Times New Roman" w:eastAsia="Times New Roman" w:hAnsi="Times New Roman" w:cs="Times New Roman"/>
        </w:rPr>
        <w:t xml:space="preserve">1465 </w:t>
      </w:r>
      <w:r w:rsidRPr="00872293">
        <w:rPr>
          <w:rFonts w:ascii="Times New Roman" w:eastAsia="Times New Roman" w:hAnsi="Times New Roman" w:cs="Times New Roman"/>
          <w:u w:val="single"/>
        </w:rPr>
        <w:t>+</w:t>
      </w:r>
      <w:r w:rsidRPr="00872293">
        <w:rPr>
          <w:rFonts w:ascii="Times New Roman" w:eastAsia="Times New Roman" w:hAnsi="Times New Roman" w:cs="Times New Roman"/>
        </w:rPr>
        <w:t>369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(Fig</w:t>
      </w:r>
      <w:r w:rsidR="004B6F4C" w:rsidRPr="00872293">
        <w:rPr>
          <w:rFonts w:ascii="Times New Roman" w:eastAsia="Times New Roman" w:hAnsi="Times New Roman" w:cs="Times New Roman"/>
        </w:rPr>
        <w:t xml:space="preserve">ure </w:t>
      </w:r>
      <w:r w:rsidR="00535566" w:rsidRPr="00872293">
        <w:rPr>
          <w:rFonts w:ascii="Times New Roman" w:eastAsia="Times New Roman" w:hAnsi="Times New Roman" w:cs="Times New Roman"/>
        </w:rPr>
        <w:t>1</w:t>
      </w:r>
      <w:r w:rsidR="001621CE" w:rsidRPr="00872293">
        <w:rPr>
          <w:rFonts w:ascii="Times New Roman" w:eastAsia="Times New Roman" w:hAnsi="Times New Roman" w:cs="Times New Roman"/>
        </w:rPr>
        <w:t>2</w:t>
      </w:r>
      <w:r w:rsidRPr="00872293">
        <w:rPr>
          <w:rFonts w:ascii="Times New Roman" w:eastAsia="Times New Roman" w:hAnsi="Times New Roman" w:cs="Times New Roman"/>
        </w:rPr>
        <w:t>a) during the 10 months after the hurricanes (</w:t>
      </w:r>
      <w:r w:rsidR="004B6F4C" w:rsidRPr="00872293">
        <w:rPr>
          <w:rFonts w:ascii="Times New Roman" w:eastAsia="Times New Roman" w:hAnsi="Times New Roman" w:cs="Times New Roman"/>
        </w:rPr>
        <w:t>Figure</w:t>
      </w:r>
      <w:r w:rsidR="00535566" w:rsidRPr="00872293">
        <w:rPr>
          <w:rFonts w:ascii="Times New Roman" w:eastAsia="Times New Roman" w:hAnsi="Times New Roman" w:cs="Times New Roman"/>
        </w:rPr>
        <w:t xml:space="preserve"> 1</w:t>
      </w:r>
      <w:r w:rsidR="001621CE" w:rsidRPr="00872293">
        <w:rPr>
          <w:rFonts w:ascii="Times New Roman" w:eastAsia="Times New Roman" w:hAnsi="Times New Roman" w:cs="Times New Roman"/>
        </w:rPr>
        <w:t>2</w:t>
      </w:r>
      <w:r w:rsidRPr="00872293">
        <w:rPr>
          <w:rFonts w:ascii="Times New Roman" w:eastAsia="Times New Roman" w:hAnsi="Times New Roman" w:cs="Times New Roman"/>
        </w:rPr>
        <w:t>a). This increase over time was greater for the control plots than the</w:t>
      </w:r>
      <w:r w:rsidR="00A2524D">
        <w:rPr>
          <w:rFonts w:ascii="Times New Roman" w:eastAsia="Times New Roman" w:hAnsi="Times New Roman" w:cs="Times New Roman"/>
        </w:rPr>
        <w:t xml:space="preserve"> previously</w:t>
      </w:r>
      <w:r w:rsidRPr="00872293">
        <w:rPr>
          <w:rFonts w:ascii="Times New Roman" w:eastAsia="Times New Roman" w:hAnsi="Times New Roman" w:cs="Times New Roman"/>
        </w:rPr>
        <w:t xml:space="preserve"> warmed plots (time x treatment, </w:t>
      </w:r>
      <w:r w:rsidRPr="00872293">
        <w:rPr>
          <w:rFonts w:ascii="Times New Roman" w:hAnsi="Times New Roman" w:cs="Times New Roman"/>
          <w:i/>
        </w:rPr>
        <w:t>P</w:t>
      </w:r>
      <w:r w:rsidRPr="00872293">
        <w:rPr>
          <w:rFonts w:ascii="Times New Roman" w:hAnsi="Times New Roman" w:cs="Times New Roman"/>
        </w:rPr>
        <w:t xml:space="preserve"> &lt; </w:t>
      </w:r>
      <w:r w:rsidRPr="00872293">
        <w:rPr>
          <w:rFonts w:ascii="Times New Roman" w:eastAsia="Times New Roman" w:hAnsi="Times New Roman" w:cs="Times New Roman"/>
        </w:rPr>
        <w:t xml:space="preserve">0.01, Table </w:t>
      </w:r>
      <w:r w:rsidR="0039286E" w:rsidRPr="00872293">
        <w:rPr>
          <w:rFonts w:ascii="Times New Roman" w:eastAsia="Times New Roman" w:hAnsi="Times New Roman" w:cs="Times New Roman"/>
        </w:rPr>
        <w:t>4</w:t>
      </w:r>
      <w:r w:rsidRPr="00872293">
        <w:rPr>
          <w:rFonts w:ascii="Times New Roman" w:eastAsia="Times New Roman" w:hAnsi="Times New Roman" w:cs="Times New Roman"/>
        </w:rPr>
        <w:t xml:space="preserve">). Soil moisture </w:t>
      </w:r>
      <w:r w:rsidR="00A36E7A" w:rsidRPr="00872293">
        <w:rPr>
          <w:rFonts w:ascii="Times New Roman" w:eastAsia="Times New Roman" w:hAnsi="Times New Roman" w:cs="Times New Roman"/>
        </w:rPr>
        <w:t xml:space="preserve">and </w:t>
      </w:r>
      <w:r w:rsidRPr="00872293">
        <w:rPr>
          <w:rFonts w:ascii="Times New Roman" w:eastAsia="Times New Roman" w:hAnsi="Times New Roman" w:cs="Times New Roman"/>
        </w:rPr>
        <w:t xml:space="preserve">root stock </w:t>
      </w:r>
      <w:r w:rsidR="00A36E7A" w:rsidRPr="00872293">
        <w:rPr>
          <w:rFonts w:ascii="Times New Roman" w:eastAsia="Times New Roman" w:hAnsi="Times New Roman" w:cs="Times New Roman"/>
        </w:rPr>
        <w:t xml:space="preserve">were significantly negatively related </w:t>
      </w:r>
      <w:r w:rsidRPr="00872293">
        <w:rPr>
          <w:rFonts w:ascii="Times New Roman" w:eastAsia="Times New Roman" w:hAnsi="Times New Roman" w:cs="Times New Roman"/>
        </w:rPr>
        <w:t xml:space="preserve">(p= 0.01; </w:t>
      </w:r>
      <w:r w:rsidRPr="00872293">
        <w:rPr>
          <w:rFonts w:ascii="Times New Roman" w:eastAsia="Times New Roman" w:hAnsi="Times New Roman" w:cs="Times New Roman"/>
          <w:bCs/>
        </w:rPr>
        <w:t xml:space="preserve">Table </w:t>
      </w:r>
      <w:r w:rsidR="0039286E" w:rsidRPr="00872293">
        <w:rPr>
          <w:rFonts w:ascii="Times New Roman" w:eastAsia="Times New Roman" w:hAnsi="Times New Roman" w:cs="Times New Roman"/>
          <w:bCs/>
        </w:rPr>
        <w:t>4</w:t>
      </w:r>
      <w:r w:rsidRPr="00872293">
        <w:rPr>
          <w:rFonts w:ascii="Times New Roman" w:eastAsia="Times New Roman" w:hAnsi="Times New Roman" w:cs="Times New Roman"/>
        </w:rPr>
        <w:t xml:space="preserve">). </w:t>
      </w:r>
      <w:r w:rsidRPr="00872293">
        <w:rPr>
          <w:rFonts w:ascii="Times New Roman" w:hAnsi="Times New Roman" w:cs="Times New Roman"/>
        </w:rPr>
        <w:t xml:space="preserve">The largest difference in the root standing stock between control and </w:t>
      </w:r>
      <w:r w:rsidR="00A2524D">
        <w:rPr>
          <w:rFonts w:ascii="Times New Roman" w:hAnsi="Times New Roman" w:cs="Times New Roman"/>
        </w:rPr>
        <w:t xml:space="preserve">previously </w:t>
      </w:r>
      <w:r w:rsidRPr="00872293">
        <w:rPr>
          <w:rFonts w:ascii="Times New Roman" w:hAnsi="Times New Roman" w:cs="Times New Roman"/>
        </w:rPr>
        <w:t xml:space="preserve">warmed plots was attributable to increased production in controls from 4 +0.4 </w:t>
      </w:r>
      <w:r w:rsidRPr="00872293">
        <w:rPr>
          <w:rFonts w:ascii="Times New Roman" w:eastAsia="Times New Roman" w:hAnsi="Times New Roman" w:cs="Times New Roman"/>
        </w:rPr>
        <w:t>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day</w:t>
      </w:r>
      <w:r w:rsidRPr="00872293">
        <w:rPr>
          <w:rFonts w:ascii="Times New Roman" w:eastAsia="Times New Roman" w:hAnsi="Times New Roman" w:cs="Times New Roman"/>
          <w:vertAlign w:val="superscript"/>
        </w:rPr>
        <w:t xml:space="preserve">-1 </w:t>
      </w:r>
      <w:r w:rsidRPr="00872293">
        <w:rPr>
          <w:rFonts w:ascii="Times New Roman" w:hAnsi="Times New Roman" w:cs="Times New Roman"/>
        </w:rPr>
        <w:t xml:space="preserve"> right after the hurricanes (October 2017) to 19 </w:t>
      </w:r>
      <w:r w:rsidRPr="00872293">
        <w:rPr>
          <w:rFonts w:ascii="Times New Roman" w:hAnsi="Times New Roman" w:cs="Times New Roman"/>
          <w:u w:val="single"/>
        </w:rPr>
        <w:t>+</w:t>
      </w:r>
      <w:r w:rsidRPr="00872293">
        <w:rPr>
          <w:rFonts w:ascii="Times New Roman" w:hAnsi="Times New Roman" w:cs="Times New Roman"/>
        </w:rPr>
        <w:t xml:space="preserve">3 </w:t>
      </w:r>
      <w:r w:rsidRPr="00872293">
        <w:rPr>
          <w:rFonts w:ascii="Times New Roman" w:eastAsia="Times New Roman" w:hAnsi="Times New Roman" w:cs="Times New Roman"/>
        </w:rPr>
        <w:t>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day</w:t>
      </w:r>
      <w:r w:rsidRPr="00872293">
        <w:rPr>
          <w:rFonts w:ascii="Times New Roman" w:eastAsia="Times New Roman" w:hAnsi="Times New Roman" w:cs="Times New Roman"/>
          <w:vertAlign w:val="superscript"/>
        </w:rPr>
        <w:t xml:space="preserve">-1 </w:t>
      </w:r>
      <w:r w:rsidRPr="00872293">
        <w:rPr>
          <w:rFonts w:ascii="Times New Roman" w:hAnsi="Times New Roman" w:cs="Times New Roman"/>
        </w:rPr>
        <w:t xml:space="preserve">after 10 months of the hurricanes (June 2018, </w:t>
      </w:r>
      <w:r w:rsidR="004B6F4C" w:rsidRPr="00872293">
        <w:rPr>
          <w:rFonts w:ascii="Times New Roman" w:hAnsi="Times New Roman" w:cs="Times New Roman"/>
        </w:rPr>
        <w:t>Figure</w:t>
      </w:r>
      <w:r w:rsidRPr="00872293">
        <w:rPr>
          <w:rFonts w:ascii="Times New Roman" w:hAnsi="Times New Roman" w:cs="Times New Roman"/>
        </w:rPr>
        <w:t xml:space="preserve"> </w:t>
      </w:r>
      <w:r w:rsidR="00535566"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b, </w:t>
      </w:r>
      <w:r w:rsidR="00535566"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e) compared to 4.3 </w:t>
      </w:r>
      <w:r w:rsidRPr="00872293">
        <w:rPr>
          <w:rFonts w:ascii="Times New Roman" w:hAnsi="Times New Roman" w:cs="Times New Roman"/>
          <w:u w:val="single"/>
        </w:rPr>
        <w:t>+</w:t>
      </w:r>
      <w:r w:rsidRPr="00872293">
        <w:rPr>
          <w:rFonts w:ascii="Times New Roman" w:hAnsi="Times New Roman" w:cs="Times New Roman"/>
        </w:rPr>
        <w:t>2</w:t>
      </w:r>
      <w:r w:rsidRPr="00872293">
        <w:rPr>
          <w:rFonts w:ascii="Times New Roman" w:eastAsia="Times New Roman" w:hAnsi="Times New Roman" w:cs="Times New Roman"/>
        </w:rPr>
        <w:t xml:space="preserve"> 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day</w:t>
      </w:r>
      <w:r w:rsidRPr="00872293">
        <w:rPr>
          <w:rFonts w:ascii="Times New Roman" w:eastAsia="Times New Roman" w:hAnsi="Times New Roman" w:cs="Times New Roman"/>
          <w:vertAlign w:val="superscript"/>
        </w:rPr>
        <w:t xml:space="preserve">-1 </w:t>
      </w:r>
      <w:r w:rsidRPr="00872293">
        <w:rPr>
          <w:rFonts w:ascii="Times New Roman" w:hAnsi="Times New Roman" w:cs="Times New Roman"/>
        </w:rPr>
        <w:t xml:space="preserve"> to 5 </w:t>
      </w:r>
      <w:r w:rsidRPr="00872293">
        <w:rPr>
          <w:rFonts w:ascii="Times New Roman" w:hAnsi="Times New Roman" w:cs="Times New Roman"/>
          <w:u w:val="single"/>
        </w:rPr>
        <w:t>+</w:t>
      </w:r>
      <w:r w:rsidRPr="00872293">
        <w:rPr>
          <w:rFonts w:ascii="Times New Roman" w:hAnsi="Times New Roman" w:cs="Times New Roman"/>
        </w:rPr>
        <w:t xml:space="preserve">0.6 </w:t>
      </w:r>
      <w:r w:rsidRPr="00872293">
        <w:rPr>
          <w:rFonts w:ascii="Times New Roman" w:eastAsia="Times New Roman" w:hAnsi="Times New Roman" w:cs="Times New Roman"/>
        </w:rPr>
        <w:t>g m</w:t>
      </w:r>
      <w:r w:rsidRPr="00872293">
        <w:rPr>
          <w:rFonts w:ascii="Times New Roman" w:eastAsia="Times New Roman" w:hAnsi="Times New Roman" w:cs="Times New Roman"/>
          <w:vertAlign w:val="superscript"/>
        </w:rPr>
        <w:t>-2</w:t>
      </w:r>
      <w:r w:rsidRPr="00872293">
        <w:rPr>
          <w:rFonts w:ascii="Times New Roman" w:eastAsia="Times New Roman" w:hAnsi="Times New Roman" w:cs="Times New Roman"/>
        </w:rPr>
        <w:t xml:space="preserve"> day</w:t>
      </w:r>
      <w:r w:rsidRPr="00872293">
        <w:rPr>
          <w:rFonts w:ascii="Times New Roman" w:eastAsia="Times New Roman" w:hAnsi="Times New Roman" w:cs="Times New Roman"/>
          <w:vertAlign w:val="superscript"/>
        </w:rPr>
        <w:t xml:space="preserve">-1 </w:t>
      </w:r>
      <w:r w:rsidRPr="00872293">
        <w:rPr>
          <w:rFonts w:ascii="Times New Roman" w:hAnsi="Times New Roman" w:cs="Times New Roman"/>
        </w:rPr>
        <w:t>in the previously warmed plots</w:t>
      </w:r>
      <w:r w:rsidRPr="00872293">
        <w:rPr>
          <w:rFonts w:ascii="Times New Roman" w:eastAsia="Times New Roman" w:hAnsi="Times New Roman" w:cs="Times New Roman"/>
        </w:rPr>
        <w:t>. However, there was a large variation of production by time (session) after the hurricanes (</w:t>
      </w:r>
      <w:r w:rsidR="004B6F4C" w:rsidRPr="00872293">
        <w:rPr>
          <w:rFonts w:ascii="Times New Roman" w:hAnsi="Times New Roman" w:cs="Times New Roman"/>
        </w:rPr>
        <w:t>Figure</w:t>
      </w:r>
      <w:r w:rsidRPr="00872293">
        <w:rPr>
          <w:rFonts w:ascii="Times New Roman" w:hAnsi="Times New Roman" w:cs="Times New Roman"/>
        </w:rPr>
        <w:t xml:space="preserve"> </w:t>
      </w:r>
      <w:r w:rsidR="00535566"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 xml:space="preserve">b, </w:t>
      </w:r>
      <w:r w:rsidR="00535566" w:rsidRPr="00872293">
        <w:rPr>
          <w:rFonts w:ascii="Times New Roman" w:hAnsi="Times New Roman" w:cs="Times New Roman"/>
        </w:rPr>
        <w:t>1</w:t>
      </w:r>
      <w:r w:rsidR="001621CE" w:rsidRPr="00872293">
        <w:rPr>
          <w:rFonts w:ascii="Times New Roman" w:hAnsi="Times New Roman" w:cs="Times New Roman"/>
        </w:rPr>
        <w:t>2</w:t>
      </w:r>
      <w:r w:rsidRPr="00872293">
        <w:rPr>
          <w:rFonts w:ascii="Times New Roman" w:hAnsi="Times New Roman" w:cs="Times New Roman"/>
        </w:rPr>
        <w:t>e)</w:t>
      </w:r>
      <w:r w:rsidRPr="00872293">
        <w:rPr>
          <w:rFonts w:ascii="Times New Roman" w:eastAsia="Times New Roman" w:hAnsi="Times New Roman" w:cs="Times New Roman"/>
        </w:rPr>
        <w:t xml:space="preserve">. Soil temperature was included in the best fit model and influenced root production; there was greater production at lower temperatures (P&lt;0.01; </w:t>
      </w:r>
      <w:r w:rsidRPr="00872293">
        <w:rPr>
          <w:rFonts w:ascii="Times New Roman" w:eastAsia="Times New Roman" w:hAnsi="Times New Roman" w:cs="Times New Roman"/>
          <w:bCs/>
        </w:rPr>
        <w:t xml:space="preserve">Table </w:t>
      </w:r>
      <w:r w:rsidR="0039286E" w:rsidRPr="00872293">
        <w:rPr>
          <w:rFonts w:ascii="Times New Roman" w:eastAsia="Times New Roman" w:hAnsi="Times New Roman" w:cs="Times New Roman"/>
          <w:bCs/>
        </w:rPr>
        <w:t>4</w:t>
      </w:r>
      <w:r w:rsidRPr="00872293">
        <w:rPr>
          <w:rFonts w:ascii="Times New Roman" w:eastAsia="Times New Roman" w:hAnsi="Times New Roman" w:cs="Times New Roman"/>
        </w:rPr>
        <w:t>). Root mortality also increased with time (P&lt;0.01) yet none of the other variables affected root mortality (</w:t>
      </w:r>
      <w:r w:rsidRPr="00872293">
        <w:rPr>
          <w:rFonts w:ascii="Times New Roman" w:eastAsia="Times New Roman" w:hAnsi="Times New Roman" w:cs="Times New Roman"/>
          <w:bCs/>
        </w:rPr>
        <w:t xml:space="preserve">Table </w:t>
      </w:r>
      <w:r w:rsidR="0039286E" w:rsidRPr="00872293">
        <w:rPr>
          <w:rFonts w:ascii="Times New Roman" w:eastAsia="Times New Roman" w:hAnsi="Times New Roman" w:cs="Times New Roman"/>
          <w:bCs/>
        </w:rPr>
        <w:t>4</w:t>
      </w:r>
      <w:r w:rsidRPr="00872293">
        <w:rPr>
          <w:rFonts w:ascii="Times New Roman" w:eastAsia="Times New Roman" w:hAnsi="Times New Roman" w:cs="Times New Roman"/>
        </w:rPr>
        <w:t xml:space="preserve">). Treatment </w:t>
      </w:r>
      <w:r w:rsidR="00A36E7A" w:rsidRPr="00872293">
        <w:rPr>
          <w:rFonts w:ascii="Times New Roman" w:eastAsia="Times New Roman" w:hAnsi="Times New Roman" w:cs="Times New Roman"/>
        </w:rPr>
        <w:t>affected</w:t>
      </w:r>
      <w:r w:rsidRPr="00872293">
        <w:rPr>
          <w:rFonts w:ascii="Times New Roman" w:eastAsia="Times New Roman" w:hAnsi="Times New Roman" w:cs="Times New Roman"/>
        </w:rPr>
        <w:t xml:space="preserve"> coarse root stock over time as well (P&lt;0.01; </w:t>
      </w:r>
      <w:r w:rsidR="0039286E" w:rsidRPr="00872293">
        <w:rPr>
          <w:rFonts w:ascii="Times New Roman" w:eastAsia="Times New Roman" w:hAnsi="Times New Roman" w:cs="Times New Roman"/>
        </w:rPr>
        <w:t>Table 4</w:t>
      </w:r>
      <w:r w:rsidRPr="00872293">
        <w:rPr>
          <w:rFonts w:ascii="Times New Roman" w:eastAsia="Times New Roman" w:hAnsi="Times New Roman" w:cs="Times New Roman"/>
        </w:rPr>
        <w:t>). Root turnover was 3.6 year</w:t>
      </w:r>
      <w:r w:rsidRPr="00872293">
        <w:rPr>
          <w:rFonts w:ascii="Times New Roman" w:eastAsia="Times New Roman" w:hAnsi="Times New Roman" w:cs="Times New Roman"/>
          <w:vertAlign w:val="superscript"/>
        </w:rPr>
        <w:t xml:space="preserve">-1 </w:t>
      </w:r>
      <w:r w:rsidRPr="00872293">
        <w:rPr>
          <w:rFonts w:ascii="Times New Roman" w:eastAsia="Times New Roman" w:hAnsi="Times New Roman" w:cs="Times New Roman"/>
        </w:rPr>
        <w:t>for the 10 months after the hurricanes (3.59 year</w:t>
      </w:r>
      <w:r w:rsidRPr="00872293">
        <w:rPr>
          <w:rFonts w:ascii="Times New Roman" w:eastAsia="Times New Roman" w:hAnsi="Times New Roman" w:cs="Times New Roman"/>
          <w:vertAlign w:val="superscript"/>
        </w:rPr>
        <w:t xml:space="preserve">-1 </w:t>
      </w:r>
      <w:r w:rsidRPr="00872293">
        <w:rPr>
          <w:rFonts w:ascii="Times New Roman" w:eastAsia="Times New Roman" w:hAnsi="Times New Roman" w:cs="Times New Roman"/>
        </w:rPr>
        <w:t>for control plots and 3.65 year</w:t>
      </w:r>
      <w:r w:rsidRPr="00872293">
        <w:rPr>
          <w:rFonts w:ascii="Times New Roman" w:eastAsia="Times New Roman" w:hAnsi="Times New Roman" w:cs="Times New Roman"/>
          <w:vertAlign w:val="superscript"/>
        </w:rPr>
        <w:t xml:space="preserve">-1 </w:t>
      </w:r>
      <w:r w:rsidRPr="00872293">
        <w:rPr>
          <w:rFonts w:ascii="Times New Roman" w:eastAsia="Times New Roman" w:hAnsi="Times New Roman" w:cs="Times New Roman"/>
        </w:rPr>
        <w:t xml:space="preserve">for previously warmed plots). </w:t>
      </w:r>
    </w:p>
    <w:p w14:paraId="768BB635" w14:textId="5DE22E0F" w:rsidR="00923D72" w:rsidRPr="00872293" w:rsidRDefault="00923D72" w:rsidP="00916183">
      <w:pPr>
        <w:spacing w:line="360" w:lineRule="auto"/>
        <w:rPr>
          <w:rFonts w:ascii="Times New Roman" w:eastAsia="Times New Roman" w:hAnsi="Times New Roman" w:cs="Times New Roman"/>
        </w:rPr>
      </w:pPr>
    </w:p>
    <w:p w14:paraId="490DF07B" w14:textId="682F175E" w:rsidR="00061F85" w:rsidRPr="00872293" w:rsidRDefault="0016339E" w:rsidP="00513656">
      <w:pPr>
        <w:spacing w:line="360" w:lineRule="auto"/>
        <w:rPr>
          <w:rFonts w:ascii="Times New Roman" w:eastAsia="Times New Roman" w:hAnsi="Times New Roman" w:cs="Times New Roman"/>
        </w:rPr>
      </w:pPr>
      <w:bookmarkStart w:id="90" w:name="_Hlk53750255"/>
      <w:bookmarkStart w:id="91" w:name="_Hlk53820395"/>
      <w:r w:rsidRPr="00872293">
        <w:rPr>
          <w:rFonts w:ascii="Times New Roman" w:eastAsia="Times New Roman" w:hAnsi="Times New Roman" w:cs="Times New Roman"/>
        </w:rPr>
        <w:t>R</w:t>
      </w:r>
      <w:r w:rsidR="00061F85" w:rsidRPr="00872293">
        <w:rPr>
          <w:rFonts w:ascii="Times New Roman" w:eastAsia="Times New Roman" w:hAnsi="Times New Roman" w:cs="Times New Roman"/>
        </w:rPr>
        <w:t xml:space="preserve">oot production </w:t>
      </w:r>
      <w:r w:rsidRPr="00872293">
        <w:rPr>
          <w:rFonts w:ascii="Times New Roman" w:eastAsia="Times New Roman" w:hAnsi="Times New Roman" w:cs="Times New Roman"/>
        </w:rPr>
        <w:t xml:space="preserve">after the hurricanes </w:t>
      </w:r>
      <w:r w:rsidR="00061F85" w:rsidRPr="00872293">
        <w:rPr>
          <w:rFonts w:ascii="Times New Roman" w:eastAsia="Times New Roman" w:hAnsi="Times New Roman" w:cs="Times New Roman"/>
        </w:rPr>
        <w:t xml:space="preserve">was again positively related to soil </w:t>
      </w:r>
      <w:r w:rsidR="00061F85" w:rsidRPr="00872293">
        <w:rPr>
          <w:rFonts w:ascii="Times New Roman" w:hAnsi="Times New Roman" w:cs="Times New Roman"/>
        </w:rPr>
        <w:t>NH</w:t>
      </w:r>
      <w:r w:rsidR="00061F85" w:rsidRPr="00872293">
        <w:rPr>
          <w:rFonts w:ascii="Times New Roman" w:hAnsi="Times New Roman" w:cs="Times New Roman"/>
          <w:vertAlign w:val="subscript"/>
        </w:rPr>
        <w:t>4</w:t>
      </w:r>
      <w:r w:rsidR="00061F85" w:rsidRPr="00872293">
        <w:rPr>
          <w:rFonts w:ascii="Times New Roman" w:hAnsi="Times New Roman" w:cs="Times New Roman"/>
          <w:vertAlign w:val="superscript"/>
        </w:rPr>
        <w:t>+</w:t>
      </w:r>
      <w:r w:rsidR="00061F85" w:rsidRPr="00872293">
        <w:rPr>
          <w:rFonts w:ascii="Times New Roman" w:eastAsia="Times New Roman" w:hAnsi="Times New Roman" w:cs="Times New Roman"/>
        </w:rPr>
        <w:t xml:space="preserve"> throughout all the plots, </w:t>
      </w:r>
      <w:r w:rsidR="005B5BC8" w:rsidRPr="00872293">
        <w:rPr>
          <w:rFonts w:ascii="Times New Roman" w:eastAsia="Times New Roman" w:hAnsi="Times New Roman" w:cs="Times New Roman"/>
        </w:rPr>
        <w:t>not</w:t>
      </w:r>
      <w:r w:rsidR="00061F85" w:rsidRPr="00872293">
        <w:rPr>
          <w:rFonts w:ascii="Times New Roman" w:eastAsia="Times New Roman" w:hAnsi="Times New Roman" w:cs="Times New Roman"/>
        </w:rPr>
        <w:t xml:space="preserve"> considering treatment in the mixed effect model</w:t>
      </w:r>
      <w:bookmarkEnd w:id="90"/>
      <w:r w:rsidR="00061F85" w:rsidRPr="00872293">
        <w:rPr>
          <w:rFonts w:ascii="Times New Roman" w:eastAsia="Times New Roman" w:hAnsi="Times New Roman" w:cs="Times New Roman"/>
        </w:rPr>
        <w:t xml:space="preserve"> (</w:t>
      </w:r>
      <w:r w:rsidR="00061F85" w:rsidRPr="00872293">
        <w:rPr>
          <w:rFonts w:ascii="Times New Roman" w:eastAsia="Times New Roman" w:hAnsi="Times New Roman" w:cs="Times New Roman"/>
          <w:i/>
          <w:iCs/>
        </w:rPr>
        <w:t>P</w:t>
      </w:r>
      <w:r w:rsidR="00061F85" w:rsidRPr="00872293">
        <w:rPr>
          <w:rFonts w:ascii="Times New Roman" w:eastAsia="Times New Roman" w:hAnsi="Times New Roman" w:cs="Times New Roman"/>
        </w:rPr>
        <w:t xml:space="preserve">&lt;0.01, </w:t>
      </w:r>
      <w:r w:rsidR="00061F85" w:rsidRPr="00872293">
        <w:rPr>
          <w:rFonts w:ascii="Times New Roman" w:eastAsia="Times New Roman" w:hAnsi="Times New Roman" w:cs="Times New Roman"/>
          <w:i/>
          <w:iCs/>
        </w:rPr>
        <w:t>R</w:t>
      </w:r>
      <w:r w:rsidR="00061F85" w:rsidRPr="00872293">
        <w:rPr>
          <w:rFonts w:ascii="Times New Roman" w:eastAsia="Times New Roman" w:hAnsi="Times New Roman" w:cs="Times New Roman"/>
          <w:vertAlign w:val="superscript"/>
        </w:rPr>
        <w:t>2</w:t>
      </w:r>
      <w:r w:rsidR="00061F85" w:rsidRPr="00872293">
        <w:rPr>
          <w:rFonts w:ascii="Times New Roman" w:eastAsia="Times New Roman" w:hAnsi="Times New Roman" w:cs="Times New Roman"/>
        </w:rPr>
        <w:t>=0.8</w:t>
      </w:r>
      <w:r w:rsidR="005B5BC8" w:rsidRPr="00872293">
        <w:rPr>
          <w:rFonts w:ascii="Times New Roman" w:eastAsia="Times New Roman" w:hAnsi="Times New Roman" w:cs="Times New Roman"/>
        </w:rPr>
        <w:t>8</w:t>
      </w:r>
      <w:r w:rsidR="00061F85" w:rsidRPr="00872293">
        <w:rPr>
          <w:rFonts w:ascii="Times New Roman" w:eastAsia="Times New Roman" w:hAnsi="Times New Roman" w:cs="Times New Roman"/>
        </w:rPr>
        <w:t>; Fig</w:t>
      </w:r>
      <w:r w:rsidR="006C3B79" w:rsidRPr="00872293">
        <w:rPr>
          <w:rFonts w:ascii="Times New Roman" w:eastAsia="Times New Roman" w:hAnsi="Times New Roman" w:cs="Times New Roman"/>
        </w:rPr>
        <w:t>ure 1</w:t>
      </w:r>
      <w:r w:rsidR="00061F85" w:rsidRPr="00872293">
        <w:rPr>
          <w:rFonts w:ascii="Times New Roman" w:eastAsia="Times New Roman" w:hAnsi="Times New Roman" w:cs="Times New Roman"/>
        </w:rPr>
        <w:t xml:space="preserve">3d, Table </w:t>
      </w:r>
      <w:r w:rsidR="0073399C" w:rsidRPr="00872293">
        <w:rPr>
          <w:rFonts w:ascii="Times New Roman" w:eastAsia="Times New Roman" w:hAnsi="Times New Roman" w:cs="Times New Roman"/>
        </w:rPr>
        <w:t>6</w:t>
      </w:r>
      <w:r w:rsidR="00061F85" w:rsidRPr="00872293">
        <w:rPr>
          <w:rFonts w:ascii="Times New Roman" w:eastAsia="Times New Roman" w:hAnsi="Times New Roman" w:cs="Times New Roman"/>
        </w:rPr>
        <w:t>). Microbial N was positively related to root production only when treatment was considered in the model (</w:t>
      </w:r>
      <w:r w:rsidR="00061F85" w:rsidRPr="00872293">
        <w:rPr>
          <w:rFonts w:ascii="Times New Roman" w:eastAsia="Times New Roman" w:hAnsi="Times New Roman" w:cs="Times New Roman"/>
          <w:i/>
          <w:iCs/>
        </w:rPr>
        <w:t>P</w:t>
      </w:r>
      <w:r w:rsidR="00061F85" w:rsidRPr="00872293">
        <w:rPr>
          <w:rFonts w:ascii="Times New Roman" w:eastAsia="Times New Roman" w:hAnsi="Times New Roman" w:cs="Times New Roman"/>
        </w:rPr>
        <w:t xml:space="preserve">&lt;0.01, </w:t>
      </w:r>
      <w:r w:rsidR="00061F85" w:rsidRPr="00872293">
        <w:rPr>
          <w:rFonts w:ascii="Times New Roman" w:eastAsia="Times New Roman" w:hAnsi="Times New Roman" w:cs="Times New Roman"/>
          <w:i/>
          <w:iCs/>
        </w:rPr>
        <w:t>R</w:t>
      </w:r>
      <w:r w:rsidR="00061F85" w:rsidRPr="00872293">
        <w:rPr>
          <w:rFonts w:ascii="Times New Roman" w:eastAsia="Times New Roman" w:hAnsi="Times New Roman" w:cs="Times New Roman"/>
          <w:i/>
          <w:iCs/>
          <w:vertAlign w:val="superscript"/>
        </w:rPr>
        <w:t>2</w:t>
      </w:r>
      <w:r w:rsidR="00061F85" w:rsidRPr="00872293">
        <w:rPr>
          <w:rFonts w:ascii="Times New Roman" w:eastAsia="Times New Roman" w:hAnsi="Times New Roman" w:cs="Times New Roman"/>
        </w:rPr>
        <w:t>=0.94; Fig</w:t>
      </w:r>
      <w:r w:rsidR="006C3B79" w:rsidRPr="00872293">
        <w:rPr>
          <w:rFonts w:ascii="Times New Roman" w:eastAsia="Times New Roman" w:hAnsi="Times New Roman" w:cs="Times New Roman"/>
        </w:rPr>
        <w:t>ure 1</w:t>
      </w:r>
      <w:r w:rsidR="00061F85" w:rsidRPr="00872293">
        <w:rPr>
          <w:rFonts w:ascii="Times New Roman" w:eastAsia="Times New Roman" w:hAnsi="Times New Roman" w:cs="Times New Roman"/>
        </w:rPr>
        <w:t xml:space="preserve">3e, Table </w:t>
      </w:r>
      <w:r w:rsidR="0073399C" w:rsidRPr="00872293">
        <w:rPr>
          <w:rFonts w:ascii="Times New Roman" w:eastAsia="Times New Roman" w:hAnsi="Times New Roman" w:cs="Times New Roman"/>
        </w:rPr>
        <w:t>6</w:t>
      </w:r>
      <w:r w:rsidR="00061F85" w:rsidRPr="00872293">
        <w:rPr>
          <w:rFonts w:ascii="Times New Roman" w:eastAsia="Times New Roman" w:hAnsi="Times New Roman" w:cs="Times New Roman"/>
        </w:rPr>
        <w:t>). Soil NH</w:t>
      </w:r>
      <w:r w:rsidR="00061F85" w:rsidRPr="00872293">
        <w:rPr>
          <w:rFonts w:ascii="Times New Roman" w:eastAsia="Times New Roman" w:hAnsi="Times New Roman" w:cs="Times New Roman"/>
          <w:vertAlign w:val="subscript"/>
        </w:rPr>
        <w:t>4</w:t>
      </w:r>
      <w:r w:rsidR="00061F85" w:rsidRPr="00872293">
        <w:rPr>
          <w:rFonts w:ascii="Times New Roman" w:eastAsia="Times New Roman" w:hAnsi="Times New Roman" w:cs="Times New Roman"/>
          <w:vertAlign w:val="superscript"/>
        </w:rPr>
        <w:t xml:space="preserve">+ </w:t>
      </w:r>
      <w:r w:rsidR="00061F85" w:rsidRPr="00872293">
        <w:rPr>
          <w:rFonts w:ascii="Times New Roman" w:eastAsia="Times New Roman" w:hAnsi="Times New Roman" w:cs="Times New Roman"/>
        </w:rPr>
        <w:t>was positively related to root mortality throughout all plots</w:t>
      </w:r>
      <w:r w:rsidR="00007B7A" w:rsidRPr="00872293">
        <w:rPr>
          <w:rFonts w:ascii="Times New Roman" w:eastAsia="Times New Roman" w:hAnsi="Times New Roman" w:cs="Times New Roman"/>
        </w:rPr>
        <w:t xml:space="preserve">, not </w:t>
      </w:r>
      <w:r w:rsidR="00061F85" w:rsidRPr="00872293">
        <w:rPr>
          <w:rFonts w:ascii="Times New Roman" w:eastAsia="Times New Roman" w:hAnsi="Times New Roman" w:cs="Times New Roman"/>
        </w:rPr>
        <w:t>considering treatment in the model (</w:t>
      </w:r>
      <w:r w:rsidR="00061F85" w:rsidRPr="00872293">
        <w:rPr>
          <w:rFonts w:ascii="Times New Roman" w:eastAsia="Times New Roman" w:hAnsi="Times New Roman" w:cs="Times New Roman"/>
          <w:i/>
          <w:iCs/>
        </w:rPr>
        <w:t>P</w:t>
      </w:r>
      <w:r w:rsidR="00061F85" w:rsidRPr="00872293">
        <w:rPr>
          <w:rFonts w:ascii="Times New Roman" w:eastAsia="Times New Roman" w:hAnsi="Times New Roman" w:cs="Times New Roman"/>
        </w:rPr>
        <w:t xml:space="preserve">=0.03, </w:t>
      </w:r>
      <w:r w:rsidR="00061F85" w:rsidRPr="00872293">
        <w:rPr>
          <w:rFonts w:ascii="Times New Roman" w:eastAsia="Times New Roman" w:hAnsi="Times New Roman" w:cs="Times New Roman"/>
          <w:i/>
          <w:iCs/>
        </w:rPr>
        <w:t>R</w:t>
      </w:r>
      <w:r w:rsidR="00061F85" w:rsidRPr="00872293">
        <w:rPr>
          <w:rFonts w:ascii="Times New Roman" w:eastAsia="Times New Roman" w:hAnsi="Times New Roman" w:cs="Times New Roman"/>
          <w:i/>
          <w:iCs/>
          <w:vertAlign w:val="superscript"/>
        </w:rPr>
        <w:t>2</w:t>
      </w:r>
      <w:r w:rsidR="00061F85" w:rsidRPr="00872293">
        <w:rPr>
          <w:rFonts w:ascii="Times New Roman" w:eastAsia="Times New Roman" w:hAnsi="Times New Roman" w:cs="Times New Roman"/>
        </w:rPr>
        <w:t>=0.6</w:t>
      </w:r>
      <w:r w:rsidR="00007B7A" w:rsidRPr="00872293">
        <w:rPr>
          <w:rFonts w:ascii="Times New Roman" w:eastAsia="Times New Roman" w:hAnsi="Times New Roman" w:cs="Times New Roman"/>
        </w:rPr>
        <w:t>4</w:t>
      </w:r>
      <w:r w:rsidR="00061F85" w:rsidRPr="00872293">
        <w:rPr>
          <w:rFonts w:ascii="Times New Roman" w:eastAsia="Times New Roman" w:hAnsi="Times New Roman" w:cs="Times New Roman"/>
        </w:rPr>
        <w:t>; Fig</w:t>
      </w:r>
      <w:r w:rsidR="006C3B79" w:rsidRPr="00872293">
        <w:rPr>
          <w:rFonts w:ascii="Times New Roman" w:eastAsia="Times New Roman" w:hAnsi="Times New Roman" w:cs="Times New Roman"/>
        </w:rPr>
        <w:t xml:space="preserve">ure </w:t>
      </w:r>
      <w:r w:rsidR="002D43DD" w:rsidRPr="00872293">
        <w:rPr>
          <w:rFonts w:ascii="Times New Roman" w:eastAsia="Times New Roman" w:hAnsi="Times New Roman" w:cs="Times New Roman"/>
        </w:rPr>
        <w:t>1</w:t>
      </w:r>
      <w:r w:rsidR="00061F85" w:rsidRPr="00872293">
        <w:rPr>
          <w:rFonts w:ascii="Times New Roman" w:eastAsia="Times New Roman" w:hAnsi="Times New Roman" w:cs="Times New Roman"/>
        </w:rPr>
        <w:t xml:space="preserve">3f; Table </w:t>
      </w:r>
      <w:r w:rsidR="0073399C" w:rsidRPr="00872293">
        <w:rPr>
          <w:rFonts w:ascii="Times New Roman" w:eastAsia="Times New Roman" w:hAnsi="Times New Roman" w:cs="Times New Roman"/>
        </w:rPr>
        <w:t>6</w:t>
      </w:r>
      <w:r w:rsidR="00061F85" w:rsidRPr="00872293">
        <w:rPr>
          <w:rFonts w:ascii="Times New Roman" w:eastAsia="Times New Roman" w:hAnsi="Times New Roman" w:cs="Times New Roman"/>
        </w:rPr>
        <w:t>). No aboveground variables showed a correlation with root production after the hurricanes.</w:t>
      </w:r>
    </w:p>
    <w:p w14:paraId="71A053E7" w14:textId="77777777" w:rsidR="005C426F" w:rsidRPr="00872293" w:rsidRDefault="005C426F" w:rsidP="00061F85">
      <w:pPr>
        <w:spacing w:line="360" w:lineRule="auto"/>
        <w:rPr>
          <w:rFonts w:ascii="Times New Roman" w:eastAsia="Times New Roman" w:hAnsi="Times New Roman" w:cs="Times New Roman"/>
        </w:rPr>
      </w:pPr>
    </w:p>
    <w:p w14:paraId="0F705A30" w14:textId="77777777" w:rsidR="00763B16" w:rsidRPr="00872293" w:rsidRDefault="00E273C4" w:rsidP="00156F5E">
      <w:pPr>
        <w:pStyle w:val="Heading3"/>
        <w:spacing w:before="0" w:after="0" w:line="360" w:lineRule="auto"/>
      </w:pPr>
      <w:bookmarkStart w:id="92" w:name="_Toc53689085"/>
      <w:bookmarkEnd w:id="91"/>
      <w:r w:rsidRPr="00872293">
        <w:lastRenderedPageBreak/>
        <w:t>Root dynamics by soil depth</w:t>
      </w:r>
      <w:bookmarkEnd w:id="92"/>
    </w:p>
    <w:p w14:paraId="63E57867" w14:textId="60EA57C4" w:rsidR="005C426F" w:rsidRPr="00872293" w:rsidRDefault="000475FB" w:rsidP="00156F5E">
      <w:pPr>
        <w:pStyle w:val="CommentText"/>
        <w:spacing w:before="240" w:line="360" w:lineRule="auto"/>
        <w:rPr>
          <w:rFonts w:ascii="Times New Roman" w:eastAsia="Times New Roman" w:hAnsi="Times New Roman" w:cs="Times New Roman"/>
          <w:sz w:val="24"/>
          <w:szCs w:val="24"/>
        </w:rPr>
      </w:pPr>
      <w:bookmarkStart w:id="93" w:name="_Hlk43139169"/>
      <w:r w:rsidRPr="00872293">
        <w:rPr>
          <w:rFonts w:ascii="Times New Roman" w:hAnsi="Times New Roman" w:cs="Times New Roman"/>
          <w:sz w:val="24"/>
          <w:szCs w:val="24"/>
        </w:rPr>
        <w:t>Fine-root biomass was predominantly in the top 30 cm of soil (</w:t>
      </w:r>
      <w:r w:rsidR="004B6F4C" w:rsidRPr="00872293">
        <w:rPr>
          <w:rFonts w:ascii="Times New Roman" w:hAnsi="Times New Roman" w:cs="Times New Roman"/>
          <w:sz w:val="24"/>
          <w:szCs w:val="24"/>
        </w:rPr>
        <w:t>Figure</w:t>
      </w:r>
      <w:r w:rsidRPr="00872293">
        <w:rPr>
          <w:rFonts w:ascii="Times New Roman" w:hAnsi="Times New Roman" w:cs="Times New Roman"/>
          <w:sz w:val="24"/>
          <w:szCs w:val="24"/>
        </w:rPr>
        <w:t xml:space="preserve"> </w:t>
      </w:r>
      <w:r w:rsidR="00CD1362" w:rsidRPr="00872293">
        <w:rPr>
          <w:rFonts w:ascii="Times New Roman" w:hAnsi="Times New Roman" w:cs="Times New Roman"/>
          <w:sz w:val="24"/>
          <w:szCs w:val="24"/>
        </w:rPr>
        <w:t>1</w:t>
      </w:r>
      <w:r w:rsidR="002D43DD" w:rsidRPr="00872293">
        <w:rPr>
          <w:rFonts w:ascii="Times New Roman" w:hAnsi="Times New Roman" w:cs="Times New Roman"/>
          <w:sz w:val="24"/>
          <w:szCs w:val="24"/>
        </w:rPr>
        <w:t>4</w:t>
      </w:r>
      <w:r w:rsidRPr="00872293">
        <w:rPr>
          <w:rFonts w:ascii="Times New Roman" w:hAnsi="Times New Roman" w:cs="Times New Roman"/>
          <w:sz w:val="24"/>
          <w:szCs w:val="24"/>
        </w:rPr>
        <w:t xml:space="preserve">). </w:t>
      </w:r>
      <w:r w:rsidRPr="00872293">
        <w:rPr>
          <w:rFonts w:ascii="Times New Roman" w:eastAsia="Times New Roman" w:hAnsi="Times New Roman" w:cs="Times New Roman"/>
          <w:sz w:val="24"/>
          <w:szCs w:val="24"/>
        </w:rPr>
        <w:t xml:space="preserve">The cumulative root biomass distribution beta coefficient was on average 0.92. Although the control plots </w:t>
      </w:r>
      <w:r w:rsidR="00A36E7A" w:rsidRPr="00872293">
        <w:rPr>
          <w:rFonts w:ascii="Times New Roman" w:eastAsia="Times New Roman" w:hAnsi="Times New Roman" w:cs="Times New Roman"/>
          <w:sz w:val="24"/>
          <w:szCs w:val="24"/>
        </w:rPr>
        <w:t>had a slight</w:t>
      </w:r>
      <w:r w:rsidRPr="00872293">
        <w:rPr>
          <w:rFonts w:ascii="Times New Roman" w:eastAsia="Times New Roman" w:hAnsi="Times New Roman" w:cs="Times New Roman"/>
          <w:sz w:val="24"/>
          <w:szCs w:val="24"/>
        </w:rPr>
        <w:t xml:space="preserve"> deeper root distribution (beta=0.95 before hurricanes and beta=0.96 after hurricanes) compared to warmed plots (beta=0.84 before hurricanes and beta=0.90 after hurricanes; </w:t>
      </w:r>
      <w:r w:rsidR="004B6F4C" w:rsidRPr="00872293">
        <w:rPr>
          <w:rFonts w:ascii="Times New Roman" w:eastAsia="Times New Roman" w:hAnsi="Times New Roman" w:cs="Times New Roman"/>
          <w:sz w:val="24"/>
          <w:szCs w:val="24"/>
        </w:rPr>
        <w:t>Figure</w:t>
      </w:r>
      <w:r w:rsidRPr="00872293">
        <w:rPr>
          <w:rFonts w:ascii="Times New Roman" w:eastAsia="Times New Roman" w:hAnsi="Times New Roman" w:cs="Times New Roman"/>
          <w:sz w:val="24"/>
          <w:szCs w:val="24"/>
        </w:rPr>
        <w:t xml:space="preserv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4</w:t>
      </w:r>
      <w:r w:rsidRPr="00872293">
        <w:rPr>
          <w:rFonts w:ascii="Times New Roman" w:eastAsia="Times New Roman" w:hAnsi="Times New Roman" w:cs="Times New Roman"/>
          <w:sz w:val="24"/>
          <w:szCs w:val="24"/>
        </w:rPr>
        <w:t>), this was mainly influenced by existent thicker roots in one control plot. Root production was detected as deep as 90 cm, and root mortality was observed at 100 cm (</w:t>
      </w:r>
      <w:r w:rsidR="004B6F4C" w:rsidRPr="00872293">
        <w:rPr>
          <w:rFonts w:ascii="Times New Roman" w:eastAsia="Times New Roman" w:hAnsi="Times New Roman" w:cs="Times New Roman"/>
          <w:sz w:val="24"/>
          <w:szCs w:val="24"/>
        </w:rPr>
        <w:t>Figure</w:t>
      </w:r>
      <w:r w:rsidRPr="00872293">
        <w:rPr>
          <w:rFonts w:ascii="Times New Roman" w:eastAsia="Times New Roman" w:hAnsi="Times New Roman" w:cs="Times New Roman"/>
          <w:sz w:val="24"/>
          <w:szCs w:val="24"/>
        </w:rPr>
        <w:t xml:space="preserv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5</w:t>
      </w:r>
      <w:r w:rsidRPr="00872293">
        <w:rPr>
          <w:rFonts w:ascii="Times New Roman" w:eastAsia="Times New Roman" w:hAnsi="Times New Roman" w:cs="Times New Roman"/>
          <w:sz w:val="24"/>
          <w:szCs w:val="24"/>
        </w:rPr>
        <w:t>). Overall, depth distribution of root standing stock, root biomass production, and root mortality did not different with treatment before the hurricanes (</w:t>
      </w:r>
      <w:r w:rsidR="004B6F4C" w:rsidRPr="00872293">
        <w:rPr>
          <w:rFonts w:ascii="Times New Roman" w:eastAsia="Times New Roman" w:hAnsi="Times New Roman" w:cs="Times New Roman"/>
          <w:sz w:val="24"/>
          <w:szCs w:val="24"/>
        </w:rPr>
        <w:t>Figure</w:t>
      </w:r>
      <w:r w:rsidRPr="00872293">
        <w:rPr>
          <w:rFonts w:ascii="Times New Roman" w:eastAsia="Times New Roman" w:hAnsi="Times New Roman" w:cs="Times New Roman"/>
          <w:sz w:val="24"/>
          <w:szCs w:val="24"/>
        </w:rPr>
        <w:t xml:space="preserv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5</w:t>
      </w:r>
      <w:r w:rsidRPr="00872293">
        <w:rPr>
          <w:rFonts w:ascii="Times New Roman" w:eastAsia="Times New Roman" w:hAnsi="Times New Roman" w:cs="Times New Roman"/>
          <w:sz w:val="24"/>
          <w:szCs w:val="24"/>
        </w:rPr>
        <w:t xml:space="preserve"> a-c)</w:t>
      </w:r>
      <w:bookmarkEnd w:id="93"/>
      <w:r w:rsidRPr="00872293">
        <w:rPr>
          <w:rFonts w:ascii="Times New Roman" w:eastAsia="Times New Roman" w:hAnsi="Times New Roman" w:cs="Times New Roman"/>
          <w:sz w:val="24"/>
          <w:szCs w:val="24"/>
        </w:rPr>
        <w:t>. Root standing stock increased twofold after the hurricanes in the top 10 cm of soil. However, the greatest increase was in the next two depth ranges (10-20 and 20-30 cm), where standing stock was fivefold greater after the hurricane than before (</w:t>
      </w:r>
      <w:r w:rsidR="004B6F4C" w:rsidRPr="00872293">
        <w:rPr>
          <w:rFonts w:ascii="Times New Roman" w:eastAsia="Times New Roman" w:hAnsi="Times New Roman" w:cs="Times New Roman"/>
          <w:sz w:val="24"/>
          <w:szCs w:val="24"/>
        </w:rPr>
        <w:t>Figure</w:t>
      </w:r>
      <w:r w:rsidRPr="00872293">
        <w:rPr>
          <w:rFonts w:ascii="Times New Roman" w:eastAsia="Times New Roman" w:hAnsi="Times New Roman" w:cs="Times New Roman"/>
          <w:sz w:val="24"/>
          <w:szCs w:val="24"/>
        </w:rPr>
        <w:t xml:space="preserv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5</w:t>
      </w:r>
      <w:r w:rsidRPr="00872293">
        <w:rPr>
          <w:rFonts w:ascii="Times New Roman" w:eastAsia="Times New Roman" w:hAnsi="Times New Roman" w:cs="Times New Roman"/>
          <w:sz w:val="24"/>
          <w:szCs w:val="24"/>
        </w:rPr>
        <w:t>d). Root production increased after the hurricanes, especially for the control plots where production was augmented twofold in the first 10 cm of depth, and more than 50 times that of the next 20 cm of depth (10-30 cm), compared to values before the hurricanes (</w:t>
      </w:r>
      <w:r w:rsidR="004B6F4C" w:rsidRPr="00872293">
        <w:rPr>
          <w:rFonts w:ascii="Times New Roman" w:eastAsia="Times New Roman" w:hAnsi="Times New Roman" w:cs="Times New Roman"/>
          <w:sz w:val="24"/>
          <w:szCs w:val="24"/>
        </w:rPr>
        <w:t>Figure</w:t>
      </w:r>
      <w:r w:rsidRPr="00872293">
        <w:rPr>
          <w:rFonts w:ascii="Times New Roman" w:eastAsia="Times New Roman" w:hAnsi="Times New Roman" w:cs="Times New Roman"/>
          <w:sz w:val="24"/>
          <w:szCs w:val="24"/>
        </w:rPr>
        <w:t xml:space="preserv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5</w:t>
      </w:r>
      <w:r w:rsidRPr="00872293">
        <w:rPr>
          <w:rFonts w:ascii="Times New Roman" w:eastAsia="Times New Roman" w:hAnsi="Times New Roman" w:cs="Times New Roman"/>
          <w:sz w:val="24"/>
          <w:szCs w:val="24"/>
        </w:rPr>
        <w:t>e). Root mortality also increased after the hurricane, with mortality rates ranging from 4-32 times higher compared to those observed before the hurricane, although not in the first 10 cm of depth (Fig</w:t>
      </w:r>
      <w:r w:rsidR="004B6F4C" w:rsidRPr="00872293">
        <w:rPr>
          <w:rFonts w:ascii="Times New Roman" w:eastAsia="Times New Roman" w:hAnsi="Times New Roman" w:cs="Times New Roman"/>
          <w:sz w:val="24"/>
          <w:szCs w:val="24"/>
        </w:rPr>
        <w:t xml:space="preserve">ure </w:t>
      </w:r>
      <w:r w:rsidR="00CD1362" w:rsidRPr="00872293">
        <w:rPr>
          <w:rFonts w:ascii="Times New Roman" w:eastAsia="Times New Roman" w:hAnsi="Times New Roman" w:cs="Times New Roman"/>
          <w:sz w:val="24"/>
          <w:szCs w:val="24"/>
        </w:rPr>
        <w:t>1</w:t>
      </w:r>
      <w:r w:rsidR="002D43DD" w:rsidRPr="00872293">
        <w:rPr>
          <w:rFonts w:ascii="Times New Roman" w:eastAsia="Times New Roman" w:hAnsi="Times New Roman" w:cs="Times New Roman"/>
          <w:sz w:val="24"/>
          <w:szCs w:val="24"/>
        </w:rPr>
        <w:t>5</w:t>
      </w:r>
      <w:r w:rsidRPr="00872293">
        <w:rPr>
          <w:rFonts w:ascii="Times New Roman" w:eastAsia="Times New Roman" w:hAnsi="Times New Roman" w:cs="Times New Roman"/>
          <w:sz w:val="24"/>
          <w:szCs w:val="24"/>
        </w:rPr>
        <w:t xml:space="preserve">f). </w:t>
      </w:r>
    </w:p>
    <w:p w14:paraId="1935F29E" w14:textId="77777777" w:rsidR="003258AF" w:rsidRPr="00872293" w:rsidRDefault="003258AF" w:rsidP="00156F5E">
      <w:pPr>
        <w:pStyle w:val="CommentText"/>
        <w:spacing w:line="360" w:lineRule="auto"/>
        <w:rPr>
          <w:rFonts w:ascii="Times New Roman" w:eastAsia="Times New Roman" w:hAnsi="Times New Roman" w:cs="Times New Roman"/>
          <w:sz w:val="24"/>
          <w:szCs w:val="24"/>
        </w:rPr>
      </w:pPr>
    </w:p>
    <w:p w14:paraId="1C690680" w14:textId="77777777" w:rsidR="00EC3F7A" w:rsidRPr="00872293" w:rsidRDefault="00E273C4" w:rsidP="00156F5E">
      <w:pPr>
        <w:pStyle w:val="Heading3"/>
        <w:spacing w:before="0" w:after="0" w:line="360" w:lineRule="auto"/>
      </w:pPr>
      <w:bookmarkStart w:id="94" w:name="_Toc53689086"/>
      <w:r w:rsidRPr="00872293">
        <w:t>Root morphology from soil in-growth cores</w:t>
      </w:r>
      <w:bookmarkStart w:id="95" w:name="_Hlk31880578"/>
      <w:bookmarkEnd w:id="94"/>
    </w:p>
    <w:bookmarkEnd w:id="95"/>
    <w:p w14:paraId="1F7C729E" w14:textId="0FF40511" w:rsidR="00C75981" w:rsidRPr="00872293" w:rsidRDefault="00C75981" w:rsidP="00737CC4">
      <w:pPr>
        <w:tabs>
          <w:tab w:val="left" w:pos="270"/>
        </w:tabs>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Fine-root morphological traits measured in in-growth cores changed over time. Specific root length (SRL) was significantly </w:t>
      </w:r>
      <w:r w:rsidR="005B5304" w:rsidRPr="00872293">
        <w:rPr>
          <w:rFonts w:ascii="Times New Roman" w:eastAsia="Times New Roman" w:hAnsi="Times New Roman" w:cs="Times New Roman"/>
        </w:rPr>
        <w:t>greater</w:t>
      </w:r>
      <w:r w:rsidRPr="00872293">
        <w:rPr>
          <w:rFonts w:ascii="Times New Roman" w:eastAsia="Times New Roman" w:hAnsi="Times New Roman" w:cs="Times New Roman"/>
        </w:rPr>
        <w:t xml:space="preserve"> 10 months after the hurricanes compared to before the hurricane disturbance events (</w:t>
      </w:r>
      <w:r w:rsidRPr="00872293">
        <w:rPr>
          <w:rFonts w:ascii="Times New Roman" w:eastAsia="Times New Roman" w:hAnsi="Times New Roman" w:cs="Times New Roman"/>
          <w:i/>
          <w:iCs/>
        </w:rPr>
        <w:t>P</w:t>
      </w:r>
      <w:r w:rsidRPr="00872293">
        <w:rPr>
          <w:rFonts w:ascii="Times New Roman" w:eastAsia="Times New Roman" w:hAnsi="Times New Roman" w:cs="Times New Roman"/>
        </w:rPr>
        <w:t xml:space="preserve">&lt;0.01; Fig. </w:t>
      </w:r>
      <w:r w:rsidR="002D43DD" w:rsidRPr="00872293">
        <w:rPr>
          <w:rFonts w:ascii="Times New Roman" w:eastAsia="Times New Roman" w:hAnsi="Times New Roman" w:cs="Times New Roman"/>
        </w:rPr>
        <w:t>16</w:t>
      </w:r>
      <w:r w:rsidRPr="00872293">
        <w:rPr>
          <w:rFonts w:ascii="Times New Roman" w:eastAsia="Times New Roman" w:hAnsi="Times New Roman" w:cs="Times New Roman"/>
        </w:rPr>
        <w:t xml:space="preserve">, Table </w:t>
      </w:r>
      <w:r w:rsidR="00713983" w:rsidRPr="00872293">
        <w:rPr>
          <w:rFonts w:ascii="Times New Roman" w:eastAsia="Times New Roman" w:hAnsi="Times New Roman" w:cs="Times New Roman"/>
        </w:rPr>
        <w:t>7</w:t>
      </w:r>
      <w:r w:rsidRPr="00872293">
        <w:rPr>
          <w:rFonts w:ascii="Times New Roman" w:eastAsia="Times New Roman" w:hAnsi="Times New Roman" w:cs="Times New Roman"/>
        </w:rPr>
        <w:t xml:space="preserve">), and was not related to the </w:t>
      </w:r>
      <w:r w:rsidR="00322D4F" w:rsidRPr="00872293">
        <w:rPr>
          <w:rFonts w:ascii="Times New Roman" w:eastAsia="Times New Roman" w:hAnsi="Times New Roman" w:cs="Times New Roman"/>
        </w:rPr>
        <w:t xml:space="preserve">warming </w:t>
      </w:r>
      <w:r w:rsidRPr="00872293">
        <w:rPr>
          <w:rFonts w:ascii="Times New Roman" w:eastAsia="Times New Roman" w:hAnsi="Times New Roman" w:cs="Times New Roman"/>
        </w:rPr>
        <w:t xml:space="preserve">treatment (Table </w:t>
      </w:r>
      <w:r w:rsidR="00713983" w:rsidRPr="00872293">
        <w:rPr>
          <w:rFonts w:ascii="Times New Roman" w:eastAsia="Times New Roman" w:hAnsi="Times New Roman" w:cs="Times New Roman"/>
        </w:rPr>
        <w:t>7</w:t>
      </w:r>
      <w:r w:rsidRPr="00872293">
        <w:rPr>
          <w:rFonts w:ascii="Times New Roman" w:eastAsia="Times New Roman" w:hAnsi="Times New Roman" w:cs="Times New Roman"/>
        </w:rPr>
        <w:t>). Fine-root diameter decreased significantly after the hurricanes (</w:t>
      </w:r>
      <w:r w:rsidRPr="00872293">
        <w:rPr>
          <w:rFonts w:ascii="Times New Roman" w:eastAsia="Times New Roman" w:hAnsi="Times New Roman" w:cs="Times New Roman"/>
          <w:i/>
          <w:iCs/>
        </w:rPr>
        <w:t>P</w:t>
      </w:r>
      <w:r w:rsidRPr="00872293">
        <w:rPr>
          <w:rFonts w:ascii="Times New Roman" w:eastAsia="Times New Roman" w:hAnsi="Times New Roman" w:cs="Times New Roman"/>
        </w:rPr>
        <w:t xml:space="preserve">&lt;0.01; Figure </w:t>
      </w:r>
      <w:r w:rsidR="002D43DD" w:rsidRPr="00872293">
        <w:rPr>
          <w:rFonts w:ascii="Times New Roman" w:eastAsia="Times New Roman" w:hAnsi="Times New Roman" w:cs="Times New Roman"/>
        </w:rPr>
        <w:t>16</w:t>
      </w:r>
      <w:r w:rsidRPr="00872293">
        <w:rPr>
          <w:rFonts w:ascii="Times New Roman" w:eastAsia="Times New Roman" w:hAnsi="Times New Roman" w:cs="Times New Roman"/>
        </w:rPr>
        <w:t xml:space="preserve">, Table </w:t>
      </w:r>
      <w:r w:rsidR="00713983" w:rsidRPr="00872293">
        <w:rPr>
          <w:rFonts w:ascii="Times New Roman" w:eastAsia="Times New Roman" w:hAnsi="Times New Roman" w:cs="Times New Roman"/>
        </w:rPr>
        <w:t>7</w:t>
      </w:r>
      <w:r w:rsidRPr="00872293">
        <w:rPr>
          <w:rFonts w:ascii="Times New Roman" w:eastAsia="Times New Roman" w:hAnsi="Times New Roman" w:cs="Times New Roman"/>
        </w:rPr>
        <w:t xml:space="preserve">), and </w:t>
      </w:r>
      <w:bookmarkStart w:id="96" w:name="_Hlk53750349"/>
      <w:r w:rsidRPr="00872293">
        <w:rPr>
          <w:rFonts w:ascii="Times New Roman" w:eastAsia="Times New Roman" w:hAnsi="Times New Roman" w:cs="Times New Roman"/>
        </w:rPr>
        <w:t>t</w:t>
      </w:r>
      <w:r w:rsidR="00322D4F" w:rsidRPr="00872293">
        <w:rPr>
          <w:rFonts w:ascii="Times New Roman" w:eastAsia="Times New Roman" w:hAnsi="Times New Roman" w:cs="Times New Roman"/>
        </w:rPr>
        <w:t>his change</w:t>
      </w:r>
      <w:r w:rsidRPr="00872293">
        <w:rPr>
          <w:rFonts w:ascii="Times New Roman" w:eastAsia="Times New Roman" w:hAnsi="Times New Roman" w:cs="Times New Roman"/>
        </w:rPr>
        <w:t xml:space="preserve"> was again not related to t</w:t>
      </w:r>
      <w:r w:rsidR="00322D4F" w:rsidRPr="00872293">
        <w:rPr>
          <w:rFonts w:ascii="Times New Roman" w:eastAsia="Times New Roman" w:hAnsi="Times New Roman" w:cs="Times New Roman"/>
        </w:rPr>
        <w:t>he warming treatment</w:t>
      </w:r>
      <w:r w:rsidRPr="00872293">
        <w:rPr>
          <w:rFonts w:ascii="Times New Roman" w:eastAsia="Times New Roman" w:hAnsi="Times New Roman" w:cs="Times New Roman"/>
        </w:rPr>
        <w:t xml:space="preserve">. </w:t>
      </w:r>
    </w:p>
    <w:p w14:paraId="1F731C7E" w14:textId="77777777" w:rsidR="005C426F" w:rsidRPr="00872293" w:rsidRDefault="005C426F" w:rsidP="00737CC4">
      <w:pPr>
        <w:tabs>
          <w:tab w:val="left" w:pos="270"/>
        </w:tabs>
        <w:spacing w:line="360" w:lineRule="auto"/>
        <w:rPr>
          <w:rFonts w:ascii="Times New Roman" w:eastAsia="Times New Roman" w:hAnsi="Times New Roman" w:cs="Times New Roman"/>
        </w:rPr>
      </w:pPr>
    </w:p>
    <w:p w14:paraId="07CAE50D" w14:textId="77777777" w:rsidR="006B2FDA" w:rsidRPr="00872293" w:rsidRDefault="000F1F3A" w:rsidP="00156F5E">
      <w:pPr>
        <w:pStyle w:val="Heading2"/>
        <w:spacing w:before="0" w:after="0" w:line="360" w:lineRule="auto"/>
        <w:rPr>
          <w:rFonts w:cs="Times New Roman"/>
        </w:rPr>
      </w:pPr>
      <w:bookmarkStart w:id="97" w:name="_Toc53689087"/>
      <w:bookmarkEnd w:id="96"/>
      <w:r w:rsidRPr="00872293">
        <w:rPr>
          <w:rFonts w:cs="Times New Roman"/>
        </w:rPr>
        <w:t>Discussion</w:t>
      </w:r>
      <w:bookmarkEnd w:id="97"/>
    </w:p>
    <w:p w14:paraId="0DC1CE23" w14:textId="3449CEA3" w:rsidR="007A1636" w:rsidRPr="00872293" w:rsidRDefault="007A1636" w:rsidP="00737CC4">
      <w:pPr>
        <w:spacing w:before="240" w:line="360" w:lineRule="auto"/>
        <w:rPr>
          <w:rFonts w:ascii="Times New Roman" w:eastAsia="Times New Roman" w:hAnsi="Times New Roman" w:cs="Times New Roman"/>
          <w:lang w:val="es-BO"/>
        </w:rPr>
      </w:pPr>
      <w:r w:rsidRPr="00872293">
        <w:rPr>
          <w:rFonts w:ascii="Times New Roman" w:eastAsia="Times New Roman" w:hAnsi="Times New Roman" w:cs="Times New Roman"/>
        </w:rPr>
        <w:t xml:space="preserve">Understanding forest responses to multiple disturbances is not straightforward, especially in tropical ecosystems, where more carbon is cycled than in any other biome and where field-based experimental studies are less common than in higher latitudes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ADDIN CSL_CITATION {"citationItems":[{"id":"ITEM-1","itemData":{"author":[{"dropping-particle":"","family":"Saugier","given":"B.","non-dropping-particle":"","parse-names":false,"suffix":""},{"dropping-particle":"","family":"Roy","given":"J.","non-dropping-particle":"","parse-names":false,"suffix":""},{"dropping-particle":"","family":"Mooney","given":"H.A.","non-dropping-particle":"","parse-names":false,"suffix":""}],"container-title":"Terrestrial Global Productivity","editor":[{"dropping-particle":"","family":"Roy","given":"J.","non-dropping-particle":"","parse-names":false,"suffix":""},{"dropping-particle":"","family":"Saugier","given":"B.","non-dropping-particle":"","parse-names":false,"suffix":""},{"dropping-particle":"","family":"Mooney","given":"H.A.","non-dropping-particle":"","parse-names":false,"suffix":""}],"id":"ITEM-1","issued":{"date-parts":[["2001"]]},"page":"543–557","publisher":"Academic Press","publisher-place":"New York","title":"Estimations of global terrestrial productivity: converging toward a single number?","type":"chapter"},"uris":["http://www.mendeley.com/documents/?uuid=d467057a-1ab0-4134-9ddf-cc667d5f2337"]},{"id":"ITEM-2","itemData":{"DOI":"10.1111/gcb.12860","ISSN":"13652486","abstract":"©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Biology","id":"ITEM-2","issue":"6","issued":{"date-parts":[["2015"]]},"page":"2111-2121","title":"Urgent need for warming experiments in tropical forests","type":"article-journal","volume":"21"},"uris":["http://www.mendeley.com/documents/?uuid=1849b672-6e54-4799-a060-836ad328c75f"]},{"id":"ITEM-3","itemData":{"DOI":"https://doi.org/10.1016/C2016-0-04891-X","author":[{"dropping-particle":"","family":"Wood","given":"Tana E.","non-dropping-particle":"","parse-names":false,"suffix":""},{"dropping-particle":"","family":"Cavaleri","given":"Molly A.","non-dropping-particle":"","parse-names":false,"suffix":""},{"dropping-particle":"","family":"Giardina","given":"C. P.","non-dropping-particle":"","parse-names":false,"suffix":""},{"dropping-particle":"","family":"Khan","given":"S.","non-dropping-particle":"","parse-names":false,"suffix":""},{"dropping-particle":"","family":"Mohan","given":"J. E.","non-dropping-particle":"","parse-names":false,"suffix":""},{"dropping-particle":"","family":"Nottingham","given":"A. T.","non-dropping-particle":"","parse-names":false,"suffix":""},{"dropping-particle":"","family":"Reed","given":"S.C.","non-dropping-particle":"","parse-names":false,"suffix":""},{"dropping-particle":"","family":"Slot","given":"M","non-dropping-particle":"","parse-names":false,"suffix":""}],"chapter-number":"14","container-title":"Ecosystem Consequences of Soil Warming","id":"ITEM-3","issued":{"date-parts":[["2019"]]},"page":"385-439","title":"Soil warming effects on tropical forests with highly weathered soils","type":"chapter"},"uris":["http://www.mendeley.com/documents/?uuid=a5f9bd91-a33b-43e8-b03c-f9298e39447a"]}],"mendeley":{"formattedCitation":"(Saugier &lt;i&gt;et al.&lt;/i&gt;, 2001; Cavaleri &lt;i&gt;et al.&lt;/i&gt;, 2015; Wood &lt;i&gt;et al.&lt;/i&gt;, 2019)","plainTextFormattedCitation":"(Saugier et al., 2001; Cavaleri et al., 2015; Wood et al., 2019)","previouslyFormattedCitation":"(Saugier &lt;i&gt;et al.&lt;/i&gt;, 2001; Cavaleri &lt;i&gt;et al.&lt;/i&gt;, 2015; Wood &lt;i&gt;et al.&lt;/i&gt;, 2019)"},"properties":{"noteIndex":0},"schema":"https://github.com/citation-style-language/schema/raw/master/csl-citation.json"}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rPr>
        <w:t xml:space="preserve">(Saugier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xml:space="preserve">, 2001; Cavaleri </w:t>
      </w:r>
      <w:r w:rsidR="00D64D1F" w:rsidRPr="00872293">
        <w:rPr>
          <w:rFonts w:ascii="Times New Roman" w:eastAsia="Times New Roman" w:hAnsi="Times New Roman" w:cs="Times New Roman"/>
          <w:i/>
          <w:noProof/>
        </w:rPr>
        <w:t xml:space="preserve">et </w:t>
      </w:r>
      <w:r w:rsidR="00D64D1F" w:rsidRPr="00872293">
        <w:rPr>
          <w:rFonts w:ascii="Times New Roman" w:eastAsia="Times New Roman" w:hAnsi="Times New Roman" w:cs="Times New Roman"/>
          <w:i/>
          <w:noProof/>
        </w:rPr>
        <w:lastRenderedPageBreak/>
        <w:t>al.</w:t>
      </w:r>
      <w:r w:rsidR="00D64D1F" w:rsidRPr="00872293">
        <w:rPr>
          <w:rFonts w:ascii="Times New Roman" w:eastAsia="Times New Roman" w:hAnsi="Times New Roman" w:cs="Times New Roman"/>
          <w:noProof/>
        </w:rPr>
        <w:t xml:space="preserve">, 2015; Wood </w:t>
      </w:r>
      <w:r w:rsidR="00D64D1F" w:rsidRPr="00872293">
        <w:rPr>
          <w:rFonts w:ascii="Times New Roman" w:eastAsia="Times New Roman" w:hAnsi="Times New Roman" w:cs="Times New Roman"/>
          <w:i/>
          <w:noProof/>
        </w:rPr>
        <w:t>et al.</w:t>
      </w:r>
      <w:r w:rsidR="00D64D1F" w:rsidRPr="00872293">
        <w:rPr>
          <w:rFonts w:ascii="Times New Roman" w:eastAsia="Times New Roman" w:hAnsi="Times New Roman" w:cs="Times New Roman"/>
          <w:noProof/>
        </w:rPr>
        <w:t>, 2019)</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Although changes to the aboveground structure of a tropical forest following a major tropical hurricane can be seen with the naked eye, the untangled response of the rhizosphere is not easily perceived. The combined interactions of nutrient, water, and carbon cycling, as well as the microbial feedbacks in the rhizosphere, can lead to different responses for plant root dynamics facing multiple disturbances compared to a single disturbance </w:t>
      </w:r>
      <w:r w:rsidR="00CE76B7" w:rsidRPr="00872293">
        <w:rPr>
          <w:rFonts w:ascii="Times New Roman" w:eastAsia="Times New Roman" w:hAnsi="Times New Roman" w:cs="Times New Roman"/>
        </w:rPr>
        <w:fldChar w:fldCharType="begin" w:fldLock="1"/>
      </w:r>
      <w:r w:rsidR="00045A85" w:rsidRPr="00872293">
        <w:rPr>
          <w:rFonts w:ascii="Times New Roman" w:eastAsia="Times New Roman" w:hAnsi="Times New Roman" w:cs="Times New Roman"/>
        </w:rPr>
        <w:instrText xml:space="preserve">ADDIN CSL_CITATION {"citationItems":[{"id":"ITEM-1","itemData":{"DOI":"10.1046/j.1469-8137.2003.00757.x","ISSN":"0028646X","abstract":"• Minirhizotron techniques were used to examine root lifespan in Vitis labruscana (Concord grape) for roots born in four different years that varied in rainfall. • Experimental vines were given irrigation (irrigated or not) and canopy pruning treatments (minimal or balanced). Root survival was assessed from 1997 through 2000 and analysed using Cox proportional hazards regression. Model covariates included pruning, irrigation, vine yield, soil depth, root diameter, time of root birth, and numbers of neighboring roots. • Soil depth, root diameter and time of birth consistently influenced root lifespan in all years (P &lt; 0.05). Deeper and coarser roots had longer lifespans. Roots born near bloom were shorter-lived than roots born later in the season. Pruning and irrigation influenced root lifespan in some years but their effects seemed to vary with growing-season environmental conditions. • These data underscore the value of long-term studies in distinguishing factors that consistently affect root lifespan from those that change annually with environmental conditions, and emphasize the diversity in life histories of fine roots within a species.","author":[{"dropping-particle":"","family":"Anderson","given":"L. J.","non-dropping-particle":"","parse-names":false,"suffix":""},{"dropping-particle":"","family":"Comas","given":"L. H.","non-dropping-particle":"","parse-names":false,"suffix":""},{"dropping-particle":"","family":"Lakso","given":"A. N.","non-dropping-particle":"","parse-names":false,"suffix":""},{"dropping-particle":"","family":"Eissenstat","given":"David M.","non-dropping-particle":"","parse-names":false,"suffix":""}],"container-title":"New Phytologist","id":"ITEM-1","issue":"3","issued":{"date-parts":[["2003"]]},"page":"489-501","title":"Multiple risk factors in root survivorship: A 4-year study in Concord grape","type":"article-journal","volume":"158"},"uris":["http://www.mendeley.com/documents/?uuid=977142c3-df40-4764-af3b-b58ce1af71b6"]},{"id":"ITEM-2","itemData":{"DOI":"10.1371/journal.pbio.0030319","ISSN":"15449173","abstract":"In this century, increasing concentrations of carbon dioxide (CO2) and other greenhouse gases in the Earth's atmosphere are expected to cause warmer surface temperatures and changes in precipitation patterns. At the same time, reactive nitrogen is entering natural systems at unprecedented rates. These global environmental changes have consequences for the functioning of natural ecosystems, and responses of these systems may feed back to affect climate and atmospheric composition. Here, we report plant growth responses of an ecosystem exposed to factorial combinations of four expected global environmental changes. We exposed California grassland to elevated CO2, temperature, precipitation, and nitrogen deposition for five years. Root and shoot production did not respond to elevated CO2 or modest warming. Supplemental precipitation led to increases in shoot production and offsetting decreases in root production. Supplemental nitrate deposition increased total production by an average of 26%, primarily by stimulating shoot growth. Interactions among the main treatments were rare. Together, these results suggest that production in this grassland will respond minimally to changes in CO2 and winter precipitation, and to small amounts of warming. Increased nitrate deposition would have stronger effects on the grassland. Aside from this nitrate response, expectations that a changing atmosphere and climate would promote carbon storage by increasing plant growth appear unlikely to be realized in this system.","author":[{"dropping-particle":"","family":"Dukes","given":"Jeffrey S.","non-dropping-particle":"","parse-names":false,"suffix":""},{"dropping-particle":"","family":"Chiariello","given":"Nona R.","non-dropping-particle":"","parse-names":false,"suffix":""},{"dropping-particle":"","family":"Cleland","given":"Elsa E.","non-dropping-particle":"","parse-names":false,"suffix":""},{"dropping-particle":"","family":"Moore","given":"Lisa A.","non-dropping-particle":"","parse-names":false,"suffix":""},{"dropping-particle":"","family":"Rebecca Shaw","given":"M.","non-dropping-particle":"","parse-names":false,"suffix":""},{"dropping-particle":"","family":"Thayer","given":"Susan","non-dropping-particle":"","parse-names":false,"suffix":""},{"dropping-particle":"","family":"Tobeck","given":"Todd","non-dropping-particle":"","parse-names":false,"suffix":""},{"dropping-particle":"","family":"Mooney","given":"Harold A.","non-dropping-particle":"","parse-names":false,"suffix":""},{"dropping-particle":"","family":"Field","given":"Christopher B.","non-dropping-particle":"","parse-names":false,"suffix":""}],"container-title":"PLoS Biology","id":"ITEM-2","issue":"10","issued":{"date-parts":[["2005"]]},"title":"Responses of grassland production to single and multiple global environmental changes","type":"article-journal","volume":"3"},"uris":["http://www.mendeley.com/documents/?uuid=5e9d4e06-e28a-4cdc-ad6f-d3f0f6df029d"]},{"id":"ITEM-3","itemData":{"DOI":"10.1007/s10021-012-9525-3","ISSN":"14329840","abstract":"Human-induced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-3","issue":"4","issued":{"date-parts":[["2012"]]},"page":"542-554","title":"Root Biomass Dynamics Under Experimental Warming and Doubled Precipitation in a Tallgrass Prairie","type":"article-journal","volume":"15"},"uris":["http://www.mendeley.com/documents/?uuid=1f682530-69b0-4b9f-8410-2a104ef6031f"]},{"id":"ITEM-4","itemData":{"DOI":"10.1023/A:1004298804353","ISSN":"0032079X","abstract":"The production and mortality of roots is an important factor determining nutrient and carbon fluxes in terrestrial ecosystems. However, the effect of temperature on the longevity of roots is not understood. In this study the impact of changes in temperature on the longevity of Lolium perenne roots was determined. Plants were grown at 15 </w:instrText>
      </w:r>
      <w:r w:rsidR="00045A85" w:rsidRPr="00872293">
        <w:rPr>
          <w:rFonts w:ascii="Tahoma" w:eastAsia="Times New Roman" w:hAnsi="Tahoma" w:cs="Tahoma"/>
        </w:rPr>
        <w:instrText>�</w:instrText>
      </w:r>
      <w:r w:rsidR="00045A85" w:rsidRPr="00872293">
        <w:rPr>
          <w:rFonts w:ascii="Times New Roman" w:eastAsia="Times New Roman" w:hAnsi="Times New Roman" w:cs="Times New Roman"/>
        </w:rPr>
        <w:instrText xml:space="preserve">C, 21 </w:instrText>
      </w:r>
      <w:r w:rsidR="00045A85" w:rsidRPr="00872293">
        <w:rPr>
          <w:rFonts w:ascii="Tahoma" w:eastAsia="Times New Roman" w:hAnsi="Tahoma" w:cs="Tahoma"/>
        </w:rPr>
        <w:instrText>�</w:instrText>
      </w:r>
      <w:r w:rsidR="00045A85" w:rsidRPr="00872293">
        <w:rPr>
          <w:rFonts w:ascii="Times New Roman" w:eastAsia="Times New Roman" w:hAnsi="Times New Roman" w:cs="Times New Roman"/>
        </w:rPr>
        <w:instrText xml:space="preserve">C and 27 </w:instrText>
      </w:r>
      <w:r w:rsidR="00045A85" w:rsidRPr="00872293">
        <w:rPr>
          <w:rFonts w:ascii="Tahoma" w:eastAsia="Times New Roman" w:hAnsi="Tahoma" w:cs="Tahoma"/>
        </w:rPr>
        <w:instrText>�</w:instrText>
      </w:r>
      <w:r w:rsidR="00045A85" w:rsidRPr="00872293">
        <w:rPr>
          <w:rFonts w:ascii="Times New Roman" w:eastAsia="Times New Roman" w:hAnsi="Times New Roman" w:cs="Times New Roman"/>
        </w:rPr>
        <w:instrText>C and their roots observed using a minirhizotron system. Major effects of temperature were measured with large reductions in root longevity occurring at higher temperatures. The implications of these data are discussed.","author":[{"dropping-particle":"","family":"Forbes","given":"P. J.","non-dropping-particle":"","parse-names":false,"suffix":""},{"dropping-particle":"","family":"Black","given":"K. E.","non-dropping-particle":"","parse-names":false,"suffix":""},{"dropping-particle":"","family":"Hooker","given":"J. E.","non-dropping-particle":"","parse-names":false,"suffix":""}],"container-title":"Plant and Soil","id":"ITEM-4","issue":"1","issued":{"date-parts":[["1997"]]},"page":"87-90","title":"Temperature-induced alteration to root longevity in Lolium perenne","type":"article-journal","volume":"190"},"uris":["http://www.mendeley.com/documents/?uuid=c959a7ca-f975-4490-9691-a7ff0810836d"]},{"id":"ITEM-5","itemData":{"DOI":"10.1111/j.1469-8137.2007.02231.x","ISSN":"0028646X","abstract":"• Effects of warming on root morphology, root mass distribution and microbial activity were studied in organic and mineral soil layers in two alpine ecosystems over &gt; 10 yr, using open-top chambers, in Swedish Lapland. • Root mass was estimated using soil cores. Washed roots were scanned and sorted into four diameter classes, for which variables including root mass (g dry matter (g DM) m-2), root length density (RLD; cm cm-3 soil), specific root length (SRL; m g DM-1), specific root area (SRA; m2 kg DM-1), and number of root tips m-2 were determined. Nitrification (NEA) and denitrification enzyme activity (DEA) in the top 10 cm of soil were measured. • Soil warming shifted the rooting zone towards the upper soil organic layer in both plant communities. In the dry heath, warming increased SRL and SRA of the finest roots in both soil layers, whereas the dry meadow was unaffected. Neither NEA nor DEA exhibited differences attributable to warming. • Tundra plants may respond to climate change by altering their root morphology and mass while microbial activity may be unaffected. This suggests that carbon may be incorporated in tundra soils partly as a result of increases in the mass of the finer roots if temperatures rise. © The Authors (2007).","author":[{"dropping-particle":"","family":"Björk","given":"Robert G.","non-dropping-particle":"","parse-names":false,"suffix":""},{"dropping-particle":"","family":"Majdi","given":"Hooshang","non-dropping-particle":"","parse-names":false,"suffix":""},{"dropping-particle":"","family":"Klemedtsson","given":"Leif","non-dropping-particle":"","parse-names":false,"suffix":""},{"dropping-particle":"","family":"Lewis-Jonsson","given":"Lotta","non-dropping-particle":"","parse-names":false,"suffix":""},{"dropping-particle":"","family":"Molau","given":"Ulf","non-dropping-particle":"","parse-names":false,"suffix":""}],"container-title":"New Phytologist","id":"ITEM-5","issue":"4","issued":{"date-parts":[["2007"]]},"page":"862-873","title":"Long-term warming effects on root morphology, root mass distribution, and microbial activity in two dry tundra plant communities in northern Sweden","type":"article-journal","volume":"176"},"uris":["http://www.mendeley.com/documents/?uuid=9c64d0f1-682c-4fff-883a-95e65c81cfa2"]},{"id":"ITEM-6","itemData":{"DOI":"10.1046/j.1469-8137.2000.00687.x","ISSN":"0028646X","abstract":"There is considerable uncertainty about how rates of soil carbon (C) and nitrogen (N) cycling will change as CO2 accumulates in the Earth's atmosphere. We summarized data from 47 published reports on soil C and N cycling under elevated CO2 in an attempt to generalize whether rates will increase, decrease, or not change. Our synthesis centres on changes in soil respiration, microbial respiration, microbial biomass, gross N mineralization, microbial immobilization and net N mineralization, because these pools and processes represent important control points for the below-ground flow of C and N. To determine whether differences in C allocation between plant life forms influence soil C and N cycling in a predictable manner, we summarized responses beneath graminoid, herbaceous and woody plants grown under ambient and elevated atmospheric CO2. The below-ground pools and processes that we summarized are characterized by a high degree of variability (coefficient of variation 80-800%), making generalizations within and between plant life forms difficult. With few exceptions, rates of soil and microbial respiration were more rapid under elevated CO2, indicating that (1) greater plant growth under elevated CO2 enhanced the amount of C entering the soil, and (2) additional substrate was being metabolized by soil microorganisms. However, microbial biomass, gross N mineralization, microbial immobilization and net N mineralization are characterized by large increases and declines under elevated CO2, contributing to a high degree of variability within and between plant life forms. From this analysis we conclude that there are insufficient data to predict how microbial activity and rates of soil C and N cycling will change as the atmospheric CO2 concentration continues to rise. We argue that current gaps in our understanding of fine-root biology limit our ability to predict the response of soil microorganisms to rising atmospheric CO2, and that understanding differences in fine-root longevity and biochemistry between plant species are necessary for developing a predictive model of soil C and N cycling under elevated CO2.","author":[{"dropping-particle":"","family":"Zak","given":"Donald R.","non-dropping-particle":"","parse-names":false,"suffix":""},{"dropping-particle":"","family":"Pregitzer","given":"Kurt S.","non-dropping-particle":"","parse-names":false,"suffix":""},{"dropping-particle":"","family":"King","given":"John S.","non-dropping-particle":"","parse-names":false,"suffix":""},{"dropping-particle":"","family":"Holmes","given":"William E.","non-dropping-particle":"","parse-names":false,"suffix":""}],"container-title":"New Phytologist","id":"ITEM-6","issue":"1","issued":{"date-parts":[["2000"]]},"page":"201-22","title":"Elevated atmospheric CO2, fine roots and the response of soil microorganisms: A review and hypothesis","type":"article-journal","volume":"147"},"uris":["http://www.mendeley.com/documents/?uuid=5331295d-7165-4be5-a944-de1fdadc84c5"]},{"id":"ITEM-7","itemData":{"DOI":"10.1071/FP13117","ISSN":"14454408","abstract":"Ecosystems exposed to elevated CO2 are often found to sequester more atmospheric carbon due to increased plant growth. We exposed a Danish heath ecosystem to elevated CO2, elevated temperature and extended summer drought alone and in all combinations in order to study whether the expected increased growth would be matched by an increase in root nutrient uptake of NH4+-N and NO3- -N. Root growth was significantly increased by elevated CO2. The roots, however, did not fully compensate for the higher growth with a similar increase in nitrogen uptake per unit of root mass. Hence the nitrogen concentration in roots was decreased in elevated CO2, whereas the biomass N pool was unchanged or even increased. The higher net root production in elevated CO2 might be a strategy for the plants to cope with increased nutrient demand leading to a long-term increase in N uptake on a whole-plant basis. Drought reduced grass root biomass and N uptake, especially when combined with warming, but CO2 was the most pronounced main factor effect. Several significant interactions of the treatments were found, which indicates that the responses were nonadditive and that changes to multiple environmental changes cannot be predicted from single-factor responses alone. Journal compilation © CSIRO 2014.","author":[{"dropping-particle":"","family":"Arndal","given":"M. F.","non-dropping-particle":"","parse-names":false,"suffix":""},{"dropping-particle":"","family":"Schmidt","given":"I. K.","non-dropping-particle":"","parse-names":false,"suffix":""},{"dropping-particle":"","family":"Kongstad","given":"J.","non-dropping-particle":"","parse-names":false,"suffix":""},{"dropping-particle":"","family":"Beier","given":"C.","non-dropping-particle":"","parse-names":false,"suffix":""},{"dropping-particle":"","family":"Michelsen","given":"A.","non-dropping-particle":"","parse-names":false,"suffix":""}],"container-title":"Functional Plant Biology","id":"ITEM-7","issue":"1","issued":{"date-parts":[["2014"]]},"page":"1-10","title":"Root growth and N dynamics in response to multi-year experimental warming, summer drought and elevated CO2 in a mixed heathland-grass ecosystem","type":"article-journal","volume":"41"},"uris":["http://www.mendeley.com/documents/?uuid=639fa112-d204-4848-8bc8-a59bf063f775"]},{"id":"ITEM-8","itemData":{"DOI":"10.1016/j.tree.2018.04.013","ISSN":"01695347","abstract":"Abrupt ecological changes are, by definition, those that occur over short periods of time relative to typical rates of change for a given ecosystem. The potential for such changes is growing due to anthropogenic pressures, which challenges the resilience of societies and ecosystems. Abrupt ecological changes are difficult to diagnose because they can arise from a variety of circumstances, including rapid changes in external drivers (e.g., climate, or resource extraction), nonlinear responses to gradual changes in drivers, and interactions among multiple drivers and disturbances. We synthesize strategies for identifying causes of abrupt ecological change and highlight instances where abrupt changes are likely. Diagnosing abrupt changes and inferring causation are increasingly important as society seek to adapt to rapid, multifaceted environmental changes.","author":[{"dropping-particle":"","family":"Ratajczak","given":"Zak","non-dropping-particle":"","parse-names":false,"suffix":""},{"dropping-particle":"","family":"Carpenter","given":"Stephen R.","non-dropping-particle":"","parse-names":false,"suffix":""},{"dropping-particle":"","family":"Ives","given":"Anthony R.","non-dropping-particle":"","parse-names":false,"suffix":""},{"dropping-particle":"","family":"Kucharik","given":"Christopher J.","non-dropping-particle":"","parse-names":false,"suffix":""},{"dropping-particle":"","family":"Ramiadantsoa","given":"Tanjona","non-dropping-particle":"","parse-names":false,"suffix":""},{"dropping-particle":"","family":"Stegner","given":"M. Allison","non-dropping-particle":"","parse-names":false,"suffix":""},{"dropping-particle":""</w:instrText>
      </w:r>
      <w:r w:rsidR="00045A85" w:rsidRPr="00872293">
        <w:rPr>
          <w:rFonts w:ascii="Times New Roman" w:eastAsia="Times New Roman" w:hAnsi="Times New Roman" w:cs="Times New Roman"/>
          <w:lang w:val="es-BO"/>
        </w:rPr>
        <w:instrText>,"family":"Williams","given":"John W.","non-dropping-particle":"","parse-names":false,"suffix":""},{"dropping-particle":"","family":"Zhang","given":"Jien","non-dropping-particle":"","parse-names":false,"suffix":""},{"dropping-particle":"","family":"Turner","given":"Monica G.","non-dropping-particle":"","parse-names":false,"suffix":""}],"container-title":"Trends in Ecology and Evolution","id":"ITEM-8","issue":"7","issued":{"date-parts":[["2018"]]},"page":"513-526","title":"Abrupt Change in Ecological Systems: Inference and Diagnosis","type":"article-journal","volume":"33"},"uris":["http://www.mendeley.com/documents/?uuid=60def925-7adf-4cd2-bfb7-0b2635936d43"]}],"mendeley":{"formattedCitation":"(Forbes &lt;i&gt;et al.&lt;/i&gt;, 1997; Zak &lt;i&gt;et al.&lt;/i&gt;, 2000; Anderson &lt;i&gt;et al.&lt;/i&gt;, 2003; Dukes &lt;i&gt;et al.&lt;/i&gt;, 2005; Björk &lt;i&gt;et al.&lt;/i&gt;, 2007; Zhou &lt;i&gt;et al.&lt;/i&gt;, 2012; Arndal &lt;i&gt;et al.&lt;/i&gt;, 2014; Ratajczak &lt;i&gt;et al.&lt;/i&gt;, 2018)","plainTextFormattedCitation":"(Forbes et al., 1997; Zak et al., 2000; Anderson et al., 2003; Dukes et al., 2005; Björk et al., 2007; Zhou et al., 2012; Arndal et al., 2014; Ratajczak et al., 2018)","previouslyFormattedCitation":"(Forbes &lt;i&gt;et al.&lt;/i&gt;, 1997; Zak &lt;i&gt;et al.&lt;/i&gt;, 2000; Anderson &lt;i&gt;et al.&lt;/i&gt;, 2003; Dukes &lt;i&gt;et al.&lt;/i&gt;, 2005; Björk &lt;i&gt;et al.&lt;/i&gt;, 2007; Zhou &lt;i&gt;et al.&lt;/i&gt;, 2012; Arndal &lt;i&gt;et al.&lt;/i&gt;, 2014; Ratajczak &lt;i&gt;et al.&lt;/i&gt;, 2018)"},"properties":{"noteIndex":0},"schema":"https://github.com/citation-style-language/schema/raw/master/csl-citation.json"}</w:instrText>
      </w:r>
      <w:r w:rsidR="00CE76B7" w:rsidRPr="00872293">
        <w:rPr>
          <w:rFonts w:ascii="Times New Roman" w:eastAsia="Times New Roman" w:hAnsi="Times New Roman" w:cs="Times New Roman"/>
        </w:rPr>
        <w:fldChar w:fldCharType="separate"/>
      </w:r>
      <w:r w:rsidR="00D64D1F" w:rsidRPr="00872293">
        <w:rPr>
          <w:rFonts w:ascii="Times New Roman" w:eastAsia="Times New Roman" w:hAnsi="Times New Roman" w:cs="Times New Roman"/>
          <w:noProof/>
          <w:lang w:val="es-BO"/>
        </w:rPr>
        <w:t xml:space="preserve">(Forbes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1997; Zak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2000; Anderson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2003; Dukes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2005; Björk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2007; Zhou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2012; Arndal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xml:space="preserve">, 2014; Ratajczak </w:t>
      </w:r>
      <w:r w:rsidR="00D64D1F" w:rsidRPr="00872293">
        <w:rPr>
          <w:rFonts w:ascii="Times New Roman" w:eastAsia="Times New Roman" w:hAnsi="Times New Roman" w:cs="Times New Roman"/>
          <w:i/>
          <w:noProof/>
          <w:lang w:val="es-BO"/>
        </w:rPr>
        <w:t>et al.</w:t>
      </w:r>
      <w:r w:rsidR="00D64D1F" w:rsidRPr="00872293">
        <w:rPr>
          <w:rFonts w:ascii="Times New Roman" w:eastAsia="Times New Roman" w:hAnsi="Times New Roman" w:cs="Times New Roman"/>
          <w:noProof/>
          <w:lang w:val="es-BO"/>
        </w:rPr>
        <w:t>, 2018)</w:t>
      </w:r>
      <w:r w:rsidR="00CE76B7" w:rsidRPr="00872293">
        <w:rPr>
          <w:rFonts w:ascii="Times New Roman" w:eastAsia="Times New Roman" w:hAnsi="Times New Roman" w:cs="Times New Roman"/>
        </w:rPr>
        <w:fldChar w:fldCharType="end"/>
      </w:r>
      <w:r w:rsidRPr="00872293">
        <w:rPr>
          <w:rFonts w:ascii="Times New Roman" w:eastAsia="Times New Roman" w:hAnsi="Times New Roman" w:cs="Times New Roman"/>
          <w:lang w:val="es-BO"/>
        </w:rPr>
        <w:t>.</w:t>
      </w:r>
    </w:p>
    <w:p w14:paraId="5F0DC0D9" w14:textId="77777777" w:rsidR="007A1636" w:rsidRPr="00872293" w:rsidRDefault="007A1636" w:rsidP="00916183">
      <w:pPr>
        <w:spacing w:line="360" w:lineRule="auto"/>
        <w:rPr>
          <w:rFonts w:ascii="Times New Roman" w:eastAsia="Times New Roman" w:hAnsi="Times New Roman" w:cs="Times New Roman"/>
          <w:b/>
          <w:bCs/>
          <w:lang w:val="es-BO"/>
        </w:rPr>
      </w:pPr>
    </w:p>
    <w:p w14:paraId="3F0D5F10" w14:textId="0F14A981" w:rsidR="007A1636" w:rsidRPr="00872293" w:rsidRDefault="007A1636" w:rsidP="0068089B">
      <w:pPr>
        <w:spacing w:line="360" w:lineRule="auto"/>
        <w:rPr>
          <w:rFonts w:ascii="Times New Roman" w:hAnsi="Times New Roman" w:cs="Times New Roman"/>
        </w:rPr>
      </w:pPr>
      <w:r w:rsidRPr="00872293">
        <w:rPr>
          <w:rFonts w:ascii="Times New Roman" w:hAnsi="Times New Roman" w:cs="Times New Roman"/>
        </w:rPr>
        <w:t>Our study measured root dynamics in response to experimental warming (</w:t>
      </w:r>
      <w:r w:rsidRPr="00872293">
        <w:rPr>
          <w:rFonts w:ascii="Times New Roman" w:hAnsi="Times New Roman" w:cs="Times New Roman"/>
          <w:vertAlign w:val="superscript"/>
        </w:rPr>
        <w:t>+</w:t>
      </w:r>
      <w:r w:rsidRPr="00872293">
        <w:rPr>
          <w:rFonts w:ascii="Times New Roman" w:hAnsi="Times New Roman" w:cs="Times New Roman"/>
        </w:rPr>
        <w:t xml:space="preserve">4 </w:t>
      </w:r>
      <w:r w:rsidRPr="00872293">
        <w:rPr>
          <w:rFonts w:ascii="Noteworthy Light" w:hAnsi="Noteworthy Light" w:cs="Noteworthy Light"/>
        </w:rPr>
        <w:t>⁰</w:t>
      </w:r>
      <w:r w:rsidRPr="00872293">
        <w:rPr>
          <w:rFonts w:ascii="Times New Roman" w:hAnsi="Times New Roman" w:cs="Times New Roman"/>
        </w:rPr>
        <w:t xml:space="preserve">C), the effects of two consecutive hurricane events, the legacy effects of the prior warming on root recovery, and the environmental factors that may help predict these responses. We found that, prior to the hurricanes, root standing stock and root production were negatively affected by the warming treatment through time. </w:t>
      </w:r>
      <w:r w:rsidR="0068089B" w:rsidRPr="00872293">
        <w:rPr>
          <w:rFonts w:ascii="Times New Roman" w:hAnsi="Times New Roman" w:cs="Times New Roman"/>
        </w:rPr>
        <w:t>Following the hurricanes, root standing stock increased greatly across both treatments, and the increase in net root production was 58% less in the previously warmed plots than in the control plots, despite similar climatic conditions for the year of hurricane recovery. These patterns suggest that warming can substantially reduce roots’ capacity to respond to hurricane disturbance if those plants were previously exposed to warmer conditions</w:t>
      </w:r>
      <w:r w:rsidR="00713EFF" w:rsidRPr="00872293">
        <w:rPr>
          <w:rFonts w:ascii="Times New Roman" w:hAnsi="Times New Roman" w:cs="Times New Roman"/>
        </w:rPr>
        <w:t>.</w:t>
      </w:r>
    </w:p>
    <w:p w14:paraId="26B77BCD" w14:textId="77777777" w:rsidR="00F31A28" w:rsidRPr="00872293" w:rsidRDefault="00F31A28" w:rsidP="0068089B">
      <w:pPr>
        <w:spacing w:line="360" w:lineRule="auto"/>
        <w:rPr>
          <w:rFonts w:ascii="Times New Roman" w:hAnsi="Times New Roman" w:cs="Times New Roman"/>
        </w:rPr>
      </w:pPr>
    </w:p>
    <w:p w14:paraId="7F04B8AF" w14:textId="77777777" w:rsidR="004F2AA4" w:rsidRPr="00872293" w:rsidRDefault="000F1F3A" w:rsidP="006C0265">
      <w:pPr>
        <w:pStyle w:val="Heading3"/>
        <w:spacing w:before="0" w:after="0" w:line="360" w:lineRule="auto"/>
      </w:pPr>
      <w:bookmarkStart w:id="98" w:name="_Toc53689088"/>
      <w:r w:rsidRPr="00872293">
        <w:t>Response to warming</w:t>
      </w:r>
      <w:bookmarkEnd w:id="98"/>
    </w:p>
    <w:p w14:paraId="732E038A" w14:textId="5E40228D" w:rsidR="0054225D" w:rsidRPr="00872293" w:rsidRDefault="0054225D" w:rsidP="006C0265">
      <w:pPr>
        <w:spacing w:before="240" w:line="360" w:lineRule="auto"/>
        <w:rPr>
          <w:rFonts w:ascii="Times New Roman" w:hAnsi="Times New Roman" w:cs="Times New Roman"/>
          <w:b/>
          <w:bCs/>
        </w:rPr>
      </w:pPr>
      <w:r w:rsidRPr="00872293">
        <w:rPr>
          <w:rFonts w:ascii="Times New Roman" w:hAnsi="Times New Roman" w:cs="Times New Roman"/>
        </w:rPr>
        <w:t xml:space="preserve">The values we obtained for root stock overall and root production pre-hurricanes were within the ranges of values reported in other tropical studies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{"citationItems":[{"id":"ITEM-1","itemData":{"DOI":"10.1139/x82-104","ISSN":"00455067","abstract":"Total root biomass and surface area of fine roots (&lt;5 mm diameter) were determined to a depth of 85 cm in 1-, 8-, and 70-yr-old tropical forests on the same soil type (Typic Dystrandept) at Turrialba, Costa Rica. Root biomass and root area index (RAI) increased with age: biomass = 219, 1291, and 1555 g/m2, and RAI = 1.34, 4.66, and 5.28 in the 1-, 8-, and 70-yr-old stand. The 1- and 8-yr-old vegetations had proportionally more fine roots below 25 cm than the 70-yr-old vegetation, but lacked the large-diameter roots characteristic of the 70-yr-old stand. -Author","author":[{"dropping-particle":"","family":"Berish","given":"C. W.","non-dropping-particle":"","parse-names":false,"suffix":""}],"container-title":"Canadian Journal of Forest Research","id":"ITEM-1","issue":"3","issued":{"date-parts":[["1982"]]},"page":"699-704","title":"Root biomass and surface area in three successional tropical forests.","type":"article-journal","volume":"12"},"uris":["http://www.mendeley.com/documents/?uuid=ebfabf51-4530-45e6-a199-3983fe8434ff"]},{"id":"ITEM-2","itemData":{"DOI":"10.1007/BF00010914","ISSN":"0032079X","abstract":"The distribution of tree biomass and the allocation of organic matter production were measured in an 11-yr-old Pinus caribaea plantation and a paired broadleaf secondary forest growing under the same climatic conditions. The pine plantation had significantly more mass aboveground than the secondary forest (94.9 vs 35.6 t ha-1 for biomass and 10.5 vs 5.0 t ha-1 for litter), whereas the secondary forest had significantly more fine roots (≤2 mm diameter) than the pine plantation (10.5 and 1.0 t ha-1, respectively). Standing stock of dead fine roots was higher than aboveground litter in the secondary forest. In contrast, aboveground litter in pine was more than ten times higher than the dead root fraction. Both pine and secondary forests had similar total organic matter productions (19.2 and 19.4 t ha-1 yr-1, respectively) but structural allocation of that production was significantly different between the two forests; 44% of total production was allocated belowground in the secondary forest, whereas 94% was allocated aboveground in pine. The growth strategies represented by fast growth and large structural allocation aboveground, as for pine, and almost half the production allocated belowground, as for the secondary forest, illustrate equally successful, but contrasting growth strategies under the same climate, regardless of soil characteristics. The patterns of accumulation of organic matter in the soil profile indicated contrasting nutrient immobilization and mineralization sites and sources for soil organic matter formation. © 1991 Kluwer Academic Publishers.","author":[{"dropping-particle":"","family":"Cuevas","given":"Elvira","non-dropping-particle":"","parse-names":false,"suffix":""},{"dropping-particle":"","family":"Brown","given":"Sandra","non-dropping-particle":"","parse-names":false,"suffix":""},{"dropping-particle":"","family":"Lugo","given":"Ariel E.","non-dropping-particle":"","parse-names":false,"suffix":""}],"container-title":"Plant and Soil","id":"ITEM-2","issue":"2","issued":{"date-parts":[["1991"]]},"page":"257-268","title":"Above- and belowground organic matter storage and production in a tropical pine plantation and a paired broadleaf secondary forest","type":"article-journal","volume":"135"},"uris":["http://www.mendeley.com/documents/?uuid=8dff3df5-86b1-4fe9-b8e3-227cf7ac7826"]},{"id":"ITEM-3","itemData":{"DOI":"10.1073/pnas.94.14.7362","ISSN":"00278424","PMID":"11038557","abstract":"Global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America","id":"ITEM-3","issue":"14","issued":{"date-parts":[["1997"]]},"page":"7362-7366","title":"A global budget for fine root biomass, surface area, and nutrient contents","type":"article-journal","volume":"94"},"uris":["http://www.mendeley.com/documents/?uuid=be640cc2-8c97-4480-b234-6e69495faf2e"]},{"id":"ITEM-4","itemData":{"DOI":"10.1111/btp.12771","ISSN":"17447429","abstract":"Fine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J.","non-dropping-particle":"","parse-names":false,"suffix":""}],"container-title":"Biotropica","id":"ITEM-4","issue":"3","issued":{"date-parts":[["2020"]]},"page":"563-576","title":"A historical and comparative review of 50 years of root data collection in Puerto Rico","type":"article-journal","volume":"52"},"uris":["http://www.mendeley.com/documents/?uuid=27bc4c68-821d-4b96-979d-b5709dfa9b6c"]}],"mendeley":{"formattedCitation":"(Berish, 1982; Cuevas &lt;i&gt;et al.&lt;/i&gt;, 1991; Jackson &lt;i&gt;et al.&lt;/i&gt;, 1997b; Yaffar &amp; Norby, 2020)","plainTextFormattedCitation":"(Berish, 1982; Cuevas et al., 1991; Jackson et al., 1997b; Yaffar &amp; Norby, 2020)","previouslyFormattedCitation":"(Berish, 1982; Cuevas &lt;i&gt;et al.&lt;/i&gt;, 1991; Jackson &lt;i&gt;et al.&lt;/i&gt;, 1997b; Yaffar &amp; Norby, 2020)"},"properties":{"noteIndex":0},"schema":"https://github.com/citation-style-language/schema/raw/master/csl-citation.json"}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(Berish, 1982; Cuevas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1991; Jackson </w:t>
      </w:r>
      <w:r w:rsidR="00D64D1F" w:rsidRPr="00872293">
        <w:rPr>
          <w:rFonts w:ascii="Times New Roman" w:hAnsi="Times New Roman" w:cs="Times New Roman"/>
          <w:i/>
          <w:noProof/>
        </w:rPr>
        <w:t>et al.</w:t>
      </w:r>
      <w:r w:rsidR="00D64D1F" w:rsidRPr="00872293">
        <w:rPr>
          <w:rFonts w:ascii="Times New Roman" w:hAnsi="Times New Roman" w:cs="Times New Roman"/>
          <w:noProof/>
        </w:rPr>
        <w:t>, 1997b; Yaffar &amp; Norby, 2020)</w:t>
      </w:r>
      <w:r w:rsidR="00CE76B7" w:rsidRPr="00872293">
        <w:rPr>
          <w:rFonts w:ascii="Times New Roman" w:hAnsi="Times New Roman" w:cs="Times New Roman"/>
        </w:rPr>
        <w:fldChar w:fldCharType="end"/>
      </w:r>
      <w:r w:rsidRPr="00872293">
        <w:rPr>
          <w:rFonts w:ascii="Times New Roman" w:hAnsi="Times New Roman" w:cs="Times New Roman"/>
        </w:rPr>
        <w:t xml:space="preserve">. Rooting depth was similar to what other studies found previously in Puerto Rico (30 cm;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The carbon, phosphorus, and water cycles of a subtropical floodplain forest, and related ecosystem characteristics, were studied. Located at 750 m elevation in Puerto Rico (latitude 18? N) the forest had 27 tree species, 3059 stems/ha, a basal area of 42.4 m2/ha, maximum height of 17 m, and a leaf area index of 3.3. Palm (Prestoea montana) dominated the forest, and, with two other species, accounted for 68% of the dominance. Throughfall, stemflow, interception, runoff, transpiration, and evapotranspiration accounted for 81.6, 9.8, 8.6, 77.7, 13.7, and 22.3% of annual rainfall (3725 mm) respectively. The stand carbon storage was 28.77 kg/M2, distributed as follows: aboveground 35.4%, vegetation 44.2%, soil to 1 m depth 55%, palms 10.9%. Vegetation biomass was partitioned as follows: leaves 9.8% (75% are palm leaves), wood 68%, and roots 21.8%. Net aboveground primary carbon productivity (NPP) was 876 g-m-2 yr-'. Average litterfall was 2.4 g.m-2* d-' (palm leaves 32%, other leaves 39%, and wood 10%). Half-lives of decaying material were 188, 306, 462, and 576 d, respectively, for palm leaves still attached to the parent tree, dicotyledonous leaves, palm leaves on the ground, and palm trunks. Total organic carbon concentrations in stream water increased with increasing stream discharge (from 2 g/m3 to 30 g/m3). Watershed export of carbon was 50 g-m-2 yr-' (including 12 g m-2 yr-I in the form of leaf litter). Mean P concentration in palm leaves (1.18 mg/g) was twice that in dicotyledonous leaves (0.64 mg/g). Compared to a rainfall phosphorus input to the watershed of 63 mg m-2 yr-', leaching from the canopy was high (167 mg.m-2 yr-'), as was the loss of P from the watershed (611 mg m-2 yr-'). Phosphorus-conserving mechanisms included a high rate of retranslocation in palms (504 mg m-2 yr-'). In spite of these mechanisms, there was a net P loss from the watershed that ranged from 136 to 544 mg iM-2 yr-'. Periodic flooding, poor soil aeration, intensive year-round rainfall, and low atmospheric saturation vapor pressure deficits are believed to be the main driving forces of the floodplain forest, which exhibits many c…","author":[{"dropping-particle":"","family":"Frangi","given":"Jorge L","non-dropping-particle":"","parse-names":false,"suffix":""},{"dropping-particle":"","family":"Lugo","given":"Ariel E","non-dropping-particle":"","parse-names":false,"suffix":""}],"container-title":"Source: Ecological Monographs Ecological Monographs","id":"ITEM-1","issue":"553","issued":{"date-parts":[["1985"]]},"page":"351-369","title":"Ecosystem Dynamics of a Subtropical Floodplain Forest ECOSYSTEM DYNAMICS OF A SUBTROPICAL FLOODPLAIN FOREST'","type":"article-journal","volume":"55"},"uris":["http://www.mendeley.com/documents/?uuid=5acb7589-486b-44c1-a698-99208ae8d140"]},{"id":"ITEM-2","itemData":{"DOI":"10.1111/btp.12771","ISSN":"17447429","abstract":"Fine roots play an important role in plant nutrition, as well as in carbon, water, and nutrient cycling. Fine roots account for a third of terrestrial net primary production (NPP), and inclusion of their structure and function in global carbon models should improve predictions of ecosystem responses to climate change. However, studies focusing on underground plant components are much less frequent than those on aboveground structure. This is more marked in the tropics, where one-third of the planet's terrestrial NPP is produced. Some tropical forests have been more represented in the literature than others, as demonstrated in the collective studies in Puerto Rico. This Caribbean island's biodiversity, frequency of natural disturbances, ease of access to forests, and long-term plots have created an ideal place for the study of tropical ecological processes. This literature review emphasizes 50 years of root research and patterns revealed around Puerto Rico. The data in this review were compiled from scientific publications, conference reports, symposiums, and raw data shared by some researches. Emergent patterns include the shallow distribution of fine roots, the great variation in root biomass among different forest types, little variation in root phosphorus concentrations, the slow recovery of root biomass after Hurricane Hugo, and the fact that most data on roots come from the wet tropical Luquillo Experimental Forest, causing other habitat types to be underrepresented. This review also shows the gaps in knowledge about fine roots in the island's ecosystems, which should be used to promote and guide future studies. Abstract in Spanish is available with online material.","author":[{"dropping-particle":"","family":"Yaffar","given":"Daniela","non-dropping-particle":"","parse-names":false,"suffix":""},{"dropping-particle":"","family":"Norby","given":"Richard J.","non-dropping-particle":"","parse-names":false,"suffix":""}],"container-title":"Biotropica","id":"ITEM-2","issue":"3","issued":{"date-parts":[["2020"]]},"page":"563-576","title":"A historical and comparative review of 50 years of root data collection in Puerto Rico","type":"article-journal","volume":"52"},"uris":["http://www.mendeley.com/documents/?uuid=27bc4c68-821d-4b96-979d-b5709dfa9b6c"]}],"mendeley":{"formattedCitation":"(Frangi &amp; Lugo, 1985; Yaffar &amp; Norby, 2020)","manualFormatting":"Frangi &amp; Lugo, 1985; Yaffar &amp; Norby, 2020)","plainTextFormattedCitation":"(Frangi &amp; Lugo, 1985; Yaffar &amp; Norby, 2020)","previouslyFormattedCitation":"(Frangi &amp; Lugo, 1985; Yaffar &amp; Norby, 2020)"},"properties":{"noteIndex":0},"schema":"https://github.com/citation-style-language/schema/raw/master/csl-citation.json"}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Frangi &amp; Lugo, 1985; Yaffar &amp; Norby, 2020)</w:t>
      </w:r>
      <w:r w:rsidR="00CE76B7" w:rsidRPr="00872293">
        <w:rPr>
          <w:rFonts w:ascii="Times New Roman" w:hAnsi="Times New Roman" w:cs="Times New Roman"/>
        </w:rPr>
        <w:fldChar w:fldCharType="end"/>
      </w:r>
      <w:r w:rsidRPr="00872293">
        <w:rPr>
          <w:rFonts w:ascii="Times New Roman" w:hAnsi="Times New Roman" w:cs="Times New Roman"/>
        </w:rPr>
        <w:t xml:space="preserve">. No deeper distribution pattern was observed in the warmed plots versus the control plots possibly since there was no secondary drought effect of the warming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{"citationItems":[{"id":"ITEM-1","itemData":{"DOI":"10.1093/jxb/eru508","ISSN":"14602431","PMID":"25582451","abstract":"Greater exploitation of subsoil resources by annual crops would afford multiple benefits, including greater water and N acquisition in most agroecosystems, and greater sequestration of atmospheric C. Constraints to root growth in the subsoil include soil acidity (an edaphic stress complex consisting of toxic levels of Al, inadequate levels of P and Ca, and often toxic levels of Mn), soil compaction, hypoxia, and suboptimal temperature. Multiple root phenes under genetic control are associated with adaptation to these constraints, opening up the possibility of breeding annual crops with root traits improving subsoil exploration. Adaptation to Al toxicity, hypoxia, and P deficiency are intensively researched, adaptation to soil hardness and suboptimal temperature less so, and adaptations to Ca deficiency and Mn toxicity are poorly understood. The utility of specific phene states may vary among soil taxa and management scenarios, interactions which in general are poorly understood. These traits and issues merit research because of their potential value in developing more productive, sustainable, benign, and resilient agricultural systems.","author":[{"dropping-particle":"","family":"Lynch","given":"Jonathan P.","non-dropping-particle":"","parse-names":false,"suffix":""},{"dropping-particle":"","family":"Wojciechowski","given":"Tobias","non-dropping-particle":"","parse-names":false,"suffix":""}],"container-title":"Journal of Experimental Botany","id":"ITEM-1","issue":"8","issued":{"date-parts":[["2015"]]},"page":"2199-2210","title":"Opportunities and challenges in the subsoil: Pathways to deeper rooted crops","type":"article-journal","volume":"66"},"uris":["http://www.mendeley.com/documents/?uuid=b19beddc-aed6-4847-848b-6159f5b5046b"]},{"id":"ITEM-2","itemData":{"DOI":"https://doi.org/10.1016/C2016-0-04891-X","author":[{"dropping-particle":"","family":"Wood","given":"Tana E.","non-dropping-particle":"","parse-names":false,"suffix":""},{"dropping-particle":"","family":"Cavaleri","given":"Molly A.","non-dropping-particle":"","parse-names":false,"suffix":""},{"dropping-particle":"","family":"Giardina","given":"C. P.","non-dropping-particle":"","parse-names":false,"suffix":""},{"dropping-particle":"","family":"Khan","given":"S.","non-dropping-particle":"","parse-names":false,"suffix":""},{"dropping-particle":"","family":"Mohan","given":"J. E.","non-dropping-particle":"","parse-names":false,"suffix":""},{"dropping-particle":"","family":"Nottingham","given":"A. T.","non-dropping-particle":"","parse-names":false,"suffix":""},{"dropping-particle":"","family":"Reed","given":"S.C.","non-dropping-particle":"","parse-names":false,"suffix":""},{"dropping-particle":"","family":"Slot","given":"M","non-dropping-particle":"","parse-names":false,"suffix":""}],"chapter-number":"14","container-title":"Ecosystem Consequences of Soil Warming","id":"ITEM-2","issued":{"date-parts":[["2019"]]},"page":"385-439","title":"Soil warming effects on tropical forests with highly weathered soils","type":"chapter"},"uris":["http://www.mendeley.com/documents/?uuid=a5f9bd91-a33b-43e8-b03c-f9298e39447a"]}],"mendeley":{"formattedCitation":"(Lynch &amp; Wojciechowski, 2015; Wood &lt;i&gt;et al.&lt;/i&gt;, 2019)","plainTextFormattedCitation":"(Lynch &amp; Wojciechowski, 2015; Wood et al., 2019)","previouslyFormattedCitation":"(Lynch &amp; Wojciechowski, 2015; Wood &lt;i&gt;et al.&lt;/i&gt;, 2019)"},"properties":{"noteIndex":0},"schema":"https://github.com/citation-style-language/schema/raw/master/csl-citation.json"}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(Lynch &amp; Wojciechowski, 2015; Wood </w:t>
      </w:r>
      <w:r w:rsidR="00D64D1F" w:rsidRPr="00872293">
        <w:rPr>
          <w:rFonts w:ascii="Times New Roman" w:hAnsi="Times New Roman" w:cs="Times New Roman"/>
          <w:i/>
          <w:noProof/>
        </w:rPr>
        <w:t>et al.</w:t>
      </w:r>
      <w:r w:rsidR="00D64D1F" w:rsidRPr="00872293">
        <w:rPr>
          <w:rFonts w:ascii="Times New Roman" w:hAnsi="Times New Roman" w:cs="Times New Roman"/>
          <w:noProof/>
        </w:rPr>
        <w:t>, 2019)</w:t>
      </w:r>
      <w:r w:rsidR="00CE76B7" w:rsidRPr="00872293">
        <w:rPr>
          <w:rFonts w:ascii="Times New Roman" w:hAnsi="Times New Roman" w:cs="Times New Roman"/>
        </w:rPr>
        <w:fldChar w:fldCharType="end"/>
      </w:r>
      <w:r w:rsidRPr="00872293">
        <w:rPr>
          <w:rFonts w:ascii="Times New Roman" w:hAnsi="Times New Roman" w:cs="Times New Roman"/>
        </w:rPr>
        <w:t>.</w:t>
      </w:r>
    </w:p>
    <w:p w14:paraId="474AA99D" w14:textId="77777777" w:rsidR="0054225D" w:rsidRPr="00872293" w:rsidRDefault="0054225D" w:rsidP="0054225D">
      <w:pPr>
        <w:spacing w:line="360" w:lineRule="auto"/>
        <w:rPr>
          <w:rFonts w:ascii="Times New Roman" w:hAnsi="Times New Roman" w:cs="Times New Roman"/>
          <w:b/>
          <w:bCs/>
        </w:rPr>
      </w:pPr>
    </w:p>
    <w:p w14:paraId="0C740F62" w14:textId="79EA6771" w:rsidR="00C75981" w:rsidRPr="00872293" w:rsidRDefault="00C75981" w:rsidP="00C75981">
      <w:pPr>
        <w:shd w:val="clear" w:color="auto" w:fill="FFFFFF"/>
        <w:spacing w:line="360" w:lineRule="auto"/>
        <w:rPr>
          <w:rFonts w:ascii="Times New Roman" w:hAnsi="Times New Roman" w:cs="Times New Roman"/>
        </w:rPr>
      </w:pPr>
      <w:r w:rsidRPr="00872293">
        <w:rPr>
          <w:rFonts w:ascii="Times New Roman" w:hAnsi="Times New Roman" w:cs="Times New Roman"/>
        </w:rPr>
        <w:t>We found significant effects of warming on root production and root s</w:t>
      </w:r>
      <w:r w:rsidR="000A7ACD" w:rsidRPr="00872293">
        <w:rPr>
          <w:rFonts w:ascii="Times New Roman" w:hAnsi="Times New Roman" w:cs="Times New Roman"/>
        </w:rPr>
        <w:t>t</w:t>
      </w:r>
      <w:r w:rsidRPr="00872293">
        <w:rPr>
          <w:rFonts w:ascii="Times New Roman" w:hAnsi="Times New Roman" w:cs="Times New Roman"/>
        </w:rPr>
        <w:t>anding stock throughout the 7-month measurement period prior to the hurricane disturbance. We found that root production was positively related to soil NH</w:t>
      </w:r>
      <w:r w:rsidRPr="00872293">
        <w:rPr>
          <w:rFonts w:ascii="Times New Roman" w:hAnsi="Times New Roman" w:cs="Times New Roman"/>
          <w:vertAlign w:val="subscript"/>
        </w:rPr>
        <w:t>4</w:t>
      </w:r>
      <w:r w:rsidRPr="00872293">
        <w:rPr>
          <w:rFonts w:ascii="Times New Roman" w:hAnsi="Times New Roman" w:cs="Times New Roman"/>
          <w:vertAlign w:val="superscript"/>
        </w:rPr>
        <w:t>+</w:t>
      </w:r>
      <w:r w:rsidRPr="00872293">
        <w:rPr>
          <w:rFonts w:ascii="Times New Roman" w:hAnsi="Times New Roman" w:cs="Times New Roman"/>
        </w:rPr>
        <w:t xml:space="preserve"> and microbial N concentrations. According to </w:t>
      </w:r>
      <w:r w:rsidRPr="00872293">
        <w:rPr>
          <w:rFonts w:ascii="Times New Roman" w:hAnsi="Times New Roman" w:cs="Times New Roman"/>
        </w:rPr>
        <w:lastRenderedPageBreak/>
        <w:t xml:space="preserve">Reed </w:t>
      </w:r>
      <w:r w:rsidRPr="00872293">
        <w:rPr>
          <w:rFonts w:ascii="Times New Roman" w:hAnsi="Times New Roman" w:cs="Times New Roman"/>
          <w:i/>
          <w:iCs/>
        </w:rPr>
        <w:t>et al</w:t>
      </w:r>
      <w:r w:rsidR="00CA5A94" w:rsidRPr="00872293">
        <w:rPr>
          <w:rFonts w:ascii="Times New Roman" w:hAnsi="Times New Roman" w:cs="Times New Roman"/>
        </w:rPr>
        <w:t>.</w:t>
      </w:r>
      <w:r w:rsidRPr="00872293">
        <w:rPr>
          <w:rFonts w:ascii="Times New Roman" w:hAnsi="Times New Roman" w:cs="Times New Roman"/>
        </w:rPr>
        <w:t xml:space="preserve"> (2020), control plots had greater NH</w:t>
      </w:r>
      <w:r w:rsidRPr="00872293">
        <w:rPr>
          <w:rFonts w:ascii="Times New Roman" w:hAnsi="Times New Roman" w:cs="Times New Roman"/>
          <w:vertAlign w:val="subscript"/>
        </w:rPr>
        <w:t>4</w:t>
      </w:r>
      <w:r w:rsidRPr="00872293">
        <w:rPr>
          <w:rFonts w:ascii="Times New Roman" w:hAnsi="Times New Roman" w:cs="Times New Roman"/>
          <w:vertAlign w:val="superscript"/>
        </w:rPr>
        <w:t>+</w:t>
      </w:r>
      <w:r w:rsidRPr="00872293">
        <w:rPr>
          <w:rFonts w:ascii="Times New Roman" w:hAnsi="Times New Roman" w:cs="Times New Roman"/>
        </w:rPr>
        <w:t xml:space="preserve"> than warmed plots, before the hurricanes. Th</w:t>
      </w:r>
      <w:r w:rsidR="000A7ACD" w:rsidRPr="00872293">
        <w:rPr>
          <w:rFonts w:ascii="Times New Roman" w:hAnsi="Times New Roman" w:cs="Times New Roman"/>
        </w:rPr>
        <w:t>is</w:t>
      </w:r>
      <w:r w:rsidRPr="00872293">
        <w:rPr>
          <w:rFonts w:ascii="Times New Roman" w:hAnsi="Times New Roman" w:cs="Times New Roman"/>
        </w:rPr>
        <w:t xml:space="preserve"> difference in NH</w:t>
      </w:r>
      <w:r w:rsidRPr="00872293">
        <w:rPr>
          <w:rFonts w:ascii="Times New Roman" w:hAnsi="Times New Roman" w:cs="Times New Roman"/>
          <w:vertAlign w:val="subscript"/>
        </w:rPr>
        <w:t>4</w:t>
      </w:r>
      <w:r w:rsidRPr="00872293">
        <w:rPr>
          <w:rFonts w:ascii="Times New Roman" w:hAnsi="Times New Roman" w:cs="Times New Roman"/>
          <w:vertAlign w:val="superscript"/>
        </w:rPr>
        <w:t>+</w:t>
      </w:r>
      <w:r w:rsidRPr="00872293">
        <w:rPr>
          <w:rFonts w:ascii="Times New Roman" w:hAnsi="Times New Roman" w:cs="Times New Roman"/>
        </w:rPr>
        <w:t xml:space="preserve"> concentration in the soil could have been related to greater decomposition </w:t>
      </w:r>
      <w:r w:rsidR="006874EF" w:rsidRPr="00872293">
        <w:rPr>
          <w:rFonts w:ascii="Times New Roman" w:hAnsi="Times New Roman" w:cs="Times New Roman"/>
        </w:rPr>
        <w:t>from organic N to NH</w:t>
      </w:r>
      <w:r w:rsidR="006874EF" w:rsidRPr="00872293">
        <w:rPr>
          <w:rFonts w:ascii="Times New Roman" w:hAnsi="Times New Roman" w:cs="Times New Roman"/>
          <w:vertAlign w:val="subscript"/>
        </w:rPr>
        <w:t>4</w:t>
      </w:r>
      <w:r w:rsidR="006874EF" w:rsidRPr="00872293">
        <w:rPr>
          <w:rFonts w:ascii="Times New Roman" w:hAnsi="Times New Roman" w:cs="Times New Roman"/>
          <w:vertAlign w:val="superscript"/>
        </w:rPr>
        <w:t>+</w:t>
      </w:r>
      <w:r w:rsidR="006874EF" w:rsidRPr="00872293">
        <w:rPr>
          <w:rFonts w:ascii="Times New Roman" w:hAnsi="Times New Roman" w:cs="Times New Roman"/>
        </w:rPr>
        <w:t xml:space="preserve"> </w:t>
      </w:r>
      <w:r w:rsidRPr="00872293">
        <w:rPr>
          <w:rFonts w:ascii="Times New Roman" w:hAnsi="Times New Roman" w:cs="Times New Roman"/>
        </w:rPr>
        <w:t xml:space="preserve">in the control plots (Roes </w:t>
      </w:r>
      <w:r w:rsidRPr="00872293">
        <w:rPr>
          <w:rFonts w:ascii="Times New Roman" w:hAnsi="Times New Roman" w:cs="Times New Roman"/>
          <w:i/>
          <w:iCs/>
        </w:rPr>
        <w:t>et al</w:t>
      </w:r>
      <w:r w:rsidRPr="00872293">
        <w:rPr>
          <w:rFonts w:ascii="Times New Roman" w:hAnsi="Times New Roman" w:cs="Times New Roman"/>
        </w:rPr>
        <w:t xml:space="preserve">., </w:t>
      </w:r>
      <w:r w:rsidRPr="00872293">
        <w:rPr>
          <w:rFonts w:ascii="Times New Roman" w:hAnsi="Times New Roman" w:cs="Times New Roman"/>
          <w:shd w:val="clear" w:color="auto" w:fill="FFFFFF"/>
        </w:rPr>
        <w:t>forthcoming</w:t>
      </w:r>
      <w:r w:rsidRPr="00872293">
        <w:rPr>
          <w:rFonts w:ascii="Times New Roman" w:hAnsi="Times New Roman" w:cs="Times New Roman"/>
        </w:rPr>
        <w:t xml:space="preserve">) compared to the warmed plots. Previous warming studies have suggested a positive response in root production as a result of increased nutrient availability (Wan </w:t>
      </w:r>
      <w:r w:rsidRPr="00872293">
        <w:rPr>
          <w:rFonts w:ascii="Times New Roman" w:hAnsi="Times New Roman" w:cs="Times New Roman"/>
          <w:i/>
          <w:iCs/>
        </w:rPr>
        <w:t>et al.</w:t>
      </w:r>
      <w:r w:rsidRPr="00872293">
        <w:rPr>
          <w:rFonts w:ascii="Times New Roman" w:hAnsi="Times New Roman" w:cs="Times New Roman"/>
        </w:rPr>
        <w:t xml:space="preserve">, 2004; </w:t>
      </w:r>
      <w:proofErr w:type="spellStart"/>
      <w:r w:rsidRPr="00872293">
        <w:rPr>
          <w:rFonts w:ascii="Times New Roman" w:hAnsi="Times New Roman" w:cs="Times New Roman"/>
        </w:rPr>
        <w:t>Majdi</w:t>
      </w:r>
      <w:proofErr w:type="spellEnd"/>
      <w:r w:rsidRPr="00872293">
        <w:rPr>
          <w:rFonts w:ascii="Times New Roman" w:hAnsi="Times New Roman" w:cs="Times New Roman"/>
        </w:rPr>
        <w:t xml:space="preserve"> &amp; </w:t>
      </w:r>
      <w:proofErr w:type="spellStart"/>
      <w:r w:rsidRPr="00872293">
        <w:rPr>
          <w:rFonts w:ascii="Times New Roman" w:hAnsi="Times New Roman" w:cs="Times New Roman"/>
        </w:rPr>
        <w:t>Öhrvik</w:t>
      </w:r>
      <w:proofErr w:type="spellEnd"/>
      <w:r w:rsidRPr="00872293">
        <w:rPr>
          <w:rFonts w:ascii="Times New Roman" w:hAnsi="Times New Roman" w:cs="Times New Roman"/>
        </w:rPr>
        <w:t xml:space="preserve">, 2004; Zhou </w:t>
      </w:r>
      <w:r w:rsidRPr="00872293">
        <w:rPr>
          <w:rFonts w:ascii="Times New Roman" w:hAnsi="Times New Roman" w:cs="Times New Roman"/>
          <w:i/>
          <w:iCs/>
        </w:rPr>
        <w:t>et al.</w:t>
      </w:r>
      <w:r w:rsidRPr="00872293">
        <w:rPr>
          <w:rFonts w:ascii="Times New Roman" w:hAnsi="Times New Roman" w:cs="Times New Roman"/>
        </w:rPr>
        <w:t xml:space="preserve">, 2012;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Advances","id":"ITEM-1","issue":"11","issued":{"date-parts":[["2019","11","1"]]},"page":"eaaz1834","title":"Climate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ecosystems","type":"article-journal","volume":"5"},"uris":["http://www.mendeley.com/documents/?uuid=f33656d6-3f72-4af2-aefc-f4b86350a8e6"]}],"mendeley":{"formattedCitation":"(Pugnaire &lt;i&gt;et al.&lt;/i&gt;, 2019)","manualFormatting":"Pugnaire et al., 2019)","plainTextFormattedCitation":"(Pugnaire et al., 2019)","previouslyFormattedCitation":"(Pugnaire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Pugnaire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00C95514" w:rsidRPr="00872293">
        <w:rPr>
          <w:rFonts w:ascii="Times New Roman" w:hAnsi="Times New Roman" w:cs="Times New Roman"/>
        </w:rPr>
        <w:t xml:space="preserve">. </w:t>
      </w:r>
      <w:r w:rsidRPr="00872293">
        <w:rPr>
          <w:rFonts w:ascii="Times New Roman" w:hAnsi="Times New Roman" w:cs="Times New Roman"/>
        </w:rPr>
        <w:t xml:space="preserve"> However, since we did not measure </w:t>
      </w:r>
      <w:r w:rsidR="00F021E1" w:rsidRPr="00872293">
        <w:rPr>
          <w:rFonts w:ascii="Times New Roman" w:hAnsi="Times New Roman" w:cs="Times New Roman"/>
        </w:rPr>
        <w:t>fluxes of this mineral</w:t>
      </w:r>
      <w:r w:rsidRPr="00872293">
        <w:rPr>
          <w:rFonts w:ascii="Times New Roman" w:hAnsi="Times New Roman" w:cs="Times New Roman"/>
          <w:shd w:val="clear" w:color="auto" w:fill="FFFFFF"/>
        </w:rPr>
        <w:t xml:space="preserve">, we cannot </w:t>
      </w:r>
      <w:r w:rsidR="000A7ACD" w:rsidRPr="00872293">
        <w:rPr>
          <w:rFonts w:ascii="Times New Roman" w:hAnsi="Times New Roman" w:cs="Times New Roman"/>
          <w:shd w:val="clear" w:color="auto" w:fill="FFFFFF"/>
        </w:rPr>
        <w:t xml:space="preserve">describe cause and effect </w:t>
      </w:r>
      <w:r w:rsidRPr="00872293">
        <w:rPr>
          <w:rFonts w:ascii="Times New Roman" w:hAnsi="Times New Roman" w:cs="Times New Roman"/>
          <w:shd w:val="clear" w:color="auto" w:fill="FFFFFF"/>
        </w:rPr>
        <w:t xml:space="preserve">between root production and soil </w:t>
      </w:r>
      <w:r w:rsidRPr="00872293">
        <w:rPr>
          <w:rFonts w:ascii="Times New Roman" w:hAnsi="Times New Roman" w:cs="Times New Roman"/>
        </w:rPr>
        <w:t>NH</w:t>
      </w:r>
      <w:r w:rsidRPr="00872293">
        <w:rPr>
          <w:rFonts w:ascii="Times New Roman" w:hAnsi="Times New Roman" w:cs="Times New Roman"/>
          <w:vertAlign w:val="subscript"/>
        </w:rPr>
        <w:t>4</w:t>
      </w:r>
      <w:r w:rsidRPr="00872293">
        <w:rPr>
          <w:rFonts w:ascii="Times New Roman" w:hAnsi="Times New Roman" w:cs="Times New Roman"/>
          <w:vertAlign w:val="superscript"/>
        </w:rPr>
        <w:t>+</w:t>
      </w:r>
      <w:r w:rsidRPr="00872293">
        <w:rPr>
          <w:rFonts w:ascii="Times New Roman" w:hAnsi="Times New Roman" w:cs="Times New Roman"/>
        </w:rPr>
        <w:t xml:space="preserve">. </w:t>
      </w:r>
    </w:p>
    <w:p w14:paraId="0AA1CFBA" w14:textId="77777777" w:rsidR="0054225D" w:rsidRPr="00872293" w:rsidRDefault="0054225D" w:rsidP="0054225D">
      <w:pPr>
        <w:shd w:val="clear" w:color="auto" w:fill="FFFFFF"/>
        <w:spacing w:line="360" w:lineRule="auto"/>
        <w:rPr>
          <w:rFonts w:ascii="Times New Roman" w:hAnsi="Times New Roman" w:cs="Times New Roman"/>
        </w:rPr>
      </w:pPr>
    </w:p>
    <w:p w14:paraId="67ECF297" w14:textId="77777777" w:rsidR="00C75981" w:rsidRPr="00872293" w:rsidRDefault="00C75981" w:rsidP="00C75981">
      <w:pPr>
        <w:autoSpaceDE w:val="0"/>
        <w:autoSpaceDN w:val="0"/>
        <w:adjustRightInd w:val="0"/>
        <w:spacing w:line="360" w:lineRule="auto"/>
        <w:rPr>
          <w:rFonts w:ascii="Times New Roman" w:hAnsi="Times New Roman" w:cs="Times New Roman"/>
          <w:shd w:val="clear" w:color="auto" w:fill="FFFFFF"/>
        </w:rPr>
      </w:pPr>
      <w:r w:rsidRPr="00872293">
        <w:rPr>
          <w:rFonts w:ascii="Times New Roman" w:hAnsi="Times New Roman" w:cs="Times New Roman"/>
        </w:rPr>
        <w:t xml:space="preserve">Higher temperatures have been found to positively affect root dynamics via an increase of photosynthesis, respiration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{"citationItems":[{"id":"ITEM-1","itemData":{"DOI":"10.1086/314237","ISSN":"10585893","PMID":"10648202","abstract":"Climate change may have an impact on the productivity of conifer trees by influencing the morphology (size and surface characteristics) and function (capacity for gas exchange) of conifer needles. In order to test the responses of needles to climatic variables, Douglas fir (Pseudotsuga menziesii [Mirb.] Franco), saplings were grown in sunlit controlled environment chambers at ambient or elevated (+200 parts per million above ambient) CO2 and at ambient or elevated temperature (+4°C above ambient). Needle characteristics, including length, width, area, stomatal density (stomata per mm2), percentage of stomatal occlusion, and the morphology of epicuticular wax, were evaluated. Needle function was evaluated as stomatal conductance to water vapor and transpiration. Needle length increased significantly with elevated temperature but not with elevated CO2. Neither elevated CO2 nor elevated temperature affected stomatal density or stomatal number in these hypostomatous needles. Epicuticular wax was less finely granular at elevated than at ambient temperature and was similar in appearance at elevated and ambient CO2. Stomatal conductance and transpiration increased with elevated temperature and associated increased vapor pressure deficit; however, neither conductance nor transpiration was affected by elevated CO2. These results indicate that simulated climate change influences Douglas fir needle structure and function.","author":[{"dropping-particle":"","family":"Apple","given":"Martha E.","non-dropping-particle":"","parse-names":false,"suffix":""},{"dropping-particle":"","family":"Olszyk","given":"David M.","non-dropping-particle":"","parse-names":false,"suffix":""},{"dropping-particle":"","family":"Ormrod","given":"Douglas P.","non-dropping-particle":"","parse-names":false,"suffix":""},{"dropping-particle":"","family":"Lewis","given":"James","non-dropping-particle":"","parse-names":false,"suffix":""},{"dropping-particle":"","family":"Southworth","given":"Darlene","non-dropping-particle":"","parse-names":false,"suffix":""},{"dropping-particle":"","family":"Tingey","given":"David T.","non-dropping-particle":"","parse-names":false,"suffix":""}],"container-title":"International Journal of Plant Sciences","id":"ITEM-1","issue":"1","issued":{"date-parts":[["2000"]]},"page":"127-132","title":"Morphology and stomatal function of Douglas fir needles exposed to climate change: Elevated CO2 and temperature","type":"article-journal","volume":"161"},"uris":["http://www.mendeley.com/documents/?uuid=ab558469-a7fe-4b81-a17e-5e3d640109eb"]},{"id":"ITEM-2","itemData":{"DOI":"10.1111/j.1365-3040.1990.tb02135.x","ISSN":"13653040","abstract":"Abstract Respiration in plants is generally observed to comprise two components: one proportional to the growth rate and the other to the plant dry mass. These components are usually interpreted as being related to the growth of new plant material and maintenance of existing plant material, respectively. By analysing data in this way, the respiratory costs of both structural synthesis and maintenance are observed to be greater in the root than the shoot. This contradicts current understanding of the biochemistry of the processes involved. The basic model is developed to incorporate three additional processes. The first is the cost of ion uptake for plant growth. The second allows for the fact that the site of nitrogen assimilation into amino acids may differ from the site of utilization for protein synthesis: when ammonium is supplied, this is incorporated immediately into amino acids owing to its toxicity to the plants; when nitrate is supplied it may be reduced either in the shoot or root, or both, and subsequently transported around the plant for utilization. The third process to be included is an energy cost for the uptake of ions to balance efflux from the root system. The theory is consistent with experimental observation and provides a means of understanding and interpreting respiration and nitrogen metabolism in plants. Copyright © 1990, Wiley Blackwell. All rights reserved","author":[{"dropping-particle":"","family":"JOHNSON","given":"I. R.","non-dropping-particle":"","parse-names":false,"suffix":""}],"container-title":"Plant, Cell &amp; Environment","id":"ITEM-2","issue":"4","issued":{"date-parts":[["1990"]]},"page":"319-328","title":"Plant respiration in relation to growth, maintenance, ion uptake and nitrogen assimilation","type":"article-journal","volume":"13"},"uris":["http://www.mendeley.com/documents/?uuid=3f5ff839-1239-4c67-bc04-51169f730b1d"]},{"id":"ITEM-3","itemData":{"DOI":"10.1046/j.1469-8137.2000.00683.x","ISSN":"0028646X","abstract":"Global warming over the next century is likely to be associated with a change in the extent to which atmospheric and soil temperatures fluctuate, on both a daily and a seasonal basis. The average annual temperature of the Earth's surface is expected to increase, as is the frequency of hot days. In this review, we explore what effects short-term and long-term changes in temperature are likely to have on root respiratory metabolism, and what impacts such changes will have on daily, seasonal and annual CO2 release by roots under field conditions. We demonstrate that Q10 values, and the degree of acclimation, differ between and within plant species. Changes in the temperature sensitivity of respiration with measuring temperature are highlighted. Temperature-dependent changes in adenylate control and substrate supply are likely to control the Q10 and degree of acclimation of root respiration. Limitations in respiration capacity are unlikely to control respiratory flux at most temperatures. The potential role of nonphosphorylating pathways such as the alternative oxidase in controlling Q10 values is highlighted. The possibility that potentially rapid changes in adenylate control might underlie the acclimation response (rather than slow changes in enzyme capacity) has implications for the total amount of CO2 respired by roots daily and annually. Our modelling suggests that rapid acclimation will result in near-perfect homeostasis of respiration rates and minimize annual CO2 release. However, annual CO2 release increases substantially if the speed of full acclimation is lower. Our modelling exercise also shows that high Q10 values have the potential to increase daily and annual CO2 release substantially, particularly if the frequency of hot days increases after global warming.","author":[{"dropping-particle":"","family":"Atkin","given":"Owen K.","non-dropping-particle":"","parse-names":false,"suffix":""},{"dropping-particle":"","family":"Edwards","given":"Everard J.","non-dropping-particle":"","parse-names":false,"suffix":""},{"dropping-particle":"","family":"Loveys","given":"Beth R.","non-dropping-particle":"","parse-names":false,"suffix":""}],"container-title":"New Phytologist","id":"ITEM-3","issue":"1","issued":{"date-parts":[["2000"]]},"page":"141-154","title":"Response of root respiration to changes in temperature and its relevance to global","type":"article-journal","volume":"147"},"uris":["http://www.mendeley.com/documents/?uuid=7c6c03fd-0332-4618-ae23-39ea8d8c0e95"]}],"mendeley":{"formattedCitation":"(JOHNSON, 1990; Apple &lt;i&gt;et al.&lt;/i&gt;, 2000; Atkin &lt;i&gt;et al.&lt;/i&gt;, 2000)","manualFormatting":"(Johnson, 1990; Apple et al., 2000; Atkin et al., 2000)","plainTextFormattedCitation":"(JOHNSON, 1990; Apple et al., 2000; Atkin et al., 2000)","previouslyFormattedCitation":"(JOHNSON, 1990; Apple &lt;i&gt;et al.&lt;/i&gt;, 2000; Atkin &lt;i&gt;et al.&lt;/i&gt;, 2000)"},"properties":{"noteIndex":0},"schema":"https://github.com/citation-style-language/schema/raw/master/csl-citation.json"}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(Johnson, 1990; Apple </w:t>
      </w:r>
      <w:r w:rsidRPr="00872293">
        <w:rPr>
          <w:rFonts w:ascii="Times New Roman" w:hAnsi="Times New Roman" w:cs="Times New Roman"/>
          <w:i/>
          <w:iCs/>
          <w:noProof/>
        </w:rPr>
        <w:t>et al</w:t>
      </w:r>
      <w:r w:rsidRPr="00872293">
        <w:rPr>
          <w:rFonts w:ascii="Times New Roman" w:hAnsi="Times New Roman" w:cs="Times New Roman"/>
          <w:noProof/>
        </w:rPr>
        <w:t xml:space="preserve">., 2000; Atkin </w:t>
      </w:r>
      <w:r w:rsidRPr="00872293">
        <w:rPr>
          <w:rFonts w:ascii="Times New Roman" w:hAnsi="Times New Roman" w:cs="Times New Roman"/>
          <w:i/>
          <w:iCs/>
          <w:noProof/>
        </w:rPr>
        <w:t>et al.</w:t>
      </w:r>
      <w:r w:rsidRPr="00872293">
        <w:rPr>
          <w:rFonts w:ascii="Times New Roman" w:hAnsi="Times New Roman" w:cs="Times New Roman"/>
          <w:noProof/>
        </w:rPr>
        <w:t>, 2000)</w:t>
      </w:r>
      <w:r w:rsidRPr="00872293">
        <w:rPr>
          <w:rFonts w:ascii="Times New Roman" w:hAnsi="Times New Roman" w:cs="Times New Roman"/>
        </w:rPr>
        <w:fldChar w:fldCharType="end"/>
      </w:r>
      <w:r w:rsidRPr="00872293">
        <w:rPr>
          <w:rFonts w:ascii="Times New Roman" w:hAnsi="Times New Roman" w:cs="Times New Roman"/>
        </w:rPr>
        <w:t xml:space="preserve">, microbial activity, nutrient mineralization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{"citationItems":[{"id":"ITEM-1","itemData":{"DOI":"10.1007/s004420000544","ISSN":"00298549","abstract":"Climate change due to greenhouse gas emissions is predicted to raise the mean global temperature by 1.0-3.5°C in the next 50-100 years. The direct and indirect effects of this potential increase in temperature on terrestrial ecosystems and ecosystem processes are likely to be complex and highly varied in time and space. The Global Change and Terrestrial Ecosystems core project of the International Geosphere-Biosphere Programme has recently launched a Network of Ecosystem Warming Studies, the goals of which are to integrate and foster research on ecosystem-level effects of rising temperature. In this paper, we use meta-analysis to synthesize data on the response of soil respiration, net N mineralization, and aboveground plant productivity to experimental ecosystem warming at 32 research sites representing four broadly defined biomes, including high (latitude or altitude) tundra, low tundra, grassland, and forest. Warming methods included electrical heat-resistance ground cables, greenhouses, vented and unvented field chambers, overhead infrared lamps, and passive night-time warming. Although results from individual sites showed considerable variation in response to warming, results from the meta-analysis showed that, across all sites and years, 2-9 years of experimental warming in the range 0.3-6.0°C significantly increased soil respiration rates by 20% (with a 95% confidence interval of 18-22%), net N mineralization rates by 46% (with a 95% confidence interval of 30-64%), and plant productivity by 19% (with a 95% confidence interval of 15-23%). The response of soil respiration to warming was generally larger in forested ecosystems compared to low tundra and grassland ecosystems, and the response of plant productivity was generally larger in low tundra ecosystems than in forest and grassland ecosystems. With the exception of aboveground plant productivity, which showed a greater positive response to warming in colder ecosystems, the magnitude of the response of these three processes to experimental warming was not generally significantly related to the geographic, climatic, or environmental variables evaluated in this analysis. This underscores the need to understand the relative importance of specific factors (such as temperature, moisture, site quality, vegetation type, successional status, land-use history, etc.) at different spatial and temporal scales, and suggests that we should be cautious in \"scaling up\" responses from the plot and site level to …","author":[{"dropping-particle":"","family":"Rustad","given":"L. E.","non-dropping-particle":"","parse-names":false,"suffix":""},{"dropping-particle":"","family":"Campbell","given":"J. L.","non-dropping-particle":"","parse-names":false,"suffix":""},{"dropping-particle":"","family":"Marion","given":"G. M.","non-dropping-particle":"","parse-names":false,"suffix":""},{"dropping-particle":"","family":"Norby","given":"R. J.","non-dropping-particle":"","parse-names":false,"suffix":""},{"dropping-particle":"","family":"Mitchell","given":"M. J.","non-dropping-particle":"","parse-names":false,"suffix":""},{"dropping-particle":"","family":"Hartley","given":"A. E.","non-dropping-particle":"","parse-names":false,"suffix":""},{"dropping-particle":"","family":"Cornelissen","given":"J. H.C.","non-dropping-particle":"","parse-names":false,"suffix":""},{"dropping-particle":"","family":"Gurevitch","given":"J.","non-dropping-particle":"","parse-names":false,"suffix":""},{"dropping-particle":"","family":"Alward","given":"Richard","non-dropping-particle":"","parse-names":false,"suffix":""},{"dropping-particle":"","family":"Beier","given":"Claus","non-dropping-particle":"","parse-names":false,"suffix":""},{"dropping-particle":"","family":"Burke","given":"Indy","non-dropping-particle":"","parse-names":false,"suffix":""},{"dropping-particle":"","family":"Canadell","given":"Josep","non-dropping-particle":"","parse-names":false,"suffix":""},{"dropping-particle":"","family":"Callaghan","given":"Terry","non-dropping-particle":"","parse-names":false,"suffix":""},{"dropping-particle":"","family":"Christensen","given":"Torben R.","non-dropping-particle":"","parse-names":false,"suffix":""},{"dropping-particle":"","family":"Fahnestock","given":"Jace","non-dropping-particle":"","parse-names":false,"suffix":""},{"dropping-particle":"","family":"Fernandez","given":"Ivan","non-dropping-particle":"","parse-names":false,"suffix":""},{"dropping-particle":"","family":"Harte","given":"John","non-dropping-particle":"","parse-names":false,"suffix":""},{"dropping-particle":"","family":"Hollister","given":"Robert","non-dropping-particle":"","parse-names":false,"suffix":""},{"dropping-particle":"","family":"John","given":"Hom","non-dropping-particle":"","parse-names":false,"suffix":""},{"dropping-particle":"","family":"Ineson","given":"Phil","non-dropping-particle":"","parse-names":false,"suffix":""},{"dropping-particle":"","family":"Johnson","given":"Mark G.","non-dropping-particle":"","parse-names":false,"suffix":""},{"dropping-particle":"","family":"Jonasson","given":"Sven","non-dropping-particle":"","parse-names":false,"suffix":""},{"dropping-particle":"","family":"John","given":"Lee","non-dropping-particle":"","parse-names":false,"suffix":""},{"dropping-particle":"","family":"Linder","given":"Sune","non-dropping-particle":"","parse-names":false,"suffix":""},{"dropping-particle":"","family":"Lukewille","given":"Anna","non-dropping-particle":"","parse-names":false,"suffix":""},{"dropping-particle":"","family":"Masters","given":"Greg","non-dropping-particle":"","parse-names":false,"suffix":""},{"dropping-particle":"","family":"Melillo","given":"Jerry","non-dropping-particle":"","parse-names":false,"suffix":""},{"dropping-particle":"","family":"Mickelsen","given":"Anders","non-dropping-particle":"","parse-names":false,"suffix":""},{"dropping-particle":"","family":"Neill","given":"Chris","non-dropping-particle":"","parse-names":false,"suffix":""},{"dropping-particle":"","family":"Olszyk","given":"David M.","non-dropping-particle":"","parse-names":false,"suffix":""},{"dropping-particle":"","family":"Press","given":"Malcolm","non-dropping-particle":"","parse-names":false,"suffix":""},{"dropping-particle":"","family":"Pregitzer","given":"Kurt","non-dropping-particle":"","parse-names":false,"suffix":""},{"dropping-particle":"","family":"Robinson","given":"Clare","non-dropping-particle":"","parse-names":false,"suffix":""},{"dropping-particle":"","family":"Rygiewiez","given":"Paul T.","non-dropping-particle":"","parse-names":false,"suffix":""},{"dropping-particle":"","family":"Sala","given":"Osvaldo","non-dropping-particle":"","parse-names":false,"suffix":""},{"dropping-particle":"","family":"Schmidt","given":"Inger K.","non-dropping-particle":"","parse-names":false,"suffix":""},{"dropping-particle":"","family":"Shaver","given":"Gus","non-dropping-particle":"","parse-names":false,"suffix":""},{"dropping-particle":"","family":"Thompson","given":"Ken","non-dropping-particle":"","parse-names":false,"suffix":""},{"dropping-particle":"","family":"Tingey","given":"David T.","non-dropping-particle":"","parse-names":false,"suffix":""},{"dropping-particle":"","family":"Verburg","given":"Paul","non-dropping-particle":"","parse-names":false,"suffix":""},{"dropping-particle":"","family":"Wall","given":"Diana","non-dropping-particle":"","parse-names":false,"suffix":""},{"dropping-particle":"","family":"Welker","given":"Jeff","non-dropping-particle":"","parse-names":false,"suffix":""},{"dropping-particle":"","family":"Wright","given":"Richard","non-dropping-particle":"","parse-names":false,"suffix":""}],"container-title":"Oecologia","id":"ITEM-1","issue":"4","issued":{"date-parts":[["2001"]]},"page":"543-562","title":"A meta-analysis of the response of soil respiration, net nitrogen mineralization, and aboveground plant growth to experimental ecosystem warming","type":"article-journal","volume":"126"},"uris":["http://www.mendeley.com/documents/?uuid=6c8701da-2358-4607-af79-cf410dfeb461"]},{"id":"ITEM-2","itemData":{"DOI":"10.1641/0006-3568(2000)050[0871:gwatea]2.0.co;2","ISSN":"0006-3568","abstract":"Focuses on the study of the effects global warming will have on ecosystems. Importance of accounting for increased temperature and carbon dioxide in the studies; Direct and indirect effects of warming; Different rates at which various ecosystems will be affected; Case studies of warming responses.","author":[{"dropping-particle":"","family":"Shaver","given":"Gaius R.","non-dropping-particle":"","parse-names":false,"suffix":""},{"dropping-particle":"","family":"Candell","given":"Josep","non-dropping-particle":"","parse-names":false,"suffix":""},{"dropping-particle":"","family":"Chapin","given":"F. S.","non-dropping-particle":"","parse-names":false,"suffix":""},{"dropping-particle":"","family":"Gurevitch","given":"Jessica","non-dropping-particle":"","parse-names":false,"suffix":""},{"dropping-particle":"","family":"Harte","given":"John","non-dropping-particle":"","parse-names":false,"suffix":""},{"dropping-particle":"","family":"Henry","given":"Greg","non-dropping-particle":"","parse-names":false,"suffix":""},{"dropping-particle":"","family":"Ineson","given":"Phil","non-dropping-particle":"","parse-names":false,"suffix":""},{"dropping-particle":"","family":"Jonasson","given":"Sven","non-dropping-particle":"","parse-names":false,"suffix":""},{"dropping-particle":"","family":"Melillo","given":"Jerry","non-dropping-particle":"","parse-names":false,"suffix":""},{"dropping-particle":"","family":"Pitelka","given":"Louis","non-dropping-particle":"","parse-names":false,"suffix":""},{"dropping-particle":"","family":"Rustad","given":"Llindsey","non-dropping-particle":"","parse-names":false,"suffix":""}],"container-title":"BioScience","id":"ITEM-2","issue":"10","issued":{"date-parts":[["2000"]]},"page":"871-882","title":"Global Warming and Terrestrial Ecosystems: A Conceptual Framework for Analysis","type":"article-journal","volume":"50"},"uris":["http://www.mendeley.com/documents/?uuid=31f20b56-b3a6-4cb7-9f93-a46419ac7632"]}],"mendeley":{"formattedCitation":"(Shaver &lt;i&gt;et al.&lt;/i&gt;, 2000; Rustad &lt;i&gt;et al.&lt;/i&gt;, 2001)","plainTextFormattedCitation":"(Shaver et al., 2000; Rustad et al., 2001)","previouslyFormattedCitation":"(Shaver &lt;i&gt;et al.&lt;/i&gt;, 2000; Rustad &lt;i&gt;et al.&lt;/i&gt;, 2001)"},"properties":{"noteIndex":0},"schema":"https://github.com/citation-style-language/schema/raw/master/csl-citation.json"}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(Shaver </w:t>
      </w:r>
      <w:r w:rsidRPr="00872293">
        <w:rPr>
          <w:rFonts w:ascii="Times New Roman" w:hAnsi="Times New Roman" w:cs="Times New Roman"/>
          <w:i/>
          <w:noProof/>
        </w:rPr>
        <w:t>et al.</w:t>
      </w:r>
      <w:r w:rsidRPr="00872293">
        <w:rPr>
          <w:rFonts w:ascii="Times New Roman" w:hAnsi="Times New Roman" w:cs="Times New Roman"/>
          <w:noProof/>
        </w:rPr>
        <w:t xml:space="preserve">, 2000; Rustad </w:t>
      </w:r>
      <w:r w:rsidRPr="00872293">
        <w:rPr>
          <w:rFonts w:ascii="Times New Roman" w:hAnsi="Times New Roman" w:cs="Times New Roman"/>
          <w:i/>
          <w:noProof/>
        </w:rPr>
        <w:t>et al.</w:t>
      </w:r>
      <w:r w:rsidRPr="00872293">
        <w:rPr>
          <w:rFonts w:ascii="Times New Roman" w:hAnsi="Times New Roman" w:cs="Times New Roman"/>
          <w:noProof/>
        </w:rPr>
        <w:t>, 2001)</w:t>
      </w:r>
      <w:r w:rsidRPr="00872293">
        <w:rPr>
          <w:rFonts w:ascii="Times New Roman" w:hAnsi="Times New Roman" w:cs="Times New Roman"/>
        </w:rPr>
        <w:fldChar w:fldCharType="end"/>
      </w:r>
      <w:r w:rsidRPr="00872293">
        <w:rPr>
          <w:rFonts w:ascii="Times New Roman" w:hAnsi="Times New Roman" w:cs="Times New Roman"/>
        </w:rPr>
        <w:t xml:space="preserve">, and directly through metabolic and physical processes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Phytologist","id":"ITEM-1","issue":"2","issued":{"date-parts":[["2004"]]},"page":"436-446","title":"CO2 enrichment and warming of the atmosphere enhance both productivity and mortality of maple tree fine roots","type":"article-journal","volume":"162"},"uris":["http://www.mendeley.com/documents/?uuid=ea8eb449-938d-4d49-a3de-29025185b266"]}],"mendeley":{"formattedCitation":"(Wan &lt;i&gt;et al.&lt;/i&gt;, 2004)","manualFormatting":"(Wan et al., 2004)","plainTextFormattedCitation":"(Wan et al., 2004)","previouslyFormattedCitation":"(Wan &lt;i&gt;et al.&lt;/i&gt;, 2004)"},"properties":{"noteIndex":0},"schema":"https://github.com/citation-style-language/schema/raw/master/csl-citation.json"}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(Wan </w:t>
      </w:r>
      <w:r w:rsidRPr="00872293">
        <w:rPr>
          <w:rFonts w:ascii="Times New Roman" w:hAnsi="Times New Roman" w:cs="Times New Roman"/>
          <w:i/>
          <w:iCs/>
          <w:noProof/>
        </w:rPr>
        <w:t>et al.</w:t>
      </w:r>
      <w:r w:rsidRPr="00872293">
        <w:rPr>
          <w:rFonts w:ascii="Times New Roman" w:hAnsi="Times New Roman" w:cs="Times New Roman"/>
          <w:noProof/>
        </w:rPr>
        <w:t>, 2004)</w:t>
      </w:r>
      <w:r w:rsidRPr="00872293">
        <w:rPr>
          <w:rFonts w:ascii="Times New Roman" w:hAnsi="Times New Roman" w:cs="Times New Roman"/>
        </w:rPr>
        <w:fldChar w:fldCharType="end"/>
      </w:r>
      <w:r w:rsidRPr="00872293">
        <w:rPr>
          <w:rFonts w:ascii="Times New Roman" w:hAnsi="Times New Roman" w:cs="Times New Roman"/>
        </w:rPr>
        <w:t xml:space="preserve">. In other cases, an increase in temperature has reduced soil moisture, which triggered a decrease of root production and changes in rooting distribution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{"citationItems":[{"id":"ITEM-1","itemData":{"DOI":"10.1046/j.1469-8137.2000.00689.x","ISSN":"0028646X","abstract":"Soil temperature can influence the functioning of roots in many ways. If soil moisture and nutrient availability are adequate, rates of root length extension and root mortality increase with increasing soil temperature, at least up to an optimal temperature for root growth, which seems to vary among taxa. Root growth and root mortality are highly seasonal in perennial plants, with a flush of growth in spring and significant mortality in the fall. At present we do not understand whether root growth phenology responds to the same temperature cues that are known to control shoot growth. We also do not understand whether the flush of root growth in the spring depends on the utilization of stored nonstructural carbohydrates, or if it is fueled by current photosynthate. Root respiration increases exponentially with temperature, but Q(10) values range widely from c. 1.5 to ]3.0. Significant questions yet to be resolved are: whether rates of root respiration acclimate to soil temperature, and what mechanisms control acclimation if it occurs. Limited data suggest that fine roots depend heavily on the import of new carbon (C) from the canopy during the growing season. We hypothesize that root growth and root respiration are tightly linked to whole-canopy assimilation through complex source-sink relationships within the plant. Our understanding of how the whole plant responds to dynamic changes in soil temperature, moisture and nutrient availability is poor, even though it is well known that multiple growth-limiting resources change simultaneously through time during a typical growing season. We review the interactions between soil temperature and other growth-limiting factors to illustrate how simple generalizations about temperature and root functioning can be misleading.","author":[{"dropping-particle":"","family":"Pregitzer","given":"Kurt S.","non-dropping-particle":"","parse-names":false,"suffix":""},{"dropping-particle":"","family":"King","given":"John S.","non-dropping-particle":"","parse-names":false,"suffix":""},{"dropping-particle":"","family":"Burton","given":"Andrew J.","non-dropping-particle":"","parse-names":false,"suffix":""},{"dropping-particle":"","family":"Brown","given":"Shannon E.","non-dropping-particle":"","parse-names":false,"suffix":""}],"container-title":"New Phytologist","id":"ITEM-1","issue":"1","issued":{"date-parts":[["2000"]]},"page":"105-115","title":"Responses of tree fine roots to temperature","type":"article-journal","volume":"147"},"uris":["http://www.mendeley.com/documents/?uuid=177deccf-9f3f-4f11-b983-7847e5415415"]},{"id":"ITEM-2","itemData":{"DOI":"10.1111/j.1469-8137.2004.01034.x","ISSN":"0028646X","abstract":"•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Phytologist","id":"ITEM-2","issue":"2","issued":{"date-parts":[["2004"]]},"page":"436-446","title":"CO2 enrichment and warming of the atmosphere enhance both productivity and mortality of maple tree fine roots","type":"article-journal","volume":"162"},"uris":["http://www.mendeley.com/documents/?uuid=ea8eb449-938d-4d49-a3de-29025185b266"]},{"id":"ITEM-3","itemData":{"DOI":"10.1111/j.1469-8137.2007.02231.x","ISSN":"0028646X","abstract":"• Effects of warming on root morphology, root mass distribution and microbial activity were studied in organic and mineral soil layers in two alpine ecosystems over &gt; 10 yr, using open-top chambers, in Swedish Lapland. • Root mass was estimated using soil cores. Washed roots were scanned and sorted into four diameter classes, for which variables including root mass (g dry matter (g DM) m-2), root length density (RLD; cm cm-3 soil), specific root length (SRL; m g DM-1), specific root area (SRA; m2 kg DM-1), and number of root tips m-2 were determined. Nitrification (NEA) and denitrification enzyme activity (DEA) in the top 10 cm of soil were measured. • Soil warming shifted the rooting zone towards the upper soil organic layer in both plant communities. In the dry heath, warming increased SRL and SRA of the finest roots in both soil layers, whereas the dry meadow was unaffected. Neither NEA nor DEA exhibited differences attributable to warming. • Tundra plants may respond to climate change by altering their root morphology and mass while microbial activity may be unaffected. This suggests that carbon may be incorporated in tundra soils partly as a result of increases in the mass of the finer roots if temperatures rise. © The Authors (2007).","author":[{"dropping-particle":"","family":"Björk","given":"Robert G.","non-dropping-particle":"","parse-names":false,"suffix":""},{"dropping-particle":"","family":"Majdi","given":"Hooshang","non-dropping-particle":"","parse-names":false,"suffix":""},{"dropping-particle":"","family":"Klemedtsson","given":"Leif","non-dropping-particle":"","parse-names":false,"suffix":""},{"dropping-particle":"","family":"Lewis-Jonsson","given":"Lotta","non-dropping-particle":"","parse-names":false,"suffix":""},{"dropping-particle":"","family":"Molau","given":"Ulf","non-dropping-particle":"","parse-names":false,"suffix":""}],"container-title":"New Phytologist","id":"ITEM-3","issue":"4","issued":{"date-parts":[["2007"]]},"page":"862-873","title":"Long-term warming effects on root morphology, root mass distribution, and microbial activity in two dry tundra plant communities in northern Sweden","type":"article-journal","volume":"176"},"uris":["http://www.mendeley.com/documents/?uuid=9c64d0f1-682c-4fff-883a-95e65c81cfa2"]}],"mendeley":{"formattedCitation":"(Pregitzer &lt;i&gt;et al.&lt;/i&gt;, 2000; Wan &lt;i&gt;et al.&lt;/i&gt;, 2004; Björk &lt;i&gt;et al.&lt;/i&gt;, 2007)","manualFormatting":"(Pregitzer et al., 2000; Wan et al., 2004; Björk et al., 2007)","plainTextFormattedCitation":"(Pregitzer et al., 2000; Wan et al., 2004; Björk et al., 2007)","previouslyFormattedCitation":"(Pregitzer &lt;i&gt;et al.&lt;/i&gt;, 2000; Wan &lt;i&gt;et al.&lt;/i&gt;, 2004; Björk &lt;i&gt;et al.&lt;/i&gt;, 2007)"},"properties":{"noteIndex":0},"schema":"https://github.com/citation-style-language/schema/raw/master/csl-citation.json"}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(Pregitzer </w:t>
      </w:r>
      <w:r w:rsidRPr="00872293">
        <w:rPr>
          <w:rFonts w:ascii="Times New Roman" w:hAnsi="Times New Roman" w:cs="Times New Roman"/>
          <w:i/>
          <w:iCs/>
          <w:noProof/>
        </w:rPr>
        <w:t>et al</w:t>
      </w:r>
      <w:r w:rsidRPr="00872293">
        <w:rPr>
          <w:rFonts w:ascii="Times New Roman" w:hAnsi="Times New Roman" w:cs="Times New Roman"/>
          <w:noProof/>
        </w:rPr>
        <w:t xml:space="preserve">., 2000; Wan </w:t>
      </w:r>
      <w:r w:rsidRPr="00872293">
        <w:rPr>
          <w:rFonts w:ascii="Times New Roman" w:hAnsi="Times New Roman" w:cs="Times New Roman"/>
          <w:i/>
          <w:iCs/>
          <w:noProof/>
        </w:rPr>
        <w:t>et al.</w:t>
      </w:r>
      <w:r w:rsidRPr="00872293">
        <w:rPr>
          <w:rFonts w:ascii="Times New Roman" w:hAnsi="Times New Roman" w:cs="Times New Roman"/>
          <w:noProof/>
        </w:rPr>
        <w:t xml:space="preserve">, 2004; Björk </w:t>
      </w:r>
      <w:r w:rsidRPr="00872293">
        <w:rPr>
          <w:rFonts w:ascii="Times New Roman" w:hAnsi="Times New Roman" w:cs="Times New Roman"/>
          <w:i/>
          <w:iCs/>
          <w:noProof/>
        </w:rPr>
        <w:t>et al</w:t>
      </w:r>
      <w:r w:rsidRPr="00872293">
        <w:rPr>
          <w:rFonts w:ascii="Times New Roman" w:hAnsi="Times New Roman" w:cs="Times New Roman"/>
          <w:noProof/>
        </w:rPr>
        <w:t>., 2007)</w:t>
      </w:r>
      <w:r w:rsidRPr="00872293">
        <w:rPr>
          <w:rFonts w:ascii="Times New Roman" w:hAnsi="Times New Roman" w:cs="Times New Roman"/>
        </w:rPr>
        <w:fldChar w:fldCharType="end"/>
      </w:r>
      <w:r w:rsidRPr="00872293">
        <w:rPr>
          <w:rFonts w:ascii="Times New Roman" w:hAnsi="Times New Roman" w:cs="Times New Roman"/>
        </w:rPr>
        <w:t xml:space="preserve">. However, all the results from previous </w:t>
      </w:r>
      <w:r w:rsidRPr="00872293">
        <w:rPr>
          <w:rFonts w:ascii="Times New Roman" w:hAnsi="Times New Roman" w:cs="Times New Roman"/>
          <w:i/>
        </w:rPr>
        <w:t>in situ</w:t>
      </w:r>
      <w:r w:rsidRPr="00872293">
        <w:rPr>
          <w:rFonts w:ascii="Times New Roman" w:hAnsi="Times New Roman" w:cs="Times New Roman"/>
        </w:rPr>
        <w:t xml:space="preserve"> warming experiments have been based in temperate and boreal biomes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{"citationItems":[{"id":"ITEM-1","itemData":{"DOI":"10.1007/s004420000544","ISSN":"00298549","abstract":"Climate change due to greenhouse gas emissions is predicted to raise the mean global temperature by 1.0-3.5°C in the next 50-100 years. The direct and indirect effects of this potential increase in temperature on terrestrial ecosystems and ecosystem processes are likely to be complex and highly varied in time and space. The Global Change and Terrestrial Ecosystems core project of the International Geosphere-Biosphere Programme has recently launched a Network of Ecosystem Warming Studies, the goals of which are to integrate and foster research on ecosystem-level effects of rising temperature. In this paper, we use meta-analysis to synthesize data on the response of soil respiration, net N mineralization, and aboveground plant productivity to experimental ecosystem warming at 32 research sites representing four broadly defined biomes, including high (latitude or altitude) tundra, low tundra, grassland, and forest. Warming methods included electrical heat-resistance ground cables, greenhouses, vented and unvented field chambers, overhead infrared lamps, and passive night-time warming. Although results from individual sites showed considerable variation in response to warming, results from the meta-analysis showed that, across all sites and years, 2-9 years of experimental warming in the range 0.3-6.0°C significantly increased soil respiration rates by 20% (with a 95% confidence interval of 18-22%), net N mineralization rates by 46% (with a 95% confidence interval of 30-64%), and plant productivity by 19% (with a 95% confidence interval of 15-23%). The response of soil respiration to warming was generally larger in forested ecosystems compared to low tundra and grassland ecosystems, and the response of plant productivity was generally larger in low tundra ecosystems than in forest and grassland ecosystems. With the exception of aboveground plant productivity, which showed a greater positive response to warming in colder ecosystems, the magnitude of the response of these three processes to experimental warming was not generally significantly related to the geographic, climatic, or environmental variables evaluated in this analysis. This underscores the need to understand the relative importance of specific factors (such as temperature, moisture, site quality, vegetation type, successional status, land-use history, etc.) at different spatial and temporal scales, and suggests that we should be cautious in \"scaling up\" responses from the plot and site level to …","author":[{"dropping-particle":"","family":"Rustad","given":"L. E.","non-dropping-particle":"","parse-names":false,"suffix":""},{"dropping-particle":"","family":"Campbell","given":"J. L.","non-dropping-particle":"","parse-names":false,"suffix":""},{"dropping-particle":"","family":"Marion","given":"G. M.","non-dropping-particle":"","parse-names":false,"suffix":""},{"dropping-particle":"","family":"Norby","given":"R. J.","non-dropping-particle":"","parse-names":false,"suffix":""},{"dropping-particle":"","family":"Mitchell","given":"M. J.","non-dropping-particle":"","parse-names":false,"suffix":""},{"dropping-particle":"","family":"Hartley","given":"A. E.","non-dropping-particle":"","parse-names":false,"suffix":""},{"dropping-particle":"","family":"Cornelissen","given":"J. H.C.","non-dropping-particle":"","parse-names":false,"suffix":""},{"dropping-particle":"","family":"Gurevitch","given":"J.","non-dropping-particle":"","parse-names":false,"suffix":""},{"dropping-particle":"","family":"Alward","given":"Richard","non-dropping-particle":"","parse-names":false,"suffix":""},{"dropping-particle":"","family":"Beier","given":"Claus","non-dropping-particle":"","parse-names":false,"suffix":""},{"dropping-particle":"","family":"Burke","given":"Indy","non-dropping-particle":"","parse-names":false,"suffix":""},{"dropping-particle":"","family":"Canadell","given":"Josep","non-dropping-particle":"","parse-names":false,"suffix":""},{"dropping-particle":"","family":"Callaghan","given":"Terry","non-dropping-particle":"","parse-names":false,"suffix":""},{"dropping-particle":"","family":"Christensen","given":"Torben R.","non-dropping-particle":"","parse-names":false,"suffix":""},{"dropping-particle":"","family":"Fahnestock","given":"Jace","non-dropping-particle":"","parse-names":false,"suffix":""},{"dropping-particle":"","family":"Fernandez","given":"Ivan","non-dropping-particle":"","parse-names":false,"suffix":""},{"dropping-particle":"","family":"Harte","given":"John","non-dropping-particle":"","parse-names":false,"suffix":""},{"dropping-particle":"","family":"Hollister","given":"Robert","non-dropping-particle":"","parse-names":false,"suffix":""},{"dropping-particle":"","family":"John","given":"Hom","non-dropping-particle":"","parse-names":false,"suffix":""},{"dropping-particle":"","family":"Ineson","given":"Phil","non-dropping-particle":"","parse-names":false,"suffix":""},{"dropping-particle":"","family":"Johnson","given":"Mark G.","non-dropping-particle":"","parse-names":false,"suffix":""},{"dropping-particle":"","family":"Jonasson","given":"Sven","non-dropping-particle":"","parse-names":false,"suffix":""},{"dropping-particle":"","family":"John","given":"Lee","non-dropping-particle":"","parse-names":false,"suffix":""},{"dropping-particle":"","family":"Linder","given":"Sune","non-dropping-particle":"","parse-names":false,"suffix":""},{"dropping-particle":"","family":"Lukewille","given":"Anna","non-dropping-particle":"","parse-names":false,"suffix":""},{"dropping-particle":"","family":"Masters","given":"Greg","non-dropping-particle":"","parse-names":false,"suffix":""},{"dropping-particle":"","family":"Melillo","given":"Jerry","non-dropping-particle":"","parse-names":false,"suffix":""},{"dropping-particle":"","family":"Mickelsen","given":"Anders","non-dropping-particle":"","parse-names":false,"suffix":""},{"dropping-particle":"","family":"Neill","given":"Chris","non-dropping-particle":"","parse-names":false,"suffix":""},{"dropping-particle":"","family":"Olszyk","given":"David M.","non-dropping-particle":"","parse-names":false,"suffix":""},{"dropping-particle":"","family":"Press","given":"Malcolm","non-dropping-particle":"","parse-names":false,"suffix":""},{"dropping-particle":"","family":"Pregitzer","given":"Kurt","non-dropping-particle":"","parse-names":false,"suffix":""},{"dropping-particle":"","family":"Robinson","given":"Clare","non-dropping-particle":"","parse-names":false,"suffix":""},{"dropping-particle":"","family":"Rygiewiez","given":"Paul T.","non-dropping-particle":"","parse-names":false,"suffix":""},{"dropping-particle":"","family":"Sala","given":"Osvaldo","non-dropping-particle":"","parse-names":false,"suffix":""},{"dropping-particle":"","family":"Schmidt","given":"Inger K.","non-dropping-particle":"","parse-names":false,"suffix":""},{"dropping-particle":"","family":"Shaver","given":"Gus","non-dropping-particle":"","parse-names":false,"suffix":""},{"dropping-particle":"","family":"Thompson","given":"Ken","non-dropping-particle":"","parse-names":false,"suffix":""},{"dropping-particle":"","family":"Tingey","given":"David T.","non-dropping-particle":"","parse-names":false,"suffix":""},{"dropping-particle":"","family":"Verburg","given":"Paul","non-dropping-particle":"","parse-names":false,"suffix":""},{"dropping-particle":"","family":"Wall","given":"Diana","non-dropping-particle":"","parse-names":false,"suffix":""},{"dropping-particle":"","family":"Welker","given":"Jeff","non-dropping-particle":"","parse-names":false,"suffix":""},{"dropping-particle":"","family":"Wright","given":"Richard","non-dropping-particle":"","parse-names":false,"suffix":""}],"container-title":"Oecologia","id":"ITEM-1","issue":"4","issued":{"date-parts":[["2001"]]},"page":"543-562","title":"A meta-analysis of the response of soil respiration, net nitrogen mineralization, and aboveground plant growth to experimental ecosystem warming","type":"article-journal","volume":"126"},"uris":["http://www.mendeley.com/documents/?uuid=6c8701da-2358-4607-af79-cf410dfeb461"]},{"id":"ITEM-2","itemData":{"DOI":"10.1111/gcb.12860","ISSN":"13652486","abstract":"© 2015 John Wiley &amp; Sons Ltd. Although tropical forests account for only a fraction of the planet's terrestrial surface, they exchange more carbon dioxide with the atmosphere than any other biome on Earth, and thus play a disproportionate role in the global climate. In the next 20 years, the tropics will experience unprecedented warming, yet there is exceedingly high uncertainty about their potential responses to this imminent climatic change. Here, we prioritize research approaches given both funding and logistical constraints in order to resolve major uncertainties about how tropical forests function and also to improve predictive capacity of earth system models. We investigate overall model uncertainty of tropical latitudes and explore the scientific benefits and inevitable trade-offs inherent in large-scale manipulative field experiments. With a Coupled Model Intercomparison Project Phase 5 analysis, we found that model variability in projected net ecosystem production was nearly 3 times greater in the tropics than for any other latitude. Through a review of the most current literature, we concluded that manipulative warming experiments are vital to accurately predict future tropical forest carbon balance, and we further recommend the establishment of a network of comparable studies spanning gradients of precipitation, edaphic qualities, plant types, and/or land use change. We provide arguments for long-term, single-factor warming experiments that incorporate warming of the most biogeochemically active ecosystem components (i.e. leaves, roots, soil microbes). Hypothesis testing of underlying mechanisms should be a priority, along with improving model parameterization and constraints. No single tropical forest is representative of all tropical forests; therefore logistical feasibility should be the most important consideration for locating large-scale manipulative experiments. Above all, we advocate for multi-faceted research programs, and we offer arguments for what we consider the most powerful and urgent way forward in order to improve our understanding of tropical forest responses to climate change.","author":[{"dropping-particle":"","family":"Cavaleri","given":"Molly A.","non-dropping-particle":"","parse-names":false,"suffix":""},{"dropping-particle":"","family":"Reed","given":"Sasha C.","non-dropping-particle":"","parse-names":false,"suffix":""},{"dropping-particle":"","family":"Smith","given":"W. Kolby","non-dropping-particle":"","parse-names":false,"suffix":""},{"dropping-particle":"","family":"Wood","given":"Tana E.","non-dropping-particle":"","parse-names":false,"suffix":""}],"container-title":"Global Change Biology","id":"ITEM-2","issue":"6","issued":{"date-parts":[["2015"]]},"page":"2111-2121","title":"Urgent need for warming experiments in tropical forests","type":"article-journal","volume":"21"},"uris":["http://www.mendeley.com/documents/?uuid=1849b672-6e54-4799-a060-836ad328c75f"]}],"mendeley":{"formattedCitation":"(Rustad &lt;i&gt;et al.&lt;/i&gt;, 2001; Cavaleri &lt;i&gt;et al.&lt;/i&gt;, 2015)","plainTextFormattedCitation":"(Rustad et al., 2001; Cavaleri et al., 2015)","previouslyFormattedCitation":"(Rustad &lt;i&gt;et al.&lt;/i&gt;, 2001; Cavaleri &lt;i&gt;et al.&lt;/i&gt;, 2015)"},"properties":{"noteIndex":0},"schema":"https://github.com/citation-style-language/schema/raw/master/csl-citation.json"}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(Rustad </w:t>
      </w:r>
      <w:r w:rsidRPr="00872293">
        <w:rPr>
          <w:rFonts w:ascii="Times New Roman" w:hAnsi="Times New Roman" w:cs="Times New Roman"/>
          <w:i/>
          <w:noProof/>
        </w:rPr>
        <w:t>et al.</w:t>
      </w:r>
      <w:r w:rsidRPr="00872293">
        <w:rPr>
          <w:rFonts w:ascii="Times New Roman" w:hAnsi="Times New Roman" w:cs="Times New Roman"/>
          <w:noProof/>
        </w:rPr>
        <w:t xml:space="preserve">, 2001; Cavaleri </w:t>
      </w:r>
      <w:r w:rsidRPr="00872293">
        <w:rPr>
          <w:rFonts w:ascii="Times New Roman" w:hAnsi="Times New Roman" w:cs="Times New Roman"/>
          <w:i/>
          <w:noProof/>
        </w:rPr>
        <w:t>et al.</w:t>
      </w:r>
      <w:r w:rsidRPr="00872293">
        <w:rPr>
          <w:rFonts w:ascii="Times New Roman" w:hAnsi="Times New Roman" w:cs="Times New Roman"/>
          <w:noProof/>
        </w:rPr>
        <w:t>, 2015)</w:t>
      </w:r>
      <w:r w:rsidRPr="00872293">
        <w:rPr>
          <w:rFonts w:ascii="Times New Roman" w:hAnsi="Times New Roman" w:cs="Times New Roman"/>
        </w:rPr>
        <w:fldChar w:fldCharType="end"/>
      </w:r>
      <w:r w:rsidRPr="00872293">
        <w:rPr>
          <w:rFonts w:ascii="Times New Roman" w:hAnsi="Times New Roman" w:cs="Times New Roman"/>
        </w:rPr>
        <w:t xml:space="preserve"> where temperatures reach below freezing and precipitation is usually no greater than 9.5 mm day</w:t>
      </w:r>
      <w:r w:rsidRPr="00872293">
        <w:rPr>
          <w:rFonts w:ascii="Times New Roman" w:hAnsi="Times New Roman" w:cs="Times New Roman"/>
          <w:vertAlign w:val="superscript"/>
        </w:rPr>
        <w:t xml:space="preserve">-1 </w:t>
      </w:r>
      <w:r w:rsidRPr="00872293">
        <w:rPr>
          <w:rFonts w:ascii="Times New Roman" w:hAnsi="Times New Roman" w:cs="Times New Roman"/>
          <w:vertAlign w:val="superscript"/>
        </w:rPr>
        <w:fldChar w:fldCharType="begin" w:fldLock="1"/>
      </w:r>
      <w:r w:rsidRPr="00872293">
        <w:rPr>
          <w:rFonts w:ascii="Times New Roman" w:hAnsi="Times New Roman" w:cs="Times New Roman"/>
          <w:vertAlign w:val="superscript"/>
        </w:rPr>
        <w:instrText>ADDIN CSL_CITATION {"citationItems":[{"id":"ITEM-1","itemData":{"author":[{"dropping-particle":"","family":"Whitaker","given":"Robert H","non-dropping-particle":"","parse-names":false,"suffix":""}],"edition":"2","id":"ITEM-1","issued":{"date-parts":[["1975"]]},"publisher":"Macmillan","publisher-place":"New York","title":"Communities and ecosystems","type":"book"},"uris":["http://www.mendeley.com/documents/?uuid=4cc24bfc-0abc-4e33-b458-0d87155b9ff2"]}],"mendeley":{"formattedCitation":"(Whitaker, 1975)","plainTextFormattedCitation":"(Whitaker, 1975)","previouslyFormattedCitation":"(Whitaker, 1975)"},"properties":{"noteIndex":0},"schema":"https://github.com/citation-style-language/schema/raw/master/csl-citation.json"}</w:instrText>
      </w:r>
      <w:r w:rsidRPr="00872293">
        <w:rPr>
          <w:rFonts w:ascii="Times New Roman" w:hAnsi="Times New Roman" w:cs="Times New Roman"/>
          <w:vertAlign w:val="superscript"/>
        </w:rPr>
        <w:fldChar w:fldCharType="separate"/>
      </w:r>
      <w:r w:rsidRPr="00872293">
        <w:rPr>
          <w:rFonts w:ascii="Times New Roman" w:hAnsi="Times New Roman" w:cs="Times New Roman"/>
          <w:noProof/>
        </w:rPr>
        <w:t>(Whitaker, 1975)</w:t>
      </w:r>
      <w:r w:rsidRPr="00872293">
        <w:rPr>
          <w:rFonts w:ascii="Times New Roman" w:hAnsi="Times New Roman" w:cs="Times New Roman"/>
          <w:vertAlign w:val="superscript"/>
        </w:rPr>
        <w:fldChar w:fldCharType="end"/>
      </w:r>
      <w:r w:rsidRPr="00872293">
        <w:rPr>
          <w:rFonts w:ascii="Times New Roman" w:hAnsi="Times New Roman" w:cs="Times New Roman"/>
        </w:rPr>
        <w:t xml:space="preserve">. In the case of our study site in Puerto Rico, where air temperatures range between 23 </w:t>
      </w:r>
      <w:proofErr w:type="spellStart"/>
      <w:r w:rsidRPr="00872293">
        <w:rPr>
          <w:rFonts w:ascii="Times New Roman" w:hAnsi="Times New Roman" w:cs="Times New Roman"/>
          <w:vertAlign w:val="superscript"/>
        </w:rPr>
        <w:t>o</w:t>
      </w:r>
      <w:r w:rsidRPr="00872293">
        <w:rPr>
          <w:rFonts w:ascii="Times New Roman" w:hAnsi="Times New Roman" w:cs="Times New Roman"/>
        </w:rPr>
        <w:t>C</w:t>
      </w:r>
      <w:proofErr w:type="spellEnd"/>
      <w:r w:rsidRPr="00872293">
        <w:rPr>
          <w:rFonts w:ascii="Times New Roman" w:hAnsi="Times New Roman" w:cs="Times New Roman"/>
        </w:rPr>
        <w:t xml:space="preserve"> (February) and 27</w:t>
      </w:r>
      <w:r w:rsidRPr="00872293">
        <w:rPr>
          <w:rFonts w:ascii="Times New Roman" w:hAnsi="Times New Roman" w:cs="Times New Roman"/>
          <w:vertAlign w:val="superscript"/>
        </w:rPr>
        <w:t xml:space="preserve"> </w:t>
      </w:r>
      <w:proofErr w:type="spellStart"/>
      <w:r w:rsidRPr="00872293">
        <w:rPr>
          <w:rFonts w:ascii="Times New Roman" w:hAnsi="Times New Roman" w:cs="Times New Roman"/>
          <w:vertAlign w:val="superscript"/>
        </w:rPr>
        <w:t>o</w:t>
      </w:r>
      <w:r w:rsidRPr="00872293">
        <w:rPr>
          <w:rFonts w:ascii="Times New Roman" w:hAnsi="Times New Roman" w:cs="Times New Roman"/>
        </w:rPr>
        <w:t>C</w:t>
      </w:r>
      <w:proofErr w:type="spellEnd"/>
      <w:r w:rsidRPr="00872293">
        <w:rPr>
          <w:rFonts w:ascii="Times New Roman" w:hAnsi="Times New Roman" w:cs="Times New Roman"/>
        </w:rPr>
        <w:t xml:space="preserve"> (October), and rainfall is generally not limiting to plant growth (8 mm day</w:t>
      </w:r>
      <w:r w:rsidRPr="00872293">
        <w:rPr>
          <w:rFonts w:ascii="Times New Roman" w:hAnsi="Times New Roman" w:cs="Times New Roman"/>
          <w:vertAlign w:val="superscript"/>
        </w:rPr>
        <w:t xml:space="preserve">-1 </w:t>
      </w:r>
      <w:r w:rsidRPr="00872293">
        <w:rPr>
          <w:rFonts w:ascii="Times New Roman" w:hAnsi="Times New Roman" w:cs="Times New Roman"/>
        </w:rPr>
        <w:t>minimum and 12 mm day</w:t>
      </w:r>
      <w:r w:rsidRPr="00872293">
        <w:rPr>
          <w:rFonts w:ascii="Times New Roman" w:hAnsi="Times New Roman" w:cs="Times New Roman"/>
          <w:vertAlign w:val="superscript"/>
        </w:rPr>
        <w:t xml:space="preserve">-1 </w:t>
      </w:r>
      <w:r w:rsidRPr="00872293">
        <w:rPr>
          <w:rFonts w:ascii="Times New Roman" w:hAnsi="Times New Roman" w:cs="Times New Roman"/>
        </w:rPr>
        <w:t>maximum in a year;</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{"citationItems":[{"id":"ITEM-1","itemData":{"author":[{"dropping-particle":"","family":"Harris","given":"N. L.","non-dropping-particle":"","parse-names":false,"suffix":""},{"dropping-particle":"","family":"Heartsill Scalley","given":"T.","non-dropping-particle":"","parse-names":false,"suffix":""},{"dropping-particle":"","family":"Scatena","given":"F. N.","non-dropping-particle":"","parse-names":false,"suffix":""}],"container-title":"Luquillo Experimental Forest: Research History and Opportunities","editor":[{"dropping-particle":"","family":"Harris","given":"Nancy L.","non-dropping-particle":"","parse-names":false,"suffix":""},{"dropping-particle":"","family":"Lugo","given":"Ariel E.","non-dropping-particle":"","parse-names":false,"suffix":""},{"dropping-particle":"","family":"Brown","given":"Sandra","non-dropping-particle":"","parse-names":false,"suffix":""},{"dropping-particle":"","family":"T","given":"Heartsill Scalley","non-dropping-particle":"","parse-names":false,"suffix":""}],"id":"ITEM-1","issued":{"date-parts":[["2012"]]},"page":"12-20","publisher":"U.S. Department of Agriculture","publisher-place":"Washington DC","title":"Climate","type":"chapter"},"uris":["http://www.mendeley.com/documents/?uuid=355b3778-0d83-42e0-b0db-6ca67824d3e9"]}],"mendeley":{"formattedCitation":"(Harris &lt;i&gt;et al.&lt;/i&gt;, 2012)","manualFormatting":" Harris, Heartsill Scalley, &amp; Scatena, 2012)","plainTextFormattedCitation":"(Harris et al., 2012)","previouslyFormattedCitation":"(Harris &lt;i&gt;et al.&lt;/i&gt;, 2012)"},"properties":{"noteIndex":0},"schema":"https://github.com/citation-style-language/schema/raw/master/csl-citation.json"}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 Harris, Heartsill Scalley, &amp; Scatena, 2012)</w:t>
      </w:r>
      <w:r w:rsidRPr="00872293">
        <w:rPr>
          <w:rFonts w:ascii="Times New Roman" w:hAnsi="Times New Roman" w:cs="Times New Roman"/>
        </w:rPr>
        <w:fldChar w:fldCharType="end"/>
      </w:r>
      <w:r w:rsidRPr="00872293">
        <w:rPr>
          <w:rFonts w:ascii="Times New Roman" w:hAnsi="Times New Roman" w:cs="Times New Roman"/>
        </w:rPr>
        <w:t xml:space="preserve">, the temperature to plant-soil feedbacks are distinct from higher latitude ecosystems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{"citationItems":[{"id":"ITEM-1","itemData":{"DOI":"10.1111/j.1365-2486.2009.01946.x","ISSN":"13541013","abstract":"Understanding the temperature sensitivity of soil respiration is critical for predicting the response of ecosystems to climate change, yet the microbial communities responsible are rarely considered explicitly in studies or models. In this study, we assessed total microbial community composition, quantified bacterial respiration temperature response, and investigated the temperature dependence of bacterial carbon substrate utilization in tropical, temperate, and taiga soils (from Puerto Rico, California, and Alaska). Microbial community composition was characterized using phospholipid fatty acid analysis. Bacterial community respiration on a standardized set of substrates was ascertained using the BiOLOG™ substrate utilization assay incubated at four temperatures: 4, 12, 28, and 40 °C. First, we found that microbial communities from the three latitudes were compositionally distinct and that the bacterial component of the three communities had markedly different respiration temperature-response curves corresponding with their experienced temperature regimes. We use these data to highlight limitations of widely used temperature-response equations and investigate temperature-dependent patterns of substrate utilization. We found that temperature response, in terms of both respiration rates and substrate use, varied for these bacterial communities independent of substrate quality or quantity interactions such as labile depletion. In contrast to the common assumption of heterotrophic microbial ubiquity, we found that bacterial community differences from these diverse systems appeared to determine both rates of respiration and patterns of carbon substrate usage. We suggest that microbial community composition-specific responses to changing climate may be important in predicting the long-term role of ecosystems in atmospheric CO2 dynamics. © 2009 Blackwell Publishing Ltd.","author":[{"dropping-particle":"","family":"Balser","given":"Teri C.","non-dropping-particle":"","parse-names":false,"suffix":""},{"dropping-particle":"","family":"Wixon","given":"Devin L.","non-dropping-particle":"","parse-names":false,"suffix":""}],"container-title":"Global Change Biology","id":"ITEM-1","issue":"12","issued":{"date-parts":[["2009"]]},"page":"2935-2949","title":"Investigating biological control over soil carbon temperature sensitivity","type":"article-journal","volume":"15"},"uris":["http://www.mendeley.com/documents/?uuid=8f4a7d14-59ec-4119-a6c3-cac95b38ee43"]}],"mendeley":{"formattedCitation":"(Balser &amp; Wixon, 2009)","plainTextFormattedCitation":"(Balser &amp; Wixon, 2009)","previouslyFormattedCitation":"(Balser &amp; Wixon, 2009)"},"properties":{"noteIndex":0},"schema":"https://github.com/citation-style-language/schema/raw/master/csl-citation.json"}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(Balser &amp; Wixon, 2009)</w:t>
      </w:r>
      <w:r w:rsidRPr="00872293">
        <w:rPr>
          <w:rFonts w:ascii="Times New Roman" w:hAnsi="Times New Roman" w:cs="Times New Roman"/>
        </w:rPr>
        <w:fldChar w:fldCharType="end"/>
      </w:r>
      <w:r w:rsidRPr="00872293">
        <w:rPr>
          <w:rFonts w:ascii="Times New Roman" w:hAnsi="Times New Roman" w:cs="Times New Roman"/>
        </w:rPr>
        <w:t xml:space="preserve">. </w:t>
      </w:r>
      <w:r w:rsidRPr="00872293">
        <w:rPr>
          <w:rFonts w:ascii="Times New Roman" w:hAnsi="Times New Roman" w:cs="Times New Roman"/>
          <w:shd w:val="clear" w:color="auto" w:fill="FFFFFF"/>
        </w:rPr>
        <w:t xml:space="preserve">Identifying the direct effects of warming treatment on root dynamics is a complex task because temperature affects virtually all chemical and biological processes </w:t>
      </w:r>
      <w:r w:rsidRPr="00872293">
        <w:rPr>
          <w:rFonts w:ascii="Times New Roman" w:hAnsi="Times New Roman" w:cs="Times New Roman"/>
          <w:shd w:val="clear" w:color="auto" w:fill="FFFFFF"/>
        </w:rPr>
        <w:fldChar w:fldCharType="begin" w:fldLock="1"/>
      </w:r>
      <w:r w:rsidRPr="00872293">
        <w:rPr>
          <w:rFonts w:ascii="Times New Roman" w:hAnsi="Times New Roman" w:cs="Times New Roman"/>
          <w:shd w:val="clear" w:color="auto" w:fill="FFFFFF"/>
        </w:rPr>
        <w:instrText>ADDIN CSL_CITATION {"citationItems":[{"id":"ITEM-1","itemData":{"DOI":"10.1641/0006-3568(2000)050[0871:gwatea]2.0.co;2","ISSN":"0006-3568","abstract":"Focuses on the study of the effects global warming will have on ecosystems. Importance of accounting for increased temperature and carbon dioxide in the studies; Direct and indirect effects of warming; Different rates at which various ecosystems will be affected; Case studies of warming responses.","author":[{"dropping-particle":"","family":"Shaver","given":"Gaius R.","non-dropping-particle":"","parse-names":false,"suffix":""},{"dropping-particle":"","family":"Candell","given":"Josep","non-dropping-particle":"","parse-names":false,"suffix":""},{"dropping-particle":"","family":"Chapin","given":"F. S.","non-dropping-particle":"","parse-names":false,"suffix":""},{"dropping-particle":"","family":"Gurevitch","given":"Jessica","non-dropping-particle":"","parse-names":false,"suffix":""},{"dropping-particle":"","family":"Harte","given":"John","non-dropping-particle":"","parse-names":false,"suffix":""},{"dropping-particle":"","family":"Henry","given":"Greg","non-dropping-particle":"","parse-names":false,"suffix":""},{"dropping-particle":"","family":"Ineson","given":"Phil","non-dropping-particle":"","parse-names":false,"suffix":""},{"dropping-particle":"","family":"Jonasson","given":"Sven","non-dropping-particle":"","parse-names":false,"suffix":""},{"dropping-particle":"","family":"Melillo","given":"Jerry","non-dropping-particle":"","parse-names":false,"suffix":""},{"dropping-particle":"","family":"Pitelka","given":"Louis","non-dropping-particle":"","parse-names":false,"suffix":""},{"dropping-particle":"","family":"Rustad","given":"Llindsey","non-dropping-particle":"","parse-names":false,"suffix":""}],"container-title":"BioScience","id":"ITEM-1","issue":"10","issued":{"date-parts":[["2000"]]},"page":"871-882","title":"Global Warming and Terrestrial Ecosystems: A Conceptual Framework for Analysis","type":"article-journal","volume":"50"},"uris":["http://www.mendeley.com/documents/?uuid=31f20b56-b3a6-4cb7-9f93-a46419ac7632"]}],"mendeley":{"formattedCitation":"(Shaver &lt;i&gt;et al.&lt;/i&gt;, 2000)","plainTextFormattedCitation":"(Shaver et al., 2000)","previouslyFormattedCitation":"(Shaver &lt;i&gt;et al.&lt;/i&gt;, 2000)"},"properties":{"noteIndex":0},"schema":"https://github.com/citation-style-language/schema/raw/master/csl-citation.json"}</w:instrText>
      </w:r>
      <w:r w:rsidRPr="00872293">
        <w:rPr>
          <w:rFonts w:ascii="Times New Roman" w:hAnsi="Times New Roman" w:cs="Times New Roman"/>
          <w:shd w:val="clear" w:color="auto" w:fill="FFFFFF"/>
        </w:rPr>
        <w:fldChar w:fldCharType="separate"/>
      </w:r>
      <w:r w:rsidRPr="00872293">
        <w:rPr>
          <w:rFonts w:ascii="Times New Roman" w:hAnsi="Times New Roman" w:cs="Times New Roman"/>
          <w:noProof/>
          <w:shd w:val="clear" w:color="auto" w:fill="FFFFFF"/>
        </w:rPr>
        <w:t xml:space="preserve">(Shaver </w:t>
      </w:r>
      <w:r w:rsidRPr="00872293">
        <w:rPr>
          <w:rFonts w:ascii="Times New Roman" w:hAnsi="Times New Roman" w:cs="Times New Roman"/>
          <w:i/>
          <w:noProof/>
          <w:shd w:val="clear" w:color="auto" w:fill="FFFFFF"/>
        </w:rPr>
        <w:t>et al.</w:t>
      </w:r>
      <w:r w:rsidRPr="00872293">
        <w:rPr>
          <w:rFonts w:ascii="Times New Roman" w:hAnsi="Times New Roman" w:cs="Times New Roman"/>
          <w:noProof/>
          <w:shd w:val="clear" w:color="auto" w:fill="FFFFFF"/>
        </w:rPr>
        <w:t>, 2000)</w:t>
      </w:r>
      <w:r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and the effect varies among ecosystems.</w:t>
      </w:r>
    </w:p>
    <w:p w14:paraId="3E5A0D95" w14:textId="77777777" w:rsidR="0054225D" w:rsidRPr="00872293" w:rsidRDefault="0054225D" w:rsidP="00D469D1">
      <w:pPr>
        <w:autoSpaceDE w:val="0"/>
        <w:autoSpaceDN w:val="0"/>
        <w:adjustRightInd w:val="0"/>
        <w:spacing w:line="360" w:lineRule="auto"/>
        <w:rPr>
          <w:rFonts w:ascii="Times New Roman" w:hAnsi="Times New Roman" w:cs="Times New Roman"/>
        </w:rPr>
      </w:pPr>
    </w:p>
    <w:p w14:paraId="2EC0098A" w14:textId="6058876F" w:rsidR="00D469D1" w:rsidRPr="00872293" w:rsidRDefault="0054225D" w:rsidP="00D469D1">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The initial environmental conditions in our site might have played an important role in the root dynamics response to warming. It is known that the upper canopy strata in our site </w:t>
      </w:r>
      <w:bookmarkStart w:id="99" w:name="_Hlk51595312"/>
      <w:r w:rsidRPr="00872293">
        <w:rPr>
          <w:rFonts w:ascii="Times New Roman" w:hAnsi="Times New Roman" w:cs="Times New Roman"/>
        </w:rPr>
        <w:t xml:space="preserve">is already exceeding their photosynthetic temperature optima </w:t>
      </w:r>
      <w:bookmarkEnd w:id="99"/>
      <w:r w:rsidR="00D469D1" w:rsidRPr="00872293">
        <w:rPr>
          <w:rFonts w:ascii="Times New Roman" w:hAnsi="Times New Roman" w:cs="Times New Roman"/>
        </w:rPr>
        <w:fldChar w:fldCharType="begin" w:fldLock="1"/>
      </w:r>
      <w:r w:rsidR="00995129" w:rsidRPr="00872293">
        <w:rPr>
          <w:rFonts w:ascii="Times New Roman" w:hAnsi="Times New Roman" w:cs="Times New Roman"/>
        </w:rPr>
        <w:instrText>ADDIN CSL_CITATION {"citationItems":[{"id":"ITEM-1","itemData":{"DOI":"10.3390/F9010047","ISSN":"19994907","abstract":"Tropical tree species have evolved under very narrow temperature ranges compared to temperate forest species. Studies suggest that tropical trees may be more vulnerable to continued warming compared to temperate species, as tropical trees have shown declines in growth and photosynthesis at elevated temperatures. However, regional and global vegetation models lack the data needed to accurately represent such physiological responses to increased temperatures, especially for tropical forests. To address this need, we compared instantaneous photosynthetic temperature responses of mature canopy foliage, leaf temperatures, and air temperatures across vertical canopy gradients in three forest types: tropical wet, tropical moist, and temperate deciduous. Temperatures at which maximum photosynthesis occurred were greater in the tropical forests canopies than the temperate canopy (30 ± 0.3 °C vs. 27 ± 0.4 °C). However, contrary to expectations that tropical species would be functioning closer to threshold temperatures, photosynthetic temperature optima was exceeded by maximum daily leaf temperatures, resulting in sub-optimal rates of carbon assimilation for much of the day, especially in upper canopy foliage ( &gt; 10 m). If trees are unable to thermally acclimate to projected elevated temperatures, these forests may shift from net carbon sinks to sources, with potentially dire implications to climate feedbacks and forest community composition.","author":[{"dropping-particle":"","family":"Mau","given":"Alida C.","non-dropping-particle":"","parse-names":false,"suffix":""},{"dropping-particle":"","family":"Reed","given":"Sasha C.","non-dropping-particle":"","parse-names":false,"suffix":""},{"dropping-particle":"","family":"Wood","given":"Tana E.","non-dropping-particle":"","parse-names":false,"suffix":""},{"dropping-particle":"","family":"Cavaleri","given":"Molly A.","non-dropping-particle":"","parse-names":false,"suffix":""}],"container-title":"Forests","id":"ITEM-1","issued":{"date-parts":[["2018"]]},"title":"Temperate and tropical forest canopies are already functioning beyond their thermal thresholds for photosynthesis","type":"article-journal"},"uris":["http://www.mendeley.com/documents/?uuid=d343a786-d3ac-424a-9bc6-63fa3ee2bcb0"]}],"mendeley":{"formattedCitation":"(Mau &lt;i&gt;et al.&lt;/i&gt;, 2018)","manualFormatting":"(Topt; Mau, Reed, Wood, &amp; Cavaleri, 2018; Miller et al., in review)","plainTextFormattedCitation":"(Mau et al., 2018)","previouslyFormattedCitation":"(Mau &lt;i&gt;et al.&lt;/i&gt;, 2018)"},"properties":{"noteIndex":0},"schema":"https://github.com/citation-style-language/schema/raw/master/csl-citation.json"}</w:instrText>
      </w:r>
      <w:r w:rsidR="00D469D1" w:rsidRPr="00872293">
        <w:rPr>
          <w:rFonts w:ascii="Times New Roman" w:hAnsi="Times New Roman" w:cs="Times New Roman"/>
        </w:rPr>
        <w:fldChar w:fldCharType="separate"/>
      </w:r>
      <w:r w:rsidR="00D469D1" w:rsidRPr="00872293">
        <w:rPr>
          <w:rFonts w:ascii="Times New Roman" w:hAnsi="Times New Roman" w:cs="Times New Roman"/>
          <w:noProof/>
        </w:rPr>
        <w:t xml:space="preserve">(Topt; Mau, Reed, Wood, &amp; Cavaleri, 2018; Miller </w:t>
      </w:r>
      <w:r w:rsidR="00D469D1" w:rsidRPr="00872293">
        <w:rPr>
          <w:rFonts w:ascii="Times New Roman" w:hAnsi="Times New Roman" w:cs="Times New Roman"/>
          <w:i/>
          <w:iCs/>
          <w:noProof/>
        </w:rPr>
        <w:t>et al</w:t>
      </w:r>
      <w:r w:rsidR="00D469D1" w:rsidRPr="00872293">
        <w:rPr>
          <w:rFonts w:ascii="Times New Roman" w:hAnsi="Times New Roman" w:cs="Times New Roman"/>
          <w:noProof/>
        </w:rPr>
        <w:t xml:space="preserve">., </w:t>
      </w:r>
      <w:r w:rsidR="00D469D1" w:rsidRPr="00872293">
        <w:rPr>
          <w:rFonts w:ascii="Times New Roman" w:hAnsi="Times New Roman" w:cs="Times New Roman"/>
          <w:i/>
          <w:iCs/>
          <w:noProof/>
        </w:rPr>
        <w:t>in review</w:t>
      </w:r>
      <w:r w:rsidR="00D469D1" w:rsidRPr="00872293">
        <w:rPr>
          <w:rFonts w:ascii="Times New Roman" w:hAnsi="Times New Roman" w:cs="Times New Roman"/>
          <w:noProof/>
        </w:rPr>
        <w:t>)</w:t>
      </w:r>
      <w:r w:rsidR="00D469D1" w:rsidRPr="00872293">
        <w:rPr>
          <w:rFonts w:ascii="Times New Roman" w:hAnsi="Times New Roman" w:cs="Times New Roman"/>
        </w:rPr>
        <w:fldChar w:fldCharType="end"/>
      </w:r>
      <w:r w:rsidR="00D469D1" w:rsidRPr="00872293">
        <w:rPr>
          <w:rFonts w:ascii="Times New Roman" w:hAnsi="Times New Roman" w:cs="Times New Roman"/>
        </w:rPr>
        <w:t xml:space="preserve">. Although the understory is usually well under its </w:t>
      </w:r>
      <w:proofErr w:type="spellStart"/>
      <w:r w:rsidR="00D469D1" w:rsidRPr="00872293">
        <w:rPr>
          <w:rFonts w:ascii="Times New Roman" w:hAnsi="Times New Roman" w:cs="Times New Roman"/>
        </w:rPr>
        <w:t>Topt</w:t>
      </w:r>
      <w:proofErr w:type="spellEnd"/>
      <w:r w:rsidR="00D469D1" w:rsidRPr="00872293">
        <w:rPr>
          <w:rFonts w:ascii="Times New Roman" w:hAnsi="Times New Roman" w:cs="Times New Roman"/>
        </w:rPr>
        <w:t xml:space="preserve"> </w:t>
      </w:r>
      <w:r w:rsidR="00C179A0" w:rsidRPr="00872293">
        <w:rPr>
          <w:rFonts w:ascii="Times New Roman" w:hAnsi="Times New Roman" w:cs="Times New Roman"/>
        </w:rPr>
        <w:t>(&lt;30</w:t>
      </w:r>
      <w:r w:rsidR="00C179A0" w:rsidRPr="00872293">
        <w:rPr>
          <w:rFonts w:ascii="Times New Roman" w:hAnsi="Times New Roman" w:cs="Times New Roman"/>
          <w:vertAlign w:val="superscript"/>
        </w:rPr>
        <w:t>o</w:t>
      </w:r>
      <w:r w:rsidR="00C179A0" w:rsidRPr="00872293">
        <w:rPr>
          <w:rFonts w:ascii="Times New Roman" w:hAnsi="Times New Roman" w:cs="Times New Roman"/>
        </w:rPr>
        <w:t xml:space="preserve">C; Miller </w:t>
      </w:r>
      <w:r w:rsidR="00C179A0" w:rsidRPr="00872293">
        <w:rPr>
          <w:rFonts w:ascii="Times New Roman" w:hAnsi="Times New Roman" w:cs="Times New Roman"/>
          <w:i/>
          <w:iCs/>
        </w:rPr>
        <w:t>el al.,</w:t>
      </w:r>
      <w:r w:rsidR="00C179A0" w:rsidRPr="00872293">
        <w:rPr>
          <w:rFonts w:ascii="Times New Roman" w:hAnsi="Times New Roman" w:cs="Times New Roman"/>
        </w:rPr>
        <w:t xml:space="preserve"> </w:t>
      </w:r>
      <w:r w:rsidR="00C179A0" w:rsidRPr="00872293">
        <w:rPr>
          <w:rFonts w:ascii="Times New Roman" w:hAnsi="Times New Roman" w:cs="Times New Roman"/>
          <w:i/>
          <w:iCs/>
        </w:rPr>
        <w:t>in review</w:t>
      </w:r>
      <w:r w:rsidR="00C179A0" w:rsidRPr="00872293">
        <w:rPr>
          <w:rFonts w:ascii="Times New Roman" w:hAnsi="Times New Roman" w:cs="Times New Roman"/>
        </w:rPr>
        <w:t xml:space="preserve">; </w:t>
      </w:r>
      <w:r w:rsidR="00C179A0" w:rsidRPr="00872293">
        <w:rPr>
          <w:rFonts w:ascii="Times New Roman" w:hAnsi="Times New Roman" w:cs="Times New Roman"/>
        </w:rPr>
        <w:fldChar w:fldCharType="begin" w:fldLock="1"/>
      </w:r>
      <w:r w:rsidR="00C179A0" w:rsidRPr="00872293">
        <w:rPr>
          <w:rFonts w:ascii="Times New Roman" w:hAnsi="Times New Roman" w:cs="Times New Roman"/>
        </w:rPr>
        <w:instrText>ADDIN CSL_CITATION {"citationItems":[{"id":"ITEM-1","itemData":{"DOI":"10.3389/ffgc.2020.576320","author":[{"dropping-particle":"","family":"Carter","given":"Kelsey R.","non-dropping-particle":"","parse-names":false,"suffix":""},{"dropping-particle":"","family":"Wood","given":"Tana E.","non-dropping-particle":"","parse-names":false,"suffix":""},{"dropping-particle":"","family":"Reed","given":"Sasha C.","non-dropping-particle":"","parse-names":false,"suffix":""},{"dropping-particle":"","family":"Schwartz","given":"Elsa C.","non-dropping-particle":"","parse-names":false,"suffix":""},{"dropping-particle":"","family":"Reinsel","given":"Madeline B.","non-dropping-particle":"","parse-names":false,"suffix":""},{"dropping-particle":"","family":"Yang","given":"Xi","non-dropping-particle":"","parse-names":false,"suffix":""},{"dropping-particle":"","family":"Cavaleri","given":"Molly A.","non-dropping-particle":"","parse-names":false,"suffix":""}],"container-title":"Frontiers in Forests and Global Change","id":"ITEM-1","issued":{"date-parts":[["2020"]]},"title":"Photosynthetic and Respiratory Acclimation of Understory Shrubs in Response to in situ Experimental Warming of a Wet Tropical Forest","type":"article-journal"},"uris":["http://www.mendeley.com/documents/?uuid=de83b28e-fa0d-441b-85bf-605baaf66ec5"]}],"mendeley":{"formattedCitation":"(Carter &lt;i&gt;et al.&lt;/i&gt;, 2020)","manualFormatting":"Carter et al., 2020)","plainTextFormattedCitation":"(Carter et al., 2020)"},"properties":{"noteIndex":0},"schema":"https://github.com/citation-style-language/schema/raw/master/csl-citation.json"}</w:instrText>
      </w:r>
      <w:r w:rsidR="00C179A0" w:rsidRPr="00872293">
        <w:rPr>
          <w:rFonts w:ascii="Times New Roman" w:hAnsi="Times New Roman" w:cs="Times New Roman"/>
        </w:rPr>
        <w:fldChar w:fldCharType="separate"/>
      </w:r>
      <w:r w:rsidR="00C179A0" w:rsidRPr="00872293">
        <w:rPr>
          <w:rFonts w:ascii="Times New Roman" w:hAnsi="Times New Roman" w:cs="Times New Roman"/>
          <w:noProof/>
        </w:rPr>
        <w:t xml:space="preserve">Carter </w:t>
      </w:r>
      <w:r w:rsidR="00C179A0" w:rsidRPr="00872293">
        <w:rPr>
          <w:rFonts w:ascii="Times New Roman" w:hAnsi="Times New Roman" w:cs="Times New Roman"/>
          <w:i/>
          <w:noProof/>
        </w:rPr>
        <w:t>et al.</w:t>
      </w:r>
      <w:r w:rsidR="00C179A0" w:rsidRPr="00872293">
        <w:rPr>
          <w:rFonts w:ascii="Times New Roman" w:hAnsi="Times New Roman" w:cs="Times New Roman"/>
          <w:noProof/>
        </w:rPr>
        <w:t>, 2020)</w:t>
      </w:r>
      <w:r w:rsidR="00C179A0" w:rsidRPr="00872293">
        <w:rPr>
          <w:rFonts w:ascii="Times New Roman" w:hAnsi="Times New Roman" w:cs="Times New Roman"/>
        </w:rPr>
        <w:fldChar w:fldCharType="end"/>
      </w:r>
      <w:r w:rsidR="00C179A0" w:rsidRPr="00872293">
        <w:rPr>
          <w:rFonts w:ascii="Times New Roman" w:hAnsi="Times New Roman" w:cs="Times New Roman"/>
        </w:rPr>
        <w:t xml:space="preserve">, </w:t>
      </w:r>
      <w:r w:rsidR="00D469D1" w:rsidRPr="00872293">
        <w:rPr>
          <w:rFonts w:ascii="Times New Roman" w:hAnsi="Times New Roman" w:cs="Times New Roman"/>
        </w:rPr>
        <w:t>during some hours of summer</w:t>
      </w:r>
      <w:r w:rsidR="00CF0EED" w:rsidRPr="00872293">
        <w:rPr>
          <w:rFonts w:ascii="Times New Roman" w:hAnsi="Times New Roman" w:cs="Times New Roman"/>
        </w:rPr>
        <w:t xml:space="preserve"> days</w:t>
      </w:r>
      <w:r w:rsidR="00D469D1" w:rsidRPr="00872293">
        <w:rPr>
          <w:rFonts w:ascii="Times New Roman" w:hAnsi="Times New Roman" w:cs="Times New Roman"/>
        </w:rPr>
        <w:t xml:space="preserve"> surface temperature exceeded this </w:t>
      </w:r>
      <w:proofErr w:type="spellStart"/>
      <w:r w:rsidR="00D469D1" w:rsidRPr="00872293">
        <w:rPr>
          <w:rFonts w:ascii="Times New Roman" w:hAnsi="Times New Roman" w:cs="Times New Roman"/>
        </w:rPr>
        <w:t>Topt</w:t>
      </w:r>
      <w:proofErr w:type="spellEnd"/>
      <w:r w:rsidR="00D469D1" w:rsidRPr="00872293">
        <w:rPr>
          <w:rFonts w:ascii="Times New Roman" w:hAnsi="Times New Roman" w:cs="Times New Roman"/>
        </w:rPr>
        <w:t xml:space="preserve"> only in the warmed plots (3% of the summer period). However, control plots </w:t>
      </w:r>
      <w:r w:rsidR="00D469D1" w:rsidRPr="00872293">
        <w:rPr>
          <w:rFonts w:ascii="Times New Roman" w:hAnsi="Times New Roman" w:cs="Times New Roman"/>
        </w:rPr>
        <w:lastRenderedPageBreak/>
        <w:t>surface temperature did not exceed temperatures over 27</w:t>
      </w:r>
      <w:r w:rsidR="00D469D1" w:rsidRPr="00872293">
        <w:rPr>
          <w:rFonts w:ascii="Times New Roman" w:hAnsi="Times New Roman" w:cs="Times New Roman"/>
          <w:vertAlign w:val="superscript"/>
        </w:rPr>
        <w:t xml:space="preserve"> </w:t>
      </w:r>
      <w:proofErr w:type="spellStart"/>
      <w:r w:rsidR="00D469D1" w:rsidRPr="00872293">
        <w:rPr>
          <w:rFonts w:ascii="Times New Roman" w:hAnsi="Times New Roman" w:cs="Times New Roman"/>
          <w:vertAlign w:val="superscript"/>
        </w:rPr>
        <w:t>o</w:t>
      </w:r>
      <w:r w:rsidR="00D469D1" w:rsidRPr="00872293">
        <w:rPr>
          <w:rFonts w:ascii="Times New Roman" w:hAnsi="Times New Roman" w:cs="Times New Roman"/>
        </w:rPr>
        <w:t>C.</w:t>
      </w:r>
      <w:proofErr w:type="spellEnd"/>
      <w:r w:rsidR="00D469D1" w:rsidRPr="00872293">
        <w:rPr>
          <w:rFonts w:ascii="Times New Roman" w:hAnsi="Times New Roman" w:cs="Times New Roman"/>
        </w:rPr>
        <w:t xml:space="preserve"> </w:t>
      </w:r>
      <w:r w:rsidR="009D450C">
        <w:rPr>
          <w:rFonts w:ascii="Times New Roman" w:hAnsi="Times New Roman" w:cs="Times New Roman"/>
        </w:rPr>
        <w:t>Assuming that most of roots measured in our study were from plants inside the plots, the</w:t>
      </w:r>
      <w:r w:rsidR="00D469D1" w:rsidRPr="00872293">
        <w:rPr>
          <w:rFonts w:ascii="Times New Roman" w:hAnsi="Times New Roman" w:cs="Times New Roman"/>
        </w:rPr>
        <w:t xml:space="preserve"> difference in surface temperature </w:t>
      </w:r>
      <w:r w:rsidR="009D450C">
        <w:rPr>
          <w:rFonts w:ascii="Times New Roman" w:hAnsi="Times New Roman" w:cs="Times New Roman"/>
        </w:rPr>
        <w:t>due to treatment might</w:t>
      </w:r>
      <w:r w:rsidR="00D469D1" w:rsidRPr="00872293">
        <w:rPr>
          <w:rFonts w:ascii="Times New Roman" w:hAnsi="Times New Roman" w:cs="Times New Roman"/>
        </w:rPr>
        <w:t xml:space="preserve"> have had an effect in photosynthesis rates</w:t>
      </w:r>
      <w:r w:rsidR="009D450C">
        <w:rPr>
          <w:rFonts w:ascii="Times New Roman" w:hAnsi="Times New Roman" w:cs="Times New Roman"/>
        </w:rPr>
        <w:t>, p</w:t>
      </w:r>
      <w:r w:rsidR="00D469D1" w:rsidRPr="00872293">
        <w:rPr>
          <w:rFonts w:ascii="Times New Roman" w:hAnsi="Times New Roman" w:cs="Times New Roman"/>
        </w:rPr>
        <w:t xml:space="preserve">otentially leading to less C allocated to the roots from the warmed plots. Carter </w:t>
      </w:r>
      <w:r w:rsidR="00D469D1" w:rsidRPr="00872293">
        <w:rPr>
          <w:rFonts w:ascii="Times New Roman" w:hAnsi="Times New Roman" w:cs="Times New Roman"/>
          <w:i/>
          <w:iCs/>
        </w:rPr>
        <w:t>et al</w:t>
      </w:r>
      <w:r w:rsidR="00D469D1" w:rsidRPr="00872293">
        <w:rPr>
          <w:rFonts w:ascii="Times New Roman" w:hAnsi="Times New Roman" w:cs="Times New Roman"/>
        </w:rPr>
        <w:t>. (</w:t>
      </w:r>
      <w:r w:rsidR="00971F09" w:rsidRPr="00872293">
        <w:rPr>
          <w:rFonts w:ascii="Times New Roman" w:hAnsi="Times New Roman" w:cs="Times New Roman"/>
        </w:rPr>
        <w:t>2020</w:t>
      </w:r>
      <w:r w:rsidR="00D469D1" w:rsidRPr="00872293">
        <w:rPr>
          <w:rFonts w:ascii="Times New Roman" w:hAnsi="Times New Roman" w:cs="Times New Roman"/>
        </w:rPr>
        <w:t xml:space="preserve">) found that from 2 species sampled in the TRACE plots, one species reduced its photosynthetic rate when daily temperature increased and maintained its respiration rate without acclimating to the warming treatment </w:t>
      </w:r>
      <w:proofErr w:type="gramStart"/>
      <w:r w:rsidR="00D469D1" w:rsidRPr="00872293">
        <w:rPr>
          <w:rFonts w:ascii="Times New Roman" w:hAnsi="Times New Roman" w:cs="Times New Roman"/>
        </w:rPr>
        <w:t>previous to</w:t>
      </w:r>
      <w:proofErr w:type="gramEnd"/>
      <w:r w:rsidR="00D469D1" w:rsidRPr="00872293">
        <w:rPr>
          <w:rFonts w:ascii="Times New Roman" w:hAnsi="Times New Roman" w:cs="Times New Roman"/>
        </w:rPr>
        <w:t xml:space="preserve"> the hurricanes. </w:t>
      </w:r>
    </w:p>
    <w:p w14:paraId="54927724" w14:textId="4F7189A5" w:rsidR="0054225D" w:rsidRPr="00872293" w:rsidRDefault="0054225D" w:rsidP="00577074">
      <w:pPr>
        <w:autoSpaceDE w:val="0"/>
        <w:autoSpaceDN w:val="0"/>
        <w:adjustRightInd w:val="0"/>
        <w:spacing w:line="360" w:lineRule="auto"/>
        <w:rPr>
          <w:rFonts w:ascii="Times New Roman" w:hAnsi="Times New Roman" w:cs="Times New Roman"/>
        </w:rPr>
      </w:pPr>
    </w:p>
    <w:p w14:paraId="0EF95746" w14:textId="6C543D4F" w:rsidR="00577074" w:rsidRPr="00872293" w:rsidRDefault="00577074" w:rsidP="00577074">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Although </w:t>
      </w:r>
      <w:r w:rsidR="009C2EF5" w:rsidRPr="00872293">
        <w:rPr>
          <w:rFonts w:ascii="Times New Roman" w:hAnsi="Times New Roman" w:cs="Times New Roman"/>
        </w:rPr>
        <w:t>root dynamics</w:t>
      </w:r>
      <w:r w:rsidRPr="00872293">
        <w:rPr>
          <w:rFonts w:ascii="Times New Roman" w:hAnsi="Times New Roman" w:cs="Times New Roman"/>
        </w:rPr>
        <w:t xml:space="preserve"> w</w:t>
      </w:r>
      <w:r w:rsidR="00971F09" w:rsidRPr="00872293">
        <w:rPr>
          <w:rFonts w:ascii="Times New Roman" w:hAnsi="Times New Roman" w:cs="Times New Roman"/>
        </w:rPr>
        <w:t>ere</w:t>
      </w:r>
      <w:r w:rsidRPr="00872293">
        <w:rPr>
          <w:rFonts w:ascii="Times New Roman" w:hAnsi="Times New Roman" w:cs="Times New Roman"/>
        </w:rPr>
        <w:t xml:space="preserve"> not directly related to </w:t>
      </w:r>
      <w:r w:rsidR="009C2EF5" w:rsidRPr="00872293">
        <w:rPr>
          <w:rFonts w:ascii="Times New Roman" w:hAnsi="Times New Roman" w:cs="Times New Roman"/>
        </w:rPr>
        <w:t>soil moisture</w:t>
      </w:r>
      <w:r w:rsidRPr="00872293">
        <w:rPr>
          <w:rFonts w:ascii="Times New Roman" w:hAnsi="Times New Roman" w:cs="Times New Roman"/>
        </w:rPr>
        <w:t xml:space="preserve"> in this study, soil moisture values were </w:t>
      </w:r>
      <w:r w:rsidR="009C2EF5" w:rsidRPr="00872293">
        <w:rPr>
          <w:rFonts w:ascii="Times New Roman" w:hAnsi="Times New Roman" w:cs="Times New Roman"/>
        </w:rPr>
        <w:t>highly</w:t>
      </w:r>
      <w:r w:rsidRPr="00872293">
        <w:rPr>
          <w:rFonts w:ascii="Times New Roman" w:hAnsi="Times New Roman" w:cs="Times New Roman"/>
        </w:rPr>
        <w:t xml:space="preserve"> variable at our site and could have been related to other soil and topographic properties (Reed </w:t>
      </w:r>
      <w:r w:rsidRPr="00872293">
        <w:rPr>
          <w:rFonts w:ascii="Times New Roman" w:hAnsi="Times New Roman" w:cs="Times New Roman"/>
          <w:i/>
          <w:iCs/>
        </w:rPr>
        <w:t>et al.</w:t>
      </w:r>
      <w:r w:rsidR="00BD0BA4" w:rsidRPr="00872293">
        <w:rPr>
          <w:rFonts w:ascii="Times New Roman" w:hAnsi="Times New Roman" w:cs="Times New Roman"/>
          <w:i/>
          <w:iCs/>
        </w:rPr>
        <w:t>,</w:t>
      </w:r>
      <w:r w:rsidRPr="00872293">
        <w:rPr>
          <w:rFonts w:ascii="Times New Roman" w:hAnsi="Times New Roman" w:cs="Times New Roman"/>
        </w:rPr>
        <w:t xml:space="preserve"> 2020; Burt and Butcher, 1985). High soil moisture can also increase the biological demand for oxygen (O</w:t>
      </w:r>
      <w:r w:rsidRPr="00872293">
        <w:rPr>
          <w:rFonts w:ascii="Times New Roman" w:hAnsi="Times New Roman" w:cs="Times New Roman"/>
          <w:vertAlign w:val="subscript"/>
        </w:rPr>
        <w:t>2</w:t>
      </w:r>
      <w:r w:rsidRPr="00872293">
        <w:rPr>
          <w:rFonts w:ascii="Times New Roman" w:hAnsi="Times New Roman" w:cs="Times New Roman"/>
        </w:rPr>
        <w:t xml:space="preserve">), or  nutrient mobility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{"citationItems":[{"id":"ITEM-1","itemData":{"DOI":"10.1023/A:1006034126698","ISSN":"01682563","abstract":"We measured soil oxygen concentrations at 10 and 35 cm depths and indices of biogeochemical cycling in upland forest soils along a rainfall and elevation gradient (35005000 mm y-1; 350-1050 masl) and along topographic gradients (ridge to valley, ~ 150 m) in the Luquillo Experimental Forest, Puerto Rico. Along the rainfall gradient, soil O2 availability decreased significantly with increasing annual rainfall, and reached very low levels (&lt;3%) in individual chambers for up to 25 consecutive weeks over 82 weeks of study. Along localized topographic gradients, soil O2 concentrations were variable and decreased significantly from ridges to valleys. In the valleys, up to 35% of the observations at 10-35 cm depth were &lt;3% soil O2. Cross correlation analyses showed that soil O2 concentrations were significantly positively correlated along the topographic gradient, and were sensitive to rainfall and hydrologic output. Soil O2 concentrations in valley soils were correlated with rainfall from the previous day, while ridge sites were correlated with cumulative rainfall inputs over 4 weeks. Soils at the wettest point along the rainfall gradient had very high soil methane concentrations (3-24%) indicating a strong influence of anaerobic processes. We measured net methane emission to the atmosphere at the wettest sites of the rainfall gradient, and in the valleys along topographic gradients. Other measures of biogeochemical function such as soil organic matter content and P availability were sensitive to chronic O2 depletion along the rainfall gradient, but less sensitive to the variable soil O2 environment exhibited at lower elevations along topographic gradients.","author":[{"dropping-particle":"","family":"Silver","given":"Whendee L.","non-dropping-particle":"","parse-names":false,"suffix":""},{"dropping-particle":"","family":"Lugo","given":"A. E.","non-dropping-particle":"","parse-names":false,"suffix":""},{"dropping-particle":"","family":"Keller","given":"M.","non-dropping-particle":"","parse-names":false,"suffix":""}],"container-title":"Biogeochemistry","id":"ITEM-1","issue":"3","issued":{"date-parts":[["1999"]]},"page":"301-328","title":"Soil oxygen availability and biogeochemistry along rainfall and topographic gradients in upland wet tropical forest soils","type":"article-journal","volume":"44"},"uris":["http://www.mendeley.com/documents/?uuid=c7cf56f2-cdce-4ca2-a693-373a05bd38a0"]},{"id":"ITEM-2","itemData":{"DOI":"10.1029/2010GB004014","ISSN":"08866236","abstract":"Soil moisture is a key driver of biogeochemical processes in terrestrial ecosystems, strongly affecting carbon (C) and nutrient availability as well as trace gas production and consumption in soils. Models predict increasing drought frequency in tropical forest ecosystems, which could feed back on future climate change directly via effects on trace gasdynamics and indirectly through changes in nutrient availability. We used throughfall exclusion shelters to determine effects of short-Term (3 month) drought on trace gas fluxes and nutrient availability in humid tropical forests in Puerto Rico. Exclusion and control plots were replicated within and across three topographic zones (ridge, slope, valley) to account for spatial heterogeneity typical of these ecosystems. Throughfall exclusion reduced soil moisture in all sites and lowered exchangeable phosphorus (P) on ridges and slopes. Drought decreased soil carbon dioxide (CO2) emissions by 30% in ridge sites and 28% in slope sites, and increased net methane (CH4) consumption by 480% in valley sites. Both valley and ridge sites became net nitrous oxide (N2O) sinks in response to soil drying. Emissions of CO2 and N2O, as well as CH4 consumption were positively related to exchangeable P and the nitrate:ammonium ratio. These findings suggest that drought has the potential to decrease net trace gas emissions from humid tropical forest soils. The differential response of trace gas emissions and nutrients from different topographic zones to drought underscores the complexity of biogeochemical cycling in these ecosystems and the importance of considering spatial heterogeneity when estimating whole system responses. © 2012. American Geophysical Union.","author":[{"dropping-particle":"","family":"Wood","given":"Tana E.","non-dropping-particle":"","parse-names":false,"suffix":""},{"dropping-particle":"","family":"Silver","given":"Whendee L.","non-dropping-particle":"","parse-names":false,"suffix":""}],"container-title":"Global Biogeochemical Cycles","id":"ITEM-2","issue":"3","issued":{"date-parts":[["2012"]]},"title":"Strong spatial variability in trace gasdynamics following experimental drought in a humid tropical forest","type":"article-journal","volume":"26"},"uris":["http://www.mendeley.com/documents/?uuid=6f5e74b3-da3d-4ca2-a9c8-c6a92c74e964"]}],"mendeley":{"formattedCitation":"(Silver &lt;i&gt;et al.&lt;/i&gt;, 1999; Wood &amp; Silver, 2012)","plainTextFormattedCitation":"(Silver et al., 1999; Wood &amp; Silver, 2012)","previouslyFormattedCitation":"(Silver &lt;i&gt;et al.&lt;/i&gt;, 1999; Wood &amp; Silver, 2012)"},"properties":{"noteIndex":0},"schema":"https://github.com/citation-style-language/schema/raw/master/csl-citation.json"}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(Silver </w:t>
      </w:r>
      <w:r w:rsidRPr="00872293">
        <w:rPr>
          <w:rFonts w:ascii="Times New Roman" w:hAnsi="Times New Roman" w:cs="Times New Roman"/>
          <w:i/>
          <w:noProof/>
        </w:rPr>
        <w:t>et al.</w:t>
      </w:r>
      <w:r w:rsidRPr="00872293">
        <w:rPr>
          <w:rFonts w:ascii="Times New Roman" w:hAnsi="Times New Roman" w:cs="Times New Roman"/>
          <w:noProof/>
        </w:rPr>
        <w:t>, 1999; Wood &amp; Silver, 2012)</w:t>
      </w:r>
      <w:r w:rsidRPr="00872293">
        <w:rPr>
          <w:rFonts w:ascii="Times New Roman" w:hAnsi="Times New Roman" w:cs="Times New Roman"/>
        </w:rPr>
        <w:fldChar w:fldCharType="end"/>
      </w:r>
      <w:r w:rsidRPr="00872293">
        <w:rPr>
          <w:rFonts w:ascii="Times New Roman" w:hAnsi="Times New Roman" w:cs="Times New Roman"/>
        </w:rPr>
        <w:t>, either of which could have indirect cascading effects on root production and root mortality. These forests can reach very low levels of O</w:t>
      </w:r>
      <w:r w:rsidRPr="00872293">
        <w:rPr>
          <w:rFonts w:ascii="Times New Roman" w:hAnsi="Times New Roman" w:cs="Times New Roman"/>
          <w:vertAlign w:val="subscript"/>
        </w:rPr>
        <w:t>2</w:t>
      </w:r>
      <w:r w:rsidRPr="00872293">
        <w:rPr>
          <w:rFonts w:ascii="Times New Roman" w:hAnsi="Times New Roman" w:cs="Times New Roman"/>
        </w:rPr>
        <w:t xml:space="preserve"> availability under conditions of high precipitation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{"citationItems":[{"id":"ITEM-1","itemData":{"DOI":"10.1023/A:1006034126698","ISSN":"01682563","abstract":"We measured soil oxygen concentrations at 10 and 35 cm depths and indices of biogeochemical cycling in upland forest soils along a rainfall and elevation gradient (35005000 mm y-1; 350-1050 masl) and along topographic gradients (ridge to valley, ~ 150 m) in the Luquillo Experimental Forest, Puerto Rico. Along the rainfall gradient, soil O2 availability decreased significantly with increasing annual rainfall, and reached very low levels (&lt;3%) in individual chambers for up to 25 consecutive weeks over 82 weeks of study. Along localized topographic gradients, soil O2 concentrations were variable and decreased significantly from ridges to valleys. In the valleys, up to 35% of the observations at 10-35 cm depth were &lt;3% soil O2. Cross correlation analyses showed that soil O2 concentrations were significantly positively correlated along the topographic gradient, and were sensitive to rainfall and hydrologic output. Soil O2 concentrations in valley soils were correlated with rainfall from the previous day, while ridge sites were correlated with cumulative rainfall inputs over 4 weeks. Soils at the wettest point along the rainfall gradient had very high soil methane concentrations (3-24%) indicating a strong influence of anaerobic processes. We measured net methane emission to the atmosphere at the wettest sites of the rainfall gradient, and in the valleys along topographic gradients. Other measures of biogeochemical function such as soil organic matter content and P availability were sensitive to chronic O2 depletion along the rainfall gradient, but less sensitive to the variable soil O2 environment exhibited at lower elevations along topographic gradients.","author":[{"dropping-particle":"","family":"Silver","given":"Whendee L.","non-dropping-particle":"","parse-names":false,"suffix":""},{"dropping-particle":"","family":"Lugo","given":"A. E.","non-dropping-particle":"","parse-names":false,"suffix":""},{"dropping-particle":"","family":"Keller","given":"M.","non-dropping-particle":"","parse-names":false,"suffix":""}],"container-title":"Biogeochemistry","id":"ITEM-1","issue":"3","issued":{"date-parts":[["1999"]]},"page":"301-328","title":"Soil oxygen availability and biogeochemistry along rainfall and topographic gradients in upland wet tropical forest soils","type":"article-journal","volume":"44"},"uris":["http://www.mendeley.com/documents/?uuid=c7cf56f2-cdce-4ca2-a693-373a05bd38a0"]}],"mendeley":{"formattedCitation":"(Silver &lt;i&gt;et al.&lt;/i&gt;, 1999)","plainTextFormattedCitation":"(Silver et al., 1999)","previouslyFormattedCitation":"(Silver &lt;i&gt;et al.&lt;/i&gt;, 1999)"},"properties":{"noteIndex":0},"schema":"https://github.com/citation-style-language/schema/raw/master/csl-citation.json"}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(Silver </w:t>
      </w:r>
      <w:r w:rsidRPr="00872293">
        <w:rPr>
          <w:rFonts w:ascii="Times New Roman" w:hAnsi="Times New Roman" w:cs="Times New Roman"/>
          <w:i/>
          <w:noProof/>
        </w:rPr>
        <w:t>et al.</w:t>
      </w:r>
      <w:r w:rsidRPr="00872293">
        <w:rPr>
          <w:rFonts w:ascii="Times New Roman" w:hAnsi="Times New Roman" w:cs="Times New Roman"/>
          <w:noProof/>
        </w:rPr>
        <w:t>, 1999)</w:t>
      </w:r>
      <w:r w:rsidRPr="00872293">
        <w:rPr>
          <w:rFonts w:ascii="Times New Roman" w:hAnsi="Times New Roman" w:cs="Times New Roman"/>
        </w:rPr>
        <w:fldChar w:fldCharType="end"/>
      </w:r>
      <w:r w:rsidRPr="00872293">
        <w:rPr>
          <w:rFonts w:ascii="Times New Roman" w:hAnsi="Times New Roman" w:cs="Times New Roman"/>
        </w:rPr>
        <w:t xml:space="preserve">, which has been shown to have negative consequences for plant survival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{"citationItems":[{"id":"ITEM-1","itemData":{"DOI":"10.1111/gcb.14000","ISSN":"13652486","PMID":"29194879","abstract":"Predicting the fate of tropical forests under a changing climate requires understanding species responses to climatic variability and extremes. Seedlings may be particularly vulnerable to climatic stress given low stored resources and undeveloped roots; they also portend the potential effects of climate change on future forest composition. Here we use data for ca. 50,000 tropical seedlings representing 25 woody species to assess (i) the effects of interannual variation in rainfall and solar radiation between 2007 and 2016 on seedling survival over 9 years in a subtropical forest; and (ii) how spatial heterogeneity in three environmental factors—soil moisture, understory light, and conspecific neighborhood density—modulate these responses. Community-wide seedling survival was not sensitive to interannual rainfall variability but interspecific variation in these responses was large, overwhelming the average community response. In contrast, community-wide responses to solar radiation were predominantly positive. Spatial heterogeneity in soil moisture and conspecific density were the predominant and most consistent drivers of seedling survival, with the majority of species exhibiting greater survival at low conspecific densities and positive or nonlinear responses to soil moisture. This environmental heterogeneity modulated impacts of rainfall and solar radiation. Negative conspecific effects were amplified during rainy years and at dry sites, whereas the positive effects of radiation on survival were more pronounced for seedlings existing at high understory light levels. These results demonstrate that environmental heterogeneity is not only the main driver of seedling survival in this forest but also plays a central role in buffering or exacerbating impacts of climate fluctuations on forest regeneration. Since seedlings represent a key bottleneck in the demographic cycle of trees, efforts to predict the long-term effects of a changing climate on tropical forests must take into account this environmental heterogeneity and how its effects on regeneration dynamics play out in long-term stand dynamics.","author":[{"dropping-particle":"","family":"Uriarte","given":"María","non-dropping-particle":"","parse-names":false,"suffix":""},{"dropping-particle":"","family":"Muscarella","given":"Robert","non-dropping-particle":"","parse-names":false,"suffix":""},{"dropping-particle":"","family":"Zimmerman","given":"Jess K.","non-dropping-particle":"","parse-names":false,"suffix":""}],"container-title":"Global Change Biology","id":"ITEM-1","issue":"2","issued":{"date-parts":[["2018"]]},"page":"692-704","title":"Environmental heterogeneity and biotic interactions mediate climate impacts on tropical forest regeneration","type":"article-journal","volume":"24"},"uris":["http://www.mendeley.com/documents/?uuid=9b6caee4-01aa-483f-b0f5-1ad625a153e1"]}],"mendeley":{"formattedCitation":"(Uriarte &lt;i&gt;et al.&lt;/i&gt;, 2018)","plainTextFormattedCitation":"(Uriarte et al., 2018)","previouslyFormattedCitation":"(Uriarte &lt;i&gt;et al.&lt;/i&gt;, 2018)"},"properties":{"noteIndex":0},"schema":"https://github.com/citation-style-language/schema/raw/master/csl-citation.json"}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(Uriarte </w:t>
      </w:r>
      <w:r w:rsidRPr="00872293">
        <w:rPr>
          <w:rFonts w:ascii="Times New Roman" w:hAnsi="Times New Roman" w:cs="Times New Roman"/>
          <w:i/>
          <w:noProof/>
        </w:rPr>
        <w:t>et al.</w:t>
      </w:r>
      <w:r w:rsidRPr="00872293">
        <w:rPr>
          <w:rFonts w:ascii="Times New Roman" w:hAnsi="Times New Roman" w:cs="Times New Roman"/>
          <w:noProof/>
        </w:rPr>
        <w:t>, 2018)</w:t>
      </w:r>
      <w:r w:rsidRPr="00872293">
        <w:rPr>
          <w:rFonts w:ascii="Times New Roman" w:hAnsi="Times New Roman" w:cs="Times New Roman"/>
        </w:rPr>
        <w:fldChar w:fldCharType="end"/>
      </w:r>
      <w:r w:rsidRPr="00872293">
        <w:rPr>
          <w:rFonts w:ascii="Times New Roman" w:hAnsi="Times New Roman" w:cs="Times New Roman"/>
        </w:rPr>
        <w:t>. However, we did not measure soil O</w:t>
      </w:r>
      <w:r w:rsidRPr="00872293">
        <w:rPr>
          <w:rFonts w:ascii="Times New Roman" w:hAnsi="Times New Roman" w:cs="Times New Roman"/>
          <w:vertAlign w:val="subscript"/>
        </w:rPr>
        <w:t xml:space="preserve">2 </w:t>
      </w:r>
      <w:r w:rsidRPr="00872293">
        <w:rPr>
          <w:rFonts w:ascii="Times New Roman" w:hAnsi="Times New Roman" w:cs="Times New Roman"/>
        </w:rPr>
        <w:t>concentrations or soil nutrient fluxes during this study to test these effects on root dynamics.</w:t>
      </w:r>
    </w:p>
    <w:p w14:paraId="0E95C923" w14:textId="77777777" w:rsidR="00577074" w:rsidRPr="00872293" w:rsidRDefault="00577074" w:rsidP="00577074">
      <w:pPr>
        <w:autoSpaceDE w:val="0"/>
        <w:autoSpaceDN w:val="0"/>
        <w:adjustRightInd w:val="0"/>
        <w:spacing w:line="360" w:lineRule="auto"/>
        <w:rPr>
          <w:rFonts w:ascii="Times New Roman" w:hAnsi="Times New Roman" w:cs="Times New Roman"/>
        </w:rPr>
      </w:pPr>
    </w:p>
    <w:p w14:paraId="51BA5E8D" w14:textId="71D11407" w:rsidR="00577074" w:rsidRPr="00872293" w:rsidRDefault="00577074" w:rsidP="00577074">
      <w:pPr>
        <w:shd w:val="clear" w:color="auto" w:fill="FFFFFF"/>
        <w:spacing w:line="360" w:lineRule="auto"/>
        <w:rPr>
          <w:rFonts w:ascii="Times New Roman" w:hAnsi="Times New Roman" w:cs="Times New Roman"/>
        </w:rPr>
      </w:pPr>
      <w:r w:rsidRPr="00872293">
        <w:rPr>
          <w:rFonts w:ascii="Times New Roman" w:hAnsi="Times New Roman" w:cs="Times New Roman"/>
        </w:rPr>
        <w:t xml:space="preserve">Root mortality was also positively related to microbial N concentrations. This may be due to increased cell death and lysis, and the concomitant utilization of the low C/N </w:t>
      </w:r>
      <w:proofErr w:type="spellStart"/>
      <w:r w:rsidRPr="00872293">
        <w:rPr>
          <w:rFonts w:ascii="Times New Roman" w:hAnsi="Times New Roman" w:cs="Times New Roman"/>
        </w:rPr>
        <w:t>necromass</w:t>
      </w:r>
      <w:proofErr w:type="spellEnd"/>
      <w:r w:rsidRPr="00872293">
        <w:rPr>
          <w:rFonts w:ascii="Times New Roman" w:hAnsi="Times New Roman" w:cs="Times New Roman"/>
        </w:rPr>
        <w:t>, which can result in greater N mineralization and higher soil NH</w:t>
      </w:r>
      <w:r w:rsidRPr="00872293">
        <w:rPr>
          <w:rFonts w:ascii="Times New Roman" w:hAnsi="Times New Roman" w:cs="Times New Roman"/>
          <w:vertAlign w:val="subscript"/>
        </w:rPr>
        <w:t>4</w:t>
      </w:r>
      <w:r w:rsidRPr="00872293">
        <w:rPr>
          <w:rFonts w:ascii="Times New Roman" w:hAnsi="Times New Roman" w:cs="Times New Roman"/>
          <w:vertAlign w:val="superscript"/>
        </w:rPr>
        <w:t xml:space="preserve">+ </w:t>
      </w:r>
      <w:r w:rsidRPr="00872293">
        <w:rPr>
          <w:rFonts w:ascii="Times New Roman" w:hAnsi="Times New Roman" w:cs="Times New Roman"/>
        </w:rPr>
        <w:t xml:space="preserve">content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{"citationItems":[{"id":"ITEM-1","itemData":{"author":[{"dropping-particle":"V.","family":"Hawkes","given":"Christine","non-dropping-particle":"","parse-names":false,"suffix":""},{"dropping-particle":"","family":"DeAngelis","given":"Kristen M.","non-dropping-particle":"","parse-names":false,"suffix":""},{"dropping-particle":"","family":"Firestone","given":"Mary K.","non-dropping-particle":"","parse-names":false,"suffix":""}],"container-title":"The Rhizosphere: An Ecological Perspective","editor":[{"dropping-particle":"","family":"Cardon","given":"Zoe G.","non-dropping-particle":"","parse-names":false,"suffix":""},{"dropping-particle":"","family":"Whitbeck","given":"Julie L.","non-dropping-particle":"","parse-names":false,"suffix":""}],"id":"ITEM-1","issued":{"date-parts":[["2007"]]},"page":"1-29","title":"Root interactions with soil microbial communities and processes","type":"chapter"},"uris":["http://www.mendeley.com/documents/?uuid=f1b33680-12f9-4d62-a618-1127063d24f1"]},{"id":"ITEM-2","itemData":{"DOI":"10.2136/sssaj1998.03615995006200010036x","ISSN":"0361-5995","abstract":"[We hypothesized that trees can rapidly root into subsoil and capture NO3, which can accumulate in the subsoil of agricultural soils with high anion sorption. The vertical distribution of root length and inorganic N (NO3 and NH4) to 3.95-m soil depth was compared for 11-mo-old stands of eucalyptus (Eucalyptus grandis W. Hill ex Maiden), sesbania [Sesbanio sesban (L.) Merr.], calliandra (Calliandra calothyrsus Meissner), markhamia [Markhamia lutea (Benth.) Schumann], and grevillea (Grevillea robusta A. Cunn. ex R. Br.) grown at two P levels (no added P and 500 kg added P ha-1) on a Kandiudalfic Eutrudox in Kenya. The trees were planted at a 1 by 1 m spacing in a randomized complete block with three replications. Added P had no effect on root length, soil NO3, and soil NH4 even though the soil was low in available P. Total root length was greater for calliandra (15.5 km m-2) than other trees (1.2-5.6 km m-2). The slope for the model of natural logarithm root length density (cm cm-3) as a function of soil depth was affected by tree species (P &lt; 0.01), indicating differences among trees in the tendency for deep rooting. Root length densities, averaged for the two P levels, were ≤0.1 cm cm-3 to depths of 2.2 m with calliandra, 1.8 m with sesbania, 1.2 m with eucalyptus, 0.45 m with grevillea, and 0.3 m with markhamia. Calliandra and sesbania reduced soil NO3 in the top 2 m by about 150 to 200 kg N ha-1 within 11 mo after establishment and effectively captured subsoil NO3. Fast-growing trees with high root length densities can rapidly reduce subsoil NO3., We hypothesized that trees can rapidly root into subsoil and capture NO3, which can accumulate in the subsoil of agricultural soils with high anion sorption. The vertical distribution of root length and inorganic N (NO3 and NH4) to 3.95-m soil depth was compared for 11-mo-old stands of eucalyptus (Eucalyptus grandis W. Hill ex Maiden), sesbania [Sesbania sesban (L.) Merr.], calliandra (Calliandra calothyrsus Meissner), markhamia [Markhamia lutea (Benth.) Schumann], and grevillea (Grevillea robusta A. Cunn. ex R. Br.) grown at two P levels (no added P and 500 kg added P ha-1) on a Kandiudalfic Eutrudox in Kenya. The trees were planted at a 1 by 1 m spacing in a randomized complete block with three replications. Added P had no effect on root length, soil NO3, and soil NH4 even though the soil was low in available P. Total root length was greater for calliandra (15.5 km m-2) than other trees (1.2-5.6 km m-2). T…","author":[{"dropping-particle":"","family":"Jama","given":"Bashir","non-dropping-particle":"","parse-names":false,"suffix":""},{"dropping-particle":"","family":"Ndufa","given":"J. K.","non-dropping-particle":"","parse-names":false,"suffix":""},{"dropping-particle":"","family":"Buresh","given":"R. J.","non-dropping-particle":"","parse-names":false,"suffix":""},{"dropping-particle":"","family":"Shepherd","given":"K. D.","non-dropping-particle":"","parse-names":false,"suffix":""}],"container-title":"Soil Science Society of America Journal","id":"ITEM-2","issue":"1","issued":{"date-parts":[["1998"]]},"page":"280-286","title":"Vertical Distribution of Roots and Soil Nitrate: Tree Species and Phosphorus Effects","type":"article-journal","volume":"62"},"uris":["http://www.mendeley.com/documents/?uuid=f72ac48a-62be-486b-99c7-0354d3d6cd26"]},{"id":"ITEM-3","itemData":{"DOI":"10.1007/BF00002935","ISSN":"01682563","abstract":"Root production and turnover were studied using sequential core sampling and observations in permanent minirhizotrons in the field in three dry heathland stands dominated by the evergreen dwarfshrub Calluna vulgaris and the grasses Deschampsia flexuosa and Molinia caerulea, respectively. Root biomass production, estimated by core sampling, amounted to 160 (Calluna), 180 (Deschampsia) and 1380 (Molinia) g m-2 yr-1, respectively. Root biomass turnover rate in Calluna (0.64 yr-1) was lower compared with the grasses (Deschampsia: 0.96 yr-1; Molinia 1.68yr-1)). Root length turnover rate was 0.75-0.77 yr-1 (Deschampsia) and 1.17-1.49 yr-1 (Molinia), respectively. No resorption of N and P from senescing roots was observed in either species. Input of organic N into the soil due to root turnover, estimated using the core sampling data, amounted to 1.8 g N m-2 yr-1(Calluna), 1.7 g N m-2 yr-1 (Deschampsia) and 19.7 g N m-2 yr-1 (Molinia), respectively. The organic P input was 0.05, 0.07 and 0.55 g P M-2 yr-1, respectively. Using the minirhizotron turnover estimates these values were20-22% (Deschampsia) and 11-30% (Molinia) lower. When the biomass turnover data were used, it appeared that in the Molinia stand root turnover contributed 67% to total litter production, 87% to total litter nitrogen loss and 84% to total litter phosphorus loss. For Calluna and Deschampsia these percentages were about three and two times lower, respectively. This study shows that (1) Root turnover is a key factor in ecosystem C, N, and P cycling; and that (2) The relative importance of root turnover differs between species. © 1992 Kluwer Academic Publishers.","author":[{"dropping-particle":"","family":"Aerts","given":"R.","non-dropping-particle":"","parse-names":false,"suffix":""},{"dropping-particle":"","family":"Bakker","given":"C.","non-dropping-particle":"","parse-names":false,"suffix":""},{"dropping-particle":"","family":"Caluwe","given":"H.","non-dropping-particle":"De","parse-names":false,"suffix":""}],"container-title":"Biogeochemistry","id":"ITEM-3","issue":"3","issued":{"date-parts":[["1992"]]},"page":"175-190","title":"Root turnover as determinant of the cycling of C, N, and P in a dry heathland ecosystem","type":"article-journal","volume":"15"},"uris":["http://www.mendeley.com/documents/?uuid=0b9cbade-844e-482c-8739-9bcce9258662"]},{"id":"ITEM-4","itemData":{"DOI":"10.1016/S0038-0717(98)00086-8","ISSN":"00380717","abstract":"Immobilization of mineral N induced by decomposition of roots of four tropical forage species (Stylosanthes guianensis, Centrosema sp., Andropogon gayanus and Brachiaria decumbens) in an Oxisol was studied under laboratory conditions. Root materials had a high lignin content (12-20%) but total polyphenol content was small (&lt;0.8%). Roots, at 2.5 and 5.0 g kg-1, and 10 mg N kg-1 of 15N-labelled ammonium sulphate (20.3 at.%) were thoroughly mixed with the soil which was maintained at field capacity for 117 d. Decomposition of the roots (as monitored by CO2 evolution) was initially rapid and the legume materials (S. guianensis, Centrosema sp.) with their lower C-to-N ratio and lignin content, decomposed more quickly than the grass roots (A. gayanus, B. decumbens). After 8 d of incubation the rate of CO2 evolution decreased and was similar for all root materials. CO2 evolution from the decomposing roots in all cases fitted closely (R2 &gt; 0.99) a double exponential equation defining two compartments of root carbon of differing susceptibility to decomposition. The equation predicted that between 43% (Centrosema) and 62% (Brachiaria) of root carbon would not be decomposed even at infinite time under incubation conditions. Mineral N in the soil was immobilized rapidly at the start of the incubation, and the immobilization was greatest with the higher rate of application of root material. Although the C-to-N ratio of legume roots was narrower their higher degradability stimulated greater immobilization of soil mineral N than the grass roots. The results are discussed with reference to N immobilization and carbon sequestration in planted pastures of tropical South America.","author":[{"dropping-particle":"","family":"Urquiaga","given":"Segundo","non-dropping-particle":"","parse-names":false,"suffix":""},{"dropping-particle":"","family":"Cadisch","given":"Georg","non-dropping-particle":"","parse-names":false,"suffix":""},{"dropping-particle":"","family":"Alves","given":"Bruno J.R.","non-dropping-particle":"","parse-names":false,"suffix":""},{"dropping-particle":"","family":"Boddey","given":"Robert M.","non-dropping-particle":"","parse-names":false,"suffix":""},{"dropping-particle":"","family":"Giller","given":"Ken E.","non-dropping-particle":"","parse-names":false,"suffix":""}],"container-title":"Soil Biology and Biochemistry","id":"ITEM-4","issue":"14","issued":{"date-parts":[["1998"]]},"page":"2099-2106","title":"Influence of decomposition of roots of tropical forage species on the availability of soil nitrogen","type":"article-journal","volume":"30"},"uris":["http://www.mendeley.com/documents/?uuid=d3e2d55b-0b25-466a-8d40-aa0856ccf13d"]}],"mendeley":{"formattedCitation":"(Aerts &lt;i&gt;et al.&lt;/i&gt;, 1992b; Jama &lt;i&gt;et al.&lt;/i&gt;, 1998; Urquiaga &lt;i&gt;et al.&lt;/i&gt;, 1998; Hawkes &lt;i&gt;et al.&lt;/i&gt;, 2007)","plainTextFormattedCitation":"(Aerts et al., 1992b; Jama et al., 1998; Urquiaga et al., 1998; Hawkes et al., 2007)","previouslyFormattedCitation":"(Aerts &lt;i&gt;et al.&lt;/i&gt;, 1992b; Jama &lt;i&gt;et al.&lt;/i&gt;, 1998; Urquiaga &lt;i&gt;et al.&lt;/i&gt;, 1998; Hawkes &lt;i&gt;et al.&lt;/i&gt;, 2007)"},"properties":{"noteIndex":0},"schema":"https://github.com/citation-style-language/schema/raw/master/csl-citation.json"}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(Aerts </w:t>
      </w:r>
      <w:r w:rsidRPr="00872293">
        <w:rPr>
          <w:rFonts w:ascii="Times New Roman" w:hAnsi="Times New Roman" w:cs="Times New Roman"/>
          <w:i/>
          <w:noProof/>
        </w:rPr>
        <w:t>et al.</w:t>
      </w:r>
      <w:r w:rsidRPr="00872293">
        <w:rPr>
          <w:rFonts w:ascii="Times New Roman" w:hAnsi="Times New Roman" w:cs="Times New Roman"/>
          <w:noProof/>
        </w:rPr>
        <w:t xml:space="preserve">, 1992b; Jama </w:t>
      </w:r>
      <w:r w:rsidRPr="00872293">
        <w:rPr>
          <w:rFonts w:ascii="Times New Roman" w:hAnsi="Times New Roman" w:cs="Times New Roman"/>
          <w:i/>
          <w:noProof/>
        </w:rPr>
        <w:t>et al.</w:t>
      </w:r>
      <w:r w:rsidRPr="00872293">
        <w:rPr>
          <w:rFonts w:ascii="Times New Roman" w:hAnsi="Times New Roman" w:cs="Times New Roman"/>
          <w:noProof/>
        </w:rPr>
        <w:t xml:space="preserve">, 1998; Urquiaga </w:t>
      </w:r>
      <w:r w:rsidRPr="00872293">
        <w:rPr>
          <w:rFonts w:ascii="Times New Roman" w:hAnsi="Times New Roman" w:cs="Times New Roman"/>
          <w:i/>
          <w:noProof/>
        </w:rPr>
        <w:t>et al.</w:t>
      </w:r>
      <w:r w:rsidRPr="00872293">
        <w:rPr>
          <w:rFonts w:ascii="Times New Roman" w:hAnsi="Times New Roman" w:cs="Times New Roman"/>
          <w:noProof/>
        </w:rPr>
        <w:t xml:space="preserve">, 1998; Hawkes </w:t>
      </w:r>
      <w:r w:rsidRPr="00872293">
        <w:rPr>
          <w:rFonts w:ascii="Times New Roman" w:hAnsi="Times New Roman" w:cs="Times New Roman"/>
          <w:i/>
          <w:noProof/>
        </w:rPr>
        <w:t>et al.</w:t>
      </w:r>
      <w:r w:rsidRPr="00872293">
        <w:rPr>
          <w:rFonts w:ascii="Times New Roman" w:hAnsi="Times New Roman" w:cs="Times New Roman"/>
          <w:noProof/>
        </w:rPr>
        <w:t>, 2007)</w:t>
      </w:r>
      <w:r w:rsidRPr="00872293">
        <w:rPr>
          <w:rFonts w:ascii="Times New Roman" w:hAnsi="Times New Roman" w:cs="Times New Roman"/>
        </w:rPr>
        <w:fldChar w:fldCharType="end"/>
      </w:r>
      <w:r w:rsidRPr="00872293">
        <w:rPr>
          <w:rFonts w:ascii="Times New Roman" w:hAnsi="Times New Roman" w:cs="Times New Roman"/>
        </w:rPr>
        <w:t xml:space="preserve"> We recognize that the direction and interaction of these effects might be more complex and include other mechanisms, such as competitive interaction among plant species, and</w:t>
      </w:r>
      <w:r w:rsidR="009C2EF5" w:rsidRPr="00872293">
        <w:rPr>
          <w:rFonts w:ascii="Times New Roman" w:hAnsi="Times New Roman" w:cs="Times New Roman"/>
        </w:rPr>
        <w:t xml:space="preserve"> </w:t>
      </w:r>
      <w:r w:rsidRPr="00872293">
        <w:rPr>
          <w:rFonts w:ascii="Times New Roman" w:hAnsi="Times New Roman" w:cs="Times New Roman"/>
        </w:rPr>
        <w:t xml:space="preserve">the </w:t>
      </w:r>
      <w:r w:rsidRPr="00872293">
        <w:rPr>
          <w:rFonts w:ascii="Times New Roman" w:hAnsi="Times New Roman" w:cs="Times New Roman"/>
          <w:shd w:val="clear" w:color="auto" w:fill="FFFFFF"/>
        </w:rPr>
        <w:t xml:space="preserve">activity of herbivores and pathogens </w:t>
      </w:r>
      <w:r w:rsidRPr="00872293">
        <w:rPr>
          <w:rFonts w:ascii="Times New Roman" w:hAnsi="Times New Roman" w:cs="Times New Roman"/>
          <w:shd w:val="clear" w:color="auto" w:fill="FFFFFF"/>
        </w:rPr>
        <w:fldChar w:fldCharType="begin" w:fldLock="1"/>
      </w:r>
      <w:r w:rsidRPr="00872293">
        <w:rPr>
          <w:rFonts w:ascii="Times New Roman" w:hAnsi="Times New Roman" w:cs="Times New Roman"/>
          <w:shd w:val="clear" w:color="auto" w:fill="FFFFFF"/>
        </w:rPr>
        <w:instrText>ADDIN CSL_CITATION {"citationItems":[{"id":"ITEM-1","itemData":{"DOI":"10.1016/C2009-0-02664-6","ISBN":"9780125053556","abstract":"This book presents a whole-plant perspective on plant integrated responses to multiple stresses, including an analysis of how plants have evolved growth forms and phenological responses to cope with changing stress patterns in natural environments. Key Features * Explores stress responses at both the structural and process levels * Outlines structural, phenological, and physiological responses that optimize production under multiple stresses * Combines physiological and evolutionary perspectives.","author":[{"dropping-particle":"","family":"Mooney","given":"Harold A.","non-dropping-particle":"","parse-names":false,"suffix":""},{"dropping-particle":"","family":"Winner","given":"William E.","non-dropping-particle":"","parse-names":false,"suffix":""},{"dropping-particle":"","family":"Pell","given":"Eva J.","non-dropping-particle":"","parse-names":false,"suffix":""}],"container-title":"Response of Plants to Multiple Stresses","id":"ITEM-1","issued":{"date-parts":[["2012"]]},"title":"Response of Plants to Multiple Stresses","type":"book"},"uris":["http://www.mendeley.com/documents/?uuid=5e2cd5ca-c632-4407-967c-e4e0ade04fd2"]}],"mendeley":{"formattedCitation":"(Mooney &lt;i&gt;et al.&lt;/i&gt;, 2012)","plainTextFormattedCitation":"(Mooney et al., 2012)","previouslyFormattedCitation":"(Mooney &lt;i&gt;et al.&lt;/i&gt;, 2012)"},"properties":{"noteIndex":0},"schema":"https://github.com/citation-style-language/schema/raw/master/csl-citation.json"}</w:instrText>
      </w:r>
      <w:r w:rsidRPr="00872293">
        <w:rPr>
          <w:rFonts w:ascii="Times New Roman" w:hAnsi="Times New Roman" w:cs="Times New Roman"/>
          <w:shd w:val="clear" w:color="auto" w:fill="FFFFFF"/>
        </w:rPr>
        <w:fldChar w:fldCharType="separate"/>
      </w:r>
      <w:r w:rsidRPr="00872293">
        <w:rPr>
          <w:rFonts w:ascii="Times New Roman" w:hAnsi="Times New Roman" w:cs="Times New Roman"/>
          <w:noProof/>
          <w:shd w:val="clear" w:color="auto" w:fill="FFFFFF"/>
        </w:rPr>
        <w:t xml:space="preserve">(Mooney </w:t>
      </w:r>
      <w:r w:rsidRPr="00872293">
        <w:rPr>
          <w:rFonts w:ascii="Times New Roman" w:hAnsi="Times New Roman" w:cs="Times New Roman"/>
          <w:i/>
          <w:noProof/>
          <w:shd w:val="clear" w:color="auto" w:fill="FFFFFF"/>
        </w:rPr>
        <w:t>et al.</w:t>
      </w:r>
      <w:r w:rsidRPr="00872293">
        <w:rPr>
          <w:rFonts w:ascii="Times New Roman" w:hAnsi="Times New Roman" w:cs="Times New Roman"/>
          <w:noProof/>
          <w:shd w:val="clear" w:color="auto" w:fill="FFFFFF"/>
        </w:rPr>
        <w:t>, 2012)</w:t>
      </w:r>
      <w:r w:rsidRPr="00872293">
        <w:rPr>
          <w:rFonts w:ascii="Times New Roman" w:hAnsi="Times New Roman" w:cs="Times New Roman"/>
          <w:shd w:val="clear" w:color="auto" w:fill="FFFFFF"/>
        </w:rPr>
        <w:fldChar w:fldCharType="end"/>
      </w:r>
      <w:r w:rsidRPr="00872293">
        <w:rPr>
          <w:rFonts w:ascii="Times New Roman" w:hAnsi="Times New Roman" w:cs="Times New Roman"/>
          <w:shd w:val="clear" w:color="auto" w:fill="FFFFFF"/>
        </w:rPr>
        <w:t xml:space="preserve">. Yet, our results </w:t>
      </w:r>
      <w:r w:rsidRPr="00872293">
        <w:rPr>
          <w:rFonts w:ascii="Times New Roman" w:hAnsi="Times New Roman" w:cs="Times New Roman"/>
        </w:rPr>
        <w:t xml:space="preserve">suggest that the warming treatment had effects on soil nutrient concentrations, and possibly on plant metabolism, that </w:t>
      </w:r>
      <w:r w:rsidR="00054B5A" w:rsidRPr="00872293">
        <w:rPr>
          <w:rFonts w:ascii="Times New Roman" w:hAnsi="Times New Roman" w:cs="Times New Roman"/>
        </w:rPr>
        <w:t xml:space="preserve">were associated with </w:t>
      </w:r>
      <w:r w:rsidRPr="00872293">
        <w:rPr>
          <w:rFonts w:ascii="Times New Roman" w:hAnsi="Times New Roman" w:cs="Times New Roman"/>
        </w:rPr>
        <w:t xml:space="preserve">changes </w:t>
      </w:r>
      <w:r w:rsidR="00054B5A" w:rsidRPr="00872293">
        <w:rPr>
          <w:rFonts w:ascii="Times New Roman" w:hAnsi="Times New Roman" w:cs="Times New Roman"/>
        </w:rPr>
        <w:t xml:space="preserve">in root dynamics </w:t>
      </w:r>
      <w:r w:rsidRPr="00872293">
        <w:rPr>
          <w:rFonts w:ascii="Times New Roman" w:hAnsi="Times New Roman" w:cs="Times New Roman"/>
        </w:rPr>
        <w:t>over time.</w:t>
      </w:r>
    </w:p>
    <w:p w14:paraId="7CFA346B" w14:textId="77777777" w:rsidR="00F31A28" w:rsidRPr="00872293" w:rsidRDefault="00F31A28" w:rsidP="00577074">
      <w:pPr>
        <w:shd w:val="clear" w:color="auto" w:fill="FFFFFF"/>
        <w:spacing w:line="360" w:lineRule="auto"/>
        <w:rPr>
          <w:rFonts w:ascii="Times New Roman" w:hAnsi="Times New Roman" w:cs="Times New Roman"/>
        </w:rPr>
      </w:pPr>
    </w:p>
    <w:p w14:paraId="45208B33" w14:textId="77777777" w:rsidR="004F2AA4" w:rsidRPr="00872293" w:rsidRDefault="000F1F3A" w:rsidP="006C0265">
      <w:pPr>
        <w:pStyle w:val="Heading3"/>
        <w:spacing w:before="0" w:after="0" w:line="360" w:lineRule="auto"/>
      </w:pPr>
      <w:bookmarkStart w:id="100" w:name="_Toc53689089"/>
      <w:r w:rsidRPr="00872293">
        <w:lastRenderedPageBreak/>
        <w:t>Hurricane response</w:t>
      </w:r>
      <w:bookmarkEnd w:id="100"/>
    </w:p>
    <w:p w14:paraId="0C890C95" w14:textId="5100EA14" w:rsidR="007A1636" w:rsidRPr="00872293" w:rsidRDefault="007A1636" w:rsidP="006C0265">
      <w:pPr>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During the 10 months after Hurricanes Irma and María, root production, mortality, and stock increased significantly</w:t>
      </w:r>
      <w:r w:rsidR="00154E5E" w:rsidRPr="00872293">
        <w:rPr>
          <w:rFonts w:ascii="Times New Roman" w:hAnsi="Times New Roman" w:cs="Times New Roman"/>
        </w:rPr>
        <w:t xml:space="preserve"> compared to values before the hurricanes</w:t>
      </w:r>
      <w:r w:rsidRPr="00872293">
        <w:rPr>
          <w:rFonts w:ascii="Times New Roman" w:hAnsi="Times New Roman" w:cs="Times New Roman"/>
        </w:rPr>
        <w:t xml:space="preserve">. </w:t>
      </w:r>
      <w:r w:rsidR="00F74000" w:rsidRPr="00872293">
        <w:rPr>
          <w:rFonts w:ascii="Times New Roman" w:hAnsi="Times New Roman" w:cs="Times New Roman"/>
        </w:rPr>
        <w:t xml:space="preserve">Root biomass production after the hurricanes was greater than what has been recorded for Puerto Rico </w:t>
      </w:r>
      <w:r w:rsidR="00CE76B7" w:rsidRPr="00872293">
        <w:rPr>
          <w:rFonts w:ascii="Times New Roman" w:hAnsi="Times New Roman" w:cs="Times New Roman"/>
        </w:rPr>
        <w:fldChar w:fldCharType="begin" w:fldLock="1"/>
      </w:r>
      <w:r w:rsidR="00B61997" w:rsidRPr="00872293">
        <w:rPr>
          <w:rFonts w:ascii="Times New Roman" w:hAnsi="Times New Roman" w:cs="Times New Roman"/>
        </w:rPr>
        <w:instrText xml:space="preserve">ADDIN CSL_CITATION {"citationItems":[{"id":"ITEM-1","itemData":{"DOI":"10.1007/BF00010914","ISSN":"0032079X","abstract":"The distribution of tree biomass and the allocation of organic matter production were measured in an 11-yr-old Pinus caribaea plantation and a paired broadleaf secondary forest growing under the same climatic conditions. The pine plantation had significantly more mass aboveground than the secondary forest (94.9 vs 35.6 t ha-1 for biomass and 10.5 vs 5.0 t ha-1 for litter), whereas the secondary forest had significantly more fine roots (≤2 mm diameter) than the pine plantation (10.5 and 1.0 t ha-1, respectively). Standing stock of dead fine roots was higher than aboveground litter in the secondary forest. In contrast, aboveground litter in pine was more than ten times higher than the dead root fraction. Both pine and secondary forests had similar total organic matter productions (19.2 and 19.4 t ha-1 yr-1, respectively) but structural allocation of that production was significantly different between the two forests; 44% of total production was allocated belowground in the secondary forest, whereas 94% was allocated aboveground in pine. The growth strategies represented by fast growth and large structural allocation aboveground, as for pine, and almost half the production allocated belowground, as for the secondary forest, illustrate equally successful, but contrasting growth strategies under the same climate, regardless of soil characteristics. The patterns of accumulation of organic matter in the soil profile indicated contrasting nutrient immobilization and mineralization sites and sources for soil organic matter formation. © 1991 Kluwer Academic Publishers.","author":[{"dropping-particle":"","family":"Cuevas","given":"Elvira","non-dropping-particle":"","parse-names":false,"suffix":""},{"dropping-particle":"","family":"Brown","given":"Sandra","non-dropping-particle":"","parse-names":false,"suffix":""},{"dropping-particle":"","family":"Lugo","given":"Ariel E.","non-dropping-particle":"","parse-names":false,"suffix":""}],"container-title":"Plant and Soil","id":"ITEM-1","issue":"2","issued":{"date-parts":[["1991"]]},"page":"257-268","title":"Above- and belowground organic matter storage and production in a tropical pine plantation and a paired broadleaf secondary forest","type":"article-journal","volume":"135"},"uris":["http://www.mendeley.com/documents/?uuid=8dff3df5-86b1-4fe9-b8e3-227cf7ac7826"]},{"id":"ITEM-2","itemData":{"ISBN":"0021-9967 (Print)","PMID":"4067013","abstract":"Anterograde autoradiographic methods were used to determine the projection of the principal sensory trigeminal nucleus and of each of the three spinal trigeminal subnuclei to the inferior olivary complex in the cat. Our data reveal that the principal sensory trigeminal nucleus does not contribute to the trigemino-olivary pathway. Each spinal trigeminal subnucleus has a unique contribution to this pathway: pars oralis projects sparsely to the border between the dorsal accessory and principal olives (DAO-PO), pars interpolaris projects mostly to the rostral medial DAO, and pars caudalis projects mostly to the rostral medial part of the ventral leaf of PO and slightly to the caudal medial accessory olive. In the light of recent physiological and anatomical findings, our data indicate that information from each spinal trigeminal subnucleus reaches a different segment of the contralateral inferior olivary complex, which in turn distributes differentially to the cerebellar cortex.","author":[{"dropping-particle":"","family":"Veldkamp","given":"E","non-dropping-particle":"","parse-names":false,"suffix":""}],"container-title":"Laboratory of Soil Science and Geology","id":"ITEM-2","issued":{"date-parts":[["1993"]]},"title":"Soil organic carbon dynamics in pastures established after deforestation in the humid tropics of Costa Rica","type":"book"},"uris":["http://www.mendeley.com/documents/?uuid=41319c46-f777-463a-8dcf-69c4537c396e"]},{"id":"ITEM-3","itemData":{"DOI":"10.1890/07-1631.1","ISSN":"00129658","abstract":"Humid tropical forests are generally characterized by the lack of nitrogen (N) limitation to net primary productivity, yet paradoxically have high potential for N loss. We conducted an intensive field experiment with 15NH4 and 15NO3 additions to highly weathered tropical forest soils in Puerto Rico to determine the relative importance of N retention and loss mechanisms. Over one-half of all the NH 4+ produced was rapidly converted to NO3- via the process of gross nitrification. During the first 24 hours, plant roots took up 28% of the inorganic N produced, dominantly as NH 4+, and were a greater sink for N than soil microbial biomass. Soil microbes were not a significant sink for added 15NH4+ or 15NO3- during the first 24 hours, and only for 15NH 4+ after 7 days. Patterns of microbial community composition, as determined by terminal restriction fragment length polymorphism analysis (TRFLP), were weakly but significantly correlated with nitrification and denitrification to N2O. Rates of dissimilatory NO 3- reduction to NH4+ (DNRA) were high in this forest, accounting for up to 25% of gross NH4+ production and 35% of gross nitrification. DNRA was a major sink for NO3-, which may have contributed to the lower rates of N2O and leaching losses. Despite considerable N conservation via DNRA and plant NH4+ uptake, the fate of </w:instrText>
      </w:r>
      <w:r w:rsidR="00B61997" w:rsidRPr="00872293">
        <w:rPr>
          <w:rFonts w:ascii="Cambria Math" w:hAnsi="Cambria Math" w:cs="Cambria Math"/>
        </w:rPr>
        <w:instrText>∼</w:instrText>
      </w:r>
      <w:r w:rsidR="00B61997" w:rsidRPr="00872293">
        <w:rPr>
          <w:rFonts w:ascii="Times New Roman" w:hAnsi="Times New Roman" w:cs="Times New Roman"/>
        </w:rPr>
        <w:instrText>45% of the NO3- produced and 4% of the NH4+ produced were not measured in our fluxes, suggesting that other important pathways for N retention and loss (e.g., denitrification to N2) are important in this system. The high proportion of mineralized N that was rapidly nitrified and the fates of that NO3- highlight the key role of gross nitrification as a proximate control on N retention and loss in humid tropical forest soils. Furthermore, our results demonstrate the importance of the coupling between DNRA and plant uptake of NH4+ as a potential N-conserving mechanism within tropical forests. © 2008 by the Ecological Society of America.","author":[{"dropping-particle":"","family":"Templer","given":"Pamela H.","non-dropping-particle":"","parse-names":false,"suffix":""},{"dropping-particle":"","family":"Silver","given":"Whendee L.","non-dropping-particle":"","parse-names":false,"suffix":""},{"dropping-particle":"","family":"Pett-Ridge","given":"Jennifer","non-dropping-particle":"","parse-names":false,"suffix":""},{"dropping-particle":"","family":"DeAngelis","given":"Kristen M.","non-dropping-particle":"","parse-names":false,"suffix":""},{"dropping-particle":"","family":"Firestone","given":"Mary K.","non-dropping-particle":"","parse-names":false,"suffix":""}],"container-title":"Ecology","id":"ITEM-3","issue":"11","issued":{"date-parts":[["2008"]]},"page":"3030-3040","title":"Plant and microbial controls on nitrogen retention and loss in a humid tropical forest","type":"article-journal","volume":"89"},"uris":["http://www.mendeley.com/documents/?uuid=c424fbf8-0a9a-402c-ab18-c0a2cf154f3a"]}],"mendeley":{"formattedCitation":"(Cuevas &lt;i&gt;et al.&lt;/i&gt;, 1991; Veldkamp, 1993; Templer &lt;i&gt;et al.&lt;/i&gt;, 2008)","manualFormatting":"(Cuevas et al., 1991)","plainTextFormattedCitation":"(Cuevas et al., 1991; Veldkamp, 1993; Templer et al., 2008)","previouslyFormattedCitation":"(Cuevas &lt;i&gt;et al.&lt;/i&gt;, 1991; Veldkamp, 1993; Templer &lt;i&gt;et al.&lt;/i&gt;, 2008)"},"properties":{"noteIndex":0},"schema":"https://github.com/citation-style-language/schema/raw/master/csl-citation.json"}</w:instrText>
      </w:r>
      <w:r w:rsidR="00CE76B7" w:rsidRPr="00872293">
        <w:rPr>
          <w:rFonts w:ascii="Times New Roman" w:hAnsi="Times New Roman" w:cs="Times New Roman"/>
        </w:rPr>
        <w:fldChar w:fldCharType="separate"/>
      </w:r>
      <w:r w:rsidR="00F74000" w:rsidRPr="00872293">
        <w:rPr>
          <w:rFonts w:ascii="Times New Roman" w:hAnsi="Times New Roman" w:cs="Times New Roman"/>
          <w:noProof/>
        </w:rPr>
        <w:t>(Cuevas</w:t>
      </w:r>
      <w:r w:rsidR="00380B72" w:rsidRPr="00872293">
        <w:rPr>
          <w:rFonts w:ascii="Times New Roman" w:hAnsi="Times New Roman" w:cs="Times New Roman"/>
          <w:noProof/>
        </w:rPr>
        <w:t xml:space="preserve"> </w:t>
      </w:r>
      <w:r w:rsidR="00380B72" w:rsidRPr="00872293">
        <w:rPr>
          <w:rFonts w:ascii="Times New Roman" w:hAnsi="Times New Roman" w:cs="Times New Roman"/>
          <w:i/>
          <w:iCs/>
          <w:noProof/>
        </w:rPr>
        <w:t>et al.</w:t>
      </w:r>
      <w:r w:rsidR="00F74000" w:rsidRPr="00872293">
        <w:rPr>
          <w:rFonts w:ascii="Times New Roman" w:hAnsi="Times New Roman" w:cs="Times New Roman"/>
          <w:noProof/>
        </w:rPr>
        <w:t>, 1991)</w:t>
      </w:r>
      <w:r w:rsidR="00CE76B7" w:rsidRPr="00872293">
        <w:rPr>
          <w:rFonts w:ascii="Times New Roman" w:hAnsi="Times New Roman" w:cs="Times New Roman"/>
        </w:rPr>
        <w:fldChar w:fldCharType="end"/>
      </w:r>
      <w:r w:rsidR="00F74000" w:rsidRPr="00872293">
        <w:rPr>
          <w:rFonts w:ascii="Times New Roman" w:hAnsi="Times New Roman" w:cs="Times New Roman"/>
        </w:rPr>
        <w:t xml:space="preserve">. </w:t>
      </w:r>
      <w:r w:rsidRPr="00872293">
        <w:rPr>
          <w:rFonts w:ascii="Times New Roman" w:hAnsi="Times New Roman" w:cs="Times New Roman"/>
        </w:rPr>
        <w:t xml:space="preserve">This shift in root dynamics can be explained by the changes in the aboveground plant community, which we detected both in belowground measurements of morphological changes and visual qualitative cues. Grass first and then other herbaceous plants and woody seedlings dominated the forest floor after 3-12 months from the disturbance event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Evolution","id":"ITEM-1","issued":{"date-parts":[["2020"]]},"title":"Tropical understory herbaceous community responds more strongly to hurricane disturbance than to experimental warming","type":"article-journal"},"uris":["http://www.mendeley.com/documents/?uuid=4470553f-487f-40af-aac1-bc912293b68c"]}],"mendeley":{"formattedCitation":"(Kennard &lt;i&gt;et al.&lt;/i&gt;, 2020)","plainTextFormattedCitation":"(Kennard et al., 2020)","previouslyFormattedCitation":"(Kennard &lt;i&gt;et al.&lt;/i&gt;, 2020)"},"properties":{"noteIndex":0},"schema":"https://github.com/citation-style-language/schema/raw/master/csl-citation.json"}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(Kennard </w:t>
      </w:r>
      <w:r w:rsidR="00D64D1F" w:rsidRPr="00872293">
        <w:rPr>
          <w:rFonts w:ascii="Times New Roman" w:hAnsi="Times New Roman" w:cs="Times New Roman"/>
          <w:i/>
          <w:noProof/>
        </w:rPr>
        <w:t>et al.</w:t>
      </w:r>
      <w:r w:rsidR="00D64D1F" w:rsidRPr="00872293">
        <w:rPr>
          <w:rFonts w:ascii="Times New Roman" w:hAnsi="Times New Roman" w:cs="Times New Roman"/>
          <w:noProof/>
        </w:rPr>
        <w:t>, 2020)</w:t>
      </w:r>
      <w:r w:rsidR="00CE76B7" w:rsidRPr="00872293">
        <w:rPr>
          <w:rFonts w:ascii="Times New Roman" w:hAnsi="Times New Roman" w:cs="Times New Roman"/>
        </w:rPr>
        <w:fldChar w:fldCharType="end"/>
      </w:r>
      <w:r w:rsidRPr="00872293">
        <w:rPr>
          <w:rFonts w:ascii="Times New Roman" w:hAnsi="Times New Roman" w:cs="Times New Roman"/>
        </w:rPr>
        <w:t xml:space="preserve">. Roots from before the hurricane were thicker but shorter than roots observed after the hurricane. This change, according to an analysis of morphological differentiation of tree roots and herbaceous roots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family":"Lu","given":"Mingzhen","non-dropping-partic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O.","non-dropping-particle":"","parse-names":false,"suffix":""}],"container-title":"Nature","id":"ITEM-1","issued":{"date-parts":[["2018"]]},"title":"Evolutionary history resolves global organization of root functional traits","type":"article-journal"},"uris":["http://www.mendeley.com/documents/?uuid=1817280e-1c00-44ab-85ba-ffe80bef79e0"]}],"mendeley":{"formattedCitation":"(Ma &lt;i&gt;et al.&lt;/i&gt;, 2018)","plainTextFormattedCitation":"(Ma et al., 2018)","previouslyFormattedCitation":"(Ma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(Ma </w:t>
      </w:r>
      <w:r w:rsidR="00D64D1F" w:rsidRPr="00872293">
        <w:rPr>
          <w:rFonts w:ascii="Times New Roman" w:hAnsi="Times New Roman" w:cs="Times New Roman"/>
          <w:i/>
          <w:noProof/>
        </w:rPr>
        <w:t>et al.</w:t>
      </w:r>
      <w:r w:rsidR="00D64D1F"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xml:space="preserve"> implies a change in dominance from woody trees to herbaceous plants, corresponding to aboveground observations</w:t>
      </w:r>
      <w:r w:rsidR="00AC4E18" w:rsidRPr="00872293">
        <w:rPr>
          <w:rFonts w:ascii="Times New Roman" w:hAnsi="Times New Roman" w:cs="Times New Roman"/>
        </w:rPr>
        <w:t xml:space="preserve"> </w:t>
      </w:r>
      <w:r w:rsidR="008F7257" w:rsidRPr="00872293">
        <w:rPr>
          <w:rFonts w:ascii="Times New Roman" w:hAnsi="Times New Roman" w:cs="Times New Roman"/>
        </w:rPr>
        <w:fldChar w:fldCharType="begin" w:fldLock="1"/>
      </w:r>
      <w:r w:rsidR="0059491A" w:rsidRPr="00872293">
        <w:rPr>
          <w:rFonts w:ascii="Times New Roman" w:hAnsi="Times New Roman" w:cs="Times New Roman"/>
        </w:rPr>
        <w:instrText>ADDIN CSL_CITATION {"citationItems":[{"id":"ITEM-1","itemData":{"DOI":"https://doi.org/10.1002/ece3.6589","author":[{"dropping-particle":"","family":"Kennard","given":"Deborah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Evolution","id":"ITEM-1","issued":{"date-parts":[["2020"]]},"title":"Tropical understory herbaceous community responds more strongly to hurricane disturbance than to experimental warming","type":"article-journal"},"uris":["http://www.mendeley.com/documents/?uuid=4470553f-487f-40af-aac1-bc912293b68c"]}],"mendeley":{"formattedCitation":"(Kennard &lt;i&gt;et al.&lt;/i&gt;, 2020)","plainTextFormattedCitation":"(Kennard et al., 2020)","previouslyFormattedCitation":"(Kennard &lt;i&gt;et al.&lt;/i&gt;, 2020)"},"properties":{"noteIndex":0},"schema":"https://github.com/citation-style-language/schema/raw/master/csl-citation.json"}</w:instrText>
      </w:r>
      <w:r w:rsidR="008F7257" w:rsidRPr="00872293">
        <w:rPr>
          <w:rFonts w:ascii="Times New Roman" w:hAnsi="Times New Roman" w:cs="Times New Roman"/>
        </w:rPr>
        <w:fldChar w:fldCharType="separate"/>
      </w:r>
      <w:r w:rsidR="008F7257" w:rsidRPr="00872293">
        <w:rPr>
          <w:rFonts w:ascii="Times New Roman" w:hAnsi="Times New Roman" w:cs="Times New Roman"/>
          <w:noProof/>
        </w:rPr>
        <w:t xml:space="preserve">(Kennard </w:t>
      </w:r>
      <w:r w:rsidR="008F7257" w:rsidRPr="00872293">
        <w:rPr>
          <w:rFonts w:ascii="Times New Roman" w:hAnsi="Times New Roman" w:cs="Times New Roman"/>
          <w:i/>
          <w:noProof/>
        </w:rPr>
        <w:t>et al.</w:t>
      </w:r>
      <w:r w:rsidR="008F7257" w:rsidRPr="00872293">
        <w:rPr>
          <w:rFonts w:ascii="Times New Roman" w:hAnsi="Times New Roman" w:cs="Times New Roman"/>
          <w:noProof/>
        </w:rPr>
        <w:t>, 2020)</w:t>
      </w:r>
      <w:r w:rsidR="008F7257" w:rsidRPr="00872293">
        <w:rPr>
          <w:rFonts w:ascii="Times New Roman" w:hAnsi="Times New Roman" w:cs="Times New Roman"/>
        </w:rPr>
        <w:fldChar w:fldCharType="end"/>
      </w:r>
      <w:r w:rsidR="008F7257" w:rsidRPr="00872293">
        <w:rPr>
          <w:rFonts w:ascii="Times New Roman" w:hAnsi="Times New Roman" w:cs="Times New Roman"/>
        </w:rPr>
        <w:t>.</w:t>
      </w:r>
      <w:r w:rsidRPr="00872293">
        <w:rPr>
          <w:rFonts w:ascii="Times New Roman" w:hAnsi="Times New Roman" w:cs="Times New Roman"/>
        </w:rPr>
        <w:t xml:space="preserve"> High values of root surface area after the hurricane</w:t>
      </w:r>
      <w:r w:rsidR="002D72A9" w:rsidRPr="00872293">
        <w:rPr>
          <w:rFonts w:ascii="Times New Roman" w:hAnsi="Times New Roman" w:cs="Times New Roman"/>
        </w:rPr>
        <w:t xml:space="preserve"> (45.4 m</w:t>
      </w:r>
      <w:r w:rsidR="002D72A9" w:rsidRPr="00872293">
        <w:rPr>
          <w:rFonts w:ascii="Times New Roman" w:hAnsi="Times New Roman" w:cs="Times New Roman"/>
          <w:vertAlign w:val="superscript"/>
        </w:rPr>
        <w:t>2</w:t>
      </w:r>
      <w:r w:rsidR="002D72A9" w:rsidRPr="00872293">
        <w:rPr>
          <w:rFonts w:ascii="Times New Roman" w:hAnsi="Times New Roman" w:cs="Times New Roman"/>
        </w:rPr>
        <w:t xml:space="preserve"> m</w:t>
      </w:r>
      <w:r w:rsidR="002D72A9" w:rsidRPr="00872293">
        <w:rPr>
          <w:rFonts w:ascii="Times New Roman" w:hAnsi="Times New Roman" w:cs="Times New Roman"/>
          <w:vertAlign w:val="superscript"/>
        </w:rPr>
        <w:t>-2</w:t>
      </w:r>
      <w:r w:rsidR="002D72A9" w:rsidRPr="00872293">
        <w:rPr>
          <w:rFonts w:ascii="Times New Roman" w:hAnsi="Times New Roman" w:cs="Times New Roman"/>
        </w:rPr>
        <w:t>)</w:t>
      </w:r>
      <w:r w:rsidRPr="00872293">
        <w:rPr>
          <w:rFonts w:ascii="Times New Roman" w:hAnsi="Times New Roman" w:cs="Times New Roman"/>
        </w:rPr>
        <w:t xml:space="preserve"> were also consistent with values obtained from tropical grassland/savanna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{"citationItems":[{"id":"ITEM-1","itemData":{"DOI":"10.1073/pnas.94.14.7362","ISSN":"00278424","abstract":"Global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America","id":"ITEM-1","issue":"14","issued":{"date-parts":[["1997"]]},"page":"7362-7366","title":"A global budget for fine root biomass, surface area, and nutrient contents","type":"article-journal","volume":"94"},"uris":["http://www.mendeley.com/documents/?uuid=37bbfefe-4d4b-43c4-9b46-25c202937d03"]}],"mendeley":{"formattedCitation":"(Jackson &lt;i&gt;et al.&lt;/i&gt;, 1997a)","manualFormatting":"(42.5 m2 m-2; Jackson et al., 1997)","plainTextFormattedCitation":"(Jackson et al., 1997a)","previouslyFormattedCitation":"(Jackson &lt;i&gt;et al.&lt;/i&gt;, 1997a)"},"properties":{"noteIndex":0},"schema":"https://github.com/citation-style-language/schema/raw/master/csl-citation.json"}</w:instrText>
      </w:r>
      <w:r w:rsidR="00CE76B7" w:rsidRPr="00872293">
        <w:rPr>
          <w:rFonts w:ascii="Times New Roman" w:hAnsi="Times New Roman" w:cs="Times New Roman"/>
        </w:rPr>
        <w:fldChar w:fldCharType="separate"/>
      </w:r>
      <w:r w:rsidR="00966798" w:rsidRPr="00872293">
        <w:rPr>
          <w:rFonts w:ascii="Times New Roman" w:hAnsi="Times New Roman" w:cs="Times New Roman"/>
          <w:noProof/>
        </w:rPr>
        <w:t>(</w:t>
      </w:r>
      <w:r w:rsidR="002D72A9" w:rsidRPr="00872293">
        <w:rPr>
          <w:rFonts w:ascii="Times New Roman" w:hAnsi="Times New Roman" w:cs="Times New Roman"/>
          <w:noProof/>
        </w:rPr>
        <w:t>42.5 m</w:t>
      </w:r>
      <w:r w:rsidR="002D72A9" w:rsidRPr="00872293">
        <w:rPr>
          <w:rFonts w:ascii="Times New Roman" w:hAnsi="Times New Roman" w:cs="Times New Roman"/>
          <w:noProof/>
          <w:vertAlign w:val="superscript"/>
        </w:rPr>
        <w:t>2</w:t>
      </w:r>
      <w:r w:rsidR="002D72A9" w:rsidRPr="00872293">
        <w:rPr>
          <w:rFonts w:ascii="Times New Roman" w:hAnsi="Times New Roman" w:cs="Times New Roman"/>
          <w:noProof/>
        </w:rPr>
        <w:t xml:space="preserve"> m</w:t>
      </w:r>
      <w:r w:rsidR="002D72A9" w:rsidRPr="00872293">
        <w:rPr>
          <w:rFonts w:ascii="Times New Roman" w:hAnsi="Times New Roman" w:cs="Times New Roman"/>
          <w:noProof/>
          <w:vertAlign w:val="superscript"/>
        </w:rPr>
        <w:t>-2</w:t>
      </w:r>
      <w:r w:rsidR="002D72A9" w:rsidRPr="00872293">
        <w:rPr>
          <w:rFonts w:ascii="Times New Roman" w:hAnsi="Times New Roman" w:cs="Times New Roman"/>
          <w:noProof/>
        </w:rPr>
        <w:t>; J</w:t>
      </w:r>
      <w:r w:rsidR="00966798" w:rsidRPr="00872293">
        <w:rPr>
          <w:rFonts w:ascii="Times New Roman" w:hAnsi="Times New Roman" w:cs="Times New Roman"/>
          <w:noProof/>
        </w:rPr>
        <w:t xml:space="preserve">ackson </w:t>
      </w:r>
      <w:r w:rsidR="00966798" w:rsidRPr="00872293">
        <w:rPr>
          <w:rFonts w:ascii="Times New Roman" w:hAnsi="Times New Roman" w:cs="Times New Roman"/>
          <w:i/>
          <w:noProof/>
        </w:rPr>
        <w:t>et al.</w:t>
      </w:r>
      <w:r w:rsidR="0048535B" w:rsidRPr="00872293">
        <w:rPr>
          <w:rFonts w:ascii="Times New Roman" w:hAnsi="Times New Roman" w:cs="Times New Roman"/>
          <w:i/>
          <w:noProof/>
        </w:rPr>
        <w:t>,</w:t>
      </w:r>
      <w:r w:rsidR="00966798" w:rsidRPr="00872293">
        <w:rPr>
          <w:rFonts w:ascii="Times New Roman" w:hAnsi="Times New Roman" w:cs="Times New Roman"/>
          <w:noProof/>
        </w:rPr>
        <w:t xml:space="preserve"> 1997)</w:t>
      </w:r>
      <w:r w:rsidR="00CE76B7" w:rsidRPr="00872293">
        <w:rPr>
          <w:rFonts w:ascii="Times New Roman" w:hAnsi="Times New Roman" w:cs="Times New Roman"/>
        </w:rPr>
        <w:fldChar w:fldCharType="end"/>
      </w:r>
      <w:r w:rsidRPr="00872293">
        <w:rPr>
          <w:rFonts w:ascii="Times New Roman" w:hAnsi="Times New Roman" w:cs="Times New Roman"/>
        </w:rPr>
        <w:t>.</w:t>
      </w:r>
    </w:p>
    <w:p w14:paraId="00B45692" w14:textId="77777777" w:rsidR="007A1636" w:rsidRPr="00872293" w:rsidRDefault="007A1636" w:rsidP="00916183">
      <w:pPr>
        <w:autoSpaceDE w:val="0"/>
        <w:autoSpaceDN w:val="0"/>
        <w:adjustRightInd w:val="0"/>
        <w:spacing w:line="360" w:lineRule="auto"/>
        <w:rPr>
          <w:rFonts w:ascii="Times New Roman" w:hAnsi="Times New Roman" w:cs="Times New Roman"/>
        </w:rPr>
      </w:pPr>
    </w:p>
    <w:p w14:paraId="2169D97C" w14:textId="27A72EF0" w:rsidR="007A1636" w:rsidRPr="00872293" w:rsidRDefault="007A1636" w:rsidP="00916183">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Considering the change in plant community, our finding that root biomass standing stock and biomass production differed between control and previously warmed plots after the hurricanes could reflect changes in the dominance of herbaceous and graminoid plants. Thus, we separated roots into woody roots and herbaceous roots based on diameter size. We recognize this assumption is very broad, but this approach provides us some ability to differentiate based on root “type”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family":"Lu","given":"Mingzhen","non-dropping-partic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O.","non-dropping-particle":"","parse-names":false,"suffix":""}],"container-title":"Nature","id":"ITEM-1","issued":{"date-parts":[["2018"]]},"title":"Evolutionary history resolves global organization of root functional traits","type":"article-journal"},"uris":["http://www.mendeley.com/documents/?uuid=1817280e-1c00-44ab-85ba-ffe80bef79e0"]}],"mendeley":{"formattedCitation":"(Ma &lt;i&gt;et al.&lt;/i&gt;, 2018)","plainTextFormattedCitation":"(Ma et al., 2018)","previouslyFormattedCitation":"(Ma &lt;i&gt;et al.&lt;/i&gt;, 2018)"},"properties":{"noteIndex":0},"schema":"https://github.com/citation-style-language/schema/raw/master/csl-citation.json"}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(Ma </w:t>
      </w:r>
      <w:r w:rsidR="00D64D1F" w:rsidRPr="00872293">
        <w:rPr>
          <w:rFonts w:ascii="Times New Roman" w:hAnsi="Times New Roman" w:cs="Times New Roman"/>
          <w:i/>
          <w:noProof/>
        </w:rPr>
        <w:t>et al.</w:t>
      </w:r>
      <w:r w:rsidR="00D64D1F" w:rsidRPr="00872293">
        <w:rPr>
          <w:rFonts w:ascii="Times New Roman" w:hAnsi="Times New Roman" w:cs="Times New Roman"/>
          <w:noProof/>
        </w:rPr>
        <w:t>, 2018)</w:t>
      </w:r>
      <w:r w:rsidR="00CE76B7" w:rsidRPr="00872293">
        <w:rPr>
          <w:rFonts w:ascii="Times New Roman" w:hAnsi="Times New Roman" w:cs="Times New Roman"/>
        </w:rPr>
        <w:fldChar w:fldCharType="end"/>
      </w:r>
      <w:r w:rsidRPr="00872293">
        <w:rPr>
          <w:rFonts w:ascii="Times New Roman" w:hAnsi="Times New Roman" w:cs="Times New Roman"/>
        </w:rPr>
        <w:t>. From our ingrowth cores and soil cores, we knew that most roots belonging to herbaceous plants were thinner than 1 mm in diameter. Therefore, we assumed that roots greater than 2 mm belonged exclusively to woody plants. Since 70% of the understory plant composition after the hurricane were from herbaceous species</w:t>
      </w:r>
      <w:r w:rsidR="0048535B" w:rsidRPr="00872293">
        <w:rPr>
          <w:rFonts w:ascii="Times New Roman" w:hAnsi="Times New Roman" w:cs="Times New Roman"/>
        </w:rPr>
        <w:t xml:space="preserv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Evolution","id":"ITEM-1","issued":{"date-parts":[["2020"]]},"title":"Tropical understory herbaceous community responds more strongly to hurricane disturbance than to experimental warming","type":"article-journal"},"uris":["http://www.mendeley.com/documents/?uuid=4470553f-487f-40af-aac1-bc912293b68c"]}],"mendeley":{"formattedCitation":"(Kennard &lt;i&gt;et al.&lt;/i&gt;, 2020)","plainTextFormattedCitation":"(Kennard et al., 2020)","previouslyFormattedCitation":"(Kennard &lt;i&gt;et al.&lt;/i&gt;, 2020)"},"properties":{"noteIndex":0},"schema":"https://github.com/citation-style-language/schema/raw/master/csl-citation.json"}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(Kennard </w:t>
      </w:r>
      <w:r w:rsidR="00D64D1F" w:rsidRPr="00872293">
        <w:rPr>
          <w:rFonts w:ascii="Times New Roman" w:hAnsi="Times New Roman" w:cs="Times New Roman"/>
          <w:i/>
          <w:noProof/>
        </w:rPr>
        <w:t>et al.</w:t>
      </w:r>
      <w:r w:rsidR="00D64D1F" w:rsidRPr="00872293">
        <w:rPr>
          <w:rFonts w:ascii="Times New Roman" w:hAnsi="Times New Roman" w:cs="Times New Roman"/>
          <w:noProof/>
        </w:rPr>
        <w:t>, 2020)</w:t>
      </w:r>
      <w:r w:rsidR="00CE76B7" w:rsidRPr="00872293">
        <w:rPr>
          <w:rFonts w:ascii="Times New Roman" w:hAnsi="Times New Roman" w:cs="Times New Roman"/>
        </w:rPr>
        <w:fldChar w:fldCharType="end"/>
      </w:r>
      <w:r w:rsidRPr="00872293">
        <w:rPr>
          <w:rFonts w:ascii="Times New Roman" w:hAnsi="Times New Roman" w:cs="Times New Roman"/>
        </w:rPr>
        <w:t xml:space="preserve">, and due to visual observations, we infer that woody roots (&gt;2mm) belong to woody plants that existed before the hurricane and thus responded to the combined interaction of warming and hurricane effects. When running the mixed effects model using only roots greater than 2 mm in diameter, we still found a significant effect of treatment on root standing stock through time (interaction </w:t>
      </w:r>
      <w:proofErr w:type="spellStart"/>
      <w:proofErr w:type="gramStart"/>
      <w:r w:rsidRPr="00872293">
        <w:rPr>
          <w:rFonts w:ascii="Times New Roman" w:hAnsi="Times New Roman" w:cs="Times New Roman"/>
        </w:rPr>
        <w:t>treatment:session</w:t>
      </w:r>
      <w:proofErr w:type="spellEnd"/>
      <w:proofErr w:type="gramEnd"/>
      <w:r w:rsidRPr="00872293">
        <w:rPr>
          <w:rFonts w:ascii="Times New Roman" w:hAnsi="Times New Roman" w:cs="Times New Roman"/>
        </w:rPr>
        <w:t>; table 1) after the hurricane events. Thus, both new herbaceous plants and trees responded similarly to the warming treatment legacy.</w:t>
      </w:r>
    </w:p>
    <w:p w14:paraId="74C93799" w14:textId="77777777" w:rsidR="007A1636" w:rsidRPr="00872293" w:rsidRDefault="007A1636" w:rsidP="00916183">
      <w:pPr>
        <w:spacing w:line="360" w:lineRule="auto"/>
        <w:rPr>
          <w:rFonts w:ascii="Times New Roman" w:hAnsi="Times New Roman" w:cs="Times New Roman"/>
        </w:rPr>
      </w:pPr>
    </w:p>
    <w:p w14:paraId="7A5F0208" w14:textId="77777777" w:rsidR="00DB415F" w:rsidRPr="00872293" w:rsidRDefault="00DB415F" w:rsidP="00DB415F">
      <w:pPr>
        <w:spacing w:line="360" w:lineRule="auto"/>
        <w:rPr>
          <w:rFonts w:ascii="Times New Roman" w:hAnsi="Times New Roman" w:cs="Times New Roman"/>
        </w:rPr>
      </w:pPr>
      <w:r w:rsidRPr="00872293">
        <w:rPr>
          <w:rFonts w:ascii="Times New Roman" w:hAnsi="Times New Roman" w:cs="Times New Roman"/>
        </w:rPr>
        <w:t>After the hurricanes, there was a slight difference (non-significant) in soil temperature between control plots and previously warmed plots in June 2018, which could be due to differences in the understory coverage. Although there was no difference in canopy openness or percent bare ground between warmed and control plots after the hurricanes. Total leaf area per plot showed a slight (but not significant) difference between control and previously warmed plots before and after the hurricanes, where control plots had more total leaf area than the warmed plots. Although we expected the aboveground recovery to mirror the legacy effect of warming after the hurricanes, the measurements taken for total leaf area, and canopy openness do not show strong evidence of the differential effect. We encourage future studies to account for the integrated measurements of aboveground/belowground carbon allocation in response to warming in greenhouse settings, and to consider interactive responses in root dynamics to seasonal changes in long-term plots in Puerto Rico.</w:t>
      </w:r>
    </w:p>
    <w:p w14:paraId="0B5A2DE0" w14:textId="77777777" w:rsidR="00274070" w:rsidRPr="00872293" w:rsidRDefault="00274070" w:rsidP="00916183">
      <w:pPr>
        <w:spacing w:line="360" w:lineRule="auto"/>
        <w:rPr>
          <w:rFonts w:ascii="Times New Roman" w:hAnsi="Times New Roman" w:cs="Times New Roman"/>
        </w:rPr>
      </w:pPr>
    </w:p>
    <w:p w14:paraId="67EF5CD1" w14:textId="6B7AD51F" w:rsidR="00274070" w:rsidRPr="00872293" w:rsidRDefault="00274070" w:rsidP="00274070">
      <w:pPr>
        <w:autoSpaceDE w:val="0"/>
        <w:autoSpaceDN w:val="0"/>
        <w:adjustRightInd w:val="0"/>
        <w:spacing w:line="360" w:lineRule="auto"/>
        <w:rPr>
          <w:rFonts w:ascii="Times New Roman" w:hAnsi="Times New Roman" w:cs="Times New Roman"/>
        </w:rPr>
      </w:pPr>
      <w:bookmarkStart w:id="101" w:name="_Hlk50120979"/>
      <w:r w:rsidRPr="00872293">
        <w:rPr>
          <w:rFonts w:ascii="Times New Roman" w:hAnsi="Times New Roman" w:cs="Times New Roman"/>
        </w:rPr>
        <w:t xml:space="preserve">The decrease of photosynthetic rate </w:t>
      </w:r>
      <w:bookmarkEnd w:id="101"/>
      <w:r w:rsidRPr="00872293">
        <w:rPr>
          <w:rFonts w:ascii="Times New Roman" w:hAnsi="Times New Roman" w:cs="Times New Roman"/>
        </w:rPr>
        <w:t xml:space="preserve">with temperature (Carter </w:t>
      </w:r>
      <w:r w:rsidRPr="00872293">
        <w:rPr>
          <w:rFonts w:ascii="Times New Roman" w:hAnsi="Times New Roman" w:cs="Times New Roman"/>
          <w:i/>
          <w:iCs/>
        </w:rPr>
        <w:t>et al.,</w:t>
      </w:r>
      <w:r w:rsidRPr="00872293">
        <w:rPr>
          <w:rFonts w:ascii="Times New Roman" w:hAnsi="Times New Roman" w:cs="Times New Roman"/>
        </w:rPr>
        <w:t xml:space="preserve"> </w:t>
      </w:r>
      <w:r w:rsidR="00B61997" w:rsidRPr="00872293">
        <w:rPr>
          <w:rFonts w:ascii="Times New Roman" w:hAnsi="Times New Roman" w:cs="Times New Roman"/>
        </w:rPr>
        <w:t>2020</w:t>
      </w:r>
      <w:r w:rsidRPr="00872293">
        <w:rPr>
          <w:rFonts w:ascii="Times New Roman" w:hAnsi="Times New Roman" w:cs="Times New Roman"/>
        </w:rPr>
        <w:t xml:space="preserve">) could have played a role in C allocation to the roots and C storage in plant tissue of the species located in our plots. Especially since leaf respiration did not acclimate to the warming treatment (Carter </w:t>
      </w:r>
      <w:r w:rsidRPr="00872293">
        <w:rPr>
          <w:rFonts w:ascii="Times New Roman" w:hAnsi="Times New Roman" w:cs="Times New Roman"/>
          <w:i/>
          <w:iCs/>
        </w:rPr>
        <w:t>et al.,</w:t>
      </w:r>
      <w:r w:rsidR="00AC1328" w:rsidRPr="00872293">
        <w:rPr>
          <w:rFonts w:ascii="Times New Roman" w:hAnsi="Times New Roman" w:cs="Times New Roman"/>
          <w:i/>
          <w:iCs/>
        </w:rPr>
        <w:t xml:space="preserve"> </w:t>
      </w:r>
      <w:r w:rsidR="00AC1328" w:rsidRPr="00872293">
        <w:rPr>
          <w:rFonts w:ascii="Times New Roman" w:hAnsi="Times New Roman" w:cs="Times New Roman"/>
        </w:rPr>
        <w:t>2020</w:t>
      </w:r>
      <w:r w:rsidRPr="00872293">
        <w:rPr>
          <w:rFonts w:ascii="Times New Roman" w:hAnsi="Times New Roman" w:cs="Times New Roman"/>
        </w:rPr>
        <w:t xml:space="preserve">). This could have </w:t>
      </w:r>
      <w:proofErr w:type="gramStart"/>
      <w:r w:rsidRPr="00872293">
        <w:rPr>
          <w:rFonts w:ascii="Times New Roman" w:hAnsi="Times New Roman" w:cs="Times New Roman"/>
        </w:rPr>
        <w:t>had an effect on</w:t>
      </w:r>
      <w:proofErr w:type="gramEnd"/>
      <w:r w:rsidRPr="00872293">
        <w:rPr>
          <w:rFonts w:ascii="Times New Roman" w:hAnsi="Times New Roman" w:cs="Times New Roman"/>
        </w:rPr>
        <w:t xml:space="preserve"> root recovery after the defoliation of the vegetation caused by the hurricane disturbance. Thus, the warming experiment could have had a legacy effect on the carbon storage available to produce root biomass after the major disturbance through slight decreases in species photosynthetic rate </w:t>
      </w:r>
      <w:proofErr w:type="gramStart"/>
      <w:r w:rsidRPr="00872293">
        <w:rPr>
          <w:rFonts w:ascii="Times New Roman" w:hAnsi="Times New Roman" w:cs="Times New Roman"/>
        </w:rPr>
        <w:t>previous to</w:t>
      </w:r>
      <w:proofErr w:type="gramEnd"/>
      <w:r w:rsidRPr="00872293">
        <w:rPr>
          <w:rFonts w:ascii="Times New Roman" w:hAnsi="Times New Roman" w:cs="Times New Roman"/>
        </w:rPr>
        <w:t xml:space="preserve"> the hurricanes.</w:t>
      </w:r>
    </w:p>
    <w:p w14:paraId="16BBF99C" w14:textId="77777777" w:rsidR="00274070" w:rsidRPr="00872293" w:rsidRDefault="00274070" w:rsidP="00916183">
      <w:pPr>
        <w:spacing w:line="360" w:lineRule="auto"/>
        <w:rPr>
          <w:rFonts w:ascii="Times New Roman" w:hAnsi="Times New Roman" w:cs="Times New Roman"/>
        </w:rPr>
      </w:pPr>
    </w:p>
    <w:p w14:paraId="5B306393" w14:textId="0BE0996F" w:rsidR="007A1636" w:rsidRPr="00872293" w:rsidRDefault="00107506" w:rsidP="00916183">
      <w:pPr>
        <w:autoSpaceDE w:val="0"/>
        <w:autoSpaceDN w:val="0"/>
        <w:adjustRightInd w:val="0"/>
        <w:spacing w:line="360" w:lineRule="auto"/>
        <w:rPr>
          <w:rFonts w:ascii="Times New Roman" w:hAnsi="Times New Roman" w:cs="Times New Roman"/>
          <w:shd w:val="clear" w:color="auto" w:fill="FFFFFF"/>
        </w:rPr>
      </w:pPr>
      <w:r w:rsidRPr="00872293">
        <w:rPr>
          <w:rFonts w:ascii="Times New Roman" w:hAnsi="Times New Roman" w:cs="Times New Roman"/>
          <w:shd w:val="clear" w:color="auto" w:fill="FFFFFF"/>
        </w:rPr>
        <w:t>The warming treatment had legacy effects on soil nutrients after the hurricanes, with greater soil NO</w:t>
      </w:r>
      <w:r w:rsidRPr="00872293">
        <w:rPr>
          <w:rFonts w:ascii="Times New Roman" w:hAnsi="Times New Roman" w:cs="Times New Roman"/>
          <w:shd w:val="clear" w:color="auto" w:fill="FFFFFF"/>
          <w:vertAlign w:val="subscript"/>
        </w:rPr>
        <w:t>3</w:t>
      </w:r>
      <w:r w:rsidRPr="00872293">
        <w:rPr>
          <w:rFonts w:ascii="Times New Roman" w:hAnsi="Times New Roman" w:cs="Times New Roman"/>
          <w:shd w:val="clear" w:color="auto" w:fill="FFFFFF"/>
          <w:vertAlign w:val="superscript"/>
        </w:rPr>
        <w:t>- </w:t>
      </w:r>
      <w:r w:rsidRPr="00872293">
        <w:rPr>
          <w:rFonts w:ascii="Times New Roman" w:hAnsi="Times New Roman" w:cs="Times New Roman"/>
          <w:shd w:val="clear" w:color="auto" w:fill="FFFFFF"/>
        </w:rPr>
        <w:t>and PO</w:t>
      </w:r>
      <w:r w:rsidRPr="00872293">
        <w:rPr>
          <w:rFonts w:ascii="Times New Roman" w:hAnsi="Times New Roman" w:cs="Times New Roman"/>
          <w:shd w:val="clear" w:color="auto" w:fill="FFFFFF"/>
          <w:vertAlign w:val="subscript"/>
        </w:rPr>
        <w:t>4</w:t>
      </w:r>
      <w:r w:rsidRPr="00872293">
        <w:rPr>
          <w:rFonts w:ascii="Times New Roman" w:hAnsi="Times New Roman" w:cs="Times New Roman"/>
          <w:shd w:val="clear" w:color="auto" w:fill="FFFFFF"/>
          <w:vertAlign w:val="superscript"/>
        </w:rPr>
        <w:t>3-</w:t>
      </w:r>
      <w:r w:rsidRPr="00872293">
        <w:rPr>
          <w:rFonts w:ascii="Times New Roman" w:hAnsi="Times New Roman" w:cs="Times New Roman"/>
          <w:shd w:val="clear" w:color="auto" w:fill="FFFFFF"/>
        </w:rPr>
        <w:t> concentrations in warmed plots and possibly greater NH</w:t>
      </w:r>
      <w:r w:rsidRPr="00872293">
        <w:rPr>
          <w:rFonts w:ascii="Times New Roman" w:hAnsi="Times New Roman" w:cs="Times New Roman"/>
          <w:shd w:val="clear" w:color="auto" w:fill="FFFFFF"/>
          <w:vertAlign w:val="subscript"/>
        </w:rPr>
        <w:t>4</w:t>
      </w:r>
      <w:r w:rsidRPr="00872293">
        <w:rPr>
          <w:rFonts w:ascii="Times New Roman" w:hAnsi="Times New Roman" w:cs="Times New Roman"/>
          <w:shd w:val="clear" w:color="auto" w:fill="FFFFFF"/>
          <w:vertAlign w:val="superscript"/>
        </w:rPr>
        <w:t>+ </w:t>
      </w:r>
      <w:r w:rsidRPr="00872293">
        <w:rPr>
          <w:rFonts w:ascii="Times New Roman" w:hAnsi="Times New Roman" w:cs="Times New Roman"/>
          <w:shd w:val="clear" w:color="auto" w:fill="FFFFFF"/>
        </w:rPr>
        <w:t>(not significant) in control plots</w:t>
      </w:r>
      <w:r w:rsidRPr="00872293">
        <w:rPr>
          <w:rFonts w:ascii="Times New Roman" w:hAnsi="Times New Roman" w:cs="Times New Roman"/>
          <w:shd w:val="clear" w:color="auto" w:fill="FFFFFF"/>
          <w:vertAlign w:val="superscript"/>
        </w:rPr>
        <w:t> </w:t>
      </w:r>
      <w:r w:rsidRPr="00872293">
        <w:rPr>
          <w:rFonts w:ascii="Times New Roman" w:hAnsi="Times New Roman" w:cs="Times New Roman"/>
          <w:shd w:val="clear" w:color="auto" w:fill="FFFFFF"/>
        </w:rPr>
        <w:t xml:space="preserve">(Reed </w:t>
      </w:r>
      <w:r w:rsidRPr="00872293">
        <w:rPr>
          <w:rFonts w:ascii="Times New Roman" w:hAnsi="Times New Roman" w:cs="Times New Roman"/>
          <w:i/>
          <w:iCs/>
          <w:shd w:val="clear" w:color="auto" w:fill="FFFFFF"/>
        </w:rPr>
        <w:t>et al</w:t>
      </w:r>
      <w:r w:rsidRPr="00872293">
        <w:rPr>
          <w:rFonts w:ascii="Times New Roman" w:hAnsi="Times New Roman" w:cs="Times New Roman"/>
          <w:shd w:val="clear" w:color="auto" w:fill="FFFFFF"/>
        </w:rPr>
        <w:t xml:space="preserve">., 2020). The observed positive relationships between root production and nutrient concentrations after the hurricanes could reflect a stimulatory effect of greater nutrient availability on plant (including root) production, or conversely, a stimulation of nutrient mineralization by increased root activity. Resolution of any cause-and-effect relationships will require more detailed analysis of nutrient fluxes in addition to pool sizes and analysis of nutrient cycling between plant and soil. Thus, the complexity of the biogeochemical response to </w:t>
      </w:r>
      <w:r w:rsidRPr="00872293">
        <w:rPr>
          <w:rFonts w:ascii="Times New Roman" w:hAnsi="Times New Roman" w:cs="Times New Roman"/>
          <w:shd w:val="clear" w:color="auto" w:fill="FFFFFF"/>
        </w:rPr>
        <w:lastRenderedPageBreak/>
        <w:t>hurricane disturbances versus the plant response on previously warmed plots and the direction are not yet evident, and can be happening as parallel, or as concomitant non-additive processes.</w:t>
      </w:r>
    </w:p>
    <w:p w14:paraId="426AFFA1" w14:textId="77777777" w:rsidR="00107506" w:rsidRPr="00872293" w:rsidRDefault="00107506" w:rsidP="00916183">
      <w:pPr>
        <w:autoSpaceDE w:val="0"/>
        <w:autoSpaceDN w:val="0"/>
        <w:adjustRightInd w:val="0"/>
        <w:spacing w:line="360" w:lineRule="auto"/>
        <w:rPr>
          <w:rFonts w:ascii="Times New Roman" w:hAnsi="Times New Roman" w:cs="Times New Roman"/>
        </w:rPr>
      </w:pPr>
    </w:p>
    <w:p w14:paraId="6A68F0D1" w14:textId="0F2C97CF" w:rsidR="007A1636" w:rsidRPr="00872293" w:rsidRDefault="007A1636" w:rsidP="00916183">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 xml:space="preserve">Some other mechanisms could have been influencing the difference in root dynamic response to previous treatment after the hurricanes. For example, warming can modify plant soil feedbacks by altering belowground pathogen pressure and root associations with mutualistic symbionts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{"citationItems":[{"id":"ITEM-1","itemData":{"DOI":"10.1098/rstb.2010.0037","ISSN":"14712970","PMID":"20513711","abstract":"Current predictions on species responses to climate change strongly rely on projecting altered environmental conditions on species distributions. However, it is increasingly acknowledged that climate change also influences species interactions. We review and synthesize literature information on biotic interactions and use it to argue that the abundance of species and the direction of selection during climate change vary depending on how their trophic interactions become disrupted. Plant abundance can be controlled by aboveground and belowground multitrophic level interactions with herbivores, pathogens, symbionts and their enemies. We discuss how these interactions may alter during climate change and the resulting species range shifts. We suggest conceptual analogies between species responses to climate warming and exotic species introduced in new ranges. There are also important differences: the herbivores, pathogens and mutualistic symbionts of rangeexpanding species and their enemies may co-migrate, and the continuous gene flow under climate warming can make adaptation in the expansion zone of range expanders different from that of cross-continental exotic species. We conclude that under climate change, results of altered species interactions may vary, ranging from species becoming rare to disproportionately abundant. Taking these possibilities into account will provide a new perspective on predicting species distribution under climate change. © 2010 The Royal Society.","author":[{"dropping-particle":"","family":"Putten","given":"Wim H.","non-dropping-particle":"Van Der","parse-names":false,"suffix":""},{"dropping-particle":"","family":"Macel","given":"Mirka","non-dropping-particle":"","parse-names":false,"suffix":""},{"dropping-particle":"","family":"Visser","given":"Marcel E.","non-dropping-particle":"","parse-names":false,"suffix":""}],"container-title":"Philosophical Transactions of the Royal Society B: Biological Sciences","id":"ITEM-1","issued":{"date-parts":[["2010"]]},"title":"Predicting species distribution and abundance responses to climate change: Why it is essential to include biotic interactions across trophic levels","type":"article"},"uris":["http://www.mendeley.com/documents/?uuid=eb2db606-996c-4c0a-87e8-a705b37799e2"]}],"mendeley":{"formattedCitation":"(Van Der Putten &lt;i&gt;et al.&lt;/i&gt;, 2010)","plainTextFormattedCitation":"(Van Der Putten et al., 2010)","previouslyFormattedCitation":"(Van Der Putten &lt;i&gt;et al.&lt;/i&gt;, 2010)"},"properties":{"noteIndex":0},"schema":"https://github.com/citation-style-language/schema/raw/master/csl-citation.json"}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(Van Der Putten </w:t>
      </w:r>
      <w:r w:rsidR="00D64D1F" w:rsidRPr="00872293">
        <w:rPr>
          <w:rFonts w:ascii="Times New Roman" w:hAnsi="Times New Roman" w:cs="Times New Roman"/>
          <w:i/>
          <w:noProof/>
        </w:rPr>
        <w:t>et al.</w:t>
      </w:r>
      <w:r w:rsidR="00D64D1F" w:rsidRPr="00872293">
        <w:rPr>
          <w:rFonts w:ascii="Times New Roman" w:hAnsi="Times New Roman" w:cs="Times New Roman"/>
          <w:noProof/>
        </w:rPr>
        <w:t>, 2010)</w:t>
      </w:r>
      <w:r w:rsidR="00CE76B7" w:rsidRPr="00872293">
        <w:rPr>
          <w:rFonts w:ascii="Times New Roman" w:hAnsi="Times New Roman" w:cs="Times New Roman"/>
        </w:rPr>
        <w:fldChar w:fldCharType="end"/>
      </w:r>
      <w:r w:rsidRPr="00872293">
        <w:rPr>
          <w:rFonts w:ascii="Times New Roman" w:hAnsi="Times New Roman" w:cs="Times New Roman"/>
        </w:rPr>
        <w:t xml:space="preserve">. Changes in soil microbial communities can potentially modify the microbial-mediated feedbacks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{"citationItems":[{"id":"ITEM-1","itemData":{"DOI":"10.1038/s41467-018-05516-7","ISSN":"20411723","abstract":"Soil microbial communities play a crucial role in ecosystem functioning, but it is unknown how co-occurrence networks within these communities respond to disturbances such as climate extremes. This represents an important knowledge gap because changes in microbial networks could have implications for their functioning and vulnerability to future disturbances. Here, we show in grassland mesocosms that drought promotes destabilising properties in soil bacterial, but not fungal, co-occurrence networks, and that changes in bacterial communities link more strongly to soil functioning during recovery than do changes in fungal communities. Moreover, we reveal that drought has a prolonged effect on bacterial communities and their co-occurrence networks via changes in vegetation composition and resultant reductions in soil moisture. Our results provide new insight in the mechanisms through which drought alters soil microbial communities with potential long-term consequences, including future plant community composition and the ability of aboveground and belowground communities to withstand future disturbances.","author":[{"dropping-particle":"","family":"Vries","given":"Franciska T.","non-dropping-particle":"de","parse-names":false,"suffix":""},{"dropping-particle":"","family":"Griffiths","given":"Rob I.","non-dropping-particle":"","parse-names":false,"suffix":""},{"dropping-particle":"","family":"Bailey","given":"Mark","non-dropping-particle":"","parse-names":false,"suffix":""},{"dropping-particle":"","family":"Craig","given":"Hayley","non-dropping-particle":"","parse-names":false,"suffix":""},{"dropping-particle":"","family":"Girlanda","given":"Mariangela","non-dropping-particle":"","parse-names":false,"suffix":""},{"dropping-particle":"","family":"Gweon","given":"Hyun Soon","non-dropping-particle":"","parse-names":false,"suffix":""},{"dropping-particle":"","family":"Hallin","given":"Sara","non-dropping-particle":"","parse-names":false,"suffix":""},{"dropping-particle":"","family":"Kaisermann","given":"Aurore","non-dropping-particle":"","parse-names":false,"suffix":""},{"dropping-particle":"","family":"Keith","given":"Aidan M.","non-dropping-particle":"","parse-names":false,"suffix":""},{"dropping-particle":"","family":"Kretzschmar","given":"Marina","non-dropping-particle":"","parse-names":false,"suffix":""},{"dropping-particle":"","family":"Lemanceau","given":"Philippe","non-dropping-particle":"","parse-names":false,"suffix":""},{"dropping-particle":"","family":"Lumini","given":"Erica","non-dropping-particle":"","parse-names":false,"suffix":""},{"dropping-particle":"","family":"Mason","given":"Kelly E.","non-dropping-particle":"","parse-names":false,"suffix":""},{"dropping-particle":"","family":"Oliver","given":"Anna","non-dropping-particle":"","parse-names":false,"suffix":""},{"dropping-particle":"","family":"Ostle","given":"Nick","non-dropping-particle":"","parse-names":false,"suffix":""},{"dropping-particle":"","family":"Prosser","given":"James I.","non-dropping-particle":"","parse-names":false,"suffix":""},{"dropping-particle":"","family":"Thion","given":"Cecile","non-dropping-particle":"","parse-names":false,"suffix":""},{"dropping-particle":"","family":"Thomson","given":"Bruce","non-dropping-particle":"","parse-names":false,"suffix":""},{"dropping-particle":"","family":"Bardgett","given":"Richard D.","non-dropping-particle":"","parse-names":false,"suffix":""}],"container-title":"Nature Communications","id":"ITEM-1","issued":{"date-parts":[["2018"]]},"title":"Soil bacterial networks are less stable under drought than fungal networks","type":"article-journal"},"uris":["http://www.mendeley.com/documents/?uuid=f330f046-2882-44f6-b936-5d3b9d8e06c5"]},{"id":"ITEM-2","itemData":{"DOI":"10.1126/sciadv.aaz1834","abstract":"Plant-soil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Advances","id":"ITEM-2","issue":"11","issued":{"date-parts":[["2019","11","1"]]},"page":"eaaz1834","title":"Climate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ecosystems","type":"article-journal","volume":"5"},"uris":["http://www.mendeley.com/documents/?uuid=f33656d6-3f72-4af2-aefc-f4b86350a8e6"]}],"mendeley":{"formattedCitation":"(de Vries &lt;i&gt;et al.&lt;/i&gt;, 2018; Pugnaire &lt;i&gt;et al.&lt;/i&gt;, 2019)","plainTextFormattedCitation":"(de Vries et al., 2018; Pugnaire et al., 2019)","previouslyFormattedCitation":"(de Vries &lt;i&gt;et al.&lt;/i&gt;, 2018; Pugnaire &lt;i&gt;et al.&lt;/i&gt;, 2019)"},"properties":{"noteIndex":0},"schema":"https://github.com/citation-style-language/schema/raw/master/csl-citation.json"}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(de Vries </w:t>
      </w:r>
      <w:r w:rsidR="00D64D1F" w:rsidRPr="00872293">
        <w:rPr>
          <w:rFonts w:ascii="Times New Roman" w:hAnsi="Times New Roman" w:cs="Times New Roman"/>
          <w:i/>
          <w:noProof/>
        </w:rPr>
        <w:t>et al.</w:t>
      </w:r>
      <w:r w:rsidR="00D64D1F" w:rsidRPr="00872293">
        <w:rPr>
          <w:rFonts w:ascii="Times New Roman" w:hAnsi="Times New Roman" w:cs="Times New Roman"/>
          <w:noProof/>
        </w:rPr>
        <w:t xml:space="preserve">, 2018; Pugnaire </w:t>
      </w:r>
      <w:r w:rsidR="00D64D1F" w:rsidRPr="00872293">
        <w:rPr>
          <w:rFonts w:ascii="Times New Roman" w:hAnsi="Times New Roman" w:cs="Times New Roman"/>
          <w:i/>
          <w:noProof/>
        </w:rPr>
        <w:t>et al.</w:t>
      </w:r>
      <w:r w:rsidR="00D64D1F" w:rsidRPr="00872293">
        <w:rPr>
          <w:rFonts w:ascii="Times New Roman" w:hAnsi="Times New Roman" w:cs="Times New Roman"/>
          <w:noProof/>
        </w:rPr>
        <w:t>, 2019)</w:t>
      </w:r>
      <w:r w:rsidR="00CE76B7" w:rsidRPr="00872293">
        <w:rPr>
          <w:rFonts w:ascii="Times New Roman" w:hAnsi="Times New Roman" w:cs="Times New Roman"/>
        </w:rPr>
        <w:fldChar w:fldCharType="end"/>
      </w:r>
      <w:r w:rsidRPr="00872293">
        <w:rPr>
          <w:rFonts w:ascii="Times New Roman" w:hAnsi="Times New Roman" w:cs="Times New Roman"/>
        </w:rPr>
        <w:t xml:space="preserve">. We did not account for the change in the rhizosphere microbial communities before or after the hurricanes, but we recognize that possible shifts in microbial communities due to warming and hurricane disturbances can affect plant density dependence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10.1111/gcb.15087","ISSN":"13652486","author":[{"dropping-particle":"","family":"Bachelot","given":"Benedicte","non-dropping-particle":"","parse-names":false,"suffix":""},{"dropping-particle":"","family":"Alonso-Rodríguez","given":"Aura M.","non-dropping-particle":"","parse-names":false,"suffix":""},{"dropping-particle":"","family":"Aldrich-Wolfe","given":"Laura","non-dropping-particle":"","parse-names":false,"suffix":""},{"dropping-particle":"","family":"Cavaleri","given":"Molly A.","non-dropping-particle":"","parse-names":false,"suffix":""},{"dropping-particle":"","family":"Reed","given":"Sasha C.","non-dropping-particle":"","parse-names":false,"suffix":""},{"dropping-particle":"","family":"Wood","given":"Tana E.","non-dropping-particle":"","parse-names":false,"suffix":""}],"container-title":"Global Change Biology","id":"ITEM-1","issue":"6","issued":{"date-parts":[["2020"]]},"page":"3417-3428","title":"Altered climate leads to positive density-dependent feedbacks in a tropical wet forest","type":"article-journal","volume":"26"},"uris":["http://www.mendeley.com/documents/?uuid=bc607676-4bf3-462d-929d-9996ad456a25"]}],"mendeley":{"formattedCitation":"(Bachelot &lt;i&gt;et al.&lt;/i&gt;, 2020)","plainTextFormattedCitation":"(Bachelot et al., 2020)","previouslyFormattedCitation":"(Bachelot &lt;i&gt;et al.&lt;/i&gt;, 2020)"},"properties":{"noteIndex":0},"schema":"https://github.com/citation-style-language/schema/raw/master/csl-citation.json"}</w:instrText>
      </w:r>
      <w:r w:rsidR="00CE76B7" w:rsidRPr="00872293">
        <w:rPr>
          <w:rFonts w:ascii="Times New Roman" w:hAnsi="Times New Roman" w:cs="Times New Roman"/>
        </w:rPr>
        <w:fldChar w:fldCharType="separate"/>
      </w:r>
      <w:r w:rsidR="00D64D1F" w:rsidRPr="00872293">
        <w:rPr>
          <w:rFonts w:ascii="Times New Roman" w:hAnsi="Times New Roman" w:cs="Times New Roman"/>
          <w:noProof/>
        </w:rPr>
        <w:t xml:space="preserve">(Bachelot </w:t>
      </w:r>
      <w:r w:rsidR="00D64D1F" w:rsidRPr="00872293">
        <w:rPr>
          <w:rFonts w:ascii="Times New Roman" w:hAnsi="Times New Roman" w:cs="Times New Roman"/>
          <w:i/>
          <w:noProof/>
        </w:rPr>
        <w:t>et al.</w:t>
      </w:r>
      <w:r w:rsidR="00D64D1F" w:rsidRPr="00872293">
        <w:rPr>
          <w:rFonts w:ascii="Times New Roman" w:hAnsi="Times New Roman" w:cs="Times New Roman"/>
          <w:noProof/>
        </w:rPr>
        <w:t>, 2020)</w:t>
      </w:r>
      <w:r w:rsidR="00CE76B7" w:rsidRPr="00872293">
        <w:rPr>
          <w:rFonts w:ascii="Times New Roman" w:hAnsi="Times New Roman" w:cs="Times New Roman"/>
        </w:rPr>
        <w:fldChar w:fldCharType="end"/>
      </w:r>
      <w:r w:rsidRPr="00872293">
        <w:rPr>
          <w:rFonts w:ascii="Times New Roman" w:hAnsi="Times New Roman" w:cs="Times New Roman"/>
        </w:rPr>
        <w:t>, and therefore affect</w:t>
      </w:r>
      <w:r w:rsidR="00971D1B" w:rsidRPr="00872293">
        <w:rPr>
          <w:rFonts w:ascii="Times New Roman" w:hAnsi="Times New Roman" w:cs="Times New Roman"/>
        </w:rPr>
        <w:t xml:space="preserve"> </w:t>
      </w:r>
      <w:r w:rsidRPr="00872293">
        <w:rPr>
          <w:rFonts w:ascii="Times New Roman" w:hAnsi="Times New Roman" w:cs="Times New Roman"/>
        </w:rPr>
        <w:t xml:space="preserve">root dynamics. </w:t>
      </w:r>
    </w:p>
    <w:p w14:paraId="56EB69C6" w14:textId="77777777" w:rsidR="007A1636" w:rsidRPr="00872293" w:rsidRDefault="007A1636" w:rsidP="00916183">
      <w:pPr>
        <w:spacing w:line="360" w:lineRule="auto"/>
        <w:rPr>
          <w:rFonts w:ascii="Times New Roman" w:hAnsi="Times New Roman" w:cs="Times New Roman"/>
        </w:rPr>
      </w:pPr>
    </w:p>
    <w:p w14:paraId="2045C7B1" w14:textId="4D48DC5B" w:rsidR="007A1636" w:rsidRPr="00872293" w:rsidRDefault="007A1636" w:rsidP="00916183">
      <w:pPr>
        <w:spacing w:line="360" w:lineRule="auto"/>
        <w:rPr>
          <w:rFonts w:ascii="Times New Roman" w:hAnsi="Times New Roman" w:cs="Times New Roman"/>
          <w:shd w:val="clear" w:color="auto" w:fill="FFFFFF"/>
        </w:rPr>
      </w:pPr>
      <w:r w:rsidRPr="00872293">
        <w:rPr>
          <w:rFonts w:ascii="Times New Roman" w:hAnsi="Times New Roman" w:cs="Times New Roman"/>
        </w:rPr>
        <w:t xml:space="preserve">The relationships between soil nutrient, microbial nutrient, aboveground plant physiological response, and root dynamics are likely to have been bi-directional after the hurricane. The LEF was exposed to hurricane force winds combined with 500 mm of precipitation over 24 hours which resulted in a thick layer of high nutrient litter, significant changes in forest structure with the increase of cropped and downed trees, combined with near complete defoliation of the vegetation and 15% immediate mortality of large trees </w:t>
      </w:r>
      <w:r w:rsidR="00CE76B7" w:rsidRPr="00872293">
        <w:rPr>
          <w:rFonts w:ascii="Times New Roman" w:hAnsi="Times New Roman" w:cs="Times New Roman"/>
        </w:rPr>
        <w:fldChar w:fldCharType="begin" w:fldLock="1"/>
      </w:r>
      <w:r w:rsidR="00045A85" w:rsidRPr="00872293">
        <w:rPr>
          <w:rFonts w:ascii="Times New Roman" w:hAnsi="Times New Roman" w:cs="Times New Roman"/>
        </w:rPr>
        <w:instrText>ADDIN CSL_CITATION {"citationItems":[{"id":"ITEM-1","itemData":{"DOI":"10.1038/s41467-019-09319-2","ISSN":"20411723","PMID":"30911008","abstract":"Tropical cyclones are expected to intensify under a warming climate, with uncertain effects on tropical forests. One key challenge to predicting how more intense storms will influence these ecosystems is to attribute impacts specifically to storm meteorology rather than differences in forest characteristics. Here we compare tree damage data collected in the same forest in Puerto Rico after Hurricanes Hugo (1989, category 3), Georges (1998, category 3), and María (2017, category 4). María killed twice as many trees as Hugo, and for all but two species, broke 2- to 12-fold more stems than the other two storms. Species with high density wood were resistant to uprooting, hurricane-induced mortality, and were protected from breakage during Hugo but not María. Tree inventories and a wind exposure model allow us to attribute these differences in impacts to storm meteorology. A better understanding of risk factors associated with tree species susceptibility to severe storms is key to predicting the future of forest ecosystems under climate warming.","author":[{"dropping-particle":"","family":"Uriarte","given":"María","non-dropping-particle":"","parse-names":false,"suffix":""},{"dropping-particle":"","family":"Thompson","given":"Jill","non-dropping-particle":"","parse-names":false,"suffix":""},{"dropping-particle":"","family":"Zimmerman","given":"Jess K.","non-dropping-particle":"","parse-names":false,"suffix":""}],"container-title":"Nature Communications","id":"ITEM-1","issued":{"date-parts":[["2019"]]},"title":"Hurricane María tripled stem breaks and doubled tree mortality relative to other major storms","type":"article-journal"},"uris":["http://www.mendeley.com/documents/?uuid=b378e10a-77d6-40dc-879d-7b4bab3f2a8a"]}],"mendeley":{"formattedCitation":"(Uriarte &lt;i&gt;et al.&lt;/i&gt;, 2019b)","manualFormatting":"(Uriarte et al., 2019)","plainTextFormattedCitation":"(Uriarte et al., 2019b)","previouslyFormattedCitation":"(Uriarte &lt;i&gt;et al.&lt;/i&gt;, 2019b)"},"properties":{"noteIndex":0},"schema":"https://github.com/citation-style-language/schema/raw/master/csl-citation.json"}</w:instrText>
      </w:r>
      <w:r w:rsidR="00CE76B7" w:rsidRPr="00872293">
        <w:rPr>
          <w:rFonts w:ascii="Times New Roman" w:hAnsi="Times New Roman" w:cs="Times New Roman"/>
        </w:rPr>
        <w:fldChar w:fldCharType="separate"/>
      </w:r>
      <w:r w:rsidRPr="00872293">
        <w:rPr>
          <w:rFonts w:ascii="Times New Roman" w:hAnsi="Times New Roman" w:cs="Times New Roman"/>
          <w:noProof/>
        </w:rPr>
        <w:t xml:space="preserve">(Uriarte </w:t>
      </w:r>
      <w:r w:rsidRPr="00872293">
        <w:rPr>
          <w:rFonts w:ascii="Times New Roman" w:hAnsi="Times New Roman" w:cs="Times New Roman"/>
          <w:i/>
          <w:noProof/>
        </w:rPr>
        <w:t>et al.</w:t>
      </w:r>
      <w:r w:rsidRPr="00872293">
        <w:rPr>
          <w:rFonts w:ascii="Times New Roman" w:hAnsi="Times New Roman" w:cs="Times New Roman"/>
          <w:noProof/>
        </w:rPr>
        <w:t>, 2019)</w:t>
      </w:r>
      <w:r w:rsidR="00CE76B7" w:rsidRPr="00872293">
        <w:rPr>
          <w:rFonts w:ascii="Times New Roman" w:hAnsi="Times New Roman" w:cs="Times New Roman"/>
        </w:rPr>
        <w:fldChar w:fldCharType="end"/>
      </w:r>
      <w:r w:rsidRPr="00872293">
        <w:rPr>
          <w:rFonts w:ascii="Times New Roman" w:hAnsi="Times New Roman" w:cs="Times New Roman"/>
        </w:rPr>
        <w:t xml:space="preserve">. Thus, these </w:t>
      </w:r>
      <w:r w:rsidRPr="00872293">
        <w:rPr>
          <w:rFonts w:ascii="Times New Roman" w:hAnsi="Times New Roman" w:cs="Times New Roman"/>
          <w:shd w:val="clear" w:color="auto" w:fill="FFFFFF"/>
        </w:rPr>
        <w:t xml:space="preserve">hurricane events increased both the spatial and temporal variation in environmental conditions, which affected plant response directly and indirectly. Adding to these major hurricane disturbances, our studied plots were previously exposed to a warming treatment that had showed a significant decrease in root production and root standing stock. Thus, the biogeochemical processes that interacted with the climatic stress, and the physiological plant responses to both warming and hurricane disturbances are tightly intertwined and might have been affected in </w:t>
      </w:r>
      <w:proofErr w:type="gramStart"/>
      <w:r w:rsidRPr="00872293">
        <w:rPr>
          <w:rFonts w:ascii="Times New Roman" w:hAnsi="Times New Roman" w:cs="Times New Roman"/>
          <w:shd w:val="clear" w:color="auto" w:fill="FFFFFF"/>
        </w:rPr>
        <w:t>many different ways</w:t>
      </w:r>
      <w:proofErr w:type="gramEnd"/>
      <w:r w:rsidRPr="00872293">
        <w:rPr>
          <w:rFonts w:ascii="Times New Roman" w:hAnsi="Times New Roman" w:cs="Times New Roman"/>
          <w:shd w:val="clear" w:color="auto" w:fill="FFFFFF"/>
        </w:rPr>
        <w:t>.</w:t>
      </w:r>
    </w:p>
    <w:p w14:paraId="7F3A6573" w14:textId="77777777" w:rsidR="00FC6B33" w:rsidRPr="00872293" w:rsidRDefault="00FC6B33" w:rsidP="00737CC4">
      <w:pPr>
        <w:spacing w:line="360" w:lineRule="auto"/>
        <w:rPr>
          <w:rFonts w:ascii="Times New Roman" w:hAnsi="Times New Roman" w:cs="Times New Roman"/>
        </w:rPr>
      </w:pPr>
    </w:p>
    <w:p w14:paraId="300AA752" w14:textId="7F49F294" w:rsidR="00172520" w:rsidRPr="00872293" w:rsidRDefault="00434597" w:rsidP="00737CC4">
      <w:pPr>
        <w:pStyle w:val="Heading2"/>
        <w:spacing w:before="0" w:after="0" w:line="360" w:lineRule="auto"/>
      </w:pPr>
      <w:bookmarkStart w:id="102" w:name="_Toc53689090"/>
      <w:r w:rsidRPr="00872293">
        <w:t>Conclusions</w:t>
      </w:r>
      <w:bookmarkEnd w:id="102"/>
    </w:p>
    <w:p w14:paraId="23C1BC59" w14:textId="203422B1" w:rsidR="007A1636" w:rsidRPr="00872293" w:rsidRDefault="007A1636" w:rsidP="006C0265">
      <w:pPr>
        <w:pStyle w:val="CommentText"/>
        <w:spacing w:before="240" w:line="360" w:lineRule="auto"/>
        <w:rPr>
          <w:rFonts w:ascii="Times New Roman" w:hAnsi="Times New Roman" w:cs="Times New Roman"/>
          <w:sz w:val="24"/>
          <w:szCs w:val="24"/>
        </w:rPr>
      </w:pPr>
      <w:r w:rsidRPr="00872293">
        <w:rPr>
          <w:rFonts w:ascii="Times New Roman" w:hAnsi="Times New Roman" w:cs="Times New Roman"/>
          <w:sz w:val="24"/>
          <w:szCs w:val="24"/>
        </w:rPr>
        <w:t xml:space="preserve">The recovery of the forests from disturbance is a critical aspect of forest dynamics, and it is important for societal wellbeing. Hurricane disturbances in Puerto Rico are common; current </w:t>
      </w:r>
      <w:r w:rsidRPr="00872293">
        <w:rPr>
          <w:rFonts w:ascii="Times New Roman" w:hAnsi="Times New Roman" w:cs="Times New Roman"/>
          <w:sz w:val="24"/>
          <w:szCs w:val="24"/>
        </w:rPr>
        <w:lastRenderedPageBreak/>
        <w:t xml:space="preserve">plant species are adapted accordingly to these disturbances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{"citationItems":[{"id":"ITEM-1","itemData":{"abstract":"This guide is an introduction to the ecological systems of Puerto Rico. It covers the diversity of ecological systems in the island, their most common plant and animal species, and salient aspects of their structure and functioning. Terrestrial, wetland, coastal, and marine ecosystems are included, as well as agroforest and urban systems. The discussion of the ecological systems of Puerto Rico is presented in the historical, cultural, and natural disturbance regime of the Island. In addition, we discuss the environmental infrastructure and organizations responsible for the conservation of Puerto Rico’s natural resources, and provide useful information to facilitate field visits to representative examples of the Island’s ecological systems. Keywords: Ecological systems, rain forests, dry forests, tropical forests, coral reefs, estuaries, mangroves, seagrasses, Puerto Rico.","author":[{"dropping-particle":"","family":"Miller","given":"G L","non-dropping-particle":"","parse-names":false,"suffix":""},{"dropping-particle":"","family":"Lugo","given":"A E","non-dropping-particle":"","parse-names":false,"suffix":""}],"container-title":"General Technical Report IITF-GTR-35","id":"ITEM-1","issued":{"date-parts":[["2009"]]},"title":"Guide to the ecological systems of Puerto Rico","type":"report"},"uris":["http://www.mendeley.com/documents/?uuid=c3a8d2ca-5a81-4521-b0e7-3281846f4bf5"]}],"mendeley":{"formattedCitation":"(Miller &amp; Lugo, 2009)","plainTextFormattedCitation":"(Miller &amp; Lugo, 2009)","previouslyFormattedCitation":"(Miller &amp; Lugo, 2009)"},"properties":{"noteIndex":0},"schema":"https://github.com/citation-style-language/schema/raw/master/csl-citation.json"}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(Miller &amp; Lugo, 2009)</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 xml:space="preserve">. The forest canopy is shaped by strong winds </w:t>
      </w:r>
      <w:r w:rsidR="00CE76B7" w:rsidRPr="00872293">
        <w:rPr>
          <w:rFonts w:ascii="Times New Roman" w:hAnsi="Times New Roman" w:cs="Times New Roman"/>
          <w:sz w:val="24"/>
          <w:szCs w:val="24"/>
        </w:rPr>
        <w:fldChar w:fldCharType="begin" w:fldLock="1"/>
      </w:r>
      <w:r w:rsidR="004625B5" w:rsidRPr="00872293">
        <w:rPr>
          <w:rFonts w:ascii="Times New Roman" w:hAnsi="Times New Roman" w:cs="Times New Roman"/>
          <w:sz w:val="24"/>
          <w:szCs w:val="24"/>
        </w:rPr>
        <w:instrText>ADDIN CSL_CITATION {"citationItems":[{"id":"ITEM-1","itemData":{"DOI":"10.1017/S0266467400006076","ISSN":"14697831","abstract":"Hurricane Hugo of September 1989 caused severe damage to the rain forest in the north-east corner of Puerto Rico. We assessed the severity of damage distributed in space, species, and size-classes of trees in the Bisley Watersheds of the Luquillo Experimental Forest. We analyzed pre- and post-hurricane data for vegetation from transects established in 1987 and 1988. The severity of damage was significantly greater in valleys than on ridges and slopes. All the species except Dacryodes excelsa, Sloanea berteriana, and Guarea guidonia showed 100% severe damage. Large trees f &gt; 70 cm DBH) were highly susceptible to hurricane damage, but there was no clear pattern in the small size-classes. D. excelsa (tabonuco) was the most resistant to damage by the hurricane. Tabonuco which has extensive root-grafts and root anchorage to bedrock and subsurficial rocks, apparently can survive frequent hurricanes and continue as a dominant species in this montane tropical rain forest. The high frequency of hurricanes, which can override other ecological and topographic factors, may largely determine the overall spatial pattern of species in this rain forest. © 1992, Cambridge University Press. All rights reserved.","author":[{"dropping-particle":"","family":"Basnet","given":"Khadga","non-dropping-particle":"","parse-names":false,"suffix":""},{"dropping-particle":"","family":"Likens","given":"Gene E.","non-dropping-particle":"","parse-names":false,"suffix":""},{"dropping-particle":"","family":"Scatena","given":"Frederick N.","non-dropping-particle":"","parse-names":false,"suffix":""},{"dropping-particle":"","family":"Lugo","given":"Ariel E.","non-dropping-particle":"","parse-names":false,"suffix":""}],"container-title":"Journal of Tropical Ecology","id":"ITEM-1","issued":{"date-parts":[["1992"]]},"page":"45-55","title":"Hurricane Hugo: Damage to a tropical rain forest in Puerto Rico","type":"article-journal"},"uris":["http://www.mendeley.com/documents/?uuid=988bbc3f-71e2-4432-9283-de1d378391c1"]}],"mendeley":{"formattedCitation":"(Basnet &lt;i&gt;et al.&lt;/i&gt;, 1992)","plainTextFormattedCitation":"(Basnet et al., 1992)","previouslyFormattedCitation":"(Basnet &lt;i&gt;et al.&lt;/i&gt;, 1992)"},"properties":{"noteIndex":0},"schema":"https://github.com/citation-style-language/schema/raw/master/csl-citation.json"}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4625B5" w:rsidRPr="00872293">
        <w:rPr>
          <w:rFonts w:ascii="Times New Roman" w:hAnsi="Times New Roman" w:cs="Times New Roman"/>
          <w:noProof/>
          <w:sz w:val="24"/>
          <w:szCs w:val="24"/>
        </w:rPr>
        <w:t xml:space="preserve">(Basnet </w:t>
      </w:r>
      <w:r w:rsidR="004625B5" w:rsidRPr="00872293">
        <w:rPr>
          <w:rFonts w:ascii="Times New Roman" w:hAnsi="Times New Roman" w:cs="Times New Roman"/>
          <w:i/>
          <w:noProof/>
          <w:sz w:val="24"/>
          <w:szCs w:val="24"/>
        </w:rPr>
        <w:t>et al.</w:t>
      </w:r>
      <w:r w:rsidR="004625B5" w:rsidRPr="00872293">
        <w:rPr>
          <w:rFonts w:ascii="Times New Roman" w:hAnsi="Times New Roman" w:cs="Times New Roman"/>
          <w:noProof/>
          <w:sz w:val="24"/>
          <w:szCs w:val="24"/>
        </w:rPr>
        <w:t>, 1992)</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 xml:space="preserve">, but the responses of root systems are not as evident. It is estimated that the return interval of a hurricane the size and power of María is 86 years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{"citationItems":[{"id":"ITEM-1","itemData":{"DOI":"10.1007/s10021-020-00491-x","ISSN":"14350629","abstract":"Ecologists addressed the effects of disturbances from the onset of the field by focusing on ecesis, which is the process by which organisms migrate and establish under the environmental conditions created by disturbances. Ecesis is the onset of succession, a self-organizing process whose nature, speed, and outcome depend in part on the outcomes of ecesis and the residual legacies remaining after disturbances. A by-product of succession after a disturbance is the reorganization of species dominance, or novelty. The degree of novelty in the outcome increases with the severity of the disturbance event. Initially, ecologists focused mostly on non-anthropogenic disturbances, but as human activity intensified and became a global force, more attention was given to the effects of anthropogenic disturbances on ecosystems. Today, anthropogenic and non-anthropogenic disturbances and their interactions are increasingly affecting ecosystems, particularly those exposed to extreme disturbance events. Extreme disturbance events are complex and low probability events composed of several disturbance forces that individually and in synergy affect different sectors of ecosystems, including the conditions that drive ecesis. I review the literature on disturbance research including the effects of extreme disturbance events on social–ecological–technological systems (SETSs). A SETS is an ecosystem defined by the flow and accumulation of energy through the medium of organisms, constructed infrastructure, institutions, and their environment. Human intentions, values, and capacities are part of the functioning of SETS, and they can drive ecological processes as do non-anthropogenic forces. Moreover, human-directed activities after an extreme disturbance event affect whole landscapes. The passage of hurricane María over the Puerto Rico SETS established that extreme disturbance events are of such power and complexity that they can influence the level and kind of relationship between humans and the environment, including the structure and species composition of the ecological systems within SETS. However, extreme disturbance events such as hurricanes have not changed the successional trajectory originally impulsed by anthropogenic disturbances. Thus, the species composition and functioning of novel forests in Puerto Rico are tied to economic activity in the social and technological sectors of SETS. It is no longer possible to interpret ecosystem functioning without considering the …","author":[{"dropping-particle":"","family":"Lugo","given":"Ariel E.","non-dropping-particle":"","parse-names":false,"suffix":""}],"container-title":"Ecosystems","id":"ITEM-1","issued":{"date-parts":[["2020"]]},"page":"1-22","title":"Effects of Extreme Disturbance Events: From Ecesis to Social–Ecological–Technological Systems","type":"article-journal"},"uris":["http://www.mendeley.com/documents/?uuid=21adfef3-cb78-42fd-8e3e-759a261fc37a"]}],"mendeley":{"formattedCitation":"(Lugo, 2020)","plainTextFormattedCitation":"(Lugo, 2020)","previouslyFormattedCitation":"(Lugo, 2020)"},"properties":{"noteIndex":0},"schema":"https://github.com/citation-style-language/schema/raw/master/csl-citation.json"}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(Lugo, 2020)</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 xml:space="preserve">. However, the intensity and frequency of these hurricanes are shown to be changing due to climate change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 xml:space="preserve">ADDIN CSL_CITATION {"citationItems":[{"id":"ITEM-1","itemData":{"DOI":"10.1017/CBO9781107415324","ISBN":"9781107415324","abstract":"This latest Fifth Assessment Report of the Intergovernmental Panel on Climate Change (IPCC) will again form the standard scientific reference for all those concerned with climate change and its consequences, including students and researchers in environmental science, meteorology, climatology, biology, ecology and atmospheric chemistry. It provides invaluable material for decision makers and stakeholders: international, national, local; and in all branches: government, businesses, and NGOs. This volume provides: An authoritative and unbiased overview of the physical science basis of climate change • A more extensive assessment of changes observed throughout the climate system than ever before • New dedicated chapters on sea-level change, biogeochemical cycles, clouds and aerosols, and regional climate phenomena • A more extensive coverage of model projections, both near-term and long-term climate projections • A detailed assessment of climate change observations, modelling, and attribution for every continent • A new comprehensive atlas of global and regional climate projections for 35 regions of the world.","author":[{"dropping-particle":"","family":"Stocker","given":"Thomas F.","non-dropping-particle":"","parse-names":false,"suffix":""},{"dropping-particle":"","family":"Qin","given":"Dahe","non-dropping-particle":"","parse-names":false,"suffix":""},{"dropping-particle":"","family":"Plattner","given":"Gian Kasper","non-dropping-particle":"","parse-names":false,"suffix":""},{"dropping-particle":"","family":"Tignor","given":"Melinda M.B.","non-dropping-particle":"","parse-names":false,"suffix":""},{"dropping-particle":"","family":"Allen","given":"Simon K.","non-dropping-particle":"","parse-names":false,"suffix":""},{"dropping-particle":"","family":"Boschung","given":"Judith","non-dropping-particle":"","parse-names":false,"suffix":""},{"dropping-particle":"","family":"Nauels","given":"Alexander","non-dropping-particle":"","parse-names":false,"suffix":""},{"dropping-particle":"","family":"Xia","given":"Yu","non-dropping-particle":"","parse-names":false,"suffix":""},{"dropping-particle":"","family":"Bex","given":"Vincent","non-dropping-particle":"","parse-names":false,"suffix":""},{"dropping-particle":"","family":"Midgley","given":"Pauline M.","non-dropping-particle":"","parse-names":false,"suffix":""}],"container-title":"Climate Change 2013 the Physical Science Basis: Working Group I Contribution to the Fifth Assessment Report of the Intergovernmental Panel on Climate Change","id":"ITEM-1","issued":{"date-parts":[["2013"]]},"title":"Climate change 2013 the physical science basis: Working Group I contribution to the fifth assessment report of the intergovernmental panel on climate change","type":"book"},"uris":["http://www.mendeley.com/documents/?uuid=cdd12f64-1bda-4051-87ff-0dea0d7f67e7"]},{"id":"ITEM-2","itemData":{"DOI":"10.1073/pnas.1604386113","ISSN":"10916490","abstract":"Coastal flood hazard varies in response to changes in storm surge climatology and the sea level. Here we combine probabilistic projections of the sea level and storm surge climatology to estimate the temporal evolution of flood hazard. We find that New York City's flood hazard has increased significantly over the past two centuries and is very likely to increase more sharply over the 21st century. Due to the effect of sea level rise, the return period of Hurricane Sandy's flood height decreased by a factor of </w:instrText>
      </w:r>
      <w:r w:rsidR="00045A85" w:rsidRPr="00872293">
        <w:rPr>
          <w:rFonts w:ascii="Cambria Math" w:hAnsi="Cambria Math" w:cs="Cambria Math"/>
          <w:sz w:val="24"/>
          <w:szCs w:val="24"/>
        </w:rPr>
        <w:instrText>∼</w:instrText>
      </w:r>
      <w:r w:rsidR="00045A85" w:rsidRPr="00872293">
        <w:rPr>
          <w:rFonts w:ascii="Times New Roman" w:hAnsi="Times New Roman" w:cs="Times New Roman"/>
          <w:sz w:val="24"/>
          <w:szCs w:val="24"/>
        </w:rPr>
        <w:instrText xml:space="preserve">3× from year 1800 to 2000 and is estimated to decrease by a further </w:instrText>
      </w:r>
      <w:r w:rsidR="00045A85" w:rsidRPr="00872293">
        <w:rPr>
          <w:rFonts w:ascii="Cambria Math" w:hAnsi="Cambria Math" w:cs="Cambria Math"/>
          <w:sz w:val="24"/>
          <w:szCs w:val="24"/>
        </w:rPr>
        <w:instrText>∼</w:instrText>
      </w:r>
      <w:r w:rsidR="00045A85" w:rsidRPr="00872293">
        <w:rPr>
          <w:rFonts w:ascii="Times New Roman" w:hAnsi="Times New Roman" w:cs="Times New Roman"/>
          <w:sz w:val="24"/>
          <w:szCs w:val="24"/>
        </w:rPr>
        <w:instrText xml:space="preserve">4.4× from 2000 to 2100 under a moderate-emissions pathway. When potential storm climatology change over the 21st century is also accounted for, Sandy's return period is estimated to decrease by </w:instrText>
      </w:r>
      <w:r w:rsidR="00045A85" w:rsidRPr="00872293">
        <w:rPr>
          <w:rFonts w:ascii="Cambria Math" w:hAnsi="Cambria Math" w:cs="Cambria Math"/>
          <w:sz w:val="24"/>
          <w:szCs w:val="24"/>
        </w:rPr>
        <w:instrText>∼</w:instrText>
      </w:r>
      <w:r w:rsidR="00045A85" w:rsidRPr="00872293">
        <w:rPr>
          <w:rFonts w:ascii="Times New Roman" w:hAnsi="Times New Roman" w:cs="Times New Roman"/>
          <w:sz w:val="24"/>
          <w:szCs w:val="24"/>
        </w:rPr>
        <w:instrText>3× to 17× from 2000 to 2100.","author":[{"dropping-particle":"","family":"Lin","given":"Ning","non-dropping-particle":"","parse-names":false,"suffix":""},{"dropping-particle":"","family":"Kopp","given":"Robert E.","non-dropping-particle":"","parse-names":false,"suffix":""},{"dropping-particle":"","family":"Horton","given":"Benjamin P.","non-dropping-particle":"","parse-names":false,"suffix":""},{"dropping-particle":"","family":"Donnelly","given":"Jeffrey P.","non-dropping-particle":"","parse-names":false,"suffix":""}],"container-title":"Proceedings of the National Academy of Sciences of the United States of America","id":"ITEM-2","issue":"12071-12075","issued":{"date-parts":[["2016"]]},"title":"Hurricane Sandy's flood frequency increasing from year 1800 to 2100","type":"article-journal","volume":"113"},"uris":["http://www.mendeley.com/documents/?uuid=98f5d610-15bf-49f4-9f27-890f39a6b9ca"]}],"mendeley":{"formattedCitation":"(Stocker &lt;i&gt;et al.&lt;/i&gt;, 2013; Lin &lt;i&gt;et al.&lt;/i&gt;, 2016)","plainTextFormattedCitation":"(Stocker et al., 2013; Lin et al., 2016)","previouslyFormattedCitation":"(Stocker &lt;i&gt;et al.&lt;/i&gt;, 2013; Lin &lt;i&gt;et al.&lt;/i&gt;, 2016)"},"properties":{"noteIndex":0},"schema":"https://github.com/citation-style-language/schema/raw/master/csl-citation.json"}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 xml:space="preserve">(Stocker </w:t>
      </w:r>
      <w:r w:rsidR="00D64D1F" w:rsidRPr="00872293">
        <w:rPr>
          <w:rFonts w:ascii="Times New Roman" w:hAnsi="Times New Roman" w:cs="Times New Roman"/>
          <w:i/>
          <w:noProof/>
          <w:sz w:val="24"/>
          <w:szCs w:val="24"/>
        </w:rPr>
        <w:t>et al.</w:t>
      </w:r>
      <w:r w:rsidR="00D64D1F" w:rsidRPr="00872293">
        <w:rPr>
          <w:rFonts w:ascii="Times New Roman" w:hAnsi="Times New Roman" w:cs="Times New Roman"/>
          <w:noProof/>
          <w:sz w:val="24"/>
          <w:szCs w:val="24"/>
        </w:rPr>
        <w:t xml:space="preserve">, 2013; Lin </w:t>
      </w:r>
      <w:r w:rsidR="00D64D1F" w:rsidRPr="00872293">
        <w:rPr>
          <w:rFonts w:ascii="Times New Roman" w:hAnsi="Times New Roman" w:cs="Times New Roman"/>
          <w:i/>
          <w:noProof/>
          <w:sz w:val="24"/>
          <w:szCs w:val="24"/>
        </w:rPr>
        <w:t>et al.</w:t>
      </w:r>
      <w:r w:rsidR="00D64D1F" w:rsidRPr="00872293">
        <w:rPr>
          <w:rFonts w:ascii="Times New Roman" w:hAnsi="Times New Roman" w:cs="Times New Roman"/>
          <w:noProof/>
          <w:sz w:val="24"/>
          <w:szCs w:val="24"/>
        </w:rPr>
        <w:t>, 2016)</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 xml:space="preserve">. Without sufficient time to replenish plant energy reserves, ecosystem development could be affected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{"citationItems":[{"id":"ITEM-1","itemData":{"DOI":"10.1007/s10021-020-00491-x","ISSN":"14350629","abstract":"Ecologists addressed the effects of disturbances from the onset of the field by focusing on ecesis, which is the process by which organisms migrate and establish under the environmental conditions created by disturbances. Ecesis is the onset of succession, a self-organizing process whose nature, speed, and outcome depend in part on the outcomes of ecesis and the residual legacies remaining after disturbances. A by-product of succession after a disturbance is the reorganization of species dominance, or novelty. The degree of novelty in the outcome increases with the severity of the disturbance event. Initially, ecologists focused mostly on non-anthropogenic disturbances, but as human activity intensified and became a global force, more attention was given to the effects of anthropogenic disturbances on ecosystems. Today, anthropogenic and non-anthropogenic disturbances and their interactions are increasingly affecting ecosystems, particularly those exposed to extreme disturbance events. Extreme disturbance events are complex and low probability events composed of several disturbance forces that individually and in synergy affect different sectors of ecosystems, including the conditions that drive ecesis. I review the literature on disturbance research including the effects of extreme disturbance events on social–ecological–technological systems (SETSs). A SETS is an ecosystem defined by the flow and accumulation of energy through the medium of organisms, constructed infrastructure, institutions, and their environment. Human intentions, values, and capacities are part of the functioning of SETS, and they can drive ecological processes as do non-anthropogenic forces. Moreover, human-directed activities after an extreme disturbance event affect whole landscapes. The passage of hurricane María over the Puerto Rico SETS established that extreme disturbance events are of such power and complexity that they can influence the level and kind of relationship between humans and the environment, including the structure and species composition of the ecological systems within SETS. However, extreme disturbance events such as hurricanes have not changed the successional trajectory originally impulsed by anthropogenic disturbances. Thus, the species composition and functioning of novel forests in Puerto Rico are tied to economic activity in the social and technological sectors of SETS. It is no longer possible to interpret ecosystem functioning without considering the …","author":[{"dropping-particle":"","family":"Lugo","given":"Ariel E.","non-dropping-particle":"","parse-names":false,"suffix":""}],"container-title":"Ecosystems","id":"ITEM-1","issued":{"date-parts":[["2020"]]},"page":"1-22","title":"Effects of Extreme Disturbance Events: From Ecesis to Social–Ecological–Technological Systems","type":"article-journal"},"uris":["http://www.mendeley.com/documents/?uuid=21adfef3-cb78-42fd-8e3e-759a261fc37a"]}],"mendeley":{"formattedCitation":"(Lugo, 2020)","plainTextFormattedCitation":"(Lugo, 2020)","previouslyFormattedCitation":"(Lugo, 2020)"},"properties":{"noteIndex":0},"schema":"https://github.com/citation-style-language/schema/raw/master/csl-citation.json"}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(Lugo, 2020)</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 xml:space="preserve">. Further, the interaction of natural disturbances, such as hurricanes, and climate warming can alter thresholds of the ecosystem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{"citationItems":[{"id":"ITEM-1","itemData":{"DOI":"10.1016/j.tree.2018.04.013","ISSN":"01695347","abstract":"Abrupt ecological changes are, by definition, those that occur over short periods of time relative to typical rates of change for a given ecosystem. The potential for such changes is growing due to anthropogenic pressures, which challenges the resilience of societies and ecosystems. Abrupt ecological changes are difficult to diagnose because they can arise from a variety of circumstances, including rapid changes in external drivers (e.g., climate, or resource extraction), nonlinear responses to gradual changes in drivers, and interactions among multiple drivers and disturbances. We synthesize strategies for identifying causes of abrupt ecological change and highlight instances where abrupt changes are likely. Diagnosing abrupt changes and inferring causation are increasingly important as society seek to adapt to rapid, multifaceted environmental changes.","author":[{"dropping-particle":"","family":"Ratajczak","given":"Zak","non-dropping-particle":"","parse-names":false,"suffix":""},{"dropping-particle":"","family":"Carpenter","given":"Stephen R.","non-dropping-particle":"","parse-names":false,"suffix":""},{"dropping-particle":"","family":"Ives","given":"Anthony R.","non-dropping-particle":"","parse-names":false,"suffix":""},{"dropping-particle":"","family":"Kucharik","given":"Christopher J.","non-dropping-particle":"","parse-names":false,"suffix":""},{"dropping-particle":"","family":"Ramiadantsoa","given":"Tanjona","non-dropping-particle":"","parse-names":false,"suffix":""},{"dropping-particle":"","family":"Stegner","given":"M. Allison","non-dropping-particle":"","parse-names":false,"suffix":""},{"dropping-particle":"","family":"Williams","given":"John W.","non-dropping-particle":"","parse-names":false,"suffix":""},{"dropping-particle":"","family":"Zhang","given":"Jien","non-dropping-particle":"","parse-names":false,"suffix":""},{"dropping-particle":"","family":"Turner","given":"Monica G.","non-dropping-particle":"","parse-names":false,"suffix":""}],"container-title":"Trends in Ecology and Evolution","id":"ITEM-1","issue":"7","issued":{"date-parts":[["2018"]]},"page":"513-526","title":"Abrupt Change in Ecological Systems: Inference and Diagnosis","type":"article-journal","volume":"33"},"uris":["http://www.mendeley.com/documents/?uuid=60def925-7adf-4cd2-bfb7-0b2635936d43"]}],"mendeley":{"formattedCitation":"(Ratajczak &lt;i&gt;et al.&lt;/i&gt;, 2018)","manualFormatting":"(Ratajczak et al., 2018)","plainTextFormattedCitation":"(Ratajczak et al., 2018)","previouslyFormattedCitation":"(Ratajczak &lt;i&gt;et al.&lt;/i&gt;, 2018)"},"properties":{"noteIndex":0},"schema":"https://github.com/citation-style-language/schema/raw/master/csl-citation.json"}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Pr="00872293">
        <w:rPr>
          <w:rFonts w:ascii="Times New Roman" w:hAnsi="Times New Roman" w:cs="Times New Roman"/>
          <w:noProof/>
          <w:sz w:val="24"/>
          <w:szCs w:val="24"/>
        </w:rPr>
        <w:t xml:space="preserve">(Ratajczak </w:t>
      </w:r>
      <w:r w:rsidRPr="00872293">
        <w:rPr>
          <w:rFonts w:ascii="Times New Roman" w:hAnsi="Times New Roman" w:cs="Times New Roman"/>
          <w:i/>
          <w:noProof/>
          <w:sz w:val="24"/>
          <w:szCs w:val="24"/>
        </w:rPr>
        <w:t>et al.</w:t>
      </w:r>
      <w:r w:rsidRPr="00872293">
        <w:rPr>
          <w:rFonts w:ascii="Times New Roman" w:hAnsi="Times New Roman" w:cs="Times New Roman"/>
          <w:noProof/>
          <w:sz w:val="24"/>
          <w:szCs w:val="24"/>
        </w:rPr>
        <w:t>, 2018)</w:t>
      </w:r>
      <w:r w:rsidR="00CE76B7" w:rsidRPr="00872293">
        <w:rPr>
          <w:rFonts w:ascii="Times New Roman" w:hAnsi="Times New Roman" w:cs="Times New Roman"/>
          <w:sz w:val="24"/>
          <w:szCs w:val="24"/>
        </w:rPr>
        <w:fldChar w:fldCharType="end"/>
      </w:r>
      <w:r w:rsidRPr="00872293">
        <w:rPr>
          <w:rFonts w:ascii="Times New Roman" w:hAnsi="Times New Roman" w:cs="Times New Roman"/>
          <w:sz w:val="24"/>
          <w:szCs w:val="24"/>
        </w:rPr>
        <w:t>.</w:t>
      </w:r>
    </w:p>
    <w:p w14:paraId="5A6367B7" w14:textId="77777777" w:rsidR="007A1636" w:rsidRPr="00872293" w:rsidRDefault="007A1636" w:rsidP="00A3413E">
      <w:pPr>
        <w:pStyle w:val="CommentText"/>
        <w:spacing w:line="360" w:lineRule="auto"/>
        <w:rPr>
          <w:rFonts w:ascii="Times New Roman" w:hAnsi="Times New Roman" w:cs="Times New Roman"/>
          <w:sz w:val="24"/>
          <w:szCs w:val="24"/>
        </w:rPr>
      </w:pPr>
    </w:p>
    <w:p w14:paraId="328EB8F7" w14:textId="1B21163A" w:rsidR="00971D1B" w:rsidRPr="00872293" w:rsidRDefault="005D7167" w:rsidP="00A3413E">
      <w:pPr>
        <w:pStyle w:val="CommentText"/>
        <w:spacing w:line="360" w:lineRule="auto"/>
        <w:rPr>
          <w:rFonts w:ascii="Times New Roman" w:hAnsi="Times New Roman" w:cs="Times New Roman"/>
          <w:sz w:val="24"/>
          <w:szCs w:val="24"/>
        </w:rPr>
      </w:pPr>
      <w:r w:rsidRPr="00872293">
        <w:rPr>
          <w:rFonts w:ascii="Times New Roman" w:hAnsi="Times New Roman" w:cs="Times New Roman"/>
          <w:sz w:val="24"/>
          <w:szCs w:val="24"/>
        </w:rPr>
        <w:t>We found in this study that experimental warming reduced root production over time, decreasing root standing stock. The warming also had a legacy effect on root standing stock after the hurricane disturbance, when overall rot production increase</w:t>
      </w:r>
      <w:r w:rsidR="00B0629A" w:rsidRPr="00872293">
        <w:rPr>
          <w:rFonts w:ascii="Times New Roman" w:hAnsi="Times New Roman" w:cs="Times New Roman"/>
          <w:sz w:val="24"/>
          <w:szCs w:val="24"/>
        </w:rPr>
        <w:t>d</w:t>
      </w:r>
      <w:r w:rsidRPr="00872293">
        <w:rPr>
          <w:rFonts w:ascii="Times New Roman" w:hAnsi="Times New Roman" w:cs="Times New Roman"/>
          <w:sz w:val="24"/>
          <w:szCs w:val="24"/>
        </w:rPr>
        <w:t>, but</w:t>
      </w:r>
      <w:r w:rsidR="00B0629A" w:rsidRPr="00872293">
        <w:rPr>
          <w:rFonts w:ascii="Times New Roman" w:hAnsi="Times New Roman" w:cs="Times New Roman"/>
          <w:sz w:val="24"/>
          <w:szCs w:val="24"/>
        </w:rPr>
        <w:t xml:space="preserve"> it</w:t>
      </w:r>
      <w:r w:rsidRPr="00872293">
        <w:rPr>
          <w:rFonts w:ascii="Times New Roman" w:hAnsi="Times New Roman" w:cs="Times New Roman"/>
          <w:sz w:val="24"/>
          <w:szCs w:val="24"/>
        </w:rPr>
        <w:t xml:space="preserve"> increased less in previously warmed plots</w:t>
      </w:r>
      <w:r w:rsidR="00B0629A" w:rsidRPr="00872293">
        <w:rPr>
          <w:rFonts w:ascii="Times New Roman" w:hAnsi="Times New Roman" w:cs="Times New Roman"/>
          <w:sz w:val="24"/>
          <w:szCs w:val="24"/>
        </w:rPr>
        <w:t xml:space="preserve"> than control plots</w:t>
      </w:r>
      <w:r w:rsidRPr="00872293">
        <w:rPr>
          <w:rFonts w:ascii="Times New Roman" w:hAnsi="Times New Roman" w:cs="Times New Roman"/>
          <w:sz w:val="24"/>
          <w:szCs w:val="24"/>
        </w:rPr>
        <w:t>. R</w:t>
      </w:r>
      <w:r w:rsidR="00971D1B" w:rsidRPr="00872293">
        <w:rPr>
          <w:rFonts w:ascii="Times New Roman" w:hAnsi="Times New Roman" w:cs="Times New Roman"/>
          <w:sz w:val="24"/>
          <w:szCs w:val="24"/>
        </w:rPr>
        <w:t xml:space="preserve">esilience and recovery of root systems are essential in the aboveground recovery after a disturbance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{"citationItems":[{"id":"ITEM-1","itemData":{"DOI":"10.1038/s41467-019-09319-2","ISSN":"20411723","PMID":"30911008","abstract":"Tropical cyclones are expected to intensify under a warming climate, with uncertain effects on tropical forests. One key challenge to predicting how more intense storms will influence these ecosystems is to attribute impacts specifically to storm meteorology rather than differences in forest characteristics. Here we compare tree damage data collected in the same forest in Puerto Rico after Hurricanes Hugo (1989, category 3), Georges (1998, category 3), and María (2017, category 4). María killed twice as many trees as Hugo, and for all but two species, broke 2- to 12-fold more stems than the other two storms. Species with high density wood were resistant to uprooting, hurricane-induced mortality, and were protected from breakage during Hugo but not María. Tree inventories and a wind exposure model allow us to attribute these differences in impacts to storm meteorology. A better understanding of risk factors associated with tree species susceptibility to severe storms is key to predicting the future of forest ecosystems under climate warming.","author":[{"dropping-particle":"","family":"Uriarte","given":"María","non-dropping-particle":"","parse-names":false,"suffix":""},{"dropping-particle":"","family":"Thompson","given":"Jill","non-dropping-particle":"","parse-names":false,"suffix":""},{"dropping-particle":"","family":"Zimmerman","given":"Jess K.","non-dropping-particle":"","parse-names":false,"suffix":""}],"container-title":"Nature Communications","id":"ITEM-1","issued":{"date-parts":[["2019"]]},"title":"Hurricane María tripled stem breaks and doubled tree mortality relative to other major storms","type":"article-journal"},"uris":["http://www.mendeley.com/documents/?uuid=b378e10a-77d6-40dc-879d-7b4bab3f2a8a"]},{"id":"ITEM-2","itemData":{"DOI":"10.1007/s10021-009-9305-x","ISSN":"14329840","abstract":"To better understand how management and restoration practices influence the response of terrestrial ecosystems to large-scale disturbances, it is critical to study above- and belowground effects. In this study, we examined the immediate effect of a major hurricane on aboveground forest structure, arbuscular mycorrhizae (AM) and belowground carbon pools in experimentally thinned plots in a tropical forest. The hurricane occurred five years after a thinning treatment, when thinned plots had similar aboveground carbon stocks but different forest structure compared to control plots. Thinned plots had more large diameter (&gt;10 cm) trees compared to the control plots, which were characterized by a higher density of small diameter (&lt;10 cm) trees. Despite pre-hurricane differences in forest structure, there were no significant differences between treatments in changes of canopy openness or number of affected trees following the hurricane. Thinned plots had larger belowground carbon pools than the controls plots before the hurricane, and these differences remained after the hurricane despite rapid decomposition of organic matter rich in nitrogen. There were no pre-hurricane differences in AM fungal spores or total AM root colonization. The hurricane reduced AM sporulation by nearly 50% in both treatments, yet we observed a significant increase in AM root colonization after the hurricane with greater AM colonization in the thinned plots. Hurricanes have well-known visible aboveground effects, but here we showed that less visible belowground effects are influenced by forest management and may play an important role in forest recovery. © 2009 The Author(s).","author":[{"dropping-particle":"","family":"Vargas","given":"Rodrigo","non-dropping-particle":"","parse-names":false,"suffix":""},{"dropping-particle":"","family":"Hasselquist","given":"Niles","non-dropping-particle":"","parse-names":false,"suffix":""},{"dropping-particle":"","family":"Allen","given":"Edith B.","non-dropping-particle":"","parse-names":false,"suffix":""},{"dropping-particle":"","family":"Allen","given":"Michael F.","non-dropping-particle":"","parse-names":false,"suffix":""}],"container-title":"Ecosystems","id":"ITEM-2","issued":{"date-parts":[["2010"]]},"page":"118-128","title":"Effects of a hurricane disturbance on aboveground forest structure, arbuscular mycorrhizae and belowground carbon in a restored tropical forest","type":"article-journal","volume":"13"},"uris":["http://www.mendeley.com/documents/?uuid=f938fb2d-078b-4de6-865f-f5e9ab479045"]}],"mendeley":{"formattedCitation":"(Vargas &lt;i&gt;et al.&lt;/i&gt;, 2010; Uriarte &lt;i&gt;et al.&lt;/i&gt;, 2019b)","plainTextFormattedCitation":"(Vargas et al., 2010; Uriarte et al., 2019b)","previouslyFormattedCitation":"(Vargas &lt;i&gt;et al.&lt;/i&gt;, 2010; Uriarte &lt;i&gt;et al.&lt;/i&gt;, 2019b)"},"properties":{"noteIndex":0},"schema":"https://github.com/citation-style-language/schema/raw/master/csl-citation.json"}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 xml:space="preserve">(Vargas </w:t>
      </w:r>
      <w:r w:rsidR="00D64D1F" w:rsidRPr="00872293">
        <w:rPr>
          <w:rFonts w:ascii="Times New Roman" w:hAnsi="Times New Roman" w:cs="Times New Roman"/>
          <w:i/>
          <w:noProof/>
          <w:sz w:val="24"/>
          <w:szCs w:val="24"/>
        </w:rPr>
        <w:t>et al.</w:t>
      </w:r>
      <w:r w:rsidR="00D64D1F" w:rsidRPr="00872293">
        <w:rPr>
          <w:rFonts w:ascii="Times New Roman" w:hAnsi="Times New Roman" w:cs="Times New Roman"/>
          <w:noProof/>
          <w:sz w:val="24"/>
          <w:szCs w:val="24"/>
        </w:rPr>
        <w:t xml:space="preserve">, 2010; Uriarte </w:t>
      </w:r>
      <w:r w:rsidR="00D64D1F" w:rsidRPr="00872293">
        <w:rPr>
          <w:rFonts w:ascii="Times New Roman" w:hAnsi="Times New Roman" w:cs="Times New Roman"/>
          <w:i/>
          <w:noProof/>
          <w:sz w:val="24"/>
          <w:szCs w:val="24"/>
        </w:rPr>
        <w:t>et al.</w:t>
      </w:r>
      <w:r w:rsidR="00D64D1F" w:rsidRPr="00872293">
        <w:rPr>
          <w:rFonts w:ascii="Times New Roman" w:hAnsi="Times New Roman" w:cs="Times New Roman"/>
          <w:noProof/>
          <w:sz w:val="24"/>
          <w:szCs w:val="24"/>
        </w:rPr>
        <w:t>, 2019b)</w:t>
      </w:r>
      <w:r w:rsidR="00CE76B7" w:rsidRPr="00872293">
        <w:rPr>
          <w:rFonts w:ascii="Times New Roman" w:hAnsi="Times New Roman" w:cs="Times New Roman"/>
          <w:sz w:val="24"/>
          <w:szCs w:val="24"/>
        </w:rPr>
        <w:fldChar w:fldCharType="end"/>
      </w:r>
      <w:r w:rsidR="00971D1B" w:rsidRPr="00872293">
        <w:rPr>
          <w:rFonts w:ascii="Times New Roman" w:hAnsi="Times New Roman" w:cs="Times New Roman"/>
          <w:sz w:val="24"/>
          <w:szCs w:val="24"/>
        </w:rPr>
        <w:t xml:space="preserve">. Root system responses can also affect the residence time of carbon in the soils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{"citationItems":[{"id":"ITEM-1","itemData":{"DOI":"10.1098/rstb.2011.0244","ISSN":"14712970","abstract":"The soil holds twice as much carbon as does the atmosphere, and most soil carbon is derived from recent photosynthesis that takes carbon into root structures and further into below-ground storage via exudates therefrom. Nonetheless, many natural and most agricultural crops have roots that extend only to about 1 m below ground. What determines the lifetime of below-ground C in various forms is not well understood, and understanding these processes is therefore key to optimising them for enhanced C sequestration. Most soils (and especially subsoils) are very far from being saturated with organic carbon, and calculations show that the amounts of C that might further be sequestered (http://dbkgroup.org/carbonsequestration/rootsystem.html) are actually very great. Breeding crops with desirable below-ground C sequestration traits, and exploiting attendant agronomic practices optimised for individual species in their relevant environments, are therefore important goals. These bring additional benefits related to improvements in soil structure and in the usage of other nutrients and water. © 2012 The Royal Society.","author":[{"dropping-particle":"","family":"Kell","given":"Douglas B.","non-dropping-particle":"","parse-names":false,"suffix":""}],"container-title":"Philosophical Transactions of the Royal Society B: Biological Sciences","id":"ITEM-1","issued":{"date-parts":[["2012"]]},"page":"1589-1597","title":"Large-scale sequestration of atmospheric carbon via plant roots in natural and agricultural ecosystems: Why and how","type":"article-journal","volume":"367"},"uris":["http://www.mendeley.com/documents/?uuid=1b758971-3175-43fd-8f68-b30efc4a3807"]}],"mendeley":{"formattedCitation":"(Kell, 2012)","plainTextFormattedCitation":"(Kell, 2012)","previouslyFormattedCitation":"(Kell, 2012)"},"properties":{"noteIndex":0},"schema":"https://github.com/citation-style-language/schema/raw/master/csl-citation.json"}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(Kell, 2012)</w:t>
      </w:r>
      <w:r w:rsidR="00CE76B7" w:rsidRPr="00872293">
        <w:rPr>
          <w:rFonts w:ascii="Times New Roman" w:hAnsi="Times New Roman" w:cs="Times New Roman"/>
          <w:sz w:val="24"/>
          <w:szCs w:val="24"/>
        </w:rPr>
        <w:fldChar w:fldCharType="end"/>
      </w:r>
      <w:r w:rsidR="00971D1B" w:rsidRPr="00872293">
        <w:rPr>
          <w:rFonts w:ascii="Times New Roman" w:hAnsi="Times New Roman" w:cs="Times New Roman"/>
          <w:sz w:val="24"/>
          <w:szCs w:val="24"/>
        </w:rPr>
        <w:t xml:space="preserve">; and soil stability </w:t>
      </w:r>
      <w:r w:rsidR="00CE76B7" w:rsidRPr="00872293">
        <w:rPr>
          <w:rFonts w:ascii="Times New Roman" w:hAnsi="Times New Roman" w:cs="Times New Roman"/>
          <w:sz w:val="24"/>
          <w:szCs w:val="24"/>
        </w:rPr>
        <w:fldChar w:fldCharType="begin" w:fldLock="1"/>
      </w:r>
      <w:r w:rsidR="00045A85" w:rsidRPr="00872293">
        <w:rPr>
          <w:rFonts w:ascii="Times New Roman" w:hAnsi="Times New Roman" w:cs="Times New Roman"/>
          <w:sz w:val="24"/>
          <w:szCs w:val="24"/>
        </w:rPr>
        <w:instrText>ADDIN CSL_CITATION {"citationItems":[{"id":"ITEM-1","itemData":{"DOI":"10.1191/0309133305pp443ra","ISSN":"03091333","abstract":"Vegetation controls soil erosion rates significantly. The decrease of water erosion rates with increasing vegetation cover is exponential. This review reveals that the decrease in water erosion rates with increasing root mass is also exponential, according to the equation SEP = e-bRP where SEP is a soil erosion parameter (e.g., interrill or rill erosion rates relative to erosion rates of bare topsoils without roots), RP is a root parameter (e.g., root density or root length density) and b is a constant that indicates the effectiveness of the plant roots in reducing soil erosion rates. Whatever rooting parameter is used, for splash erosion b equals zero. For interrill erosion the average b-value is 0.1195 when root density (kg m-3) is used as root parameter, and 0.0022 when root length density (km m-3) is used. For rill erosion these average b-values are 0.5930 and 0.0460, respectively. The similarity of this equation for root effects with the equation for vegetation cover effects is striking, but it is yet impossible to determine which plant element has the highest impact in reducing soil losses, due to incomparable units. Moreover, all the studies on vegetation cover effects attribute soil loss reduction to the above-ground biomass only, whereas in reality this reduction results from the combined effects of roots and canopy cover. Based on an analysis of available data it can be concluded that for splash and interrill erosion vegetation cover is the most important vegetation parameter, whereas for rill and ephemeral gully erosion plant roots are at least as important as vegetation cover. © 2005 Edward Arnold (Publishers) Ltd.","author":[{"dropping-particle":"","family":"Gyssels","given":"G.","non-dropping-particle":"","parse-names":false,"suffix":""},{"dropping-particle":"","family":"Poesen","given":"J.","non-dropping-particle":"","parse-names":false,"suffix":""},{"dropping-particle":"","family":"Bochet","given":"E.","non-dropping-particle":"","parse-names":false,"suffix":""},{"dropping-particle":"","family":"Li","given":"Y.","non-dropping-particle":"","parse-names":false,"suffix":""}],"container-title":"Progress in Physical Geography","id":"ITEM-1","issue":"2","issued":{"date-parts":[["2005"]]},"page":"189-217","title":"Impact of plant roots on the resistance of soils to erosion by water: A review","type":"article-journal","volume":"29"},"uris":["http://www.mendeley.com/documents/?uuid=65c4cf9d-d0b5-4ebd-846b-516c96bd3126"]}],"mendeley":{"formattedCitation":"(Gyssels &lt;i&gt;et al.&lt;/i&gt;, 2005)","plainTextFormattedCitation":"(Gyssels et al., 2005)","previouslyFormattedCitation":"(Gyssels &lt;i&gt;et al.&lt;/i&gt;, 2005)"},"properties":{"noteIndex":0},"schema":"https://github.com/citation-style-language/schema/raw/master/csl-citation.json"}</w:instrText>
      </w:r>
      <w:r w:rsidR="00CE76B7" w:rsidRPr="00872293">
        <w:rPr>
          <w:rFonts w:ascii="Times New Roman" w:hAnsi="Times New Roman" w:cs="Times New Roman"/>
          <w:sz w:val="24"/>
          <w:szCs w:val="24"/>
        </w:rPr>
        <w:fldChar w:fldCharType="separate"/>
      </w:r>
      <w:r w:rsidR="00D64D1F" w:rsidRPr="00872293">
        <w:rPr>
          <w:rFonts w:ascii="Times New Roman" w:hAnsi="Times New Roman" w:cs="Times New Roman"/>
          <w:noProof/>
          <w:sz w:val="24"/>
          <w:szCs w:val="24"/>
        </w:rPr>
        <w:t xml:space="preserve">(Gyssels </w:t>
      </w:r>
      <w:r w:rsidR="00D64D1F" w:rsidRPr="00872293">
        <w:rPr>
          <w:rFonts w:ascii="Times New Roman" w:hAnsi="Times New Roman" w:cs="Times New Roman"/>
          <w:i/>
          <w:noProof/>
          <w:sz w:val="24"/>
          <w:szCs w:val="24"/>
        </w:rPr>
        <w:t>et al.</w:t>
      </w:r>
      <w:r w:rsidR="00D64D1F" w:rsidRPr="00872293">
        <w:rPr>
          <w:rFonts w:ascii="Times New Roman" w:hAnsi="Times New Roman" w:cs="Times New Roman"/>
          <w:noProof/>
          <w:sz w:val="24"/>
          <w:szCs w:val="24"/>
        </w:rPr>
        <w:t>, 2005)</w:t>
      </w:r>
      <w:r w:rsidR="00CE76B7" w:rsidRPr="00872293">
        <w:rPr>
          <w:rFonts w:ascii="Times New Roman" w:hAnsi="Times New Roman" w:cs="Times New Roman"/>
          <w:sz w:val="24"/>
          <w:szCs w:val="24"/>
        </w:rPr>
        <w:fldChar w:fldCharType="end"/>
      </w:r>
      <w:r w:rsidR="00971D1B" w:rsidRPr="00872293">
        <w:rPr>
          <w:rFonts w:ascii="Times New Roman" w:hAnsi="Times New Roman" w:cs="Times New Roman"/>
          <w:sz w:val="24"/>
          <w:szCs w:val="24"/>
        </w:rPr>
        <w:t xml:space="preserve">, with additional implications for the forest community, the C cycling, and the human society. Our study showed that warming can negatively affect the belowground plant component in a tropical forest </w:t>
      </w:r>
      <w:r w:rsidR="00971D1B" w:rsidRPr="00872293">
        <w:rPr>
          <w:rFonts w:ascii="Times New Roman" w:hAnsi="Times New Roman" w:cs="Times New Roman"/>
          <w:sz w:val="24"/>
          <w:szCs w:val="24"/>
          <w:shd w:val="clear" w:color="auto" w:fill="FFFFFF"/>
        </w:rPr>
        <w:t>and the effects of warming can further reduce the trajectory of recovery from hurricane disturbance</w:t>
      </w:r>
      <w:r w:rsidR="00971D1B" w:rsidRPr="00872293">
        <w:rPr>
          <w:rFonts w:ascii="Times New Roman" w:hAnsi="Times New Roman" w:cs="Times New Roman"/>
          <w:sz w:val="24"/>
          <w:szCs w:val="24"/>
        </w:rPr>
        <w:t>. Inferring causation will help us anticipate future and multiple disturbances. The study presented here provides valuable empirical data that can be used to model future scenarios and help elucidate the key variables interacting on the belowground ecosystem.</w:t>
      </w:r>
    </w:p>
    <w:p w14:paraId="0540E1FC" w14:textId="49F49266" w:rsidR="00515DA0" w:rsidRPr="00872293" w:rsidRDefault="00B10745" w:rsidP="00B10745">
      <w:pPr>
        <w:rPr>
          <w:rFonts w:ascii="Times New Roman" w:hAnsi="Times New Roman" w:cs="Times New Roman"/>
        </w:rPr>
      </w:pPr>
      <w:r w:rsidRPr="00872293">
        <w:rPr>
          <w:rFonts w:ascii="Times New Roman" w:hAnsi="Times New Roman" w:cs="Times New Roman"/>
        </w:rPr>
        <w:br w:type="page"/>
      </w:r>
    </w:p>
    <w:p w14:paraId="1C7CB6E3" w14:textId="5BED215A" w:rsidR="00F26E87" w:rsidRPr="00872293" w:rsidRDefault="00AC4A8E" w:rsidP="006C0265">
      <w:pPr>
        <w:pStyle w:val="Heading2"/>
        <w:spacing w:before="0" w:after="0" w:line="360" w:lineRule="auto"/>
        <w:rPr>
          <w:rFonts w:cs="Times New Roman"/>
        </w:rPr>
      </w:pPr>
      <w:bookmarkStart w:id="103" w:name="_Toc53689091"/>
      <w:bookmarkEnd w:id="68"/>
      <w:r w:rsidRPr="00872293">
        <w:rPr>
          <w:rFonts w:cs="Times New Roman"/>
        </w:rPr>
        <w:lastRenderedPageBreak/>
        <w:t>R</w:t>
      </w:r>
      <w:r w:rsidR="00D86F8C" w:rsidRPr="00872293">
        <w:rPr>
          <w:rFonts w:cs="Times New Roman"/>
        </w:rPr>
        <w:t>eferences</w:t>
      </w:r>
      <w:bookmarkEnd w:id="103"/>
    </w:p>
    <w:bookmarkStart w:id="104" w:name="_Hlk47091480"/>
    <w:p w14:paraId="63D457E8" w14:textId="77777777" w:rsidR="00C31F1B" w:rsidRPr="00872293" w:rsidRDefault="00C31F1B" w:rsidP="00737CC4">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 xml:space="preserve">ADDIN Mendeley Bibliography CSL_BIBLIOGRAPHY </w:instrText>
      </w:r>
      <w:r w:rsidRPr="00872293">
        <w:rPr>
          <w:rFonts w:ascii="Times New Roman" w:eastAsia="Times New Roman" w:hAnsi="Times New Roman" w:cs="Times New Roman"/>
        </w:rPr>
        <w:fldChar w:fldCharType="separate"/>
      </w:r>
      <w:r w:rsidRPr="00872293">
        <w:rPr>
          <w:rFonts w:ascii="Times New Roman" w:hAnsi="Times New Roman" w:cs="Times New Roman"/>
          <w:b/>
          <w:bCs/>
          <w:noProof/>
        </w:rPr>
        <w:t>Aber JD, Melillo JM, Nadelhoffer KJ, McClaugherty CA, Pastor J</w:t>
      </w:r>
      <w:r w:rsidRPr="00872293">
        <w:rPr>
          <w:rFonts w:ascii="Times New Roman" w:hAnsi="Times New Roman" w:cs="Times New Roman"/>
          <w:noProof/>
        </w:rPr>
        <w:t xml:space="preserve">. </w:t>
      </w:r>
      <w:r w:rsidRPr="00872293">
        <w:rPr>
          <w:rFonts w:ascii="Times New Roman" w:hAnsi="Times New Roman" w:cs="Times New Roman"/>
          <w:b/>
          <w:bCs/>
          <w:noProof/>
        </w:rPr>
        <w:t>1985</w:t>
      </w:r>
      <w:r w:rsidRPr="00872293">
        <w:rPr>
          <w:rFonts w:ascii="Times New Roman" w:hAnsi="Times New Roman" w:cs="Times New Roman"/>
          <w:noProof/>
        </w:rPr>
        <w:t xml:space="preserve">. Fine root turnover in forest ecosystems in relation to quantity and form of nitrogen availability: a comparison of two methods.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66</w:t>
      </w:r>
      <w:r w:rsidRPr="00872293">
        <w:rPr>
          <w:rFonts w:ascii="Times New Roman" w:hAnsi="Times New Roman" w:cs="Times New Roman"/>
          <w:noProof/>
        </w:rPr>
        <w:t>: 317–321.</w:t>
      </w:r>
    </w:p>
    <w:p w14:paraId="643D5BCF" w14:textId="77777777" w:rsidR="00C31F1B" w:rsidRPr="00872293" w:rsidRDefault="00C31F1B" w:rsidP="00737CC4">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Aerts R, Bakker C, De Caluwe H</w:t>
      </w:r>
      <w:r w:rsidRPr="00872293">
        <w:rPr>
          <w:rFonts w:ascii="Times New Roman" w:hAnsi="Times New Roman" w:cs="Times New Roman"/>
          <w:noProof/>
        </w:rPr>
        <w:t xml:space="preserve">. </w:t>
      </w:r>
      <w:r w:rsidRPr="00872293">
        <w:rPr>
          <w:rFonts w:ascii="Times New Roman" w:hAnsi="Times New Roman" w:cs="Times New Roman"/>
          <w:b/>
          <w:bCs/>
          <w:noProof/>
        </w:rPr>
        <w:t>1992a</w:t>
      </w:r>
      <w:r w:rsidRPr="00872293">
        <w:rPr>
          <w:rFonts w:ascii="Times New Roman" w:hAnsi="Times New Roman" w:cs="Times New Roman"/>
          <w:noProof/>
        </w:rPr>
        <w:t xml:space="preserve">. Root turnover as determinant of the cycling of C, N, and P in a dry heathland ecosystem. </w:t>
      </w:r>
      <w:r w:rsidRPr="00872293">
        <w:rPr>
          <w:rFonts w:ascii="Times New Roman" w:hAnsi="Times New Roman" w:cs="Times New Roman"/>
          <w:i/>
          <w:iCs/>
          <w:noProof/>
        </w:rPr>
        <w:t>Biogeochemistry</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175–190.</w:t>
      </w:r>
    </w:p>
    <w:p w14:paraId="20F8100F"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Aerts R, Bakker C, De Caluwe H</w:t>
      </w:r>
      <w:r w:rsidRPr="00872293">
        <w:rPr>
          <w:rFonts w:ascii="Times New Roman" w:hAnsi="Times New Roman" w:cs="Times New Roman"/>
          <w:noProof/>
        </w:rPr>
        <w:t xml:space="preserve">. </w:t>
      </w:r>
      <w:r w:rsidRPr="00872293">
        <w:rPr>
          <w:rFonts w:ascii="Times New Roman" w:hAnsi="Times New Roman" w:cs="Times New Roman"/>
          <w:b/>
          <w:bCs/>
          <w:noProof/>
        </w:rPr>
        <w:t>1992b</w:t>
      </w:r>
      <w:r w:rsidRPr="00872293">
        <w:rPr>
          <w:rFonts w:ascii="Times New Roman" w:hAnsi="Times New Roman" w:cs="Times New Roman"/>
          <w:noProof/>
        </w:rPr>
        <w:t xml:space="preserve">. Root turnover as determinant of the cycling of C, N, and P in a dry heathland ecosystem. </w:t>
      </w:r>
      <w:r w:rsidRPr="00872293">
        <w:rPr>
          <w:rFonts w:ascii="Times New Roman" w:hAnsi="Times New Roman" w:cs="Times New Roman"/>
          <w:i/>
          <w:iCs/>
          <w:noProof/>
        </w:rPr>
        <w:t>Biogeochemistry</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175–190.</w:t>
      </w:r>
    </w:p>
    <w:p w14:paraId="678CCC97"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Anderson LJ, Comas LH, Lakso AN, Eissenstat DM</w:t>
      </w:r>
      <w:r w:rsidRPr="00872293">
        <w:rPr>
          <w:rFonts w:ascii="Times New Roman" w:hAnsi="Times New Roman" w:cs="Times New Roman"/>
          <w:noProof/>
        </w:rPr>
        <w:t xml:space="preserve">. </w:t>
      </w:r>
      <w:r w:rsidRPr="00872293">
        <w:rPr>
          <w:rFonts w:ascii="Times New Roman" w:hAnsi="Times New Roman" w:cs="Times New Roman"/>
          <w:b/>
          <w:bCs/>
          <w:noProof/>
        </w:rPr>
        <w:t>2003</w:t>
      </w:r>
      <w:r w:rsidRPr="00872293">
        <w:rPr>
          <w:rFonts w:ascii="Times New Roman" w:hAnsi="Times New Roman" w:cs="Times New Roman"/>
          <w:noProof/>
        </w:rPr>
        <w:t xml:space="preserve">. Multiple risk factors in root survivorship: A 4-year study in Concord grape.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158</w:t>
      </w:r>
      <w:r w:rsidRPr="00872293">
        <w:rPr>
          <w:rFonts w:ascii="Times New Roman" w:hAnsi="Times New Roman" w:cs="Times New Roman"/>
          <w:noProof/>
        </w:rPr>
        <w:t>: 489–501.</w:t>
      </w:r>
    </w:p>
    <w:p w14:paraId="1F919F17"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Apple ME, Olszyk DM, Ormrod DP, Lewis J, Southworth D, Tingey DT</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Morphology and stomatal function of Douglas fir needles exposed to climate change: Elevated CO2 and temperature. </w:t>
      </w:r>
      <w:r w:rsidRPr="00872293">
        <w:rPr>
          <w:rFonts w:ascii="Times New Roman" w:hAnsi="Times New Roman" w:cs="Times New Roman"/>
          <w:i/>
          <w:iCs/>
          <w:noProof/>
        </w:rPr>
        <w:t>International Journal of Plant Sciences</w:t>
      </w:r>
      <w:r w:rsidRPr="00872293">
        <w:rPr>
          <w:rFonts w:ascii="Times New Roman" w:hAnsi="Times New Roman" w:cs="Times New Roman"/>
          <w:noProof/>
        </w:rPr>
        <w:t xml:space="preserve"> </w:t>
      </w:r>
      <w:r w:rsidRPr="00872293">
        <w:rPr>
          <w:rFonts w:ascii="Times New Roman" w:hAnsi="Times New Roman" w:cs="Times New Roman"/>
          <w:b/>
          <w:bCs/>
          <w:noProof/>
        </w:rPr>
        <w:t>161</w:t>
      </w:r>
      <w:r w:rsidRPr="00872293">
        <w:rPr>
          <w:rFonts w:ascii="Times New Roman" w:hAnsi="Times New Roman" w:cs="Times New Roman"/>
          <w:noProof/>
        </w:rPr>
        <w:t>: 127–132.</w:t>
      </w:r>
    </w:p>
    <w:p w14:paraId="3090EDD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Arndal MF, Schmidt IK, Kongstad J, Beier C, Michelsen A</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Root growth and N dynamics in response to multi-year experimental warming, summer drought and elevated CO2 in a mixed heathland-grass ecosystem. </w:t>
      </w:r>
      <w:r w:rsidRPr="00872293">
        <w:rPr>
          <w:rFonts w:ascii="Times New Roman" w:hAnsi="Times New Roman" w:cs="Times New Roman"/>
          <w:i/>
          <w:iCs/>
          <w:noProof/>
        </w:rPr>
        <w:t>Functional Plant Biology</w:t>
      </w:r>
      <w:r w:rsidRPr="00872293">
        <w:rPr>
          <w:rFonts w:ascii="Times New Roman" w:hAnsi="Times New Roman" w:cs="Times New Roman"/>
          <w:noProof/>
        </w:rPr>
        <w:t xml:space="preserve"> </w:t>
      </w:r>
      <w:r w:rsidRPr="00872293">
        <w:rPr>
          <w:rFonts w:ascii="Times New Roman" w:hAnsi="Times New Roman" w:cs="Times New Roman"/>
          <w:b/>
          <w:bCs/>
          <w:noProof/>
        </w:rPr>
        <w:t>41</w:t>
      </w:r>
      <w:r w:rsidRPr="00872293">
        <w:rPr>
          <w:rFonts w:ascii="Times New Roman" w:hAnsi="Times New Roman" w:cs="Times New Roman"/>
          <w:noProof/>
        </w:rPr>
        <w:t>: 1–10.</w:t>
      </w:r>
    </w:p>
    <w:p w14:paraId="43019C6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Atkin OK, Edwards EJ, Loveys BR</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Response of root respiration to changes in temperature and its relevance to global.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141–154.</w:t>
      </w:r>
    </w:p>
    <w:p w14:paraId="2FD953C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Bachelot B, Alonso-Rodríguez AM, Aldrich-Wolfe L, Cavaleri MA, Reed SC, Wood TE</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Altered climate leads to positive density-dependent feedbacks in a tropical wet forest.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26</w:t>
      </w:r>
      <w:r w:rsidRPr="00872293">
        <w:rPr>
          <w:rFonts w:ascii="Times New Roman" w:hAnsi="Times New Roman" w:cs="Times New Roman"/>
          <w:noProof/>
        </w:rPr>
        <w:t>: 3417–3428.</w:t>
      </w:r>
    </w:p>
    <w:p w14:paraId="3F702D5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Balser TC, Wixon DL</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Investigating biological control over soil carbon temperature sensitivity.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2935–2949.</w:t>
      </w:r>
    </w:p>
    <w:p w14:paraId="4D88755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Barnosky AD, Hadly EA, Bascompte J, Berlow EL, Brown JH, Fortelius M, Getz WM, Harte J, Hastings A, Marquet PA,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Approaching a state shift in Earth’s biosphere. </w:t>
      </w:r>
      <w:r w:rsidRPr="00872293">
        <w:rPr>
          <w:rFonts w:ascii="Times New Roman" w:hAnsi="Times New Roman" w:cs="Times New Roman"/>
          <w:i/>
          <w:iCs/>
          <w:noProof/>
        </w:rPr>
        <w:lastRenderedPageBreak/>
        <w:t>Nature</w:t>
      </w:r>
      <w:r w:rsidRPr="00872293">
        <w:rPr>
          <w:rFonts w:ascii="Times New Roman" w:hAnsi="Times New Roman" w:cs="Times New Roman"/>
          <w:noProof/>
        </w:rPr>
        <w:t xml:space="preserve"> </w:t>
      </w:r>
      <w:r w:rsidRPr="00872293">
        <w:rPr>
          <w:rFonts w:ascii="Times New Roman" w:hAnsi="Times New Roman" w:cs="Times New Roman"/>
          <w:b/>
          <w:bCs/>
          <w:noProof/>
        </w:rPr>
        <w:t>486</w:t>
      </w:r>
      <w:r w:rsidRPr="00872293">
        <w:rPr>
          <w:rFonts w:ascii="Times New Roman" w:hAnsi="Times New Roman" w:cs="Times New Roman"/>
          <w:noProof/>
        </w:rPr>
        <w:t>: 52–58.</w:t>
      </w:r>
    </w:p>
    <w:p w14:paraId="070970E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Basnet K, Likens GE, Scatena FN, Lugo AE</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Hurricane Hugo: Damage to a tropical rain forest in Puerto Rico. </w:t>
      </w:r>
      <w:r w:rsidRPr="00872293">
        <w:rPr>
          <w:rFonts w:ascii="Times New Roman" w:hAnsi="Times New Roman" w:cs="Times New Roman"/>
          <w:i/>
          <w:iCs/>
          <w:noProof/>
        </w:rPr>
        <w:t>Journal of Tropical Ecology</w:t>
      </w:r>
      <w:r w:rsidRPr="00872293">
        <w:rPr>
          <w:rFonts w:ascii="Times New Roman" w:hAnsi="Times New Roman" w:cs="Times New Roman"/>
          <w:noProof/>
        </w:rPr>
        <w:t>: 45–55.</w:t>
      </w:r>
    </w:p>
    <w:p w14:paraId="103E1F6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Bates D, Mächler M, Bolker BM, Walker SC</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Fitting linear mixed-effects models using lme4. </w:t>
      </w:r>
      <w:r w:rsidRPr="00872293">
        <w:rPr>
          <w:rFonts w:ascii="Times New Roman" w:hAnsi="Times New Roman" w:cs="Times New Roman"/>
          <w:i/>
          <w:iCs/>
          <w:noProof/>
        </w:rPr>
        <w:t>Journal of Statistical Software</w:t>
      </w:r>
      <w:r w:rsidRPr="00872293">
        <w:rPr>
          <w:rFonts w:ascii="Times New Roman" w:hAnsi="Times New Roman" w:cs="Times New Roman"/>
          <w:noProof/>
        </w:rPr>
        <w:t>.</w:t>
      </w:r>
    </w:p>
    <w:p w14:paraId="3A4743B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Beard KH, Vogt KA, Vogt DJ, Scatena FN, Covich AP, Sigurdardottir R, Siccama TG, Crowl TA</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Structural and functional responses of a subtropical forest to 10 years of hurricanes and droughts. </w:t>
      </w:r>
      <w:r w:rsidRPr="00872293">
        <w:rPr>
          <w:rFonts w:ascii="Times New Roman" w:hAnsi="Times New Roman" w:cs="Times New Roman"/>
          <w:i/>
          <w:iCs/>
          <w:noProof/>
        </w:rPr>
        <w:t>Ecological Monographs</w:t>
      </w:r>
      <w:r w:rsidRPr="00872293">
        <w:rPr>
          <w:rFonts w:ascii="Times New Roman" w:hAnsi="Times New Roman" w:cs="Times New Roman"/>
          <w:noProof/>
        </w:rPr>
        <w:t xml:space="preserve"> </w:t>
      </w:r>
      <w:r w:rsidRPr="00872293">
        <w:rPr>
          <w:rFonts w:ascii="Times New Roman" w:hAnsi="Times New Roman" w:cs="Times New Roman"/>
          <w:b/>
          <w:bCs/>
          <w:noProof/>
        </w:rPr>
        <w:t>75</w:t>
      </w:r>
      <w:r w:rsidRPr="00872293">
        <w:rPr>
          <w:rFonts w:ascii="Times New Roman" w:hAnsi="Times New Roman" w:cs="Times New Roman"/>
          <w:noProof/>
        </w:rPr>
        <w:t>: 345–361.</w:t>
      </w:r>
    </w:p>
    <w:p w14:paraId="5AFE0ED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Beer C, Reichstein M, Tomelleri E, Ciais P, Jung M, Carvalhais N, Rödenbeck C, Arain MA, Baldocchi D, Bonan GB,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Terrestrial gross carbon dioxide uptake: Global distribution and covariation with climate.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329</w:t>
      </w:r>
      <w:r w:rsidRPr="00872293">
        <w:rPr>
          <w:rFonts w:ascii="Times New Roman" w:hAnsi="Times New Roman" w:cs="Times New Roman"/>
          <w:noProof/>
        </w:rPr>
        <w:t>: 834–838.</w:t>
      </w:r>
    </w:p>
    <w:p w14:paraId="5F8C0088"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Berish CW</w:t>
      </w:r>
      <w:r w:rsidRPr="00872293">
        <w:rPr>
          <w:rFonts w:ascii="Times New Roman" w:hAnsi="Times New Roman" w:cs="Times New Roman"/>
          <w:noProof/>
        </w:rPr>
        <w:t xml:space="preserve">. </w:t>
      </w:r>
      <w:r w:rsidRPr="00872293">
        <w:rPr>
          <w:rFonts w:ascii="Times New Roman" w:hAnsi="Times New Roman" w:cs="Times New Roman"/>
          <w:b/>
          <w:bCs/>
          <w:noProof/>
        </w:rPr>
        <w:t>1982</w:t>
      </w:r>
      <w:r w:rsidRPr="00872293">
        <w:rPr>
          <w:rFonts w:ascii="Times New Roman" w:hAnsi="Times New Roman" w:cs="Times New Roman"/>
          <w:noProof/>
        </w:rPr>
        <w:t xml:space="preserve">. Root biomass and surface area in three successional tropical forests. </w:t>
      </w:r>
      <w:r w:rsidRPr="00872293">
        <w:rPr>
          <w:rFonts w:ascii="Times New Roman" w:hAnsi="Times New Roman" w:cs="Times New Roman"/>
          <w:i/>
          <w:iCs/>
          <w:noProof/>
        </w:rPr>
        <w:t>Canadian Journal of Forest Research</w:t>
      </w:r>
      <w:r w:rsidRPr="00872293">
        <w:rPr>
          <w:rFonts w:ascii="Times New Roman" w:hAnsi="Times New Roman" w:cs="Times New Roman"/>
          <w:noProof/>
        </w:rPr>
        <w:t xml:space="preserve"> </w:t>
      </w:r>
      <w:r w:rsidRPr="00872293">
        <w:rPr>
          <w:rFonts w:ascii="Times New Roman" w:hAnsi="Times New Roman" w:cs="Times New Roman"/>
          <w:b/>
          <w:bCs/>
          <w:noProof/>
        </w:rPr>
        <w:t>12</w:t>
      </w:r>
      <w:r w:rsidRPr="00872293">
        <w:rPr>
          <w:rFonts w:ascii="Times New Roman" w:hAnsi="Times New Roman" w:cs="Times New Roman"/>
          <w:noProof/>
        </w:rPr>
        <w:t>: 699–704.</w:t>
      </w:r>
    </w:p>
    <w:p w14:paraId="18FD449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Van Beusekom AE, Álvarez-Berríos NL, Gould WA, Quiñones M, González G</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Hurricane Maria in the U.S. Caribbean: Disturbance forces, variation of effects, and implications for future storms. </w:t>
      </w:r>
      <w:r w:rsidRPr="00872293">
        <w:rPr>
          <w:rFonts w:ascii="Times New Roman" w:hAnsi="Times New Roman" w:cs="Times New Roman"/>
          <w:i/>
          <w:iCs/>
          <w:noProof/>
        </w:rPr>
        <w:t>Remote Sensing</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1386.</w:t>
      </w:r>
    </w:p>
    <w:p w14:paraId="473E016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Björk RG, Majdi H, Klemedtsson L, Lewis-Jonsson L, Molau U</w:t>
      </w:r>
      <w:r w:rsidRPr="00872293">
        <w:rPr>
          <w:rFonts w:ascii="Times New Roman" w:hAnsi="Times New Roman" w:cs="Times New Roman"/>
          <w:noProof/>
        </w:rPr>
        <w:t xml:space="preserve">. </w:t>
      </w:r>
      <w:r w:rsidRPr="00872293">
        <w:rPr>
          <w:rFonts w:ascii="Times New Roman" w:hAnsi="Times New Roman" w:cs="Times New Roman"/>
          <w:b/>
          <w:bCs/>
          <w:noProof/>
        </w:rPr>
        <w:t>2007</w:t>
      </w:r>
      <w:r w:rsidRPr="00872293">
        <w:rPr>
          <w:rFonts w:ascii="Times New Roman" w:hAnsi="Times New Roman" w:cs="Times New Roman"/>
          <w:noProof/>
        </w:rPr>
        <w:t xml:space="preserve">. Long-term warming effects on root morphology, root mass distribution, and microbial activity in two dry tundra plant communities in northern Sweden.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176</w:t>
      </w:r>
      <w:r w:rsidRPr="00872293">
        <w:rPr>
          <w:rFonts w:ascii="Times New Roman" w:hAnsi="Times New Roman" w:cs="Times New Roman"/>
          <w:noProof/>
        </w:rPr>
        <w:t>: 862–873.</w:t>
      </w:r>
    </w:p>
    <w:p w14:paraId="30C848A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Brown S, Lugo AE, Silander S, Liegel L</w:t>
      </w:r>
      <w:r w:rsidRPr="00872293">
        <w:rPr>
          <w:rFonts w:ascii="Times New Roman" w:hAnsi="Times New Roman" w:cs="Times New Roman"/>
          <w:noProof/>
        </w:rPr>
        <w:t xml:space="preserve">. </w:t>
      </w:r>
      <w:r w:rsidRPr="00872293">
        <w:rPr>
          <w:rFonts w:ascii="Times New Roman" w:hAnsi="Times New Roman" w:cs="Times New Roman"/>
          <w:b/>
          <w:bCs/>
          <w:noProof/>
        </w:rPr>
        <w:t>1983</w:t>
      </w:r>
      <w:r w:rsidRPr="00872293">
        <w:rPr>
          <w:rFonts w:ascii="Times New Roman" w:hAnsi="Times New Roman" w:cs="Times New Roman"/>
          <w:noProof/>
        </w:rPr>
        <w:t xml:space="preserve">. </w:t>
      </w:r>
      <w:r w:rsidRPr="00872293">
        <w:rPr>
          <w:rFonts w:ascii="Times New Roman" w:hAnsi="Times New Roman" w:cs="Times New Roman"/>
          <w:i/>
          <w:iCs/>
          <w:noProof/>
        </w:rPr>
        <w:t>Research History and Opportunities in the Luquillo Experimental Forest</w:t>
      </w:r>
      <w:r w:rsidRPr="00872293">
        <w:rPr>
          <w:rFonts w:ascii="Times New Roman" w:hAnsi="Times New Roman" w:cs="Times New Roman"/>
          <w:noProof/>
        </w:rPr>
        <w:t>.</w:t>
      </w:r>
    </w:p>
    <w:p w14:paraId="0E98C52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Burnham KP, Anderson DR</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Multimodel inference: Understanding AIC and BIC in model selection. </w:t>
      </w:r>
      <w:r w:rsidRPr="00872293">
        <w:rPr>
          <w:rFonts w:ascii="Times New Roman" w:hAnsi="Times New Roman" w:cs="Times New Roman"/>
          <w:i/>
          <w:iCs/>
          <w:noProof/>
        </w:rPr>
        <w:t>Sociological Methods and Research</w:t>
      </w:r>
      <w:r w:rsidRPr="00872293">
        <w:rPr>
          <w:rFonts w:ascii="Times New Roman" w:hAnsi="Times New Roman" w:cs="Times New Roman"/>
          <w:noProof/>
        </w:rPr>
        <w:t xml:space="preserve"> </w:t>
      </w:r>
      <w:r w:rsidRPr="00872293">
        <w:rPr>
          <w:rFonts w:ascii="Times New Roman" w:hAnsi="Times New Roman" w:cs="Times New Roman"/>
          <w:b/>
          <w:bCs/>
          <w:noProof/>
        </w:rPr>
        <w:t>33</w:t>
      </w:r>
      <w:r w:rsidRPr="00872293">
        <w:rPr>
          <w:rFonts w:ascii="Times New Roman" w:hAnsi="Times New Roman" w:cs="Times New Roman"/>
          <w:noProof/>
        </w:rPr>
        <w:t>: 261–304.</w:t>
      </w:r>
    </w:p>
    <w:p w14:paraId="15D12F4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Burton AJ, Pregitzer KS</w:t>
      </w:r>
      <w:r w:rsidRPr="00872293">
        <w:rPr>
          <w:rFonts w:ascii="Times New Roman" w:hAnsi="Times New Roman" w:cs="Times New Roman"/>
          <w:noProof/>
        </w:rPr>
        <w:t xml:space="preserve">. </w:t>
      </w:r>
      <w:r w:rsidRPr="00872293">
        <w:rPr>
          <w:rFonts w:ascii="Times New Roman" w:hAnsi="Times New Roman" w:cs="Times New Roman"/>
          <w:b/>
          <w:bCs/>
          <w:noProof/>
        </w:rPr>
        <w:t>2003</w:t>
      </w:r>
      <w:r w:rsidRPr="00872293">
        <w:rPr>
          <w:rFonts w:ascii="Times New Roman" w:hAnsi="Times New Roman" w:cs="Times New Roman"/>
          <w:noProof/>
        </w:rPr>
        <w:t xml:space="preserve">. Field measurements of root respiration indicate little to no seasonal temperature acclimation for sugar maple and red pine. </w:t>
      </w:r>
      <w:r w:rsidRPr="00872293">
        <w:rPr>
          <w:rFonts w:ascii="Times New Roman" w:hAnsi="Times New Roman" w:cs="Times New Roman"/>
          <w:i/>
          <w:iCs/>
          <w:noProof/>
        </w:rPr>
        <w:t>Tree Physiology</w:t>
      </w:r>
      <w:r w:rsidRPr="00872293">
        <w:rPr>
          <w:rFonts w:ascii="Times New Roman" w:hAnsi="Times New Roman" w:cs="Times New Roman"/>
          <w:noProof/>
        </w:rPr>
        <w:t xml:space="preserve"> </w:t>
      </w:r>
      <w:r w:rsidRPr="00872293">
        <w:rPr>
          <w:rFonts w:ascii="Times New Roman" w:hAnsi="Times New Roman" w:cs="Times New Roman"/>
          <w:b/>
          <w:bCs/>
          <w:noProof/>
        </w:rPr>
        <w:t>23</w:t>
      </w:r>
      <w:r w:rsidRPr="00872293">
        <w:rPr>
          <w:rFonts w:ascii="Times New Roman" w:hAnsi="Times New Roman" w:cs="Times New Roman"/>
          <w:noProof/>
        </w:rPr>
        <w:t>: 273–280.</w:t>
      </w:r>
    </w:p>
    <w:p w14:paraId="150EBDA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Carter KR, Wood TE, Reed SC, Schwartz EC, Reinsel MB, Yang X, Cavaleri MA</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Photosynthetic and Respiratory Acclimation of Understory Shrubs in Response to in situ Experimental Warming of a Wet Tropical Forest. </w:t>
      </w:r>
      <w:r w:rsidRPr="00872293">
        <w:rPr>
          <w:rFonts w:ascii="Times New Roman" w:hAnsi="Times New Roman" w:cs="Times New Roman"/>
          <w:i/>
          <w:iCs/>
          <w:noProof/>
        </w:rPr>
        <w:t>Frontiers in Forests and Global Change</w:t>
      </w:r>
      <w:r w:rsidRPr="00872293">
        <w:rPr>
          <w:rFonts w:ascii="Times New Roman" w:hAnsi="Times New Roman" w:cs="Times New Roman"/>
          <w:noProof/>
        </w:rPr>
        <w:t>.</w:t>
      </w:r>
    </w:p>
    <w:p w14:paraId="718DD4B4" w14:textId="5EF89C0F"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Cavaleri MA, Reed SC, Smith WK, Wood TE</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Urgent need for warming experiments in tropical forests.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21</w:t>
      </w:r>
      <w:r w:rsidRPr="00872293">
        <w:rPr>
          <w:rFonts w:ascii="Times New Roman" w:hAnsi="Times New Roman" w:cs="Times New Roman"/>
          <w:noProof/>
        </w:rPr>
        <w:t>: 2111–2121.</w:t>
      </w:r>
    </w:p>
    <w:p w14:paraId="0D338777" w14:textId="5758DF12" w:rsidR="00974FBD" w:rsidRPr="00872293" w:rsidRDefault="00974FBD" w:rsidP="00C31F1B">
      <w:pPr>
        <w:widowControl w:val="0"/>
        <w:autoSpaceDE w:val="0"/>
        <w:autoSpaceDN w:val="0"/>
        <w:adjustRightInd w:val="0"/>
        <w:spacing w:before="240" w:line="360" w:lineRule="auto"/>
        <w:rPr>
          <w:rFonts w:ascii="Times New Roman" w:hAnsi="Times New Roman" w:cs="Times New Roman"/>
          <w:b/>
          <w:bCs/>
          <w:noProof/>
        </w:rPr>
      </w:pPr>
      <w:r w:rsidRPr="00872293">
        <w:rPr>
          <w:rFonts w:ascii="Times New Roman" w:hAnsi="Times New Roman" w:cs="Times New Roman"/>
          <w:b/>
          <w:bCs/>
        </w:rPr>
        <w:t>Chambers JM, Freeny AE, Heiberger RM</w:t>
      </w:r>
      <w:r w:rsidRPr="00872293">
        <w:rPr>
          <w:rFonts w:ascii="Times New Roman" w:hAnsi="Times New Roman" w:cs="Times New Roman"/>
        </w:rPr>
        <w:t xml:space="preserve">. </w:t>
      </w:r>
      <w:r w:rsidRPr="00872293">
        <w:rPr>
          <w:rFonts w:ascii="Times New Roman" w:hAnsi="Times New Roman" w:cs="Times New Roman"/>
          <w:b/>
          <w:bCs/>
        </w:rPr>
        <w:t>2017</w:t>
      </w:r>
      <w:r w:rsidRPr="00872293">
        <w:rPr>
          <w:rFonts w:ascii="Times New Roman" w:hAnsi="Times New Roman" w:cs="Times New Roman"/>
        </w:rPr>
        <w:t>. Analysis of variance; designed experiments. In: Statistical Models in S.</w:t>
      </w:r>
    </w:p>
    <w:p w14:paraId="6925E9F6" w14:textId="400EA743"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Comas LH, Eissenstat DM</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Patterns in root trait variation among 25 co-existing North American forest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182</w:t>
      </w:r>
      <w:r w:rsidRPr="00872293">
        <w:rPr>
          <w:rFonts w:ascii="Times New Roman" w:hAnsi="Times New Roman" w:cs="Times New Roman"/>
          <w:noProof/>
        </w:rPr>
        <w:t>: 919–928.</w:t>
      </w:r>
    </w:p>
    <w:p w14:paraId="6E8D63D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Cook BD, Corp LA, Nelson RF, Middleton EM, Morton DC, McCorkel JT, Masek JG, Ranson KJ, Ly V, Montesano PM</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NASA goddard’s LiDAR, hyperspectral and thermal (G-LiHT) airborne imager. </w:t>
      </w:r>
      <w:r w:rsidRPr="00872293">
        <w:rPr>
          <w:rFonts w:ascii="Times New Roman" w:hAnsi="Times New Roman" w:cs="Times New Roman"/>
          <w:i/>
          <w:iCs/>
          <w:noProof/>
        </w:rPr>
        <w:t>Remote Sensing</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4045–4066.</w:t>
      </w:r>
    </w:p>
    <w:p w14:paraId="413C61B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Cordeiro AL, Norby RJ, Andersen KM, Valverde‐Barrantes O, Fuchslueger L, Oblitas E, Hartley IP, Iversen CM, Gonçalves NB, Takeshi 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Fine‐root dynamics vary with soil depth and precipitation in a low‐nutrient tropical forest in the Central Amazonia. </w:t>
      </w:r>
      <w:r w:rsidRPr="00872293">
        <w:rPr>
          <w:rFonts w:ascii="Times New Roman" w:hAnsi="Times New Roman" w:cs="Times New Roman"/>
          <w:i/>
          <w:iCs/>
          <w:noProof/>
        </w:rPr>
        <w:t>Plant-Environment Interactions</w:t>
      </w:r>
      <w:r w:rsidRPr="00872293">
        <w:rPr>
          <w:rFonts w:ascii="Times New Roman" w:hAnsi="Times New Roman" w:cs="Times New Roman"/>
          <w:noProof/>
        </w:rPr>
        <w:t>.</w:t>
      </w:r>
    </w:p>
    <w:p w14:paraId="447E445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Cuevas E, Brown S, Lugo AE</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Above- and belowground organic matter storage and production in a tropical pine plantation and a paired broadleaf secondary forest.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135</w:t>
      </w:r>
      <w:r w:rsidRPr="00872293">
        <w:rPr>
          <w:rFonts w:ascii="Times New Roman" w:hAnsi="Times New Roman" w:cs="Times New Roman"/>
          <w:noProof/>
        </w:rPr>
        <w:t>: 257–268.</w:t>
      </w:r>
    </w:p>
    <w:p w14:paraId="3B10655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Dukes JS, Chiariello NR, Cleland EE, Moore LA, Rebecca Shaw M, Thayer S, Tobeck T, Mooney HA, Field CB</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Responses of grassland production to single and multiple global environmental changes. </w:t>
      </w:r>
      <w:r w:rsidRPr="00872293">
        <w:rPr>
          <w:rFonts w:ascii="Times New Roman" w:hAnsi="Times New Roman" w:cs="Times New Roman"/>
          <w:i/>
          <w:iCs/>
          <w:noProof/>
        </w:rPr>
        <w:t>PLoS Biology</w:t>
      </w:r>
      <w:r w:rsidRPr="00872293">
        <w:rPr>
          <w:rFonts w:ascii="Times New Roman" w:hAnsi="Times New Roman" w:cs="Times New Roman"/>
          <w:noProof/>
        </w:rPr>
        <w:t xml:space="preserve"> </w:t>
      </w:r>
      <w:r w:rsidRPr="00872293">
        <w:rPr>
          <w:rFonts w:ascii="Times New Roman" w:hAnsi="Times New Roman" w:cs="Times New Roman"/>
          <w:b/>
          <w:bCs/>
          <w:noProof/>
        </w:rPr>
        <w:t>3</w:t>
      </w:r>
      <w:r w:rsidRPr="00872293">
        <w:rPr>
          <w:rFonts w:ascii="Times New Roman" w:hAnsi="Times New Roman" w:cs="Times New Roman"/>
          <w:noProof/>
        </w:rPr>
        <w:t>: 319.</w:t>
      </w:r>
    </w:p>
    <w:p w14:paraId="7F0BB89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Ewel JJ, Whitmore JL</w:t>
      </w:r>
      <w:r w:rsidRPr="00872293">
        <w:rPr>
          <w:rFonts w:ascii="Times New Roman" w:hAnsi="Times New Roman" w:cs="Times New Roman"/>
          <w:noProof/>
        </w:rPr>
        <w:t xml:space="preserve">. </w:t>
      </w:r>
      <w:r w:rsidRPr="00872293">
        <w:rPr>
          <w:rFonts w:ascii="Times New Roman" w:hAnsi="Times New Roman" w:cs="Times New Roman"/>
          <w:b/>
          <w:bCs/>
          <w:noProof/>
        </w:rPr>
        <w:t>1973</w:t>
      </w:r>
      <w:r w:rsidRPr="00872293">
        <w:rPr>
          <w:rFonts w:ascii="Times New Roman" w:hAnsi="Times New Roman" w:cs="Times New Roman"/>
          <w:noProof/>
        </w:rPr>
        <w:t xml:space="preserve">. The ecological life zones of Puerto Rico and the U.S.Virgin Islands. </w:t>
      </w:r>
      <w:r w:rsidRPr="00872293">
        <w:rPr>
          <w:rFonts w:ascii="Times New Roman" w:hAnsi="Times New Roman" w:cs="Times New Roman"/>
          <w:i/>
          <w:iCs/>
          <w:noProof/>
        </w:rPr>
        <w:t>Forest Service Research</w:t>
      </w:r>
      <w:r w:rsidRPr="00872293">
        <w:rPr>
          <w:rFonts w:ascii="Times New Roman" w:hAnsi="Times New Roman" w:cs="Times New Roman"/>
          <w:noProof/>
        </w:rPr>
        <w:t>.</w:t>
      </w:r>
    </w:p>
    <w:p w14:paraId="7FB5E68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lang w:val="pt-BR"/>
        </w:rPr>
      </w:pPr>
      <w:r w:rsidRPr="00872293">
        <w:rPr>
          <w:rFonts w:ascii="Times New Roman" w:hAnsi="Times New Roman" w:cs="Times New Roman"/>
          <w:b/>
          <w:bCs/>
          <w:noProof/>
        </w:rPr>
        <w:t>Fitter AH, Self GK, Brown TK, Bogie DS, Graves JD, Benham D, Ineson P</w:t>
      </w:r>
      <w:r w:rsidRPr="00872293">
        <w:rPr>
          <w:rFonts w:ascii="Times New Roman" w:hAnsi="Times New Roman" w:cs="Times New Roman"/>
          <w:noProof/>
        </w:rPr>
        <w:t xml:space="preserve">. </w:t>
      </w:r>
      <w:r w:rsidRPr="00872293">
        <w:rPr>
          <w:rFonts w:ascii="Times New Roman" w:hAnsi="Times New Roman" w:cs="Times New Roman"/>
          <w:b/>
          <w:bCs/>
          <w:noProof/>
        </w:rPr>
        <w:t>1999</w:t>
      </w:r>
      <w:r w:rsidRPr="00872293">
        <w:rPr>
          <w:rFonts w:ascii="Times New Roman" w:hAnsi="Times New Roman" w:cs="Times New Roman"/>
          <w:noProof/>
        </w:rPr>
        <w:t xml:space="preserve">. Root production and turnover in an upland grassland subjected to artificial soil warming respond to </w:t>
      </w:r>
      <w:r w:rsidRPr="00872293">
        <w:rPr>
          <w:rFonts w:ascii="Times New Roman" w:hAnsi="Times New Roman" w:cs="Times New Roman"/>
          <w:noProof/>
        </w:rPr>
        <w:lastRenderedPageBreak/>
        <w:t xml:space="preserve">radiation flux and nutrients, not temperature. </w:t>
      </w:r>
      <w:r w:rsidRPr="00872293">
        <w:rPr>
          <w:rFonts w:ascii="Times New Roman" w:hAnsi="Times New Roman" w:cs="Times New Roman"/>
          <w:i/>
          <w:iCs/>
          <w:noProof/>
          <w:lang w:val="pt-BR"/>
        </w:rPr>
        <w:t>Oecologia</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120</w:t>
      </w:r>
      <w:r w:rsidRPr="00872293">
        <w:rPr>
          <w:rFonts w:ascii="Times New Roman" w:hAnsi="Times New Roman" w:cs="Times New Roman"/>
          <w:noProof/>
          <w:lang w:val="pt-BR"/>
        </w:rPr>
        <w:t>: 575–581.</w:t>
      </w:r>
    </w:p>
    <w:p w14:paraId="0059A92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lang w:val="pt-BR"/>
        </w:rPr>
        <w:t>Foley JA, Costa MH, Delire C, Ramankutty N, Snyder P</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2003</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Green Surprise? How Terrestrial Ecosystems Could Affect Earth’s Climate. </w:t>
      </w:r>
      <w:r w:rsidRPr="00872293">
        <w:rPr>
          <w:rFonts w:ascii="Times New Roman" w:hAnsi="Times New Roman" w:cs="Times New Roman"/>
          <w:i/>
          <w:iCs/>
          <w:noProof/>
        </w:rPr>
        <w:t>Frontiers in Ecology and the Environment</w:t>
      </w:r>
      <w:r w:rsidRPr="00872293">
        <w:rPr>
          <w:rFonts w:ascii="Times New Roman" w:hAnsi="Times New Roman" w:cs="Times New Roman"/>
          <w:noProof/>
        </w:rPr>
        <w:t xml:space="preserve"> </w:t>
      </w:r>
      <w:r w:rsidRPr="00872293">
        <w:rPr>
          <w:rFonts w:ascii="Times New Roman" w:hAnsi="Times New Roman" w:cs="Times New Roman"/>
          <w:b/>
          <w:bCs/>
          <w:noProof/>
        </w:rPr>
        <w:t>1</w:t>
      </w:r>
      <w:r w:rsidRPr="00872293">
        <w:rPr>
          <w:rFonts w:ascii="Times New Roman" w:hAnsi="Times New Roman" w:cs="Times New Roman"/>
          <w:noProof/>
        </w:rPr>
        <w:t>: 38–44.</w:t>
      </w:r>
    </w:p>
    <w:p w14:paraId="0ABBFEF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Forbes PJ, Black KE, Hooker JE</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Temperature-induced alteration to root longevity in Lolium perenne.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190</w:t>
      </w:r>
      <w:r w:rsidRPr="00872293">
        <w:rPr>
          <w:rFonts w:ascii="Times New Roman" w:hAnsi="Times New Roman" w:cs="Times New Roman"/>
          <w:noProof/>
        </w:rPr>
        <w:t>: 87–90.</w:t>
      </w:r>
    </w:p>
    <w:p w14:paraId="6931E90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Foster DR, Boose ER</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Patterns of forest damage resulting from catastrophic wind in central New England, USA.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80</w:t>
      </w:r>
      <w:r w:rsidRPr="00872293">
        <w:rPr>
          <w:rFonts w:ascii="Times New Roman" w:hAnsi="Times New Roman" w:cs="Times New Roman"/>
          <w:noProof/>
        </w:rPr>
        <w:t>: 79–98.</w:t>
      </w:r>
    </w:p>
    <w:p w14:paraId="3AC4C35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Frangi JL, Lugo AE</w:t>
      </w:r>
      <w:r w:rsidRPr="00872293">
        <w:rPr>
          <w:rFonts w:ascii="Times New Roman" w:hAnsi="Times New Roman" w:cs="Times New Roman"/>
          <w:noProof/>
        </w:rPr>
        <w:t xml:space="preserve">. </w:t>
      </w:r>
      <w:r w:rsidRPr="00872293">
        <w:rPr>
          <w:rFonts w:ascii="Times New Roman" w:hAnsi="Times New Roman" w:cs="Times New Roman"/>
          <w:b/>
          <w:bCs/>
          <w:noProof/>
        </w:rPr>
        <w:t>1985</w:t>
      </w:r>
      <w:r w:rsidRPr="00872293">
        <w:rPr>
          <w:rFonts w:ascii="Times New Roman" w:hAnsi="Times New Roman" w:cs="Times New Roman"/>
          <w:noProof/>
        </w:rPr>
        <w:t xml:space="preserve">. Ecosystem Dynamics of a Subtropical Floodplain Forest ECOSYSTEM DYNAMICS OF A SUBTROPICAL FLOODPLAIN FOREST’. </w:t>
      </w:r>
      <w:r w:rsidRPr="00872293">
        <w:rPr>
          <w:rFonts w:ascii="Times New Roman" w:hAnsi="Times New Roman" w:cs="Times New Roman"/>
          <w:i/>
          <w:iCs/>
          <w:noProof/>
        </w:rPr>
        <w:t>Source: Ecological Monographs Ecological Monographs</w:t>
      </w:r>
      <w:r w:rsidRPr="00872293">
        <w:rPr>
          <w:rFonts w:ascii="Times New Roman" w:hAnsi="Times New Roman" w:cs="Times New Roman"/>
          <w:noProof/>
        </w:rPr>
        <w:t xml:space="preserve"> </w:t>
      </w:r>
      <w:r w:rsidRPr="00872293">
        <w:rPr>
          <w:rFonts w:ascii="Times New Roman" w:hAnsi="Times New Roman" w:cs="Times New Roman"/>
          <w:b/>
          <w:bCs/>
          <w:noProof/>
        </w:rPr>
        <w:t>55</w:t>
      </w:r>
      <w:r w:rsidRPr="00872293">
        <w:rPr>
          <w:rFonts w:ascii="Times New Roman" w:hAnsi="Times New Roman" w:cs="Times New Roman"/>
          <w:noProof/>
        </w:rPr>
        <w:t>: 351–369.</w:t>
      </w:r>
    </w:p>
    <w:p w14:paraId="2985BD9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Gale MR, Grigal DF</w:t>
      </w:r>
      <w:r w:rsidRPr="00872293">
        <w:rPr>
          <w:rFonts w:ascii="Times New Roman" w:hAnsi="Times New Roman" w:cs="Times New Roman"/>
          <w:noProof/>
        </w:rPr>
        <w:t xml:space="preserve">. </w:t>
      </w:r>
      <w:r w:rsidRPr="00872293">
        <w:rPr>
          <w:rFonts w:ascii="Times New Roman" w:hAnsi="Times New Roman" w:cs="Times New Roman"/>
          <w:b/>
          <w:bCs/>
          <w:noProof/>
        </w:rPr>
        <w:t>1987</w:t>
      </w:r>
      <w:r w:rsidRPr="00872293">
        <w:rPr>
          <w:rFonts w:ascii="Times New Roman" w:hAnsi="Times New Roman" w:cs="Times New Roman"/>
          <w:noProof/>
        </w:rPr>
        <w:t xml:space="preserve">. Vertical root distributions of northern tree species in relation to successional status. </w:t>
      </w:r>
      <w:r w:rsidRPr="00872293">
        <w:rPr>
          <w:rFonts w:ascii="Times New Roman" w:hAnsi="Times New Roman" w:cs="Times New Roman"/>
          <w:i/>
          <w:iCs/>
          <w:noProof/>
        </w:rPr>
        <w:t>Canadian Journal of Forest Research</w:t>
      </w:r>
      <w:r w:rsidRPr="00872293">
        <w:rPr>
          <w:rFonts w:ascii="Times New Roman" w:hAnsi="Times New Roman" w:cs="Times New Roman"/>
          <w:noProof/>
        </w:rPr>
        <w:t>.</w:t>
      </w:r>
    </w:p>
    <w:p w14:paraId="0AC60D9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Garcia-Martino AR, Warner GS, Scatena FN, Civico D</w:t>
      </w:r>
      <w:r w:rsidRPr="00872293">
        <w:rPr>
          <w:rFonts w:ascii="Times New Roman" w:hAnsi="Times New Roman" w:cs="Times New Roman"/>
          <w:noProof/>
        </w:rPr>
        <w:t xml:space="preserve">. </w:t>
      </w:r>
      <w:r w:rsidRPr="00872293">
        <w:rPr>
          <w:rFonts w:ascii="Times New Roman" w:hAnsi="Times New Roman" w:cs="Times New Roman"/>
          <w:b/>
          <w:bCs/>
          <w:noProof/>
        </w:rPr>
        <w:t>1996</w:t>
      </w:r>
      <w:r w:rsidRPr="00872293">
        <w:rPr>
          <w:rFonts w:ascii="Times New Roman" w:hAnsi="Times New Roman" w:cs="Times New Roman"/>
          <w:noProof/>
        </w:rPr>
        <w:t xml:space="preserve">. Rainfall, Runoff and Elevation Relationships in the Luquillo Mountains of Puerto Rico*. </w:t>
      </w:r>
      <w:r w:rsidRPr="00872293">
        <w:rPr>
          <w:rFonts w:ascii="Times New Roman" w:hAnsi="Times New Roman" w:cs="Times New Roman"/>
          <w:i/>
          <w:iCs/>
          <w:noProof/>
        </w:rPr>
        <w:t>Caribbean Journal of Science</w:t>
      </w:r>
      <w:r w:rsidRPr="00872293">
        <w:rPr>
          <w:rFonts w:ascii="Times New Roman" w:hAnsi="Times New Roman" w:cs="Times New Roman"/>
          <w:noProof/>
        </w:rPr>
        <w:t xml:space="preserve"> </w:t>
      </w:r>
      <w:r w:rsidRPr="00872293">
        <w:rPr>
          <w:rFonts w:ascii="Times New Roman" w:hAnsi="Times New Roman" w:cs="Times New Roman"/>
          <w:b/>
          <w:bCs/>
          <w:noProof/>
        </w:rPr>
        <w:t>32</w:t>
      </w:r>
      <w:r w:rsidRPr="00872293">
        <w:rPr>
          <w:rFonts w:ascii="Times New Roman" w:hAnsi="Times New Roman" w:cs="Times New Roman"/>
          <w:noProof/>
        </w:rPr>
        <w:t>: 41–24.</w:t>
      </w:r>
    </w:p>
    <w:p w14:paraId="6B03156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Gyssels G, Poesen J, Bochet E, Li Y</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Impact of plant roots on the resistance of soils to erosion by water: A review. </w:t>
      </w:r>
      <w:r w:rsidRPr="00872293">
        <w:rPr>
          <w:rFonts w:ascii="Times New Roman" w:hAnsi="Times New Roman" w:cs="Times New Roman"/>
          <w:i/>
          <w:iCs/>
          <w:noProof/>
        </w:rPr>
        <w:t>Progress in Physical Geography</w:t>
      </w:r>
      <w:r w:rsidRPr="00872293">
        <w:rPr>
          <w:rFonts w:ascii="Times New Roman" w:hAnsi="Times New Roman" w:cs="Times New Roman"/>
          <w:noProof/>
        </w:rPr>
        <w:t xml:space="preserve"> </w:t>
      </w:r>
      <w:r w:rsidRPr="00872293">
        <w:rPr>
          <w:rFonts w:ascii="Times New Roman" w:hAnsi="Times New Roman" w:cs="Times New Roman"/>
          <w:b/>
          <w:bCs/>
          <w:noProof/>
        </w:rPr>
        <w:t>29</w:t>
      </w:r>
      <w:r w:rsidRPr="00872293">
        <w:rPr>
          <w:rFonts w:ascii="Times New Roman" w:hAnsi="Times New Roman" w:cs="Times New Roman"/>
          <w:noProof/>
        </w:rPr>
        <w:t>: 189–217.</w:t>
      </w:r>
    </w:p>
    <w:p w14:paraId="7058937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Harris NL, Heartsill Scalley T, Scatena FN</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Climate. In: Harris NL, Lugo AE, Brown S, T HS, eds. Luquillo Experimental Forest: Research History and Opportunities. Washington DC: U.S. Department of Agriculture, 12–20.</w:t>
      </w:r>
    </w:p>
    <w:p w14:paraId="111F0D7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7515B5">
        <w:rPr>
          <w:rFonts w:ascii="Times New Roman" w:hAnsi="Times New Roman" w:cs="Times New Roman"/>
          <w:b/>
          <w:bCs/>
          <w:noProof/>
          <w:lang w:val="pt-BR"/>
        </w:rPr>
        <w:t>Harris NL, Lugo AE</w:t>
      </w:r>
      <w:r w:rsidRPr="007515B5">
        <w:rPr>
          <w:rFonts w:ascii="Times New Roman" w:hAnsi="Times New Roman" w:cs="Times New Roman"/>
          <w:noProof/>
          <w:lang w:val="pt-BR"/>
        </w:rPr>
        <w:t xml:space="preserve">. </w:t>
      </w:r>
      <w:r w:rsidRPr="007515B5">
        <w:rPr>
          <w:rFonts w:ascii="Times New Roman" w:hAnsi="Times New Roman" w:cs="Times New Roman"/>
          <w:b/>
          <w:bCs/>
          <w:noProof/>
          <w:lang w:val="pt-BR"/>
        </w:rPr>
        <w:t>2012</w:t>
      </w:r>
      <w:r w:rsidRPr="007515B5">
        <w:rPr>
          <w:rFonts w:ascii="Times New Roman" w:hAnsi="Times New Roman" w:cs="Times New Roman"/>
          <w:noProof/>
          <w:lang w:val="pt-BR"/>
        </w:rPr>
        <w:t xml:space="preserve">. </w:t>
      </w:r>
      <w:r w:rsidRPr="00872293">
        <w:rPr>
          <w:rFonts w:ascii="Times New Roman" w:hAnsi="Times New Roman" w:cs="Times New Roman"/>
          <w:noProof/>
          <w:lang w:val="pt-BR"/>
        </w:rPr>
        <w:t xml:space="preserve">Disturbances. </w:t>
      </w:r>
      <w:r w:rsidRPr="00872293">
        <w:rPr>
          <w:rFonts w:ascii="Times New Roman" w:hAnsi="Times New Roman" w:cs="Times New Roman"/>
          <w:noProof/>
        </w:rPr>
        <w:t>In: Harris NL, Lugo AE, Brown S, Heartsill Scalley T, eds. Luquillo Experimental Forest: Research History and Opportunities. U.S. Department of Agriculture, 21–49.</w:t>
      </w:r>
    </w:p>
    <w:p w14:paraId="6F55174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Hawkes C V., DeAngelis KM, Firestone MK</w:t>
      </w:r>
      <w:r w:rsidRPr="00872293">
        <w:rPr>
          <w:rFonts w:ascii="Times New Roman" w:hAnsi="Times New Roman" w:cs="Times New Roman"/>
          <w:noProof/>
        </w:rPr>
        <w:t xml:space="preserve">. </w:t>
      </w:r>
      <w:r w:rsidRPr="00872293">
        <w:rPr>
          <w:rFonts w:ascii="Times New Roman" w:hAnsi="Times New Roman" w:cs="Times New Roman"/>
          <w:b/>
          <w:bCs/>
          <w:noProof/>
        </w:rPr>
        <w:t>2007</w:t>
      </w:r>
      <w:r w:rsidRPr="00872293">
        <w:rPr>
          <w:rFonts w:ascii="Times New Roman" w:hAnsi="Times New Roman" w:cs="Times New Roman"/>
          <w:noProof/>
        </w:rPr>
        <w:t xml:space="preserve">. Root interactions with soil microbial </w:t>
      </w:r>
      <w:r w:rsidRPr="00872293">
        <w:rPr>
          <w:rFonts w:ascii="Times New Roman" w:hAnsi="Times New Roman" w:cs="Times New Roman"/>
          <w:noProof/>
        </w:rPr>
        <w:lastRenderedPageBreak/>
        <w:t>communities and processes. In: Cardon ZG, Whitbeck JL, eds. The Rhizosphere: An Ecological Perspective. 1–29.</w:t>
      </w:r>
    </w:p>
    <w:p w14:paraId="2E69DDD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Heartsill Scalley T</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Insights on forest structure and composition from long-term research in the luquillo mountains. </w:t>
      </w:r>
      <w:r w:rsidRPr="00872293">
        <w:rPr>
          <w:rFonts w:ascii="Times New Roman" w:hAnsi="Times New Roman" w:cs="Times New Roman"/>
          <w:i/>
          <w:iCs/>
          <w:noProof/>
        </w:rPr>
        <w:t>Forests</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204.</w:t>
      </w:r>
    </w:p>
    <w:p w14:paraId="2E70A16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Herbert DA, Fownes JH, Vitousek PM</w:t>
      </w:r>
      <w:r w:rsidRPr="00872293">
        <w:rPr>
          <w:rFonts w:ascii="Times New Roman" w:hAnsi="Times New Roman" w:cs="Times New Roman"/>
          <w:noProof/>
        </w:rPr>
        <w:t xml:space="preserve">. </w:t>
      </w:r>
      <w:r w:rsidRPr="00872293">
        <w:rPr>
          <w:rFonts w:ascii="Times New Roman" w:hAnsi="Times New Roman" w:cs="Times New Roman"/>
          <w:b/>
          <w:bCs/>
          <w:noProof/>
        </w:rPr>
        <w:t>1999</w:t>
      </w:r>
      <w:r w:rsidRPr="00872293">
        <w:rPr>
          <w:rFonts w:ascii="Times New Roman" w:hAnsi="Times New Roman" w:cs="Times New Roman"/>
          <w:noProof/>
        </w:rPr>
        <w:t xml:space="preserve">. Hurricane damage to a Hawaiian forest: Nutrient supply rate affects resistance and resilience.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80</w:t>
      </w:r>
      <w:r w:rsidRPr="00872293">
        <w:rPr>
          <w:rFonts w:ascii="Times New Roman" w:hAnsi="Times New Roman" w:cs="Times New Roman"/>
          <w:noProof/>
        </w:rPr>
        <w:t>: 908–920.</w:t>
      </w:r>
    </w:p>
    <w:p w14:paraId="31EBCE0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Holling CS</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Resilience and stability of ecological systems. In: The Future of Nature: Documents of Global Change.</w:t>
      </w:r>
    </w:p>
    <w:p w14:paraId="3E4B701B"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Hungate BA, Day FP, Dijkstra P, Duval BD, Hinkle CR, Langley JA, Megonigal JP, Stiling P, Johnson DW, Drake BG</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Fire, hurricane and carbon dioxide: Effects on net primary production of a subtropical woodland.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200</w:t>
      </w:r>
      <w:r w:rsidRPr="00872293">
        <w:rPr>
          <w:rFonts w:ascii="Times New Roman" w:hAnsi="Times New Roman" w:cs="Times New Roman"/>
          <w:noProof/>
        </w:rPr>
        <w:t>: 767–777.</w:t>
      </w:r>
    </w:p>
    <w:p w14:paraId="6F1890E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Iversen CM, Ledford J, Norby RJ</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CO2 enrichment increases carbon and nitrogen input from fine roots in a deciduous forest.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179</w:t>
      </w:r>
      <w:r w:rsidRPr="00872293">
        <w:rPr>
          <w:rFonts w:ascii="Times New Roman" w:hAnsi="Times New Roman" w:cs="Times New Roman"/>
          <w:noProof/>
        </w:rPr>
        <w:t>: 837–847.</w:t>
      </w:r>
    </w:p>
    <w:p w14:paraId="1C7CBB2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Iversen CM, McCormack ML, Powell AS, Blackwood CB, Freschet GT, Kattge J, Roumet C, Stover DB, Soudzilovskaia NA, Valverde-Barrantes OJ,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A global Fine-Root Ecology Database to address below-ground challenges in plant ecology.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215</w:t>
      </w:r>
      <w:r w:rsidRPr="00872293">
        <w:rPr>
          <w:rFonts w:ascii="Times New Roman" w:hAnsi="Times New Roman" w:cs="Times New Roman"/>
          <w:noProof/>
        </w:rPr>
        <w:t>: 15–26.</w:t>
      </w:r>
    </w:p>
    <w:p w14:paraId="78238B2B"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Jackson RB, Mooney HA, Schulze ED</w:t>
      </w:r>
      <w:r w:rsidRPr="00872293">
        <w:rPr>
          <w:rFonts w:ascii="Times New Roman" w:hAnsi="Times New Roman" w:cs="Times New Roman"/>
          <w:noProof/>
        </w:rPr>
        <w:t xml:space="preserve">. </w:t>
      </w:r>
      <w:r w:rsidRPr="00872293">
        <w:rPr>
          <w:rFonts w:ascii="Times New Roman" w:hAnsi="Times New Roman" w:cs="Times New Roman"/>
          <w:b/>
          <w:bCs/>
          <w:noProof/>
        </w:rPr>
        <w:t>1997a</w:t>
      </w:r>
      <w:r w:rsidRPr="00872293">
        <w:rPr>
          <w:rFonts w:ascii="Times New Roman" w:hAnsi="Times New Roman" w:cs="Times New Roman"/>
          <w:noProof/>
        </w:rPr>
        <w:t xml:space="preserve">. A global budget for fine root biomass, surface area, and nutrient contents.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94</w:t>
      </w:r>
      <w:r w:rsidRPr="00872293">
        <w:rPr>
          <w:rFonts w:ascii="Times New Roman" w:hAnsi="Times New Roman" w:cs="Times New Roman"/>
          <w:noProof/>
        </w:rPr>
        <w:t>: 7362–7366.</w:t>
      </w:r>
    </w:p>
    <w:p w14:paraId="069EFAF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Jackson RB, Mooney HA, Schulze ED</w:t>
      </w:r>
      <w:r w:rsidRPr="00872293">
        <w:rPr>
          <w:rFonts w:ascii="Times New Roman" w:hAnsi="Times New Roman" w:cs="Times New Roman"/>
          <w:noProof/>
        </w:rPr>
        <w:t xml:space="preserve">. </w:t>
      </w:r>
      <w:r w:rsidRPr="00872293">
        <w:rPr>
          <w:rFonts w:ascii="Times New Roman" w:hAnsi="Times New Roman" w:cs="Times New Roman"/>
          <w:b/>
          <w:bCs/>
          <w:noProof/>
        </w:rPr>
        <w:t>1997b</w:t>
      </w:r>
      <w:r w:rsidRPr="00872293">
        <w:rPr>
          <w:rFonts w:ascii="Times New Roman" w:hAnsi="Times New Roman" w:cs="Times New Roman"/>
          <w:noProof/>
        </w:rPr>
        <w:t xml:space="preserve">. A global budget for fine root biomass, surface area, and nutrient contents.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94</w:t>
      </w:r>
      <w:r w:rsidRPr="00872293">
        <w:rPr>
          <w:rFonts w:ascii="Times New Roman" w:hAnsi="Times New Roman" w:cs="Times New Roman"/>
          <w:noProof/>
        </w:rPr>
        <w:t>: 7362–7366.</w:t>
      </w:r>
    </w:p>
    <w:p w14:paraId="1C0DAF0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Jacob D, Elizalde A, Haensler A, Hagemann S, Kumar P, Podzun R, Rechid D, Remedio AR, Saeed F, Sieck K,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Assessing the Transferability of the Regional Climate Model REMO to Different COordinated Regional Climate Downscaling EXperiment (CORDEX) </w:t>
      </w:r>
      <w:r w:rsidRPr="00872293">
        <w:rPr>
          <w:rFonts w:ascii="Times New Roman" w:hAnsi="Times New Roman" w:cs="Times New Roman"/>
          <w:noProof/>
        </w:rPr>
        <w:lastRenderedPageBreak/>
        <w:t xml:space="preserve">Regions. </w:t>
      </w:r>
      <w:r w:rsidRPr="00872293">
        <w:rPr>
          <w:rFonts w:ascii="Times New Roman" w:hAnsi="Times New Roman" w:cs="Times New Roman"/>
          <w:i/>
          <w:iCs/>
          <w:noProof/>
        </w:rPr>
        <w:t>Atmosphere</w:t>
      </w:r>
      <w:r w:rsidRPr="00872293">
        <w:rPr>
          <w:rFonts w:ascii="Times New Roman" w:hAnsi="Times New Roman" w:cs="Times New Roman"/>
          <w:noProof/>
        </w:rPr>
        <w:t xml:space="preserve"> </w:t>
      </w:r>
      <w:r w:rsidRPr="00872293">
        <w:rPr>
          <w:rFonts w:ascii="Times New Roman" w:hAnsi="Times New Roman" w:cs="Times New Roman"/>
          <w:b/>
          <w:bCs/>
          <w:noProof/>
        </w:rPr>
        <w:t>3</w:t>
      </w:r>
      <w:r w:rsidRPr="00872293">
        <w:rPr>
          <w:rFonts w:ascii="Times New Roman" w:hAnsi="Times New Roman" w:cs="Times New Roman"/>
          <w:noProof/>
        </w:rPr>
        <w:t>: 181–1993390.</w:t>
      </w:r>
    </w:p>
    <w:p w14:paraId="5400008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Jama B, Ndufa JK, Buresh RJ, Shepherd KD</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Vertical Distribution of Roots and Soil Nitrate: Tree Species and Phosphorus Effects. </w:t>
      </w:r>
      <w:r w:rsidRPr="00872293">
        <w:rPr>
          <w:rFonts w:ascii="Times New Roman" w:hAnsi="Times New Roman" w:cs="Times New Roman"/>
          <w:i/>
          <w:iCs/>
          <w:noProof/>
        </w:rPr>
        <w:t>Soil Science Society of America Journal</w:t>
      </w:r>
      <w:r w:rsidRPr="00872293">
        <w:rPr>
          <w:rFonts w:ascii="Times New Roman" w:hAnsi="Times New Roman" w:cs="Times New Roman"/>
          <w:noProof/>
        </w:rPr>
        <w:t xml:space="preserve"> </w:t>
      </w:r>
      <w:r w:rsidRPr="00872293">
        <w:rPr>
          <w:rFonts w:ascii="Times New Roman" w:hAnsi="Times New Roman" w:cs="Times New Roman"/>
          <w:b/>
          <w:bCs/>
          <w:noProof/>
        </w:rPr>
        <w:t>62</w:t>
      </w:r>
      <w:r w:rsidRPr="00872293">
        <w:rPr>
          <w:rFonts w:ascii="Times New Roman" w:hAnsi="Times New Roman" w:cs="Times New Roman"/>
          <w:noProof/>
        </w:rPr>
        <w:t>: 280–286.</w:t>
      </w:r>
    </w:p>
    <w:p w14:paraId="1F20E6E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Jobbágy EG, Jackson RB</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The vertical distribution of soil organic carbon and its relation to climate and vegetation. </w:t>
      </w:r>
      <w:r w:rsidRPr="00872293">
        <w:rPr>
          <w:rFonts w:ascii="Times New Roman" w:hAnsi="Times New Roman" w:cs="Times New Roman"/>
          <w:i/>
          <w:iCs/>
          <w:noProof/>
        </w:rPr>
        <w:t>Ecological Applications</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423–436.</w:t>
      </w:r>
    </w:p>
    <w:p w14:paraId="4C46032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JOHNSON IR</w:t>
      </w:r>
      <w:r w:rsidRPr="00872293">
        <w:rPr>
          <w:rFonts w:ascii="Times New Roman" w:hAnsi="Times New Roman" w:cs="Times New Roman"/>
          <w:noProof/>
        </w:rPr>
        <w:t xml:space="preserve">. </w:t>
      </w:r>
      <w:r w:rsidRPr="00872293">
        <w:rPr>
          <w:rFonts w:ascii="Times New Roman" w:hAnsi="Times New Roman" w:cs="Times New Roman"/>
          <w:b/>
          <w:bCs/>
          <w:noProof/>
        </w:rPr>
        <w:t>1990</w:t>
      </w:r>
      <w:r w:rsidRPr="00872293">
        <w:rPr>
          <w:rFonts w:ascii="Times New Roman" w:hAnsi="Times New Roman" w:cs="Times New Roman"/>
          <w:noProof/>
        </w:rPr>
        <w:t xml:space="preserve">. Plant respiration in relation to growth, maintenance, ion uptake and nitrogen assimilation. </w:t>
      </w:r>
      <w:r w:rsidRPr="00872293">
        <w:rPr>
          <w:rFonts w:ascii="Times New Roman" w:hAnsi="Times New Roman" w:cs="Times New Roman"/>
          <w:i/>
          <w:iCs/>
          <w:noProof/>
        </w:rPr>
        <w:t>Plant, Cell &amp; Environment</w:t>
      </w:r>
      <w:r w:rsidRPr="00872293">
        <w:rPr>
          <w:rFonts w:ascii="Times New Roman" w:hAnsi="Times New Roman" w:cs="Times New Roman"/>
          <w:noProof/>
        </w:rPr>
        <w:t xml:space="preserve"> </w:t>
      </w:r>
      <w:r w:rsidRPr="00872293">
        <w:rPr>
          <w:rFonts w:ascii="Times New Roman" w:hAnsi="Times New Roman" w:cs="Times New Roman"/>
          <w:b/>
          <w:bCs/>
          <w:noProof/>
        </w:rPr>
        <w:t>13</w:t>
      </w:r>
      <w:r w:rsidRPr="00872293">
        <w:rPr>
          <w:rFonts w:ascii="Times New Roman" w:hAnsi="Times New Roman" w:cs="Times New Roman"/>
          <w:noProof/>
        </w:rPr>
        <w:t>: 319–328.</w:t>
      </w:r>
    </w:p>
    <w:p w14:paraId="34F4D37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Johnson MG, Tingey DT, Phillips DL, Storm MJ</w:t>
      </w:r>
      <w:r w:rsidRPr="00872293">
        <w:rPr>
          <w:rFonts w:ascii="Times New Roman" w:hAnsi="Times New Roman" w:cs="Times New Roman"/>
          <w:noProof/>
        </w:rPr>
        <w:t xml:space="preserve">. </w:t>
      </w:r>
      <w:r w:rsidRPr="00872293">
        <w:rPr>
          <w:rFonts w:ascii="Times New Roman" w:hAnsi="Times New Roman" w:cs="Times New Roman"/>
          <w:b/>
          <w:bCs/>
          <w:noProof/>
        </w:rPr>
        <w:t>2001</w:t>
      </w:r>
      <w:r w:rsidRPr="00872293">
        <w:rPr>
          <w:rFonts w:ascii="Times New Roman" w:hAnsi="Times New Roman" w:cs="Times New Roman"/>
          <w:noProof/>
        </w:rPr>
        <w:t xml:space="preserve">. Advancing fine root research with minirhizotrons. </w:t>
      </w:r>
      <w:r w:rsidRPr="00872293">
        <w:rPr>
          <w:rFonts w:ascii="Times New Roman" w:hAnsi="Times New Roman" w:cs="Times New Roman"/>
          <w:i/>
          <w:iCs/>
          <w:noProof/>
        </w:rPr>
        <w:t>Environmental and Experimental Botany</w:t>
      </w:r>
      <w:r w:rsidRPr="00872293">
        <w:rPr>
          <w:rFonts w:ascii="Times New Roman" w:hAnsi="Times New Roman" w:cs="Times New Roman"/>
          <w:noProof/>
        </w:rPr>
        <w:t xml:space="preserve"> </w:t>
      </w:r>
      <w:r w:rsidRPr="00872293">
        <w:rPr>
          <w:rFonts w:ascii="Times New Roman" w:hAnsi="Times New Roman" w:cs="Times New Roman"/>
          <w:b/>
          <w:bCs/>
          <w:noProof/>
        </w:rPr>
        <w:t>45</w:t>
      </w:r>
      <w:r w:rsidRPr="00872293">
        <w:rPr>
          <w:rFonts w:ascii="Times New Roman" w:hAnsi="Times New Roman" w:cs="Times New Roman"/>
          <w:noProof/>
        </w:rPr>
        <w:t>: 263–289.</w:t>
      </w:r>
    </w:p>
    <w:p w14:paraId="2F60D78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Kell DB</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Large-scale sequestration of atmospheric carbon via plant roots in natural and agricultural ecosystems: Why and how. </w:t>
      </w:r>
      <w:r w:rsidRPr="00872293">
        <w:rPr>
          <w:rFonts w:ascii="Times New Roman" w:hAnsi="Times New Roman" w:cs="Times New Roman"/>
          <w:i/>
          <w:iCs/>
          <w:noProof/>
        </w:rPr>
        <w:t>Philosophical Transactions of the Royal Society B: Biological Sciences</w:t>
      </w:r>
      <w:r w:rsidRPr="00872293">
        <w:rPr>
          <w:rFonts w:ascii="Times New Roman" w:hAnsi="Times New Roman" w:cs="Times New Roman"/>
          <w:noProof/>
        </w:rPr>
        <w:t xml:space="preserve"> </w:t>
      </w:r>
      <w:r w:rsidRPr="00872293">
        <w:rPr>
          <w:rFonts w:ascii="Times New Roman" w:hAnsi="Times New Roman" w:cs="Times New Roman"/>
          <w:b/>
          <w:bCs/>
          <w:noProof/>
        </w:rPr>
        <w:t>367</w:t>
      </w:r>
      <w:r w:rsidRPr="00872293">
        <w:rPr>
          <w:rFonts w:ascii="Times New Roman" w:hAnsi="Times New Roman" w:cs="Times New Roman"/>
          <w:noProof/>
        </w:rPr>
        <w:t>: 1589–1597.</w:t>
      </w:r>
    </w:p>
    <w:p w14:paraId="3138BCA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Kennard DK, Matlaga D, Sharpe J, Wood TE, Alonso-Rodríguez AM, Reed SC, Cavaleri MA, King CC</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Tropical understory herbaceous community responds more strongly to hurricane disturbance than to experimental warming. </w:t>
      </w:r>
      <w:r w:rsidRPr="00872293">
        <w:rPr>
          <w:rFonts w:ascii="Times New Roman" w:hAnsi="Times New Roman" w:cs="Times New Roman"/>
          <w:i/>
          <w:iCs/>
          <w:noProof/>
        </w:rPr>
        <w:t>Ecology and Evolution</w:t>
      </w:r>
      <w:r w:rsidRPr="00872293">
        <w:rPr>
          <w:rFonts w:ascii="Times New Roman" w:hAnsi="Times New Roman" w:cs="Times New Roman"/>
          <w:noProof/>
        </w:rPr>
        <w:t>.</w:t>
      </w:r>
    </w:p>
    <w:p w14:paraId="68A9C9A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Kimball BA, Alonso-Rodríguez AM, Cavaleri MA, Reed SC, González G, Wood TE</w:t>
      </w:r>
      <w:r w:rsidRPr="00872293">
        <w:rPr>
          <w:rFonts w:ascii="Times New Roman" w:hAnsi="Times New Roman" w:cs="Times New Roman"/>
          <w:noProof/>
        </w:rPr>
        <w:t xml:space="preserve">. </w:t>
      </w:r>
      <w:r w:rsidRPr="00872293">
        <w:rPr>
          <w:rFonts w:ascii="Times New Roman" w:hAnsi="Times New Roman" w:cs="Times New Roman"/>
          <w:b/>
          <w:bCs/>
          <w:noProof/>
        </w:rPr>
        <w:t>2018a</w:t>
      </w:r>
      <w:r w:rsidRPr="00872293">
        <w:rPr>
          <w:rFonts w:ascii="Times New Roman" w:hAnsi="Times New Roman" w:cs="Times New Roman"/>
          <w:noProof/>
        </w:rPr>
        <w:t xml:space="preserve">. Infrared heater system for warming tropical forest understory plants and soils. </w:t>
      </w:r>
      <w:r w:rsidRPr="00872293">
        <w:rPr>
          <w:rFonts w:ascii="Times New Roman" w:hAnsi="Times New Roman" w:cs="Times New Roman"/>
          <w:i/>
          <w:iCs/>
          <w:noProof/>
        </w:rPr>
        <w:t>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1932–1944.</w:t>
      </w:r>
    </w:p>
    <w:p w14:paraId="54AAD37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Kimball BA, Alonso-Rodríguez AM, Cavaleri MA, Reed SC, González G, Wood TE</w:t>
      </w:r>
      <w:r w:rsidRPr="00872293">
        <w:rPr>
          <w:rFonts w:ascii="Times New Roman" w:hAnsi="Times New Roman" w:cs="Times New Roman"/>
          <w:noProof/>
        </w:rPr>
        <w:t xml:space="preserve">. </w:t>
      </w:r>
      <w:r w:rsidRPr="00872293">
        <w:rPr>
          <w:rFonts w:ascii="Times New Roman" w:hAnsi="Times New Roman" w:cs="Times New Roman"/>
          <w:b/>
          <w:bCs/>
          <w:noProof/>
        </w:rPr>
        <w:t>2018b</w:t>
      </w:r>
      <w:r w:rsidRPr="00872293">
        <w:rPr>
          <w:rFonts w:ascii="Times New Roman" w:hAnsi="Times New Roman" w:cs="Times New Roman"/>
          <w:noProof/>
        </w:rPr>
        <w:t xml:space="preserve">. Infrared heater system for warming tropical forest understory plants and soils. </w:t>
      </w:r>
      <w:r w:rsidRPr="00872293">
        <w:rPr>
          <w:rFonts w:ascii="Times New Roman" w:hAnsi="Times New Roman" w:cs="Times New Roman"/>
          <w:i/>
          <w:iCs/>
          <w:noProof/>
        </w:rPr>
        <w:t>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1932–1944.</w:t>
      </w:r>
    </w:p>
    <w:p w14:paraId="387FE32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Kottek M, Grieser J, Beck C, Rudolf B, Rubel F</w:t>
      </w:r>
      <w:r w:rsidRPr="00872293">
        <w:rPr>
          <w:rFonts w:ascii="Times New Roman" w:hAnsi="Times New Roman" w:cs="Times New Roman"/>
          <w:noProof/>
        </w:rPr>
        <w:t xml:space="preserve">. </w:t>
      </w:r>
      <w:r w:rsidRPr="00872293">
        <w:rPr>
          <w:rFonts w:ascii="Times New Roman" w:hAnsi="Times New Roman" w:cs="Times New Roman"/>
          <w:b/>
          <w:bCs/>
          <w:noProof/>
        </w:rPr>
        <w:t>2006</w:t>
      </w:r>
      <w:r w:rsidRPr="00872293">
        <w:rPr>
          <w:rFonts w:ascii="Times New Roman" w:hAnsi="Times New Roman" w:cs="Times New Roman"/>
          <w:noProof/>
        </w:rPr>
        <w:t xml:space="preserve">. World Map of the Köppen-Geiger Climate Classification Updated. </w:t>
      </w:r>
      <w:r w:rsidRPr="00872293">
        <w:rPr>
          <w:rFonts w:ascii="Times New Roman" w:hAnsi="Times New Roman" w:cs="Times New Roman"/>
          <w:i/>
          <w:iCs/>
          <w:noProof/>
        </w:rPr>
        <w:t>Meteorologische Zeitschrift</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259–263.</w:t>
      </w:r>
    </w:p>
    <w:p w14:paraId="1D3A6EB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Lin N, Kopp RE, Horton BP, Donnelly JP</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Hurricane Sandy’s flood frequency </w:t>
      </w:r>
      <w:r w:rsidRPr="00872293">
        <w:rPr>
          <w:rFonts w:ascii="Times New Roman" w:hAnsi="Times New Roman" w:cs="Times New Roman"/>
          <w:noProof/>
        </w:rPr>
        <w:lastRenderedPageBreak/>
        <w:t xml:space="preserve">increasing from year 1800 to 2100.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113</w:t>
      </w:r>
      <w:r w:rsidRPr="00872293">
        <w:rPr>
          <w:rFonts w:ascii="Times New Roman" w:hAnsi="Times New Roman" w:cs="Times New Roman"/>
          <w:noProof/>
        </w:rPr>
        <w:t>.</w:t>
      </w:r>
    </w:p>
    <w:p w14:paraId="65B54B2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Littel RC, Milliken GA, Stroup WW, Wolfinger RD, Schabenberger O</w:t>
      </w:r>
      <w:r w:rsidRPr="00872293">
        <w:rPr>
          <w:rFonts w:ascii="Times New Roman" w:hAnsi="Times New Roman" w:cs="Times New Roman"/>
          <w:noProof/>
        </w:rPr>
        <w:t xml:space="preserve">. </w:t>
      </w:r>
      <w:r w:rsidRPr="00872293">
        <w:rPr>
          <w:rFonts w:ascii="Times New Roman" w:hAnsi="Times New Roman" w:cs="Times New Roman"/>
          <w:b/>
          <w:bCs/>
          <w:noProof/>
        </w:rPr>
        <w:t>2006</w:t>
      </w:r>
      <w:r w:rsidRPr="00872293">
        <w:rPr>
          <w:rFonts w:ascii="Times New Roman" w:hAnsi="Times New Roman" w:cs="Times New Roman"/>
          <w:noProof/>
        </w:rPr>
        <w:t xml:space="preserve">. </w:t>
      </w:r>
      <w:r w:rsidRPr="00872293">
        <w:rPr>
          <w:rFonts w:ascii="Times New Roman" w:hAnsi="Times New Roman" w:cs="Times New Roman"/>
          <w:i/>
          <w:iCs/>
          <w:noProof/>
        </w:rPr>
        <w:t>SAS for Mixed Models, Second Edition</w:t>
      </w:r>
      <w:r w:rsidRPr="00872293">
        <w:rPr>
          <w:rFonts w:ascii="Times New Roman" w:hAnsi="Times New Roman" w:cs="Times New Roman"/>
          <w:noProof/>
        </w:rPr>
        <w:t>.</w:t>
      </w:r>
    </w:p>
    <w:p w14:paraId="770FE7C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Lodge DJ, Scatena FN, Asbury CE, Sanchez MJ</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Fine Litterfall and Related Nutrient Inputs Resulting From Hurricane Hugo in Subtropical Wet and Lower Montane Rain Forests of Puerto Rico. </w:t>
      </w:r>
      <w:r w:rsidRPr="00872293">
        <w:rPr>
          <w:rFonts w:ascii="Times New Roman" w:hAnsi="Times New Roman" w:cs="Times New Roman"/>
          <w:i/>
          <w:iCs/>
          <w:noProof/>
        </w:rPr>
        <w:t>Biotropica</w:t>
      </w:r>
      <w:r w:rsidRPr="00872293">
        <w:rPr>
          <w:rFonts w:ascii="Times New Roman" w:hAnsi="Times New Roman" w:cs="Times New Roman"/>
          <w:noProof/>
        </w:rPr>
        <w:t>: 336–342.</w:t>
      </w:r>
    </w:p>
    <w:p w14:paraId="383AF53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Lüdecke D, Makowski D, Waggoner P, Patil I</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Performance: Assessment of Regression Models Performance.</w:t>
      </w:r>
    </w:p>
    <w:p w14:paraId="48DDFCA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Lugo AE</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Effects of Extreme Disturbance Events: From Ecesis to Social–Ecological–Technological Systems. </w:t>
      </w:r>
      <w:r w:rsidRPr="00872293">
        <w:rPr>
          <w:rFonts w:ascii="Times New Roman" w:hAnsi="Times New Roman" w:cs="Times New Roman"/>
          <w:i/>
          <w:iCs/>
          <w:noProof/>
        </w:rPr>
        <w:t>Ecosystems</w:t>
      </w:r>
      <w:r w:rsidRPr="00872293">
        <w:rPr>
          <w:rFonts w:ascii="Times New Roman" w:hAnsi="Times New Roman" w:cs="Times New Roman"/>
          <w:noProof/>
        </w:rPr>
        <w:t>: 1–22.</w:t>
      </w:r>
    </w:p>
    <w:p w14:paraId="07323297"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Lugo AE, Rogers CS, Nixon SW</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Hurricanes, coral reefs and rainforests: Resistance, ruin and recovery in the Caribbean. </w:t>
      </w:r>
      <w:r w:rsidRPr="00872293">
        <w:rPr>
          <w:rFonts w:ascii="Times New Roman" w:hAnsi="Times New Roman" w:cs="Times New Roman"/>
          <w:i/>
          <w:iCs/>
          <w:noProof/>
        </w:rPr>
        <w:t>Ambio</w:t>
      </w:r>
      <w:r w:rsidRPr="00872293">
        <w:rPr>
          <w:rFonts w:ascii="Times New Roman" w:hAnsi="Times New Roman" w:cs="Times New Roman"/>
          <w:noProof/>
        </w:rPr>
        <w:t xml:space="preserve"> </w:t>
      </w:r>
      <w:r w:rsidRPr="00872293">
        <w:rPr>
          <w:rFonts w:ascii="Times New Roman" w:hAnsi="Times New Roman" w:cs="Times New Roman"/>
          <w:b/>
          <w:bCs/>
          <w:noProof/>
        </w:rPr>
        <w:t>29</w:t>
      </w:r>
      <w:r w:rsidRPr="00872293">
        <w:rPr>
          <w:rFonts w:ascii="Times New Roman" w:hAnsi="Times New Roman" w:cs="Times New Roman"/>
          <w:noProof/>
        </w:rPr>
        <w:t>: 106–114.</w:t>
      </w:r>
    </w:p>
    <w:p w14:paraId="2BCB8CD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Lynch JP, Wojciechowski T</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Opportunities and challenges in the subsoil: Pathways to deeper rooted crops. </w:t>
      </w:r>
      <w:r w:rsidRPr="00872293">
        <w:rPr>
          <w:rFonts w:ascii="Times New Roman" w:hAnsi="Times New Roman" w:cs="Times New Roman"/>
          <w:i/>
          <w:iCs/>
          <w:noProof/>
        </w:rPr>
        <w:t>Journal of Experimental Botany</w:t>
      </w:r>
      <w:r w:rsidRPr="00872293">
        <w:rPr>
          <w:rFonts w:ascii="Times New Roman" w:hAnsi="Times New Roman" w:cs="Times New Roman"/>
          <w:noProof/>
        </w:rPr>
        <w:t xml:space="preserve"> </w:t>
      </w:r>
      <w:r w:rsidRPr="00872293">
        <w:rPr>
          <w:rFonts w:ascii="Times New Roman" w:hAnsi="Times New Roman" w:cs="Times New Roman"/>
          <w:b/>
          <w:bCs/>
          <w:noProof/>
        </w:rPr>
        <w:t>66</w:t>
      </w:r>
      <w:r w:rsidRPr="00872293">
        <w:rPr>
          <w:rFonts w:ascii="Times New Roman" w:hAnsi="Times New Roman" w:cs="Times New Roman"/>
          <w:noProof/>
        </w:rPr>
        <w:t>: 2199–2210.</w:t>
      </w:r>
    </w:p>
    <w:p w14:paraId="3AE7FB7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 Z, Guo D, Xu X, Lu M, Bardgett RD, Eissenstat DM, McCormack ML, Hedin LO</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Evolutionary history resolves global organization of root functional traits.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555</w:t>
      </w:r>
      <w:r w:rsidRPr="00872293">
        <w:rPr>
          <w:rFonts w:ascii="Times New Roman" w:hAnsi="Times New Roman" w:cs="Times New Roman"/>
          <w:noProof/>
        </w:rPr>
        <w:t>: 94–97.</w:t>
      </w:r>
    </w:p>
    <w:p w14:paraId="70A6BD6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Majdi H, Öhrvik J</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Interactive effects of soil warming and fertilization root production, mortality, and longevity in a Norway spruce stand in Northern Sweden.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182–188.</w:t>
      </w:r>
    </w:p>
    <w:p w14:paraId="47BCE29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Malhi Y, Gardner TA, Goldsmith GR, Silman MR, Zelazowski P</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Tropical Forests in the Anthropocene. </w:t>
      </w:r>
      <w:r w:rsidRPr="00872293">
        <w:rPr>
          <w:rFonts w:ascii="Times New Roman" w:hAnsi="Times New Roman" w:cs="Times New Roman"/>
          <w:i/>
          <w:iCs/>
          <w:noProof/>
        </w:rPr>
        <w:t>Annual Review of Environment and Resources</w:t>
      </w:r>
      <w:r w:rsidRPr="00872293">
        <w:rPr>
          <w:rFonts w:ascii="Times New Roman" w:hAnsi="Times New Roman" w:cs="Times New Roman"/>
          <w:noProof/>
        </w:rPr>
        <w:t xml:space="preserve"> </w:t>
      </w:r>
      <w:r w:rsidRPr="00872293">
        <w:rPr>
          <w:rFonts w:ascii="Times New Roman" w:hAnsi="Times New Roman" w:cs="Times New Roman"/>
          <w:b/>
          <w:bCs/>
          <w:noProof/>
        </w:rPr>
        <w:t>39</w:t>
      </w:r>
      <w:r w:rsidRPr="00872293">
        <w:rPr>
          <w:rFonts w:ascii="Times New Roman" w:hAnsi="Times New Roman" w:cs="Times New Roman"/>
          <w:noProof/>
        </w:rPr>
        <w:t>: 125–159.</w:t>
      </w:r>
    </w:p>
    <w:p w14:paraId="344DDAD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Mau AC, Reed SC, Wood TE, Cavaleri MA</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Temperate and tropical forest canopies are already functioning beyond their thermal thresholds for photosynthesis. </w:t>
      </w:r>
      <w:r w:rsidRPr="00872293">
        <w:rPr>
          <w:rFonts w:ascii="Times New Roman" w:hAnsi="Times New Roman" w:cs="Times New Roman"/>
          <w:i/>
          <w:iCs/>
          <w:noProof/>
        </w:rPr>
        <w:t>Forests</w:t>
      </w:r>
      <w:r w:rsidRPr="00872293">
        <w:rPr>
          <w:rFonts w:ascii="Times New Roman" w:hAnsi="Times New Roman" w:cs="Times New Roman"/>
          <w:noProof/>
        </w:rPr>
        <w:t xml:space="preserve"> </w:t>
      </w:r>
      <w:r w:rsidRPr="00872293">
        <w:rPr>
          <w:rFonts w:ascii="Times New Roman" w:hAnsi="Times New Roman" w:cs="Times New Roman"/>
          <w:b/>
          <w:bCs/>
          <w:noProof/>
        </w:rPr>
        <w:t>9</w:t>
      </w:r>
      <w:r w:rsidRPr="00872293">
        <w:rPr>
          <w:rFonts w:ascii="Times New Roman" w:hAnsi="Times New Roman" w:cs="Times New Roman"/>
          <w:noProof/>
        </w:rPr>
        <w:t>: 47.</w:t>
      </w:r>
    </w:p>
    <w:p w14:paraId="29D0C94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McDowell WH</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Impacts of Hurricanes on Forest Hydrology and Biogeochemistry. In: Forest Hydrology and Biogeochemistry. 643–657.</w:t>
      </w:r>
    </w:p>
    <w:p w14:paraId="49C6E04B"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Miller GL, Lugo AE</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w:t>
      </w:r>
      <w:r w:rsidRPr="00872293">
        <w:rPr>
          <w:rFonts w:ascii="Times New Roman" w:hAnsi="Times New Roman" w:cs="Times New Roman"/>
          <w:i/>
          <w:iCs/>
          <w:noProof/>
        </w:rPr>
        <w:t>Guide to the ecological systems of Puerto Rico</w:t>
      </w:r>
      <w:r w:rsidRPr="00872293">
        <w:rPr>
          <w:rFonts w:ascii="Times New Roman" w:hAnsi="Times New Roman" w:cs="Times New Roman"/>
          <w:noProof/>
        </w:rPr>
        <w:t>.</w:t>
      </w:r>
    </w:p>
    <w:p w14:paraId="6D9770D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Mooney HA, Winner WE, Pell EJ</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w:t>
      </w:r>
      <w:r w:rsidRPr="00872293">
        <w:rPr>
          <w:rFonts w:ascii="Times New Roman" w:hAnsi="Times New Roman" w:cs="Times New Roman"/>
          <w:i/>
          <w:iCs/>
          <w:noProof/>
        </w:rPr>
        <w:t>Response of Plants to Multiple Stresses</w:t>
      </w:r>
      <w:r w:rsidRPr="00872293">
        <w:rPr>
          <w:rFonts w:ascii="Times New Roman" w:hAnsi="Times New Roman" w:cs="Times New Roman"/>
          <w:noProof/>
        </w:rPr>
        <w:t>.</w:t>
      </w:r>
    </w:p>
    <w:p w14:paraId="65D1C36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Jackson RB</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Root dynamics and global change: Seeking an ecosystem perspective.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3–12.</w:t>
      </w:r>
    </w:p>
    <w:p w14:paraId="3B41F64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Ledford J, Reilly CD, Miller NE, O’Neill EG</w:t>
      </w:r>
      <w:r w:rsidRPr="00872293">
        <w:rPr>
          <w:rFonts w:ascii="Times New Roman" w:hAnsi="Times New Roman" w:cs="Times New Roman"/>
          <w:noProof/>
        </w:rPr>
        <w:t xml:space="preserve">. </w:t>
      </w:r>
      <w:r w:rsidRPr="00872293">
        <w:rPr>
          <w:rFonts w:ascii="Times New Roman" w:hAnsi="Times New Roman" w:cs="Times New Roman"/>
          <w:b/>
          <w:bCs/>
          <w:noProof/>
        </w:rPr>
        <w:t>2004a</w:t>
      </w:r>
      <w:r w:rsidRPr="00872293">
        <w:rPr>
          <w:rFonts w:ascii="Times New Roman" w:hAnsi="Times New Roman" w:cs="Times New Roman"/>
          <w:noProof/>
        </w:rPr>
        <w:t xml:space="preserve">. Fine-root production dominates response of a deciduous forest to atmospheric CO2 enrichment.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w:t>
      </w:r>
    </w:p>
    <w:p w14:paraId="6C929E1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Norby RJ, Ledford J, Reilly CD, Miller NE, O’Neill EG</w:t>
      </w:r>
      <w:r w:rsidRPr="00872293">
        <w:rPr>
          <w:rFonts w:ascii="Times New Roman" w:hAnsi="Times New Roman" w:cs="Times New Roman"/>
          <w:noProof/>
        </w:rPr>
        <w:t xml:space="preserve">. </w:t>
      </w:r>
      <w:r w:rsidRPr="00872293">
        <w:rPr>
          <w:rFonts w:ascii="Times New Roman" w:hAnsi="Times New Roman" w:cs="Times New Roman"/>
          <w:b/>
          <w:bCs/>
          <w:noProof/>
        </w:rPr>
        <w:t>2004b</w:t>
      </w:r>
      <w:r w:rsidRPr="00872293">
        <w:rPr>
          <w:rFonts w:ascii="Times New Roman" w:hAnsi="Times New Roman" w:cs="Times New Roman"/>
          <w:noProof/>
        </w:rPr>
        <w:t xml:space="preserve">. Fine-root production dominates response of a deciduous forest to atmospheric CO2 enrichment.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101</w:t>
      </w:r>
      <w:r w:rsidRPr="00872293">
        <w:rPr>
          <w:rFonts w:ascii="Times New Roman" w:hAnsi="Times New Roman" w:cs="Times New Roman"/>
          <w:noProof/>
        </w:rPr>
        <w:t>: 9689–9693.</w:t>
      </w:r>
    </w:p>
    <w:p w14:paraId="4FC6F7E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Paine RT, Tegner MJ, Johnson EA</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Compounded perturbations yield ecological surprises. </w:t>
      </w:r>
      <w:r w:rsidRPr="00872293">
        <w:rPr>
          <w:rFonts w:ascii="Times New Roman" w:hAnsi="Times New Roman" w:cs="Times New Roman"/>
          <w:i/>
          <w:iCs/>
          <w:noProof/>
        </w:rPr>
        <w:t>Ecosystems</w:t>
      </w:r>
      <w:r w:rsidRPr="00872293">
        <w:rPr>
          <w:rFonts w:ascii="Times New Roman" w:hAnsi="Times New Roman" w:cs="Times New Roman"/>
          <w:noProof/>
        </w:rPr>
        <w:t xml:space="preserve"> </w:t>
      </w:r>
      <w:r w:rsidRPr="00872293">
        <w:rPr>
          <w:rFonts w:ascii="Times New Roman" w:hAnsi="Times New Roman" w:cs="Times New Roman"/>
          <w:b/>
          <w:bCs/>
          <w:noProof/>
        </w:rPr>
        <w:t>1</w:t>
      </w:r>
      <w:r w:rsidRPr="00872293">
        <w:rPr>
          <w:rFonts w:ascii="Times New Roman" w:hAnsi="Times New Roman" w:cs="Times New Roman"/>
          <w:noProof/>
        </w:rPr>
        <w:t>: 534–545.</w:t>
      </w:r>
    </w:p>
    <w:p w14:paraId="1F21FB6B"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Pan Y, Birdsey RA, Fang J, Houghton R, Kauppi PE, Kurz WA, Phillips OL, Shvidenko A, Lewis SL, Canadell JG,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xml:space="preserve">. A large and persistent carbon sink in the world’s forests.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333</w:t>
      </w:r>
      <w:r w:rsidRPr="00872293">
        <w:rPr>
          <w:rFonts w:ascii="Times New Roman" w:hAnsi="Times New Roman" w:cs="Times New Roman"/>
          <w:noProof/>
        </w:rPr>
        <w:t>: 988–993.</w:t>
      </w:r>
    </w:p>
    <w:p w14:paraId="75B6F3D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Parrotta JA, Lodge DJ</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Fine Root Dynamics in a Subtropical Wet Forest Following Hurricane Disturbance in Puerto Rico. </w:t>
      </w:r>
      <w:r w:rsidRPr="00872293">
        <w:rPr>
          <w:rFonts w:ascii="Times New Roman" w:hAnsi="Times New Roman" w:cs="Times New Roman"/>
          <w:i/>
          <w:iCs/>
          <w:noProof/>
        </w:rPr>
        <w:t>Biotropica</w:t>
      </w:r>
      <w:r w:rsidRPr="00872293">
        <w:rPr>
          <w:rFonts w:ascii="Times New Roman" w:hAnsi="Times New Roman" w:cs="Times New Roman"/>
          <w:noProof/>
        </w:rPr>
        <w:t>: 343–347.</w:t>
      </w:r>
    </w:p>
    <w:p w14:paraId="06B4586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Pasch RJ, Penny AB, Berg R</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National Hurricane center tropical cyclone report: Hurricane Maria (AL152017). </w:t>
      </w:r>
      <w:r w:rsidRPr="00872293">
        <w:rPr>
          <w:rFonts w:ascii="Times New Roman" w:hAnsi="Times New Roman" w:cs="Times New Roman"/>
          <w:i/>
          <w:iCs/>
          <w:noProof/>
        </w:rPr>
        <w:t>National Weather Service</w:t>
      </w:r>
      <w:r w:rsidRPr="00872293">
        <w:rPr>
          <w:rFonts w:ascii="Times New Roman" w:hAnsi="Times New Roman" w:cs="Times New Roman"/>
          <w:noProof/>
        </w:rPr>
        <w:t>.</w:t>
      </w:r>
    </w:p>
    <w:p w14:paraId="4FAFC879"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Peters DPC, Lugo AE, Chapin FS, Pickett STA, Duniway M, Rocha A V., Swanson FJ, Laney C, Jones J</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xml:space="preserve">. Cross-system comparisons elucidate disturbance complexities and generalities. </w:t>
      </w:r>
      <w:r w:rsidRPr="00872293">
        <w:rPr>
          <w:rFonts w:ascii="Times New Roman" w:hAnsi="Times New Roman" w:cs="Times New Roman"/>
          <w:i/>
          <w:iCs/>
          <w:noProof/>
        </w:rPr>
        <w:t>Ecosphere</w:t>
      </w:r>
      <w:r w:rsidRPr="00872293">
        <w:rPr>
          <w:rFonts w:ascii="Times New Roman" w:hAnsi="Times New Roman" w:cs="Times New Roman"/>
          <w:noProof/>
        </w:rPr>
        <w:t xml:space="preserve"> </w:t>
      </w:r>
      <w:r w:rsidRPr="00872293">
        <w:rPr>
          <w:rFonts w:ascii="Times New Roman" w:hAnsi="Times New Roman" w:cs="Times New Roman"/>
          <w:b/>
          <w:bCs/>
          <w:noProof/>
        </w:rPr>
        <w:t>2</w:t>
      </w:r>
      <w:r w:rsidRPr="00872293">
        <w:rPr>
          <w:rFonts w:ascii="Times New Roman" w:hAnsi="Times New Roman" w:cs="Times New Roman"/>
          <w:noProof/>
        </w:rPr>
        <w:t>: 1–26.</w:t>
      </w:r>
    </w:p>
    <w:p w14:paraId="25AAA32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Piatek KB, Allen HL</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Nitrogen Mineralization in a Pine Plantation Fifteen Years After </w:t>
      </w:r>
      <w:r w:rsidRPr="00872293">
        <w:rPr>
          <w:rFonts w:ascii="Times New Roman" w:hAnsi="Times New Roman" w:cs="Times New Roman"/>
          <w:noProof/>
        </w:rPr>
        <w:lastRenderedPageBreak/>
        <w:t xml:space="preserve">Harvesting and Site Preparation. </w:t>
      </w:r>
      <w:r w:rsidRPr="00872293">
        <w:rPr>
          <w:rFonts w:ascii="Times New Roman" w:hAnsi="Times New Roman" w:cs="Times New Roman"/>
          <w:i/>
          <w:iCs/>
          <w:noProof/>
        </w:rPr>
        <w:t>Soil Science Society of America Journal</w:t>
      </w:r>
      <w:r w:rsidRPr="00872293">
        <w:rPr>
          <w:rFonts w:ascii="Times New Roman" w:hAnsi="Times New Roman" w:cs="Times New Roman"/>
          <w:noProof/>
        </w:rPr>
        <w:t xml:space="preserve"> </w:t>
      </w:r>
      <w:r w:rsidRPr="00872293">
        <w:rPr>
          <w:rFonts w:ascii="Times New Roman" w:hAnsi="Times New Roman" w:cs="Times New Roman"/>
          <w:b/>
          <w:bCs/>
          <w:noProof/>
        </w:rPr>
        <w:t>63</w:t>
      </w:r>
      <w:r w:rsidRPr="00872293">
        <w:rPr>
          <w:rFonts w:ascii="Times New Roman" w:hAnsi="Times New Roman" w:cs="Times New Roman"/>
          <w:noProof/>
        </w:rPr>
        <w:t>: 990–998.</w:t>
      </w:r>
    </w:p>
    <w:p w14:paraId="1E40BBF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Pregitzer KS, King JS, Burton AJ, Brown SE</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Responses of tree fine roots to temperature.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105–115.</w:t>
      </w:r>
    </w:p>
    <w:p w14:paraId="34770B08"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Pritchard JK, Stephens M, Donnelly P</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Inference of population structure using multilocus genotype data. </w:t>
      </w:r>
      <w:r w:rsidRPr="00872293">
        <w:rPr>
          <w:rFonts w:ascii="Times New Roman" w:hAnsi="Times New Roman" w:cs="Times New Roman"/>
          <w:i/>
          <w:iCs/>
          <w:noProof/>
        </w:rPr>
        <w:t>Genetics</w:t>
      </w:r>
      <w:r w:rsidRPr="00872293">
        <w:rPr>
          <w:rFonts w:ascii="Times New Roman" w:hAnsi="Times New Roman" w:cs="Times New Roman"/>
          <w:noProof/>
        </w:rPr>
        <w:t xml:space="preserve"> </w:t>
      </w:r>
      <w:r w:rsidRPr="00872293">
        <w:rPr>
          <w:rFonts w:ascii="Times New Roman" w:hAnsi="Times New Roman" w:cs="Times New Roman"/>
          <w:b/>
          <w:bCs/>
          <w:noProof/>
        </w:rPr>
        <w:t>155</w:t>
      </w:r>
      <w:r w:rsidRPr="00872293">
        <w:rPr>
          <w:rFonts w:ascii="Times New Roman" w:hAnsi="Times New Roman" w:cs="Times New Roman"/>
          <w:noProof/>
        </w:rPr>
        <w:t>: 945–959.</w:t>
      </w:r>
    </w:p>
    <w:p w14:paraId="55EEFCC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Pugnaire FI, Morillo JA, Peñuelas J, Reich PB, Bardgett RD, Gaxiola A, Wardle DA, van der Putten WH</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Climate change effects on plant-soil feedbacks and consequences for biodiversity and functioning of terrestrial ecosystems.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eaaz1834.</w:t>
      </w:r>
    </w:p>
    <w:p w14:paraId="4C6389E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Van Der Putten WH, Macel M, Visser ME</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Predicting species distribution and abundance responses to climate change: Why it is essential to include biotic interactions across trophic levels. </w:t>
      </w:r>
      <w:r w:rsidRPr="00872293">
        <w:rPr>
          <w:rFonts w:ascii="Times New Roman" w:hAnsi="Times New Roman" w:cs="Times New Roman"/>
          <w:i/>
          <w:iCs/>
          <w:noProof/>
        </w:rPr>
        <w:t>Philosophical Transactions of the Royal Society B: Biological Sciences</w:t>
      </w:r>
      <w:r w:rsidRPr="00872293">
        <w:rPr>
          <w:rFonts w:ascii="Times New Roman" w:hAnsi="Times New Roman" w:cs="Times New Roman"/>
          <w:noProof/>
        </w:rPr>
        <w:t>.</w:t>
      </w:r>
    </w:p>
    <w:p w14:paraId="21AF0EB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Raich JW, Schlesinger WH</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The global carbon dioxide flux in soil respiration and its relationship to vegetation and climate. </w:t>
      </w:r>
      <w:r w:rsidRPr="00872293">
        <w:rPr>
          <w:rFonts w:ascii="Times New Roman" w:hAnsi="Times New Roman" w:cs="Times New Roman"/>
          <w:i/>
          <w:iCs/>
          <w:noProof/>
        </w:rPr>
        <w:t>Tellus B</w:t>
      </w:r>
      <w:r w:rsidRPr="00872293">
        <w:rPr>
          <w:rFonts w:ascii="Times New Roman" w:hAnsi="Times New Roman" w:cs="Times New Roman"/>
          <w:noProof/>
        </w:rPr>
        <w:t xml:space="preserve"> </w:t>
      </w:r>
      <w:r w:rsidRPr="00872293">
        <w:rPr>
          <w:rFonts w:ascii="Times New Roman" w:hAnsi="Times New Roman" w:cs="Times New Roman"/>
          <w:b/>
          <w:bCs/>
          <w:noProof/>
        </w:rPr>
        <w:t>44</w:t>
      </w:r>
      <w:r w:rsidRPr="00872293">
        <w:rPr>
          <w:rFonts w:ascii="Times New Roman" w:hAnsi="Times New Roman" w:cs="Times New Roman"/>
          <w:noProof/>
        </w:rPr>
        <w:t>: 81–99.</w:t>
      </w:r>
    </w:p>
    <w:p w14:paraId="53D405C7"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Ratajczak Z, Carpenter SR, Ives AR, Kucharik CJ, Ramiadantsoa T, Stegner MA, Williams JW, Zhang J, Turner MG</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Abrupt Change in Ecological Systems: Inference and Diagnosis. </w:t>
      </w:r>
      <w:r w:rsidRPr="00872293">
        <w:rPr>
          <w:rFonts w:ascii="Times New Roman" w:hAnsi="Times New Roman" w:cs="Times New Roman"/>
          <w:i/>
          <w:iCs/>
          <w:noProof/>
        </w:rPr>
        <w:t>Trends in 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33</w:t>
      </w:r>
      <w:r w:rsidRPr="00872293">
        <w:rPr>
          <w:rFonts w:ascii="Times New Roman" w:hAnsi="Times New Roman" w:cs="Times New Roman"/>
          <w:noProof/>
        </w:rPr>
        <w:t>: 513–526.</w:t>
      </w:r>
    </w:p>
    <w:p w14:paraId="07EE7CD6"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Reed SC, Reibold R, Cavaleri MA, Alonso-Rodríguez AM, Berberich ME, Wood TE</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Soil biogeochemical responses of a tropical forest to warming and hurricane disturbance. In: Advances in Ecological Research. 226–248.</w:t>
      </w:r>
    </w:p>
    <w:p w14:paraId="6337D38A" w14:textId="66C95026"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Rocha JC, Peterson GD, Biggs R</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Regime shifts in the anthropocene: Drivers, risks, and resilience. </w:t>
      </w:r>
      <w:r w:rsidRPr="00872293">
        <w:rPr>
          <w:rFonts w:ascii="Times New Roman" w:hAnsi="Times New Roman" w:cs="Times New Roman"/>
          <w:i/>
          <w:iCs/>
          <w:noProof/>
        </w:rPr>
        <w:t>PLoS ONE</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w:t>
      </w:r>
    </w:p>
    <w:p w14:paraId="462E9101" w14:textId="7762FA0D" w:rsidR="00C91FA6" w:rsidRPr="00872293" w:rsidRDefault="00C91FA6" w:rsidP="00C31F1B">
      <w:pPr>
        <w:widowControl w:val="0"/>
        <w:autoSpaceDE w:val="0"/>
        <w:autoSpaceDN w:val="0"/>
        <w:adjustRightInd w:val="0"/>
        <w:spacing w:before="240" w:line="360" w:lineRule="auto"/>
        <w:rPr>
          <w:rFonts w:ascii="Times New Roman" w:hAnsi="Times New Roman" w:cs="Times New Roman"/>
          <w:shd w:val="clear" w:color="auto" w:fill="FFFFFF"/>
        </w:rPr>
      </w:pPr>
      <w:r w:rsidRPr="00872293">
        <w:rPr>
          <w:rFonts w:ascii="Times New Roman" w:hAnsi="Times New Roman" w:cs="Times New Roman"/>
          <w:b/>
          <w:bCs/>
          <w:shd w:val="clear" w:color="auto" w:fill="FFFFFF"/>
        </w:rPr>
        <w:t>Roes S, Wood T, Reed S, Cavaler</w:t>
      </w:r>
      <w:r w:rsidR="00E73604" w:rsidRPr="00872293">
        <w:rPr>
          <w:rFonts w:ascii="Times New Roman" w:hAnsi="Times New Roman" w:cs="Times New Roman"/>
          <w:b/>
          <w:bCs/>
          <w:shd w:val="clear" w:color="auto" w:fill="FFFFFF"/>
        </w:rPr>
        <w:t>i</w:t>
      </w:r>
      <w:r w:rsidRPr="00872293">
        <w:rPr>
          <w:rFonts w:ascii="Times New Roman" w:hAnsi="Times New Roman" w:cs="Times New Roman"/>
          <w:b/>
          <w:bCs/>
          <w:shd w:val="clear" w:color="auto" w:fill="FFFFFF"/>
        </w:rPr>
        <w:t xml:space="preserve"> M.</w:t>
      </w:r>
      <w:r w:rsidRPr="00872293">
        <w:rPr>
          <w:rFonts w:ascii="Times New Roman" w:hAnsi="Times New Roman" w:cs="Times New Roman"/>
          <w:shd w:val="clear" w:color="auto" w:fill="FFFFFF"/>
        </w:rPr>
        <w:t xml:space="preserve"> Warming effects on litter decomposition and carbon cycling in a tropical forest. </w:t>
      </w:r>
      <w:r w:rsidRPr="00872293">
        <w:rPr>
          <w:rFonts w:ascii="Times New Roman" w:hAnsi="Times New Roman" w:cs="Times New Roman"/>
          <w:i/>
          <w:iCs/>
          <w:shd w:val="clear" w:color="auto" w:fill="FFFFFF"/>
        </w:rPr>
        <w:t>Forthcoming.</w:t>
      </w:r>
    </w:p>
    <w:p w14:paraId="6FBB3F01" w14:textId="2D919C86"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Rustad LE, Campbell JL, Marion GM, Norby RJ, Mitchell MJ, Hartley AE, Cornelissen JHC, Gurevitch J, Alward R, Beier C,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2001</w:t>
      </w:r>
      <w:r w:rsidRPr="00872293">
        <w:rPr>
          <w:rFonts w:ascii="Times New Roman" w:hAnsi="Times New Roman" w:cs="Times New Roman"/>
          <w:noProof/>
        </w:rPr>
        <w:t xml:space="preserve">. A meta-analysis of the response of soil </w:t>
      </w:r>
      <w:r w:rsidRPr="00872293">
        <w:rPr>
          <w:rFonts w:ascii="Times New Roman" w:hAnsi="Times New Roman" w:cs="Times New Roman"/>
          <w:noProof/>
        </w:rPr>
        <w:lastRenderedPageBreak/>
        <w:t xml:space="preserve">respiration, net nitrogen mineralization, and aboveground plant growth to experimental ecosystem warming.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126</w:t>
      </w:r>
      <w:r w:rsidRPr="00872293">
        <w:rPr>
          <w:rFonts w:ascii="Times New Roman" w:hAnsi="Times New Roman" w:cs="Times New Roman"/>
          <w:noProof/>
        </w:rPr>
        <w:t>: 543–562.</w:t>
      </w:r>
    </w:p>
    <w:p w14:paraId="7D6CFC7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Saugier B, Roy J, Mooney HA</w:t>
      </w:r>
      <w:r w:rsidRPr="00872293">
        <w:rPr>
          <w:rFonts w:ascii="Times New Roman" w:hAnsi="Times New Roman" w:cs="Times New Roman"/>
          <w:noProof/>
        </w:rPr>
        <w:t xml:space="preserve">. </w:t>
      </w:r>
      <w:r w:rsidRPr="00872293">
        <w:rPr>
          <w:rFonts w:ascii="Times New Roman" w:hAnsi="Times New Roman" w:cs="Times New Roman"/>
          <w:b/>
          <w:bCs/>
          <w:noProof/>
        </w:rPr>
        <w:t>2001</w:t>
      </w:r>
      <w:r w:rsidRPr="00872293">
        <w:rPr>
          <w:rFonts w:ascii="Times New Roman" w:hAnsi="Times New Roman" w:cs="Times New Roman"/>
          <w:noProof/>
        </w:rPr>
        <w:t>. Estimations of global terrestrial productivity: converging toward a single number? In: Roy J, Saugier B, Mooney HA, eds. Terrestrial Global Productivity. New York: Academic Press, 543–557.</w:t>
      </w:r>
    </w:p>
    <w:p w14:paraId="591DC7F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Scatena FN</w:t>
      </w:r>
      <w:r w:rsidRPr="00872293">
        <w:rPr>
          <w:rFonts w:ascii="Times New Roman" w:hAnsi="Times New Roman" w:cs="Times New Roman"/>
          <w:noProof/>
        </w:rPr>
        <w:t xml:space="preserve">. </w:t>
      </w:r>
      <w:r w:rsidRPr="00872293">
        <w:rPr>
          <w:rFonts w:ascii="Times New Roman" w:hAnsi="Times New Roman" w:cs="Times New Roman"/>
          <w:b/>
          <w:bCs/>
          <w:noProof/>
        </w:rPr>
        <w:t>1989</w:t>
      </w:r>
      <w:r w:rsidRPr="00872293">
        <w:rPr>
          <w:rFonts w:ascii="Times New Roman" w:hAnsi="Times New Roman" w:cs="Times New Roman"/>
          <w:noProof/>
        </w:rPr>
        <w:t xml:space="preserve">. An Introduction to the Physiography and History of the Bisley Experimental Watersheds in the Luquillo Mountains of Puerto Rico. </w:t>
      </w:r>
      <w:r w:rsidRPr="00872293">
        <w:rPr>
          <w:rFonts w:ascii="Times New Roman" w:hAnsi="Times New Roman" w:cs="Times New Roman"/>
          <w:i/>
          <w:iCs/>
          <w:noProof/>
        </w:rPr>
        <w:t>Forest Service- Southern Forest Experiment Station; General Technical Report SO-72</w:t>
      </w:r>
      <w:r w:rsidRPr="00872293">
        <w:rPr>
          <w:rFonts w:ascii="Times New Roman" w:hAnsi="Times New Roman" w:cs="Times New Roman"/>
          <w:noProof/>
        </w:rPr>
        <w:t xml:space="preserve"> </w:t>
      </w:r>
      <w:r w:rsidRPr="00872293">
        <w:rPr>
          <w:rFonts w:ascii="Times New Roman" w:hAnsi="Times New Roman" w:cs="Times New Roman"/>
          <w:b/>
          <w:bCs/>
          <w:noProof/>
        </w:rPr>
        <w:t>72</w:t>
      </w:r>
      <w:r w:rsidRPr="00872293">
        <w:rPr>
          <w:rFonts w:ascii="Times New Roman" w:hAnsi="Times New Roman" w:cs="Times New Roman"/>
          <w:noProof/>
        </w:rPr>
        <w:t>: 22.</w:t>
      </w:r>
    </w:p>
    <w:p w14:paraId="668DB9E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Schenk HJ, Jackson RB</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The global biogeography of roots. </w:t>
      </w:r>
      <w:r w:rsidRPr="00872293">
        <w:rPr>
          <w:rFonts w:ascii="Times New Roman" w:hAnsi="Times New Roman" w:cs="Times New Roman"/>
          <w:i/>
          <w:iCs/>
          <w:noProof/>
        </w:rPr>
        <w:t>Ecological Monographs</w:t>
      </w:r>
      <w:r w:rsidRPr="00872293">
        <w:rPr>
          <w:rFonts w:ascii="Times New Roman" w:hAnsi="Times New Roman" w:cs="Times New Roman"/>
          <w:noProof/>
        </w:rPr>
        <w:t xml:space="preserve"> </w:t>
      </w:r>
      <w:r w:rsidRPr="00872293">
        <w:rPr>
          <w:rFonts w:ascii="Times New Roman" w:hAnsi="Times New Roman" w:cs="Times New Roman"/>
          <w:b/>
          <w:bCs/>
          <w:noProof/>
        </w:rPr>
        <w:t>72</w:t>
      </w:r>
      <w:r w:rsidRPr="00872293">
        <w:rPr>
          <w:rFonts w:ascii="Times New Roman" w:hAnsi="Times New Roman" w:cs="Times New Roman"/>
          <w:noProof/>
        </w:rPr>
        <w:t>: 311–328.</w:t>
      </w:r>
    </w:p>
    <w:p w14:paraId="6622BFD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Shaver GR, Candell J, Chapin FS, Gurevitch J, Harte J, Henry G, Ineson P, Jonasson S, Melillo J, Pitelka L,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Global Warming and Terrestrial Ecosystems: A Conceptual Framework for Analysis. </w:t>
      </w:r>
      <w:r w:rsidRPr="00872293">
        <w:rPr>
          <w:rFonts w:ascii="Times New Roman" w:hAnsi="Times New Roman" w:cs="Times New Roman"/>
          <w:i/>
          <w:iCs/>
          <w:noProof/>
        </w:rPr>
        <w:t>BioScience</w:t>
      </w:r>
      <w:r w:rsidRPr="00872293">
        <w:rPr>
          <w:rFonts w:ascii="Times New Roman" w:hAnsi="Times New Roman" w:cs="Times New Roman"/>
          <w:noProof/>
        </w:rPr>
        <w:t xml:space="preserve"> </w:t>
      </w:r>
      <w:r w:rsidRPr="00872293">
        <w:rPr>
          <w:rFonts w:ascii="Times New Roman" w:hAnsi="Times New Roman" w:cs="Times New Roman"/>
          <w:b/>
          <w:bCs/>
          <w:noProof/>
        </w:rPr>
        <w:t>50</w:t>
      </w:r>
      <w:r w:rsidRPr="00872293">
        <w:rPr>
          <w:rFonts w:ascii="Times New Roman" w:hAnsi="Times New Roman" w:cs="Times New Roman"/>
          <w:noProof/>
        </w:rPr>
        <w:t>: 871–882.</w:t>
      </w:r>
    </w:p>
    <w:p w14:paraId="5E25A56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Silver WL, Lugo AE, Keller M</w:t>
      </w:r>
      <w:r w:rsidRPr="00872293">
        <w:rPr>
          <w:rFonts w:ascii="Times New Roman" w:hAnsi="Times New Roman" w:cs="Times New Roman"/>
          <w:noProof/>
        </w:rPr>
        <w:t xml:space="preserve">. </w:t>
      </w:r>
      <w:r w:rsidRPr="00872293">
        <w:rPr>
          <w:rFonts w:ascii="Times New Roman" w:hAnsi="Times New Roman" w:cs="Times New Roman"/>
          <w:b/>
          <w:bCs/>
          <w:noProof/>
        </w:rPr>
        <w:t>1999</w:t>
      </w:r>
      <w:r w:rsidRPr="00872293">
        <w:rPr>
          <w:rFonts w:ascii="Times New Roman" w:hAnsi="Times New Roman" w:cs="Times New Roman"/>
          <w:noProof/>
        </w:rPr>
        <w:t xml:space="preserve">. Soil oxygen availability and biogeochemistry along rainfall and topographic gradients in upland wet tropical forest soils. </w:t>
      </w:r>
      <w:r w:rsidRPr="00872293">
        <w:rPr>
          <w:rFonts w:ascii="Times New Roman" w:hAnsi="Times New Roman" w:cs="Times New Roman"/>
          <w:i/>
          <w:iCs/>
          <w:noProof/>
        </w:rPr>
        <w:t>Biogeochemistry</w:t>
      </w:r>
      <w:r w:rsidRPr="00872293">
        <w:rPr>
          <w:rFonts w:ascii="Times New Roman" w:hAnsi="Times New Roman" w:cs="Times New Roman"/>
          <w:noProof/>
        </w:rPr>
        <w:t xml:space="preserve"> </w:t>
      </w:r>
      <w:r w:rsidRPr="00872293">
        <w:rPr>
          <w:rFonts w:ascii="Times New Roman" w:hAnsi="Times New Roman" w:cs="Times New Roman"/>
          <w:b/>
          <w:bCs/>
          <w:noProof/>
        </w:rPr>
        <w:t>44</w:t>
      </w:r>
      <w:r w:rsidRPr="00872293">
        <w:rPr>
          <w:rFonts w:ascii="Times New Roman" w:hAnsi="Times New Roman" w:cs="Times New Roman"/>
          <w:noProof/>
        </w:rPr>
        <w:t>: 301–328.</w:t>
      </w:r>
    </w:p>
    <w:p w14:paraId="6546DFD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Silver WL, Vogt KA</w:t>
      </w:r>
      <w:r w:rsidRPr="00872293">
        <w:rPr>
          <w:rFonts w:ascii="Times New Roman" w:hAnsi="Times New Roman" w:cs="Times New Roman"/>
          <w:noProof/>
        </w:rPr>
        <w:t xml:space="preserve">. </w:t>
      </w:r>
      <w:r w:rsidRPr="00872293">
        <w:rPr>
          <w:rFonts w:ascii="Times New Roman" w:hAnsi="Times New Roman" w:cs="Times New Roman"/>
          <w:b/>
          <w:bCs/>
          <w:noProof/>
        </w:rPr>
        <w:t>1993</w:t>
      </w:r>
      <w:r w:rsidRPr="00872293">
        <w:rPr>
          <w:rFonts w:ascii="Times New Roman" w:hAnsi="Times New Roman" w:cs="Times New Roman"/>
          <w:noProof/>
        </w:rPr>
        <w:t xml:space="preserve">. Fine Root Dynamics Following Single and Multiple Disturbances in a Subtropical Wet Forest Ecosystem. </w:t>
      </w:r>
      <w:r w:rsidRPr="00872293">
        <w:rPr>
          <w:rFonts w:ascii="Times New Roman" w:hAnsi="Times New Roman" w:cs="Times New Roman"/>
          <w:i/>
          <w:iCs/>
          <w:noProof/>
        </w:rPr>
        <w:t>The Journal of Ecology</w:t>
      </w:r>
      <w:r w:rsidRPr="00872293">
        <w:rPr>
          <w:rFonts w:ascii="Times New Roman" w:hAnsi="Times New Roman" w:cs="Times New Roman"/>
          <w:noProof/>
        </w:rPr>
        <w:t>.</w:t>
      </w:r>
    </w:p>
    <w:p w14:paraId="6B0543B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Steffen W, Richardson K, Rockström J, Cornell SE, Fetzer I, Bennett EM, Biggs R, Carpenter SR, De Vries W, De Wit CA,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Planetary boundaries: Guiding human development on a changing planet.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347</w:t>
      </w:r>
      <w:r w:rsidRPr="00872293">
        <w:rPr>
          <w:rFonts w:ascii="Times New Roman" w:hAnsi="Times New Roman" w:cs="Times New Roman"/>
          <w:noProof/>
        </w:rPr>
        <w:t>: 6223.</w:t>
      </w:r>
    </w:p>
    <w:p w14:paraId="4404C2A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Stocker TF, Qin D, Plattner GK, Tignor MMB, Allen SK, Boschung J, Nauels A, Xia Y, Bex V, Midgley PM</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w:t>
      </w:r>
      <w:r w:rsidRPr="00872293">
        <w:rPr>
          <w:rFonts w:ascii="Times New Roman" w:hAnsi="Times New Roman" w:cs="Times New Roman"/>
          <w:i/>
          <w:iCs/>
          <w:noProof/>
        </w:rPr>
        <w:t>Climate change 2013 the physical science basis: Working Group I contribution to the fifth assessment report of the intergovernmental panel on climate change</w:t>
      </w:r>
      <w:r w:rsidRPr="00872293">
        <w:rPr>
          <w:rFonts w:ascii="Times New Roman" w:hAnsi="Times New Roman" w:cs="Times New Roman"/>
          <w:noProof/>
        </w:rPr>
        <w:t>.</w:t>
      </w:r>
    </w:p>
    <w:p w14:paraId="05ACCA4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Taylor BN, Beidler K V., Strand AE, Pritchard SG</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Improved scaling of minirhizotron data using an empirically-derived depth of field and correcting for the underestimation of root </w:t>
      </w:r>
      <w:r w:rsidRPr="00872293">
        <w:rPr>
          <w:rFonts w:ascii="Times New Roman" w:hAnsi="Times New Roman" w:cs="Times New Roman"/>
          <w:noProof/>
        </w:rPr>
        <w:lastRenderedPageBreak/>
        <w:t xml:space="preserve">diameters.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374</w:t>
      </w:r>
      <w:r w:rsidRPr="00872293">
        <w:rPr>
          <w:rFonts w:ascii="Times New Roman" w:hAnsi="Times New Roman" w:cs="Times New Roman"/>
          <w:noProof/>
        </w:rPr>
        <w:t>: 941–948.</w:t>
      </w:r>
    </w:p>
    <w:p w14:paraId="50D9BDF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Teh YA, Silver WL, Scatena FN</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A decade of belowground reorganization following multiple disturbances in a subtropical wet forest.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323</w:t>
      </w:r>
      <w:r w:rsidRPr="00872293">
        <w:rPr>
          <w:rFonts w:ascii="Times New Roman" w:hAnsi="Times New Roman" w:cs="Times New Roman"/>
          <w:noProof/>
        </w:rPr>
        <w:t>: 197–212.</w:t>
      </w:r>
    </w:p>
    <w:p w14:paraId="4C58BBD0"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Templer PH, Silver WL, Pett-Ridge J, DeAngelis KM, Firestone MK</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Plant and microbial controls on nitrogen retention and loss in a humid tropical forest.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89</w:t>
      </w:r>
      <w:r w:rsidRPr="00872293">
        <w:rPr>
          <w:rFonts w:ascii="Times New Roman" w:hAnsi="Times New Roman" w:cs="Times New Roman"/>
          <w:noProof/>
        </w:rPr>
        <w:t>: 3030–3040.</w:t>
      </w:r>
    </w:p>
    <w:p w14:paraId="0329FEA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Tierney GL, Fahey TJ, Groffman PM, Hardy JP, Fitzhugh RD, Driscoll CT, Yavitt JB</w:t>
      </w:r>
      <w:r w:rsidRPr="00872293">
        <w:rPr>
          <w:rFonts w:ascii="Times New Roman" w:hAnsi="Times New Roman" w:cs="Times New Roman"/>
          <w:noProof/>
        </w:rPr>
        <w:t xml:space="preserve">. </w:t>
      </w:r>
      <w:r w:rsidRPr="00872293">
        <w:rPr>
          <w:rFonts w:ascii="Times New Roman" w:hAnsi="Times New Roman" w:cs="Times New Roman"/>
          <w:b/>
          <w:bCs/>
          <w:noProof/>
        </w:rPr>
        <w:t>2003</w:t>
      </w:r>
      <w:r w:rsidRPr="00872293">
        <w:rPr>
          <w:rFonts w:ascii="Times New Roman" w:hAnsi="Times New Roman" w:cs="Times New Roman"/>
          <w:noProof/>
        </w:rPr>
        <w:t xml:space="preserve">. Environmental control of fine root dynamics in a northern hardwood forest.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9</w:t>
      </w:r>
      <w:r w:rsidRPr="00872293">
        <w:rPr>
          <w:rFonts w:ascii="Times New Roman" w:hAnsi="Times New Roman" w:cs="Times New Roman"/>
          <w:noProof/>
        </w:rPr>
        <w:t>: 670–679.</w:t>
      </w:r>
    </w:p>
    <w:p w14:paraId="7D1BB35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Uriarte M, Muscarella R, Zimmerman JK</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Environmental heterogeneity and biotic interactions mediate climate impacts on tropical forest regeneration.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24</w:t>
      </w:r>
      <w:r w:rsidRPr="00872293">
        <w:rPr>
          <w:rFonts w:ascii="Times New Roman" w:hAnsi="Times New Roman" w:cs="Times New Roman"/>
          <w:noProof/>
        </w:rPr>
        <w:t>: 692–704.</w:t>
      </w:r>
    </w:p>
    <w:p w14:paraId="2ABD27C5"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Uriarte M, Thompson J, Zimmerman JK</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Hurricane María tripled stem breaks and doubled tree mortality relative to other major storms. </w:t>
      </w:r>
      <w:r w:rsidRPr="00872293">
        <w:rPr>
          <w:rFonts w:ascii="Times New Roman" w:hAnsi="Times New Roman" w:cs="Times New Roman"/>
          <w:i/>
          <w:iCs/>
          <w:noProof/>
        </w:rPr>
        <w:t>Nature Communications</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1–7.</w:t>
      </w:r>
    </w:p>
    <w:p w14:paraId="35AB7C78"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Urquiaga S, Cadisch G, Alves BJR, Boddey RM, Giller KE</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Influence of decomposition of roots of tropical forage species on the availability of soil nitrogen. </w:t>
      </w:r>
      <w:r w:rsidRPr="00872293">
        <w:rPr>
          <w:rFonts w:ascii="Times New Roman" w:hAnsi="Times New Roman" w:cs="Times New Roman"/>
          <w:i/>
          <w:iCs/>
          <w:noProof/>
        </w:rPr>
        <w:t>Soil Biology and Biochemistry</w:t>
      </w:r>
      <w:r w:rsidRPr="00872293">
        <w:rPr>
          <w:rFonts w:ascii="Times New Roman" w:hAnsi="Times New Roman" w:cs="Times New Roman"/>
          <w:noProof/>
        </w:rPr>
        <w:t xml:space="preserve"> </w:t>
      </w:r>
      <w:r w:rsidRPr="00872293">
        <w:rPr>
          <w:rFonts w:ascii="Times New Roman" w:hAnsi="Times New Roman" w:cs="Times New Roman"/>
          <w:b/>
          <w:bCs/>
          <w:noProof/>
        </w:rPr>
        <w:t>30</w:t>
      </w:r>
      <w:r w:rsidRPr="00872293">
        <w:rPr>
          <w:rFonts w:ascii="Times New Roman" w:hAnsi="Times New Roman" w:cs="Times New Roman"/>
          <w:noProof/>
        </w:rPr>
        <w:t>: 2099–2106.</w:t>
      </w:r>
    </w:p>
    <w:p w14:paraId="0ED2E18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Vargas R, Hasselquist N, Allen EB, Allen MF</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Effects of a hurricane disturbance on aboveground forest structure, arbuscular mycorrhizae and belowground carbon in a restored tropical forest. </w:t>
      </w:r>
      <w:r w:rsidRPr="00872293">
        <w:rPr>
          <w:rFonts w:ascii="Times New Roman" w:hAnsi="Times New Roman" w:cs="Times New Roman"/>
          <w:i/>
          <w:iCs/>
          <w:noProof/>
        </w:rPr>
        <w:t>Ecosystems</w:t>
      </w:r>
      <w:r w:rsidRPr="00872293">
        <w:rPr>
          <w:rFonts w:ascii="Times New Roman" w:hAnsi="Times New Roman" w:cs="Times New Roman"/>
          <w:noProof/>
        </w:rPr>
        <w:t xml:space="preserve"> </w:t>
      </w:r>
      <w:r w:rsidRPr="00872293">
        <w:rPr>
          <w:rFonts w:ascii="Times New Roman" w:hAnsi="Times New Roman" w:cs="Times New Roman"/>
          <w:b/>
          <w:bCs/>
          <w:noProof/>
        </w:rPr>
        <w:t>13</w:t>
      </w:r>
      <w:r w:rsidRPr="00872293">
        <w:rPr>
          <w:rFonts w:ascii="Times New Roman" w:hAnsi="Times New Roman" w:cs="Times New Roman"/>
          <w:noProof/>
        </w:rPr>
        <w:t>: 118–128.</w:t>
      </w:r>
    </w:p>
    <w:p w14:paraId="4B2210D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Veldkamp E</w:t>
      </w:r>
      <w:r w:rsidRPr="00872293">
        <w:rPr>
          <w:rFonts w:ascii="Times New Roman" w:hAnsi="Times New Roman" w:cs="Times New Roman"/>
          <w:noProof/>
        </w:rPr>
        <w:t xml:space="preserve">. </w:t>
      </w:r>
      <w:r w:rsidRPr="00872293">
        <w:rPr>
          <w:rFonts w:ascii="Times New Roman" w:hAnsi="Times New Roman" w:cs="Times New Roman"/>
          <w:b/>
          <w:bCs/>
          <w:noProof/>
        </w:rPr>
        <w:t>1993</w:t>
      </w:r>
      <w:r w:rsidRPr="00872293">
        <w:rPr>
          <w:rFonts w:ascii="Times New Roman" w:hAnsi="Times New Roman" w:cs="Times New Roman"/>
          <w:noProof/>
        </w:rPr>
        <w:t xml:space="preserve">. </w:t>
      </w:r>
      <w:r w:rsidRPr="00872293">
        <w:rPr>
          <w:rFonts w:ascii="Times New Roman" w:hAnsi="Times New Roman" w:cs="Times New Roman"/>
          <w:i/>
          <w:iCs/>
          <w:noProof/>
        </w:rPr>
        <w:t>Soil organic carbon dynamics in pastures established after deforestation in the humid tropics of Costa Rica</w:t>
      </w:r>
      <w:r w:rsidRPr="00872293">
        <w:rPr>
          <w:rFonts w:ascii="Times New Roman" w:hAnsi="Times New Roman" w:cs="Times New Roman"/>
          <w:noProof/>
        </w:rPr>
        <w:t>.</w:t>
      </w:r>
    </w:p>
    <w:p w14:paraId="74EDE9EA"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de Vries FT, Griffiths RI, Bailey M, Craig H, Girlanda M, Gweon HS, Hallin S, Kaisermann A, Keith AM, Kretzschmar 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Soil bacterial networks are less stable under drought than fungal networks. </w:t>
      </w:r>
      <w:r w:rsidRPr="00872293">
        <w:rPr>
          <w:rFonts w:ascii="Times New Roman" w:hAnsi="Times New Roman" w:cs="Times New Roman"/>
          <w:i/>
          <w:iCs/>
          <w:noProof/>
        </w:rPr>
        <w:t>Nature Communications</w:t>
      </w:r>
      <w:r w:rsidRPr="00872293">
        <w:rPr>
          <w:rFonts w:ascii="Times New Roman" w:hAnsi="Times New Roman" w:cs="Times New Roman"/>
          <w:noProof/>
        </w:rPr>
        <w:t xml:space="preserve"> </w:t>
      </w:r>
      <w:r w:rsidRPr="00872293">
        <w:rPr>
          <w:rFonts w:ascii="Times New Roman" w:hAnsi="Times New Roman" w:cs="Times New Roman"/>
          <w:b/>
          <w:bCs/>
          <w:noProof/>
        </w:rPr>
        <w:t>9</w:t>
      </w:r>
      <w:r w:rsidRPr="00872293">
        <w:rPr>
          <w:rFonts w:ascii="Times New Roman" w:hAnsi="Times New Roman" w:cs="Times New Roman"/>
          <w:noProof/>
        </w:rPr>
        <w:t>: 3033.</w:t>
      </w:r>
    </w:p>
    <w:p w14:paraId="6633AAF8"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Wan S, Norby RJ, Pregitzer KS, Ledford J, O’Neill EG</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CO2 enrichment and warming of the atmosphere enhance both productivity and mortality of maple tree fine roots.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162</w:t>
      </w:r>
      <w:r w:rsidRPr="00872293">
        <w:rPr>
          <w:rFonts w:ascii="Times New Roman" w:hAnsi="Times New Roman" w:cs="Times New Roman"/>
          <w:noProof/>
        </w:rPr>
        <w:t>: 436–446.</w:t>
      </w:r>
    </w:p>
    <w:p w14:paraId="6732DAC3"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Whitaker RH</w:t>
      </w:r>
      <w:r w:rsidRPr="00872293">
        <w:rPr>
          <w:rFonts w:ascii="Times New Roman" w:hAnsi="Times New Roman" w:cs="Times New Roman"/>
          <w:noProof/>
        </w:rPr>
        <w:t xml:space="preserve">. </w:t>
      </w:r>
      <w:r w:rsidRPr="00872293">
        <w:rPr>
          <w:rFonts w:ascii="Times New Roman" w:hAnsi="Times New Roman" w:cs="Times New Roman"/>
          <w:b/>
          <w:bCs/>
          <w:noProof/>
        </w:rPr>
        <w:t>1975</w:t>
      </w:r>
      <w:r w:rsidRPr="00872293">
        <w:rPr>
          <w:rFonts w:ascii="Times New Roman" w:hAnsi="Times New Roman" w:cs="Times New Roman"/>
          <w:noProof/>
        </w:rPr>
        <w:t xml:space="preserve">. </w:t>
      </w:r>
      <w:r w:rsidRPr="00872293">
        <w:rPr>
          <w:rFonts w:ascii="Times New Roman" w:hAnsi="Times New Roman" w:cs="Times New Roman"/>
          <w:i/>
          <w:iCs/>
          <w:noProof/>
        </w:rPr>
        <w:t>Communities and ecosystems</w:t>
      </w:r>
      <w:r w:rsidRPr="00872293">
        <w:rPr>
          <w:rFonts w:ascii="Times New Roman" w:hAnsi="Times New Roman" w:cs="Times New Roman"/>
          <w:noProof/>
        </w:rPr>
        <w:t>. New York: Macmillan.</w:t>
      </w:r>
    </w:p>
    <w:p w14:paraId="24FF4F8C"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Wood TE, Cavaleri MA, Giardina CP, Khan S, Mohan JE, Nottingham AT, Reed SC, Slot M</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Soil warming effects on tropical forests with highly weathered soils. In: Ecosystem Consequences of Soil Warming. 385–439.</w:t>
      </w:r>
    </w:p>
    <w:p w14:paraId="719B6621"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Wood TE, Cavaleri MA, Reed SC</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Tropical forest carbon balance in a warmer world: A critical review spanning microbial- to ecosystem-scale processes. </w:t>
      </w:r>
      <w:r w:rsidRPr="00872293">
        <w:rPr>
          <w:rFonts w:ascii="Times New Roman" w:hAnsi="Times New Roman" w:cs="Times New Roman"/>
          <w:i/>
          <w:iCs/>
          <w:noProof/>
        </w:rPr>
        <w:t>Biological Reviews</w:t>
      </w:r>
      <w:r w:rsidRPr="00872293">
        <w:rPr>
          <w:rFonts w:ascii="Times New Roman" w:hAnsi="Times New Roman" w:cs="Times New Roman"/>
          <w:noProof/>
        </w:rPr>
        <w:t xml:space="preserve"> </w:t>
      </w:r>
      <w:r w:rsidRPr="00872293">
        <w:rPr>
          <w:rFonts w:ascii="Times New Roman" w:hAnsi="Times New Roman" w:cs="Times New Roman"/>
          <w:b/>
          <w:bCs/>
          <w:noProof/>
        </w:rPr>
        <w:t>87</w:t>
      </w:r>
      <w:r w:rsidRPr="00872293">
        <w:rPr>
          <w:rFonts w:ascii="Times New Roman" w:hAnsi="Times New Roman" w:cs="Times New Roman"/>
          <w:noProof/>
        </w:rPr>
        <w:t>: 912–927.</w:t>
      </w:r>
    </w:p>
    <w:p w14:paraId="71A9E9A2"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Wood TE, Silver WL</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Strong spatial variability in trace gasdynamics following experimental drought in a humid tropical forest. </w:t>
      </w:r>
      <w:r w:rsidRPr="00872293">
        <w:rPr>
          <w:rFonts w:ascii="Times New Roman" w:hAnsi="Times New Roman" w:cs="Times New Roman"/>
          <w:i/>
          <w:iCs/>
          <w:noProof/>
        </w:rPr>
        <w:t>Global Biogeochemical Cycles</w:t>
      </w:r>
      <w:r w:rsidRPr="00872293">
        <w:rPr>
          <w:rFonts w:ascii="Times New Roman" w:hAnsi="Times New Roman" w:cs="Times New Roman"/>
          <w:noProof/>
        </w:rPr>
        <w:t xml:space="preserve"> </w:t>
      </w:r>
      <w:r w:rsidRPr="00872293">
        <w:rPr>
          <w:rFonts w:ascii="Times New Roman" w:hAnsi="Times New Roman" w:cs="Times New Roman"/>
          <w:b/>
          <w:bCs/>
          <w:noProof/>
        </w:rPr>
        <w:t>26</w:t>
      </w:r>
      <w:r w:rsidRPr="00872293">
        <w:rPr>
          <w:rFonts w:ascii="Times New Roman" w:hAnsi="Times New Roman" w:cs="Times New Roman"/>
          <w:noProof/>
        </w:rPr>
        <w:t>.</w:t>
      </w:r>
    </w:p>
    <w:p w14:paraId="1E74F08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Yaffar D, Norby RJ</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A historical and comparative review of 50 years of root data collection in Puerto Rico. </w:t>
      </w:r>
      <w:r w:rsidRPr="00872293">
        <w:rPr>
          <w:rFonts w:ascii="Times New Roman" w:hAnsi="Times New Roman" w:cs="Times New Roman"/>
          <w:i/>
          <w:iCs/>
          <w:noProof/>
        </w:rPr>
        <w:t>Biotropica</w:t>
      </w:r>
      <w:r w:rsidRPr="00872293">
        <w:rPr>
          <w:rFonts w:ascii="Times New Roman" w:hAnsi="Times New Roman" w:cs="Times New Roman"/>
          <w:noProof/>
        </w:rPr>
        <w:t xml:space="preserve"> </w:t>
      </w:r>
      <w:r w:rsidRPr="00872293">
        <w:rPr>
          <w:rFonts w:ascii="Times New Roman" w:hAnsi="Times New Roman" w:cs="Times New Roman"/>
          <w:b/>
          <w:bCs/>
          <w:noProof/>
        </w:rPr>
        <w:t>52</w:t>
      </w:r>
      <w:r w:rsidRPr="00872293">
        <w:rPr>
          <w:rFonts w:ascii="Times New Roman" w:hAnsi="Times New Roman" w:cs="Times New Roman"/>
          <w:noProof/>
        </w:rPr>
        <w:t>: 563–576.</w:t>
      </w:r>
    </w:p>
    <w:p w14:paraId="073D1F14"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Zak DR, Pregitzer KS, King JS, Holmes WE</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Elevated atmospheric CO2, fine roots and the response of soil microorganisms: A review and hypothesis.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201–22.</w:t>
      </w:r>
    </w:p>
    <w:p w14:paraId="4EDDEB2D"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Zhou X, Fei S, Sherry R, Luo Y</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Root Biomass Dynamics Under Experimental Warming and Doubled Precipitation in a Tallgrass Prairie. </w:t>
      </w:r>
      <w:r w:rsidRPr="00872293">
        <w:rPr>
          <w:rFonts w:ascii="Times New Roman" w:hAnsi="Times New Roman" w:cs="Times New Roman"/>
          <w:i/>
          <w:iCs/>
          <w:noProof/>
        </w:rPr>
        <w:t>Ecosystems</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542–554.</w:t>
      </w:r>
    </w:p>
    <w:p w14:paraId="3293FDEE"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Zhou Y, Tang J, Melillo JM, Butler S, Mohan JE</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xml:space="preserve">. Root standing crop and chemistry after six years of soil warming in a temperate forest. </w:t>
      </w:r>
      <w:r w:rsidRPr="00872293">
        <w:rPr>
          <w:rFonts w:ascii="Times New Roman" w:hAnsi="Times New Roman" w:cs="Times New Roman"/>
          <w:i/>
          <w:iCs/>
          <w:noProof/>
        </w:rPr>
        <w:t>Tree Physiology</w:t>
      </w:r>
      <w:r w:rsidRPr="00872293">
        <w:rPr>
          <w:rFonts w:ascii="Times New Roman" w:hAnsi="Times New Roman" w:cs="Times New Roman"/>
          <w:noProof/>
        </w:rPr>
        <w:t xml:space="preserve"> </w:t>
      </w:r>
      <w:r w:rsidRPr="00872293">
        <w:rPr>
          <w:rFonts w:ascii="Times New Roman" w:hAnsi="Times New Roman" w:cs="Times New Roman"/>
          <w:b/>
          <w:bCs/>
          <w:noProof/>
        </w:rPr>
        <w:t>31</w:t>
      </w:r>
      <w:r w:rsidRPr="00872293">
        <w:rPr>
          <w:rFonts w:ascii="Times New Roman" w:hAnsi="Times New Roman" w:cs="Times New Roman"/>
          <w:noProof/>
        </w:rPr>
        <w:t>: 707–717.</w:t>
      </w:r>
    </w:p>
    <w:p w14:paraId="72817278" w14:textId="77777777" w:rsidR="00C31F1B" w:rsidRPr="00872293" w:rsidRDefault="00C31F1B" w:rsidP="00C31F1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Zuur AF, Ieno EN, Walker NJ, Saveliev AA, Smith GM</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w:t>
      </w:r>
      <w:r w:rsidRPr="00872293">
        <w:rPr>
          <w:rFonts w:ascii="Times New Roman" w:hAnsi="Times New Roman" w:cs="Times New Roman"/>
          <w:i/>
          <w:iCs/>
          <w:noProof/>
        </w:rPr>
        <w:t>Statistics for biology and health, mixed effects models and extensions in ecology with R</w:t>
      </w:r>
      <w:r w:rsidRPr="00872293">
        <w:rPr>
          <w:rFonts w:ascii="Times New Roman" w:hAnsi="Times New Roman" w:cs="Times New Roman"/>
          <w:noProof/>
        </w:rPr>
        <w:t>.</w:t>
      </w:r>
    </w:p>
    <w:p w14:paraId="33256285" w14:textId="06654242" w:rsidR="00C31F1B" w:rsidRPr="00872293" w:rsidRDefault="00C31F1B" w:rsidP="00C31F1B">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fldChar w:fldCharType="end"/>
      </w:r>
      <w:bookmarkEnd w:id="104"/>
    </w:p>
    <w:p w14:paraId="097FC996" w14:textId="3FFDC6EF" w:rsidR="00C31F1B" w:rsidRPr="00872293" w:rsidRDefault="00C31F1B" w:rsidP="00C31F1B">
      <w:pPr>
        <w:rPr>
          <w:rFonts w:ascii="Times New Roman" w:eastAsia="Times New Roman" w:hAnsi="Times New Roman" w:cs="Times New Roman"/>
        </w:rPr>
      </w:pPr>
      <w:r w:rsidRPr="00872293">
        <w:rPr>
          <w:rFonts w:ascii="Times New Roman" w:eastAsia="Times New Roman" w:hAnsi="Times New Roman" w:cs="Times New Roman"/>
        </w:rPr>
        <w:br w:type="page"/>
      </w:r>
    </w:p>
    <w:p w14:paraId="459434B8" w14:textId="772A1F70" w:rsidR="00F8187C" w:rsidRPr="00872293" w:rsidRDefault="008C6C33" w:rsidP="005B76C3">
      <w:pPr>
        <w:pStyle w:val="Heading2"/>
        <w:spacing w:before="0" w:after="0" w:line="360" w:lineRule="auto"/>
        <w:rPr>
          <w:rFonts w:cs="Times New Roman"/>
        </w:rPr>
      </w:pPr>
      <w:bookmarkStart w:id="105" w:name="_Toc53689092"/>
      <w:bookmarkEnd w:id="69"/>
      <w:r w:rsidRPr="00872293">
        <w:rPr>
          <w:rFonts w:cs="Times New Roman"/>
        </w:rPr>
        <w:lastRenderedPageBreak/>
        <w:t>Appendix</w:t>
      </w:r>
      <w:bookmarkEnd w:id="105"/>
    </w:p>
    <w:p w14:paraId="7D67E686" w14:textId="33916744" w:rsidR="00CA4391" w:rsidRPr="00872293" w:rsidRDefault="004E02D2" w:rsidP="003A10D2">
      <w:pPr>
        <w:pStyle w:val="Caption"/>
        <w:spacing w:before="240" w:after="240"/>
        <w:rPr>
          <w:rFonts w:ascii="Times New Roman" w:hAnsi="Times New Roman" w:cs="Times New Roman"/>
          <w:color w:val="auto"/>
          <w:sz w:val="24"/>
          <w:szCs w:val="24"/>
        </w:rPr>
      </w:pPr>
      <w:bookmarkStart w:id="106" w:name="_Toc53755746"/>
      <w:r w:rsidRPr="00872293">
        <w:rPr>
          <w:rFonts w:ascii="Times New Roman" w:hAnsi="Times New Roman" w:cs="Times New Roman"/>
          <w:color w:val="auto"/>
          <w:sz w:val="24"/>
          <w:szCs w:val="24"/>
        </w:rPr>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4</w:t>
      </w:r>
      <w:r w:rsidRPr="00872293">
        <w:rPr>
          <w:rFonts w:ascii="Times New Roman" w:hAnsi="Times New Roman" w:cs="Times New Roman"/>
          <w:color w:val="auto"/>
          <w:sz w:val="24"/>
          <w:szCs w:val="24"/>
        </w:rPr>
        <w:fldChar w:fldCharType="end"/>
      </w:r>
      <w:r w:rsidR="000E0CC5"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Mixed effect models; dependent variables; fixed effects; random effects; P values; R</w:t>
      </w:r>
      <w:r w:rsidRPr="00544A6D">
        <w:rPr>
          <w:rFonts w:ascii="Times New Roman" w:hAnsi="Times New Roman" w:cs="Times New Roman"/>
          <w:color w:val="auto"/>
          <w:sz w:val="24"/>
          <w:szCs w:val="24"/>
          <w:vertAlign w:val="superscript"/>
        </w:rPr>
        <w:t>2</w:t>
      </w:r>
      <w:r w:rsidRPr="00872293">
        <w:rPr>
          <w:rFonts w:ascii="Times New Roman" w:hAnsi="Times New Roman" w:cs="Times New Roman"/>
          <w:color w:val="auto"/>
          <w:sz w:val="24"/>
          <w:szCs w:val="24"/>
        </w:rPr>
        <w:t xml:space="preserve"> marginal and R</w:t>
      </w:r>
      <w:r w:rsidRPr="00544A6D">
        <w:rPr>
          <w:rFonts w:ascii="Times New Roman" w:hAnsi="Times New Roman" w:cs="Times New Roman"/>
          <w:color w:val="auto"/>
          <w:sz w:val="24"/>
          <w:szCs w:val="24"/>
          <w:vertAlign w:val="superscript"/>
        </w:rPr>
        <w:t>2</w:t>
      </w:r>
      <w:r w:rsidRPr="00872293">
        <w:rPr>
          <w:rFonts w:ascii="Times New Roman" w:hAnsi="Times New Roman" w:cs="Times New Roman"/>
          <w:color w:val="auto"/>
          <w:sz w:val="24"/>
          <w:szCs w:val="24"/>
        </w:rPr>
        <w:t xml:space="preserve"> conditional; coefficient estimates</w:t>
      </w:r>
      <w:bookmarkEnd w:id="106"/>
    </w:p>
    <w:tbl>
      <w:tblPr>
        <w:tblW w:w="9085" w:type="dxa"/>
        <w:tblLayout w:type="fixed"/>
        <w:tblLook w:val="04A0" w:firstRow="1" w:lastRow="0" w:firstColumn="1" w:lastColumn="0" w:noHBand="0" w:noVBand="1"/>
      </w:tblPr>
      <w:tblGrid>
        <w:gridCol w:w="880"/>
        <w:gridCol w:w="1995"/>
        <w:gridCol w:w="1260"/>
        <w:gridCol w:w="1170"/>
        <w:gridCol w:w="1080"/>
        <w:gridCol w:w="810"/>
        <w:gridCol w:w="810"/>
        <w:gridCol w:w="1080"/>
      </w:tblGrid>
      <w:tr w:rsidR="00872293" w:rsidRPr="00872293" w14:paraId="4295F7D2" w14:textId="77777777" w:rsidTr="003441D6">
        <w:trPr>
          <w:trHeight w:val="500"/>
        </w:trPr>
        <w:tc>
          <w:tcPr>
            <w:tcW w:w="880" w:type="dxa"/>
            <w:vMerge w:val="restart"/>
            <w:tcBorders>
              <w:top w:val="single" w:sz="4" w:space="0" w:color="auto"/>
              <w:left w:val="single" w:sz="4" w:space="0" w:color="auto"/>
              <w:bottom w:val="single" w:sz="4" w:space="0" w:color="auto"/>
              <w:right w:val="nil"/>
            </w:tcBorders>
            <w:shd w:val="clear" w:color="auto" w:fill="auto"/>
            <w:vAlign w:val="bottom"/>
            <w:hideMark/>
          </w:tcPr>
          <w:p w14:paraId="160391E0"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Time</w:t>
            </w:r>
          </w:p>
        </w:tc>
        <w:tc>
          <w:tcPr>
            <w:tcW w:w="1995" w:type="dxa"/>
            <w:vMerge w:val="restart"/>
            <w:tcBorders>
              <w:top w:val="single" w:sz="4" w:space="0" w:color="auto"/>
              <w:left w:val="nil"/>
              <w:bottom w:val="single" w:sz="4" w:space="0" w:color="auto"/>
              <w:right w:val="nil"/>
            </w:tcBorders>
            <w:shd w:val="clear" w:color="auto" w:fill="auto"/>
            <w:vAlign w:val="bottom"/>
            <w:hideMark/>
          </w:tcPr>
          <w:p w14:paraId="22000722"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Model (</w:t>
            </w:r>
            <w:proofErr w:type="spellStart"/>
            <w:r w:rsidRPr="00872293">
              <w:rPr>
                <w:rFonts w:ascii="Times New Roman" w:eastAsia="Times New Roman" w:hAnsi="Times New Roman" w:cs="Times New Roman"/>
                <w:b/>
                <w:bCs/>
                <w:sz w:val="22"/>
                <w:szCs w:val="22"/>
              </w:rPr>
              <w:t>lmer</w:t>
            </w:r>
            <w:proofErr w:type="spellEnd"/>
            <w:r w:rsidRPr="00872293">
              <w:rPr>
                <w:rFonts w:ascii="Times New Roman" w:eastAsia="Times New Roman" w:hAnsi="Times New Roman" w:cs="Times New Roman"/>
                <w:b/>
                <w:bCs/>
                <w:sz w:val="22"/>
                <w:szCs w:val="22"/>
              </w:rPr>
              <w:t>)</w:t>
            </w:r>
          </w:p>
        </w:tc>
        <w:tc>
          <w:tcPr>
            <w:tcW w:w="1260" w:type="dxa"/>
            <w:vMerge w:val="restart"/>
            <w:tcBorders>
              <w:top w:val="single" w:sz="4" w:space="0" w:color="auto"/>
              <w:left w:val="nil"/>
              <w:bottom w:val="single" w:sz="4" w:space="0" w:color="auto"/>
              <w:right w:val="nil"/>
            </w:tcBorders>
            <w:shd w:val="clear" w:color="auto" w:fill="auto"/>
            <w:vAlign w:val="bottom"/>
            <w:hideMark/>
          </w:tcPr>
          <w:p w14:paraId="761E6523"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Dependent variable</w:t>
            </w:r>
          </w:p>
        </w:tc>
        <w:tc>
          <w:tcPr>
            <w:tcW w:w="1170" w:type="dxa"/>
            <w:vMerge w:val="restart"/>
            <w:tcBorders>
              <w:top w:val="single" w:sz="4" w:space="0" w:color="auto"/>
              <w:left w:val="nil"/>
              <w:bottom w:val="single" w:sz="4" w:space="0" w:color="auto"/>
              <w:right w:val="nil"/>
            </w:tcBorders>
            <w:shd w:val="clear" w:color="auto" w:fill="auto"/>
            <w:vAlign w:val="bottom"/>
            <w:hideMark/>
          </w:tcPr>
          <w:p w14:paraId="071ADBFD"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Fixed effects</w:t>
            </w:r>
          </w:p>
        </w:tc>
        <w:tc>
          <w:tcPr>
            <w:tcW w:w="1080" w:type="dxa"/>
            <w:vMerge w:val="restart"/>
            <w:tcBorders>
              <w:top w:val="single" w:sz="4" w:space="0" w:color="auto"/>
              <w:left w:val="nil"/>
              <w:bottom w:val="single" w:sz="4" w:space="0" w:color="auto"/>
              <w:right w:val="nil"/>
            </w:tcBorders>
            <w:shd w:val="clear" w:color="auto" w:fill="auto"/>
            <w:vAlign w:val="bottom"/>
            <w:hideMark/>
          </w:tcPr>
          <w:p w14:paraId="2C763E85"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Random effect</w:t>
            </w:r>
          </w:p>
        </w:tc>
        <w:tc>
          <w:tcPr>
            <w:tcW w:w="810" w:type="dxa"/>
            <w:vMerge w:val="restart"/>
            <w:tcBorders>
              <w:top w:val="single" w:sz="4" w:space="0" w:color="auto"/>
              <w:left w:val="nil"/>
              <w:bottom w:val="single" w:sz="4" w:space="0" w:color="auto"/>
              <w:right w:val="nil"/>
            </w:tcBorders>
            <w:shd w:val="clear" w:color="auto" w:fill="auto"/>
            <w:vAlign w:val="bottom"/>
            <w:hideMark/>
          </w:tcPr>
          <w:p w14:paraId="4F494457"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 value</w:t>
            </w:r>
          </w:p>
        </w:tc>
        <w:tc>
          <w:tcPr>
            <w:tcW w:w="810" w:type="dxa"/>
            <w:vMerge w:val="restart"/>
            <w:tcBorders>
              <w:top w:val="single" w:sz="4" w:space="0" w:color="auto"/>
              <w:left w:val="nil"/>
              <w:bottom w:val="single" w:sz="4" w:space="0" w:color="auto"/>
              <w:right w:val="nil"/>
            </w:tcBorders>
            <w:shd w:val="clear" w:color="auto" w:fill="auto"/>
            <w:vAlign w:val="bottom"/>
            <w:hideMark/>
          </w:tcPr>
          <w:p w14:paraId="48CF9725"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m/R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c</w:t>
            </w:r>
          </w:p>
        </w:tc>
        <w:tc>
          <w:tcPr>
            <w:tcW w:w="1080" w:type="dxa"/>
            <w:vMerge w:val="restart"/>
            <w:tcBorders>
              <w:top w:val="single" w:sz="4" w:space="0" w:color="auto"/>
              <w:left w:val="nil"/>
              <w:bottom w:val="single" w:sz="4" w:space="0" w:color="auto"/>
              <w:right w:val="single" w:sz="4" w:space="0" w:color="auto"/>
            </w:tcBorders>
            <w:shd w:val="clear" w:color="auto" w:fill="auto"/>
            <w:vAlign w:val="bottom"/>
            <w:hideMark/>
          </w:tcPr>
          <w:p w14:paraId="5EE6429A"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Estimate</w:t>
            </w:r>
          </w:p>
        </w:tc>
      </w:tr>
      <w:tr w:rsidR="00872293" w:rsidRPr="00872293" w14:paraId="41143B64" w14:textId="77777777" w:rsidTr="003441D6">
        <w:trPr>
          <w:trHeight w:val="331"/>
        </w:trPr>
        <w:tc>
          <w:tcPr>
            <w:tcW w:w="880" w:type="dxa"/>
            <w:vMerge/>
            <w:tcBorders>
              <w:left w:val="single" w:sz="4" w:space="0" w:color="auto"/>
              <w:bottom w:val="single" w:sz="4" w:space="0" w:color="auto"/>
              <w:right w:val="nil"/>
            </w:tcBorders>
            <w:vAlign w:val="center"/>
            <w:hideMark/>
          </w:tcPr>
          <w:p w14:paraId="0E510005" w14:textId="77777777" w:rsidR="00F3155E" w:rsidRPr="00872293" w:rsidRDefault="00F3155E" w:rsidP="00CA4391">
            <w:pPr>
              <w:rPr>
                <w:rFonts w:ascii="Times New Roman" w:eastAsia="Times New Roman" w:hAnsi="Times New Roman" w:cs="Times New Roman"/>
                <w:b/>
                <w:bCs/>
                <w:sz w:val="22"/>
                <w:szCs w:val="22"/>
              </w:rPr>
            </w:pPr>
          </w:p>
        </w:tc>
        <w:tc>
          <w:tcPr>
            <w:tcW w:w="1995" w:type="dxa"/>
            <w:vMerge/>
            <w:tcBorders>
              <w:left w:val="nil"/>
              <w:bottom w:val="single" w:sz="4" w:space="0" w:color="auto"/>
              <w:right w:val="nil"/>
            </w:tcBorders>
            <w:vAlign w:val="center"/>
            <w:hideMark/>
          </w:tcPr>
          <w:p w14:paraId="547A734B" w14:textId="77777777" w:rsidR="00F3155E" w:rsidRPr="00872293" w:rsidRDefault="00F3155E" w:rsidP="00CA4391">
            <w:pPr>
              <w:rPr>
                <w:rFonts w:ascii="Times New Roman" w:eastAsia="Times New Roman" w:hAnsi="Times New Roman" w:cs="Times New Roman"/>
                <w:b/>
                <w:bCs/>
                <w:sz w:val="22"/>
                <w:szCs w:val="22"/>
              </w:rPr>
            </w:pPr>
          </w:p>
        </w:tc>
        <w:tc>
          <w:tcPr>
            <w:tcW w:w="1260" w:type="dxa"/>
            <w:vMerge/>
            <w:tcBorders>
              <w:left w:val="nil"/>
              <w:bottom w:val="single" w:sz="4" w:space="0" w:color="auto"/>
              <w:right w:val="nil"/>
            </w:tcBorders>
            <w:vAlign w:val="center"/>
            <w:hideMark/>
          </w:tcPr>
          <w:p w14:paraId="78A5D5EA" w14:textId="77777777" w:rsidR="00F3155E" w:rsidRPr="00872293" w:rsidRDefault="00F3155E" w:rsidP="00CA4391">
            <w:pPr>
              <w:rPr>
                <w:rFonts w:ascii="Times New Roman" w:eastAsia="Times New Roman" w:hAnsi="Times New Roman" w:cs="Times New Roman"/>
                <w:b/>
                <w:bCs/>
                <w:sz w:val="22"/>
                <w:szCs w:val="22"/>
              </w:rPr>
            </w:pPr>
          </w:p>
        </w:tc>
        <w:tc>
          <w:tcPr>
            <w:tcW w:w="1170" w:type="dxa"/>
            <w:vMerge/>
            <w:tcBorders>
              <w:left w:val="nil"/>
              <w:bottom w:val="single" w:sz="4" w:space="0" w:color="auto"/>
              <w:right w:val="nil"/>
            </w:tcBorders>
            <w:vAlign w:val="center"/>
            <w:hideMark/>
          </w:tcPr>
          <w:p w14:paraId="0D0C71C4" w14:textId="77777777" w:rsidR="00F3155E" w:rsidRPr="00872293" w:rsidRDefault="00F3155E" w:rsidP="00CA4391">
            <w:pPr>
              <w:rPr>
                <w:rFonts w:ascii="Times New Roman" w:eastAsia="Times New Roman" w:hAnsi="Times New Roman" w:cs="Times New Roman"/>
                <w:b/>
                <w:bCs/>
                <w:sz w:val="22"/>
                <w:szCs w:val="22"/>
              </w:rPr>
            </w:pPr>
          </w:p>
        </w:tc>
        <w:tc>
          <w:tcPr>
            <w:tcW w:w="1080" w:type="dxa"/>
            <w:vMerge/>
            <w:tcBorders>
              <w:left w:val="nil"/>
              <w:bottom w:val="single" w:sz="4" w:space="0" w:color="auto"/>
              <w:right w:val="nil"/>
            </w:tcBorders>
            <w:vAlign w:val="center"/>
            <w:hideMark/>
          </w:tcPr>
          <w:p w14:paraId="31751424" w14:textId="77777777" w:rsidR="00F3155E" w:rsidRPr="00872293" w:rsidRDefault="00F3155E" w:rsidP="00CA4391">
            <w:pPr>
              <w:rPr>
                <w:rFonts w:ascii="Times New Roman" w:eastAsia="Times New Roman" w:hAnsi="Times New Roman" w:cs="Times New Roman"/>
                <w:b/>
                <w:bCs/>
                <w:sz w:val="22"/>
                <w:szCs w:val="22"/>
              </w:rPr>
            </w:pPr>
          </w:p>
        </w:tc>
        <w:tc>
          <w:tcPr>
            <w:tcW w:w="810" w:type="dxa"/>
            <w:vMerge/>
            <w:tcBorders>
              <w:left w:val="nil"/>
              <w:bottom w:val="single" w:sz="4" w:space="0" w:color="auto"/>
              <w:right w:val="nil"/>
            </w:tcBorders>
            <w:vAlign w:val="center"/>
            <w:hideMark/>
          </w:tcPr>
          <w:p w14:paraId="73927BCC" w14:textId="77777777" w:rsidR="00F3155E" w:rsidRPr="00872293" w:rsidRDefault="00F3155E" w:rsidP="00CA4391">
            <w:pPr>
              <w:rPr>
                <w:rFonts w:ascii="Times New Roman" w:eastAsia="Times New Roman" w:hAnsi="Times New Roman" w:cs="Times New Roman"/>
                <w:b/>
                <w:bCs/>
                <w:sz w:val="22"/>
                <w:szCs w:val="22"/>
              </w:rPr>
            </w:pPr>
          </w:p>
        </w:tc>
        <w:tc>
          <w:tcPr>
            <w:tcW w:w="810" w:type="dxa"/>
            <w:vMerge/>
            <w:tcBorders>
              <w:left w:val="nil"/>
              <w:bottom w:val="single" w:sz="4" w:space="0" w:color="auto"/>
              <w:right w:val="nil"/>
            </w:tcBorders>
            <w:vAlign w:val="center"/>
            <w:hideMark/>
          </w:tcPr>
          <w:p w14:paraId="55A42F54" w14:textId="77777777" w:rsidR="00F3155E" w:rsidRPr="00872293" w:rsidRDefault="00F3155E" w:rsidP="00CA4391">
            <w:pPr>
              <w:rPr>
                <w:rFonts w:ascii="Times New Roman" w:eastAsia="Times New Roman" w:hAnsi="Times New Roman" w:cs="Times New Roman"/>
                <w:b/>
                <w:bCs/>
                <w:sz w:val="22"/>
                <w:szCs w:val="22"/>
              </w:rPr>
            </w:pPr>
          </w:p>
        </w:tc>
        <w:tc>
          <w:tcPr>
            <w:tcW w:w="1080" w:type="dxa"/>
            <w:vMerge/>
            <w:tcBorders>
              <w:left w:val="nil"/>
              <w:bottom w:val="single" w:sz="4" w:space="0" w:color="auto"/>
              <w:right w:val="single" w:sz="4" w:space="0" w:color="auto"/>
            </w:tcBorders>
            <w:vAlign w:val="center"/>
            <w:hideMark/>
          </w:tcPr>
          <w:p w14:paraId="16B88ADA" w14:textId="77777777" w:rsidR="00F3155E" w:rsidRPr="00872293" w:rsidRDefault="00F3155E" w:rsidP="00CA4391">
            <w:pPr>
              <w:rPr>
                <w:rFonts w:ascii="Times New Roman" w:eastAsia="Times New Roman" w:hAnsi="Times New Roman" w:cs="Times New Roman"/>
                <w:b/>
                <w:bCs/>
                <w:sz w:val="22"/>
                <w:szCs w:val="22"/>
              </w:rPr>
            </w:pPr>
          </w:p>
        </w:tc>
      </w:tr>
      <w:tr w:rsidR="00872293" w:rsidRPr="00872293" w14:paraId="61E33F47" w14:textId="77777777" w:rsidTr="003441D6">
        <w:trPr>
          <w:trHeight w:val="540"/>
        </w:trPr>
        <w:tc>
          <w:tcPr>
            <w:tcW w:w="880" w:type="dxa"/>
            <w:vMerge w:val="restart"/>
            <w:tcBorders>
              <w:top w:val="single" w:sz="4" w:space="0" w:color="auto"/>
              <w:left w:val="single" w:sz="4" w:space="0" w:color="auto"/>
              <w:bottom w:val="nil"/>
              <w:right w:val="nil"/>
            </w:tcBorders>
            <w:shd w:val="clear" w:color="auto" w:fill="auto"/>
            <w:vAlign w:val="bottom"/>
            <w:hideMark/>
          </w:tcPr>
          <w:p w14:paraId="403738A8"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218549E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xml:space="preserve"> + session + (1|plot)</w:t>
            </w:r>
          </w:p>
        </w:tc>
        <w:tc>
          <w:tcPr>
            <w:tcW w:w="1260" w:type="dxa"/>
            <w:vMerge w:val="restart"/>
            <w:tcBorders>
              <w:top w:val="single" w:sz="4" w:space="0" w:color="auto"/>
              <w:left w:val="nil"/>
              <w:bottom w:val="nil"/>
              <w:right w:val="nil"/>
            </w:tcBorders>
            <w:shd w:val="clear" w:color="auto" w:fill="auto"/>
            <w:vAlign w:val="bottom"/>
            <w:hideMark/>
          </w:tcPr>
          <w:p w14:paraId="117086E6"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stock</w:t>
            </w:r>
          </w:p>
        </w:tc>
        <w:tc>
          <w:tcPr>
            <w:tcW w:w="1170" w:type="dxa"/>
            <w:tcBorders>
              <w:top w:val="single" w:sz="4" w:space="0" w:color="auto"/>
              <w:left w:val="nil"/>
              <w:bottom w:val="nil"/>
              <w:right w:val="nil"/>
            </w:tcBorders>
            <w:shd w:val="clear" w:color="auto" w:fill="auto"/>
            <w:vAlign w:val="bottom"/>
            <w:hideMark/>
          </w:tcPr>
          <w:p w14:paraId="24F3DB9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3A3B952F"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1AD6EC71"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0.57</w:t>
            </w:r>
          </w:p>
        </w:tc>
        <w:tc>
          <w:tcPr>
            <w:tcW w:w="810" w:type="dxa"/>
            <w:vMerge w:val="restart"/>
            <w:tcBorders>
              <w:top w:val="single" w:sz="4" w:space="0" w:color="auto"/>
              <w:left w:val="nil"/>
              <w:bottom w:val="nil"/>
              <w:right w:val="nil"/>
            </w:tcBorders>
            <w:shd w:val="clear" w:color="auto" w:fill="auto"/>
            <w:vAlign w:val="bottom"/>
            <w:hideMark/>
          </w:tcPr>
          <w:p w14:paraId="42395FA7"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0.05/ </w:t>
            </w:r>
            <w:r w:rsidRPr="00872293">
              <w:rPr>
                <w:rFonts w:ascii="Times New Roman" w:eastAsia="Times New Roman" w:hAnsi="Times New Roman" w:cs="Times New Roman"/>
                <w:sz w:val="22"/>
                <w:szCs w:val="22"/>
              </w:rPr>
              <w:br/>
              <w:t>0.89</w:t>
            </w:r>
          </w:p>
        </w:tc>
        <w:tc>
          <w:tcPr>
            <w:tcW w:w="1080" w:type="dxa"/>
            <w:tcBorders>
              <w:top w:val="single" w:sz="4" w:space="0" w:color="auto"/>
              <w:left w:val="nil"/>
              <w:bottom w:val="nil"/>
              <w:right w:val="single" w:sz="4" w:space="0" w:color="auto"/>
            </w:tcBorders>
            <w:shd w:val="clear" w:color="auto" w:fill="auto"/>
            <w:noWrap/>
            <w:vAlign w:val="bottom"/>
            <w:hideMark/>
          </w:tcPr>
          <w:p w14:paraId="2E1750C7"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8.32</w:t>
            </w:r>
          </w:p>
        </w:tc>
      </w:tr>
      <w:tr w:rsidR="00872293" w:rsidRPr="00872293" w14:paraId="2920560F" w14:textId="77777777" w:rsidTr="003441D6">
        <w:trPr>
          <w:trHeight w:val="297"/>
        </w:trPr>
        <w:tc>
          <w:tcPr>
            <w:tcW w:w="880" w:type="dxa"/>
            <w:vMerge/>
            <w:tcBorders>
              <w:top w:val="nil"/>
              <w:left w:val="single" w:sz="4" w:space="0" w:color="auto"/>
              <w:bottom w:val="single" w:sz="4" w:space="0" w:color="auto"/>
              <w:right w:val="nil"/>
            </w:tcBorders>
            <w:vAlign w:val="center"/>
            <w:hideMark/>
          </w:tcPr>
          <w:p w14:paraId="65FF6A72"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12A38796"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269535BF"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453BB95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1F41964C"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322F9FBA"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w:t>
            </w:r>
          </w:p>
        </w:tc>
        <w:tc>
          <w:tcPr>
            <w:tcW w:w="810" w:type="dxa"/>
            <w:vMerge/>
            <w:tcBorders>
              <w:top w:val="nil"/>
              <w:left w:val="nil"/>
              <w:bottom w:val="single" w:sz="4" w:space="0" w:color="auto"/>
              <w:right w:val="nil"/>
            </w:tcBorders>
            <w:vAlign w:val="center"/>
            <w:hideMark/>
          </w:tcPr>
          <w:p w14:paraId="680F6C4C"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32BA959F"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-154.7</w:t>
            </w:r>
          </w:p>
        </w:tc>
      </w:tr>
      <w:tr w:rsidR="00872293" w:rsidRPr="00872293" w14:paraId="2C7E20A8" w14:textId="77777777" w:rsidTr="003441D6">
        <w:trPr>
          <w:trHeight w:val="540"/>
        </w:trPr>
        <w:tc>
          <w:tcPr>
            <w:tcW w:w="880" w:type="dxa"/>
            <w:vMerge w:val="restart"/>
            <w:tcBorders>
              <w:top w:val="single" w:sz="4" w:space="0" w:color="auto"/>
              <w:left w:val="single" w:sz="4" w:space="0" w:color="auto"/>
              <w:bottom w:val="nil"/>
              <w:right w:val="nil"/>
            </w:tcBorders>
            <w:shd w:val="clear" w:color="auto" w:fill="auto"/>
            <w:vAlign w:val="bottom"/>
            <w:hideMark/>
          </w:tcPr>
          <w:p w14:paraId="58923F16"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7D8B0D53"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production~treatment</w:t>
            </w:r>
            <w:proofErr w:type="spellEnd"/>
            <w:r w:rsidRPr="00872293">
              <w:rPr>
                <w:rFonts w:ascii="Times New Roman" w:eastAsia="Times New Roman" w:hAnsi="Times New Roman" w:cs="Times New Roman"/>
                <w:sz w:val="22"/>
                <w:szCs w:val="22"/>
              </w:rPr>
              <w:t xml:space="preserve"> + session + (1|plot)</w:t>
            </w:r>
          </w:p>
        </w:tc>
        <w:tc>
          <w:tcPr>
            <w:tcW w:w="1260" w:type="dxa"/>
            <w:vMerge w:val="restart"/>
            <w:tcBorders>
              <w:top w:val="single" w:sz="4" w:space="0" w:color="auto"/>
              <w:left w:val="nil"/>
              <w:bottom w:val="nil"/>
              <w:right w:val="nil"/>
            </w:tcBorders>
            <w:shd w:val="clear" w:color="auto" w:fill="auto"/>
            <w:vAlign w:val="bottom"/>
            <w:hideMark/>
          </w:tcPr>
          <w:p w14:paraId="5A8B1D4A" w14:textId="77777777" w:rsidR="00F3155E" w:rsidRPr="00872293" w:rsidRDefault="00F3155E" w:rsidP="00CA7EE9">
            <w:pPr>
              <w:spacing w:after="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production</w:t>
            </w:r>
          </w:p>
        </w:tc>
        <w:tc>
          <w:tcPr>
            <w:tcW w:w="1170" w:type="dxa"/>
            <w:tcBorders>
              <w:top w:val="single" w:sz="4" w:space="0" w:color="auto"/>
              <w:left w:val="nil"/>
              <w:bottom w:val="nil"/>
              <w:right w:val="nil"/>
            </w:tcBorders>
            <w:shd w:val="clear" w:color="auto" w:fill="auto"/>
            <w:vAlign w:val="bottom"/>
            <w:hideMark/>
          </w:tcPr>
          <w:p w14:paraId="25EF8EB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72425BAA"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76C38583"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w:t>
            </w:r>
          </w:p>
        </w:tc>
        <w:tc>
          <w:tcPr>
            <w:tcW w:w="810" w:type="dxa"/>
            <w:vMerge w:val="restart"/>
            <w:tcBorders>
              <w:top w:val="single" w:sz="4" w:space="0" w:color="auto"/>
              <w:left w:val="nil"/>
              <w:bottom w:val="nil"/>
              <w:right w:val="nil"/>
            </w:tcBorders>
            <w:shd w:val="clear" w:color="auto" w:fill="auto"/>
            <w:vAlign w:val="bottom"/>
            <w:hideMark/>
          </w:tcPr>
          <w:p w14:paraId="45E5DD1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w:t>
            </w:r>
            <w:r w:rsidRPr="00872293">
              <w:rPr>
                <w:rFonts w:ascii="Times New Roman" w:eastAsia="Times New Roman" w:hAnsi="Times New Roman" w:cs="Times New Roman"/>
                <w:sz w:val="22"/>
                <w:szCs w:val="22"/>
              </w:rPr>
              <w:br/>
              <w:t>0.5</w:t>
            </w:r>
          </w:p>
        </w:tc>
        <w:tc>
          <w:tcPr>
            <w:tcW w:w="1080" w:type="dxa"/>
            <w:tcBorders>
              <w:top w:val="single" w:sz="4" w:space="0" w:color="auto"/>
              <w:left w:val="nil"/>
              <w:bottom w:val="nil"/>
              <w:right w:val="single" w:sz="4" w:space="0" w:color="auto"/>
            </w:tcBorders>
            <w:shd w:val="clear" w:color="auto" w:fill="auto"/>
            <w:noWrap/>
            <w:vAlign w:val="bottom"/>
            <w:hideMark/>
          </w:tcPr>
          <w:p w14:paraId="1E5E8D0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w:t>
            </w:r>
          </w:p>
        </w:tc>
      </w:tr>
      <w:tr w:rsidR="00872293" w:rsidRPr="00872293" w14:paraId="1213C542" w14:textId="77777777" w:rsidTr="003441D6">
        <w:trPr>
          <w:trHeight w:val="288"/>
        </w:trPr>
        <w:tc>
          <w:tcPr>
            <w:tcW w:w="880" w:type="dxa"/>
            <w:vMerge/>
            <w:tcBorders>
              <w:top w:val="nil"/>
              <w:left w:val="single" w:sz="4" w:space="0" w:color="auto"/>
              <w:bottom w:val="single" w:sz="4" w:space="0" w:color="auto"/>
              <w:right w:val="nil"/>
            </w:tcBorders>
            <w:vAlign w:val="center"/>
            <w:hideMark/>
          </w:tcPr>
          <w:p w14:paraId="7DB78A9E"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054DDB71"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16E84443"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678F7962"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 Session</w:t>
            </w:r>
          </w:p>
        </w:tc>
        <w:tc>
          <w:tcPr>
            <w:tcW w:w="1080" w:type="dxa"/>
            <w:vMerge/>
            <w:tcBorders>
              <w:top w:val="nil"/>
              <w:left w:val="nil"/>
              <w:bottom w:val="single" w:sz="4" w:space="0" w:color="auto"/>
              <w:right w:val="nil"/>
            </w:tcBorders>
            <w:vAlign w:val="center"/>
            <w:hideMark/>
          </w:tcPr>
          <w:p w14:paraId="0630838A"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0E32FDEF" w14:textId="52FA6012" w:rsidR="00F3155E" w:rsidRPr="00872293" w:rsidRDefault="003441D6"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w:t>
            </w:r>
            <w:r w:rsidR="00F3155E" w:rsidRPr="00872293">
              <w:rPr>
                <w:rFonts w:ascii="Times New Roman" w:eastAsia="Times New Roman" w:hAnsi="Times New Roman" w:cs="Times New Roman"/>
                <w:sz w:val="22"/>
                <w:szCs w:val="22"/>
              </w:rPr>
              <w:t>0.0</w:t>
            </w:r>
            <w:r w:rsidRPr="00872293">
              <w:rPr>
                <w:rFonts w:ascii="Times New Roman" w:eastAsia="Times New Roman" w:hAnsi="Times New Roman" w:cs="Times New Roman"/>
                <w:sz w:val="22"/>
                <w:szCs w:val="22"/>
              </w:rPr>
              <w:t>1</w:t>
            </w:r>
          </w:p>
        </w:tc>
        <w:tc>
          <w:tcPr>
            <w:tcW w:w="810" w:type="dxa"/>
            <w:vMerge/>
            <w:tcBorders>
              <w:top w:val="nil"/>
              <w:left w:val="nil"/>
              <w:bottom w:val="single" w:sz="4" w:space="0" w:color="auto"/>
              <w:right w:val="nil"/>
            </w:tcBorders>
            <w:vAlign w:val="center"/>
            <w:hideMark/>
          </w:tcPr>
          <w:p w14:paraId="55446129"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3B504999"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-0.17</w:t>
            </w:r>
          </w:p>
        </w:tc>
      </w:tr>
      <w:tr w:rsidR="00872293" w:rsidRPr="00872293" w14:paraId="0F51BF4A" w14:textId="77777777" w:rsidTr="003441D6">
        <w:trPr>
          <w:trHeight w:val="468"/>
        </w:trPr>
        <w:tc>
          <w:tcPr>
            <w:tcW w:w="880" w:type="dxa"/>
            <w:vMerge w:val="restart"/>
            <w:tcBorders>
              <w:top w:val="single" w:sz="4" w:space="0" w:color="auto"/>
              <w:left w:val="single" w:sz="4" w:space="0" w:color="auto"/>
              <w:bottom w:val="nil"/>
              <w:right w:val="nil"/>
            </w:tcBorders>
            <w:shd w:val="clear" w:color="auto" w:fill="auto"/>
            <w:vAlign w:val="bottom"/>
            <w:hideMark/>
          </w:tcPr>
          <w:p w14:paraId="1B833BC9"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14995A73"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mortality~treatment</w:t>
            </w:r>
            <w:proofErr w:type="spellEnd"/>
            <w:r w:rsidRPr="00872293">
              <w:rPr>
                <w:rFonts w:ascii="Times New Roman" w:eastAsia="Times New Roman" w:hAnsi="Times New Roman" w:cs="Times New Roman"/>
                <w:sz w:val="22"/>
                <w:szCs w:val="22"/>
              </w:rPr>
              <w:t xml:space="preserve"> + session + (1|plot)</w:t>
            </w:r>
          </w:p>
        </w:tc>
        <w:tc>
          <w:tcPr>
            <w:tcW w:w="1260" w:type="dxa"/>
            <w:vMerge w:val="restart"/>
            <w:tcBorders>
              <w:top w:val="single" w:sz="4" w:space="0" w:color="auto"/>
              <w:left w:val="nil"/>
              <w:bottom w:val="nil"/>
              <w:right w:val="nil"/>
            </w:tcBorders>
            <w:shd w:val="clear" w:color="auto" w:fill="auto"/>
            <w:vAlign w:val="bottom"/>
            <w:hideMark/>
          </w:tcPr>
          <w:p w14:paraId="5A2FABBE" w14:textId="77777777" w:rsidR="00F3155E" w:rsidRPr="00872293" w:rsidRDefault="00F3155E" w:rsidP="00CA7EE9">
            <w:pPr>
              <w:spacing w:after="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mortality</w:t>
            </w:r>
          </w:p>
        </w:tc>
        <w:tc>
          <w:tcPr>
            <w:tcW w:w="1170" w:type="dxa"/>
            <w:tcBorders>
              <w:top w:val="single" w:sz="4" w:space="0" w:color="auto"/>
              <w:left w:val="nil"/>
              <w:bottom w:val="nil"/>
              <w:right w:val="nil"/>
            </w:tcBorders>
            <w:shd w:val="clear" w:color="auto" w:fill="auto"/>
            <w:vAlign w:val="bottom"/>
            <w:hideMark/>
          </w:tcPr>
          <w:p w14:paraId="71DC7A2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32480E9A"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11650656"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w:t>
            </w:r>
          </w:p>
        </w:tc>
        <w:tc>
          <w:tcPr>
            <w:tcW w:w="810" w:type="dxa"/>
            <w:vMerge w:val="restart"/>
            <w:tcBorders>
              <w:top w:val="single" w:sz="4" w:space="0" w:color="auto"/>
              <w:left w:val="nil"/>
              <w:bottom w:val="nil"/>
              <w:right w:val="nil"/>
            </w:tcBorders>
            <w:shd w:val="clear" w:color="auto" w:fill="auto"/>
            <w:vAlign w:val="bottom"/>
            <w:hideMark/>
          </w:tcPr>
          <w:p w14:paraId="6BB0C34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0.16/</w:t>
            </w:r>
            <w:r w:rsidRPr="00872293">
              <w:rPr>
                <w:rFonts w:ascii="Times New Roman" w:eastAsia="Times New Roman" w:hAnsi="Times New Roman" w:cs="Times New Roman"/>
                <w:sz w:val="22"/>
                <w:szCs w:val="22"/>
              </w:rPr>
              <w:br/>
              <w:t>0.5</w:t>
            </w:r>
          </w:p>
        </w:tc>
        <w:tc>
          <w:tcPr>
            <w:tcW w:w="1080" w:type="dxa"/>
            <w:tcBorders>
              <w:top w:val="single" w:sz="4" w:space="0" w:color="auto"/>
              <w:left w:val="nil"/>
              <w:bottom w:val="nil"/>
              <w:right w:val="single" w:sz="4" w:space="0" w:color="auto"/>
            </w:tcBorders>
            <w:shd w:val="clear" w:color="auto" w:fill="auto"/>
            <w:noWrap/>
            <w:vAlign w:val="bottom"/>
            <w:hideMark/>
          </w:tcPr>
          <w:p w14:paraId="7740FAF8"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0.12</w:t>
            </w:r>
          </w:p>
        </w:tc>
      </w:tr>
      <w:tr w:rsidR="00872293" w:rsidRPr="00872293" w14:paraId="234CEC9F" w14:textId="77777777" w:rsidTr="003441D6">
        <w:trPr>
          <w:trHeight w:val="378"/>
        </w:trPr>
        <w:tc>
          <w:tcPr>
            <w:tcW w:w="880" w:type="dxa"/>
            <w:vMerge/>
            <w:tcBorders>
              <w:top w:val="nil"/>
              <w:left w:val="single" w:sz="4" w:space="0" w:color="auto"/>
              <w:bottom w:val="single" w:sz="4" w:space="0" w:color="auto"/>
              <w:right w:val="nil"/>
            </w:tcBorders>
            <w:vAlign w:val="center"/>
            <w:hideMark/>
          </w:tcPr>
          <w:p w14:paraId="4E243EAB"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5F84F638"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0AE6A2DB"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4D025D3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6EBFB10B"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4AF7E290" w14:textId="26CF0459"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810" w:type="dxa"/>
            <w:vMerge/>
            <w:tcBorders>
              <w:top w:val="nil"/>
              <w:left w:val="nil"/>
              <w:bottom w:val="single" w:sz="4" w:space="0" w:color="auto"/>
              <w:right w:val="nil"/>
            </w:tcBorders>
            <w:vAlign w:val="center"/>
            <w:hideMark/>
          </w:tcPr>
          <w:p w14:paraId="22BB99FD"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120F331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0.46</w:t>
            </w:r>
          </w:p>
        </w:tc>
      </w:tr>
      <w:tr w:rsidR="00872293" w:rsidRPr="00872293" w14:paraId="7EB0A576" w14:textId="77777777" w:rsidTr="003441D6">
        <w:trPr>
          <w:trHeight w:val="350"/>
        </w:trPr>
        <w:tc>
          <w:tcPr>
            <w:tcW w:w="880" w:type="dxa"/>
            <w:vMerge w:val="restart"/>
            <w:tcBorders>
              <w:top w:val="single" w:sz="4" w:space="0" w:color="auto"/>
              <w:left w:val="single" w:sz="4" w:space="0" w:color="auto"/>
              <w:bottom w:val="nil"/>
              <w:right w:val="nil"/>
            </w:tcBorders>
            <w:shd w:val="clear" w:color="auto" w:fill="auto"/>
            <w:vAlign w:val="bottom"/>
            <w:hideMark/>
          </w:tcPr>
          <w:p w14:paraId="591E6182"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7D8F9895"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xml:space="preserve">+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xml:space="preserve"> + (1|plot)</w:t>
            </w:r>
          </w:p>
        </w:tc>
        <w:tc>
          <w:tcPr>
            <w:tcW w:w="1260" w:type="dxa"/>
            <w:vMerge w:val="restart"/>
            <w:tcBorders>
              <w:top w:val="single" w:sz="4" w:space="0" w:color="auto"/>
              <w:left w:val="nil"/>
              <w:bottom w:val="nil"/>
              <w:right w:val="nil"/>
            </w:tcBorders>
            <w:shd w:val="clear" w:color="auto" w:fill="auto"/>
            <w:vAlign w:val="bottom"/>
            <w:hideMark/>
          </w:tcPr>
          <w:p w14:paraId="08DD7C9A" w14:textId="77777777" w:rsidR="00F3155E" w:rsidRPr="00872293" w:rsidRDefault="00F3155E" w:rsidP="00CA7EE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stock</w:t>
            </w:r>
          </w:p>
        </w:tc>
        <w:tc>
          <w:tcPr>
            <w:tcW w:w="1170" w:type="dxa"/>
            <w:tcBorders>
              <w:top w:val="single" w:sz="4" w:space="0" w:color="auto"/>
              <w:left w:val="nil"/>
              <w:bottom w:val="nil"/>
              <w:right w:val="nil"/>
            </w:tcBorders>
            <w:shd w:val="clear" w:color="auto" w:fill="auto"/>
            <w:vAlign w:val="bottom"/>
            <w:hideMark/>
          </w:tcPr>
          <w:p w14:paraId="3401C5C9" w14:textId="77777777" w:rsidR="00F3155E" w:rsidRPr="00872293" w:rsidRDefault="00F3155E" w:rsidP="00306E80">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430D7F72"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77DF0091"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0.57</w:t>
            </w:r>
          </w:p>
        </w:tc>
        <w:tc>
          <w:tcPr>
            <w:tcW w:w="810" w:type="dxa"/>
            <w:vMerge w:val="restart"/>
            <w:tcBorders>
              <w:top w:val="single" w:sz="4" w:space="0" w:color="auto"/>
              <w:left w:val="nil"/>
              <w:bottom w:val="nil"/>
              <w:right w:val="nil"/>
            </w:tcBorders>
            <w:shd w:val="clear" w:color="auto" w:fill="auto"/>
            <w:vAlign w:val="bottom"/>
            <w:hideMark/>
          </w:tcPr>
          <w:p w14:paraId="4125B7CE"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r w:rsidRPr="00872293">
              <w:rPr>
                <w:rFonts w:ascii="Times New Roman" w:eastAsia="Times New Roman" w:hAnsi="Times New Roman" w:cs="Times New Roman"/>
                <w:sz w:val="22"/>
                <w:szCs w:val="22"/>
              </w:rPr>
              <w:br/>
              <w:t>0.9</w:t>
            </w:r>
          </w:p>
        </w:tc>
        <w:tc>
          <w:tcPr>
            <w:tcW w:w="1080" w:type="dxa"/>
            <w:tcBorders>
              <w:top w:val="single" w:sz="4" w:space="0" w:color="auto"/>
              <w:left w:val="nil"/>
              <w:bottom w:val="nil"/>
              <w:right w:val="single" w:sz="4" w:space="0" w:color="auto"/>
            </w:tcBorders>
            <w:shd w:val="clear" w:color="auto" w:fill="auto"/>
            <w:noWrap/>
            <w:vAlign w:val="bottom"/>
            <w:hideMark/>
          </w:tcPr>
          <w:p w14:paraId="5F0940D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-46.7</w:t>
            </w:r>
          </w:p>
        </w:tc>
      </w:tr>
      <w:tr w:rsidR="00872293" w:rsidRPr="00872293" w14:paraId="22F5DB2B" w14:textId="77777777" w:rsidTr="003441D6">
        <w:trPr>
          <w:trHeight w:val="270"/>
        </w:trPr>
        <w:tc>
          <w:tcPr>
            <w:tcW w:w="880" w:type="dxa"/>
            <w:vMerge/>
            <w:tcBorders>
              <w:top w:val="nil"/>
              <w:left w:val="single" w:sz="4" w:space="0" w:color="auto"/>
              <w:bottom w:val="nil"/>
              <w:right w:val="nil"/>
            </w:tcBorders>
            <w:vAlign w:val="center"/>
            <w:hideMark/>
          </w:tcPr>
          <w:p w14:paraId="59C889AA"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nil"/>
              <w:right w:val="nil"/>
            </w:tcBorders>
            <w:vAlign w:val="center"/>
            <w:hideMark/>
          </w:tcPr>
          <w:p w14:paraId="7D56366A"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6F7283C8"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nil"/>
              <w:right w:val="nil"/>
            </w:tcBorders>
            <w:shd w:val="clear" w:color="auto" w:fill="auto"/>
            <w:vAlign w:val="bottom"/>
            <w:hideMark/>
          </w:tcPr>
          <w:p w14:paraId="1736727D" w14:textId="77777777" w:rsidR="00F3155E" w:rsidRPr="00872293" w:rsidRDefault="00F3155E" w:rsidP="00306E80">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1ED2EF5E"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1D35A757"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w:t>
            </w:r>
          </w:p>
        </w:tc>
        <w:tc>
          <w:tcPr>
            <w:tcW w:w="810" w:type="dxa"/>
            <w:vMerge/>
            <w:tcBorders>
              <w:top w:val="nil"/>
              <w:left w:val="nil"/>
              <w:bottom w:val="nil"/>
              <w:right w:val="nil"/>
            </w:tcBorders>
            <w:vAlign w:val="center"/>
            <w:hideMark/>
          </w:tcPr>
          <w:p w14:paraId="2E61854E"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6E43CCD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15</w:t>
            </w:r>
          </w:p>
        </w:tc>
      </w:tr>
      <w:tr w:rsidR="00872293" w:rsidRPr="00872293" w14:paraId="62DA36BB" w14:textId="77777777" w:rsidTr="003441D6">
        <w:trPr>
          <w:trHeight w:val="540"/>
        </w:trPr>
        <w:tc>
          <w:tcPr>
            <w:tcW w:w="880" w:type="dxa"/>
            <w:vMerge/>
            <w:tcBorders>
              <w:top w:val="nil"/>
              <w:left w:val="single" w:sz="4" w:space="0" w:color="auto"/>
              <w:bottom w:val="single" w:sz="4" w:space="0" w:color="auto"/>
              <w:right w:val="nil"/>
            </w:tcBorders>
            <w:vAlign w:val="center"/>
            <w:hideMark/>
          </w:tcPr>
          <w:p w14:paraId="4CE5B49F"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234F13DA"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2BB94EBD"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7F0E7981" w14:textId="77777777" w:rsidR="00F3155E" w:rsidRPr="00872293" w:rsidRDefault="00F3155E" w:rsidP="00306E80">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xml:space="preserve"> </w:t>
            </w:r>
          </w:p>
        </w:tc>
        <w:tc>
          <w:tcPr>
            <w:tcW w:w="1080" w:type="dxa"/>
            <w:vMerge/>
            <w:tcBorders>
              <w:top w:val="nil"/>
              <w:left w:val="nil"/>
              <w:bottom w:val="single" w:sz="4" w:space="0" w:color="auto"/>
              <w:right w:val="nil"/>
            </w:tcBorders>
            <w:vAlign w:val="center"/>
            <w:hideMark/>
          </w:tcPr>
          <w:p w14:paraId="695849B0"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7B0FE0A4" w14:textId="6EE6A1D9"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c>
          <w:tcPr>
            <w:tcW w:w="810" w:type="dxa"/>
            <w:vMerge/>
            <w:tcBorders>
              <w:top w:val="nil"/>
              <w:left w:val="nil"/>
              <w:bottom w:val="single" w:sz="4" w:space="0" w:color="auto"/>
              <w:right w:val="nil"/>
            </w:tcBorders>
            <w:vAlign w:val="center"/>
            <w:hideMark/>
          </w:tcPr>
          <w:p w14:paraId="2B29EF83"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02D638D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-13.5</w:t>
            </w:r>
          </w:p>
        </w:tc>
      </w:tr>
      <w:tr w:rsidR="00872293" w:rsidRPr="00872293" w14:paraId="3E443BA0" w14:textId="77777777" w:rsidTr="003441D6">
        <w:trPr>
          <w:trHeight w:val="459"/>
        </w:trPr>
        <w:tc>
          <w:tcPr>
            <w:tcW w:w="880" w:type="dxa"/>
            <w:vMerge w:val="restart"/>
            <w:tcBorders>
              <w:top w:val="single" w:sz="4" w:space="0" w:color="auto"/>
              <w:left w:val="single" w:sz="4" w:space="0" w:color="auto"/>
              <w:bottom w:val="nil"/>
              <w:right w:val="nil"/>
            </w:tcBorders>
            <w:shd w:val="clear" w:color="auto" w:fill="auto"/>
            <w:vAlign w:val="bottom"/>
            <w:hideMark/>
          </w:tcPr>
          <w:p w14:paraId="6872905A"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0E18C688"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production~ treatment+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(1|plot)</w:t>
            </w:r>
          </w:p>
        </w:tc>
        <w:tc>
          <w:tcPr>
            <w:tcW w:w="1260" w:type="dxa"/>
            <w:vMerge w:val="restart"/>
            <w:tcBorders>
              <w:top w:val="single" w:sz="4" w:space="0" w:color="auto"/>
              <w:left w:val="nil"/>
              <w:bottom w:val="nil"/>
              <w:right w:val="nil"/>
            </w:tcBorders>
            <w:shd w:val="clear" w:color="auto" w:fill="auto"/>
            <w:vAlign w:val="bottom"/>
            <w:hideMark/>
          </w:tcPr>
          <w:p w14:paraId="67851038" w14:textId="77777777" w:rsidR="00F3155E" w:rsidRPr="00872293" w:rsidRDefault="00F3155E" w:rsidP="00CA7EE9">
            <w:pPr>
              <w:spacing w:after="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production</w:t>
            </w:r>
          </w:p>
        </w:tc>
        <w:tc>
          <w:tcPr>
            <w:tcW w:w="1170" w:type="dxa"/>
            <w:tcBorders>
              <w:top w:val="single" w:sz="4" w:space="0" w:color="auto"/>
              <w:left w:val="nil"/>
              <w:bottom w:val="nil"/>
              <w:right w:val="nil"/>
            </w:tcBorders>
            <w:shd w:val="clear" w:color="auto" w:fill="auto"/>
            <w:vAlign w:val="bottom"/>
            <w:hideMark/>
          </w:tcPr>
          <w:p w14:paraId="76CC12C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0DF84ADC"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095C9E2F"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w:t>
            </w:r>
          </w:p>
        </w:tc>
        <w:tc>
          <w:tcPr>
            <w:tcW w:w="810" w:type="dxa"/>
            <w:vMerge w:val="restart"/>
            <w:tcBorders>
              <w:top w:val="single" w:sz="4" w:space="0" w:color="auto"/>
              <w:left w:val="nil"/>
              <w:bottom w:val="nil"/>
              <w:right w:val="nil"/>
            </w:tcBorders>
            <w:shd w:val="clear" w:color="auto" w:fill="auto"/>
            <w:vAlign w:val="bottom"/>
            <w:hideMark/>
          </w:tcPr>
          <w:p w14:paraId="412D36C2"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0.08/</w:t>
            </w:r>
            <w:r w:rsidRPr="00872293">
              <w:rPr>
                <w:rFonts w:ascii="Times New Roman" w:eastAsia="Times New Roman" w:hAnsi="Times New Roman" w:cs="Times New Roman"/>
                <w:sz w:val="22"/>
                <w:szCs w:val="22"/>
              </w:rPr>
              <w:br/>
              <w:t>0.5</w:t>
            </w:r>
          </w:p>
        </w:tc>
        <w:tc>
          <w:tcPr>
            <w:tcW w:w="1080" w:type="dxa"/>
            <w:tcBorders>
              <w:top w:val="single" w:sz="4" w:space="0" w:color="auto"/>
              <w:left w:val="nil"/>
              <w:bottom w:val="nil"/>
              <w:right w:val="single" w:sz="4" w:space="0" w:color="auto"/>
            </w:tcBorders>
            <w:shd w:val="clear" w:color="auto" w:fill="auto"/>
            <w:noWrap/>
            <w:vAlign w:val="bottom"/>
            <w:hideMark/>
          </w:tcPr>
          <w:p w14:paraId="7E9A8777"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w:t>
            </w:r>
          </w:p>
        </w:tc>
      </w:tr>
      <w:tr w:rsidR="00872293" w:rsidRPr="00872293" w14:paraId="1B3112AD" w14:textId="77777777" w:rsidTr="003441D6">
        <w:trPr>
          <w:trHeight w:val="410"/>
        </w:trPr>
        <w:tc>
          <w:tcPr>
            <w:tcW w:w="880" w:type="dxa"/>
            <w:vMerge/>
            <w:tcBorders>
              <w:top w:val="nil"/>
              <w:left w:val="single" w:sz="4" w:space="0" w:color="auto"/>
              <w:bottom w:val="nil"/>
              <w:right w:val="nil"/>
            </w:tcBorders>
            <w:vAlign w:val="center"/>
            <w:hideMark/>
          </w:tcPr>
          <w:p w14:paraId="5AB04F7A"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nil"/>
              <w:right w:val="nil"/>
            </w:tcBorders>
            <w:vAlign w:val="center"/>
            <w:hideMark/>
          </w:tcPr>
          <w:p w14:paraId="38E5D9CE"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64E18F8C"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nil"/>
              <w:right w:val="nil"/>
            </w:tcBorders>
            <w:shd w:val="clear" w:color="auto" w:fill="auto"/>
            <w:vAlign w:val="bottom"/>
            <w:hideMark/>
          </w:tcPr>
          <w:p w14:paraId="3C4CD449"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6A78D9F8"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394EFD0D" w14:textId="36BE1085" w:rsidR="00F3155E" w:rsidRPr="00872293" w:rsidRDefault="003441D6"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w:t>
            </w:r>
            <w:r w:rsidR="00F3155E" w:rsidRPr="00872293">
              <w:rPr>
                <w:rFonts w:ascii="Times New Roman" w:eastAsia="Times New Roman" w:hAnsi="Times New Roman" w:cs="Times New Roman"/>
                <w:sz w:val="22"/>
                <w:szCs w:val="22"/>
              </w:rPr>
              <w:t>0.0</w:t>
            </w:r>
            <w:r w:rsidRPr="00872293">
              <w:rPr>
                <w:rFonts w:ascii="Times New Roman" w:eastAsia="Times New Roman" w:hAnsi="Times New Roman" w:cs="Times New Roman"/>
                <w:sz w:val="22"/>
                <w:szCs w:val="22"/>
              </w:rPr>
              <w:t>1</w:t>
            </w:r>
          </w:p>
        </w:tc>
        <w:tc>
          <w:tcPr>
            <w:tcW w:w="810" w:type="dxa"/>
            <w:vMerge/>
            <w:tcBorders>
              <w:top w:val="nil"/>
              <w:left w:val="nil"/>
              <w:bottom w:val="nil"/>
              <w:right w:val="nil"/>
            </w:tcBorders>
            <w:vAlign w:val="center"/>
            <w:hideMark/>
          </w:tcPr>
          <w:p w14:paraId="264E9C2A"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30C9B2D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w:t>
            </w:r>
          </w:p>
        </w:tc>
      </w:tr>
      <w:tr w:rsidR="00872293" w:rsidRPr="00872293" w14:paraId="1D280D25" w14:textId="77777777" w:rsidTr="003441D6">
        <w:trPr>
          <w:trHeight w:val="207"/>
        </w:trPr>
        <w:tc>
          <w:tcPr>
            <w:tcW w:w="880" w:type="dxa"/>
            <w:vMerge/>
            <w:tcBorders>
              <w:top w:val="nil"/>
              <w:left w:val="single" w:sz="4" w:space="0" w:color="auto"/>
              <w:bottom w:val="single" w:sz="4" w:space="0" w:color="auto"/>
              <w:right w:val="nil"/>
            </w:tcBorders>
            <w:vAlign w:val="center"/>
            <w:hideMark/>
          </w:tcPr>
          <w:p w14:paraId="44A6472C"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3A053209"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745D4EF2"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3AAA8549"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p>
        </w:tc>
        <w:tc>
          <w:tcPr>
            <w:tcW w:w="1080" w:type="dxa"/>
            <w:vMerge/>
            <w:tcBorders>
              <w:top w:val="nil"/>
              <w:left w:val="nil"/>
              <w:bottom w:val="single" w:sz="4" w:space="0" w:color="auto"/>
              <w:right w:val="nil"/>
            </w:tcBorders>
            <w:vAlign w:val="center"/>
            <w:hideMark/>
          </w:tcPr>
          <w:p w14:paraId="3AC82699"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2B7D96B2"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0.08</w:t>
            </w:r>
          </w:p>
        </w:tc>
        <w:tc>
          <w:tcPr>
            <w:tcW w:w="810" w:type="dxa"/>
            <w:vMerge/>
            <w:tcBorders>
              <w:top w:val="nil"/>
              <w:left w:val="nil"/>
              <w:bottom w:val="single" w:sz="4" w:space="0" w:color="auto"/>
              <w:right w:val="nil"/>
            </w:tcBorders>
            <w:vAlign w:val="center"/>
            <w:hideMark/>
          </w:tcPr>
          <w:p w14:paraId="0C0AFFB6"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1D00A2D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-0.19</w:t>
            </w:r>
          </w:p>
        </w:tc>
      </w:tr>
      <w:tr w:rsidR="00872293" w:rsidRPr="00872293" w14:paraId="7E01FFEA" w14:textId="77777777" w:rsidTr="003441D6">
        <w:trPr>
          <w:trHeight w:val="459"/>
        </w:trPr>
        <w:tc>
          <w:tcPr>
            <w:tcW w:w="880" w:type="dxa"/>
            <w:vMerge w:val="restart"/>
            <w:tcBorders>
              <w:top w:val="single" w:sz="4" w:space="0" w:color="auto"/>
              <w:left w:val="single" w:sz="4" w:space="0" w:color="auto"/>
              <w:bottom w:val="nil"/>
              <w:right w:val="nil"/>
            </w:tcBorders>
            <w:shd w:val="clear" w:color="auto" w:fill="auto"/>
            <w:vAlign w:val="bottom"/>
            <w:hideMark/>
          </w:tcPr>
          <w:p w14:paraId="248D0B67"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Before</w:t>
            </w:r>
          </w:p>
        </w:tc>
        <w:tc>
          <w:tcPr>
            <w:tcW w:w="1995" w:type="dxa"/>
            <w:vMerge w:val="restart"/>
            <w:tcBorders>
              <w:top w:val="single" w:sz="4" w:space="0" w:color="auto"/>
              <w:left w:val="nil"/>
              <w:bottom w:val="nil"/>
              <w:right w:val="nil"/>
            </w:tcBorders>
            <w:shd w:val="clear" w:color="auto" w:fill="auto"/>
            <w:vAlign w:val="bottom"/>
            <w:hideMark/>
          </w:tcPr>
          <w:p w14:paraId="51FB226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mortality~ treatment+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(1|plot)</w:t>
            </w:r>
          </w:p>
        </w:tc>
        <w:tc>
          <w:tcPr>
            <w:tcW w:w="1260" w:type="dxa"/>
            <w:vMerge w:val="restart"/>
            <w:tcBorders>
              <w:top w:val="single" w:sz="4" w:space="0" w:color="auto"/>
              <w:left w:val="nil"/>
              <w:bottom w:val="nil"/>
              <w:right w:val="nil"/>
            </w:tcBorders>
            <w:shd w:val="clear" w:color="auto" w:fill="auto"/>
            <w:vAlign w:val="bottom"/>
            <w:hideMark/>
          </w:tcPr>
          <w:p w14:paraId="2A643EF6" w14:textId="77777777" w:rsidR="00F3155E" w:rsidRPr="00872293" w:rsidRDefault="00F3155E" w:rsidP="00CA7EE9">
            <w:pPr>
              <w:spacing w:after="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mortality</w:t>
            </w:r>
          </w:p>
        </w:tc>
        <w:tc>
          <w:tcPr>
            <w:tcW w:w="1170" w:type="dxa"/>
            <w:tcBorders>
              <w:top w:val="single" w:sz="4" w:space="0" w:color="auto"/>
              <w:left w:val="nil"/>
              <w:bottom w:val="nil"/>
              <w:right w:val="nil"/>
            </w:tcBorders>
            <w:shd w:val="clear" w:color="auto" w:fill="auto"/>
            <w:vAlign w:val="bottom"/>
            <w:hideMark/>
          </w:tcPr>
          <w:p w14:paraId="62D01FE8"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6564FE7D"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6E84013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w:t>
            </w:r>
          </w:p>
        </w:tc>
        <w:tc>
          <w:tcPr>
            <w:tcW w:w="810" w:type="dxa"/>
            <w:vMerge w:val="restart"/>
            <w:tcBorders>
              <w:top w:val="single" w:sz="4" w:space="0" w:color="auto"/>
              <w:left w:val="nil"/>
              <w:bottom w:val="nil"/>
              <w:right w:val="nil"/>
            </w:tcBorders>
            <w:shd w:val="clear" w:color="auto" w:fill="auto"/>
            <w:vAlign w:val="bottom"/>
            <w:hideMark/>
          </w:tcPr>
          <w:p w14:paraId="5930565A"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0.16/</w:t>
            </w:r>
            <w:r w:rsidRPr="00872293">
              <w:rPr>
                <w:rFonts w:ascii="Times New Roman" w:eastAsia="Times New Roman" w:hAnsi="Times New Roman" w:cs="Times New Roman"/>
                <w:sz w:val="22"/>
                <w:szCs w:val="22"/>
              </w:rPr>
              <w:br/>
              <w:t>0.5</w:t>
            </w:r>
          </w:p>
        </w:tc>
        <w:tc>
          <w:tcPr>
            <w:tcW w:w="1080" w:type="dxa"/>
            <w:tcBorders>
              <w:top w:val="single" w:sz="4" w:space="0" w:color="auto"/>
              <w:left w:val="nil"/>
              <w:bottom w:val="nil"/>
              <w:right w:val="single" w:sz="4" w:space="0" w:color="auto"/>
            </w:tcBorders>
            <w:shd w:val="clear" w:color="auto" w:fill="auto"/>
            <w:noWrap/>
            <w:vAlign w:val="bottom"/>
            <w:hideMark/>
          </w:tcPr>
          <w:p w14:paraId="2E6DA8C4"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0.36</w:t>
            </w:r>
          </w:p>
        </w:tc>
      </w:tr>
      <w:tr w:rsidR="00872293" w:rsidRPr="00872293" w14:paraId="137106D8" w14:textId="77777777" w:rsidTr="003441D6">
        <w:trPr>
          <w:trHeight w:val="400"/>
        </w:trPr>
        <w:tc>
          <w:tcPr>
            <w:tcW w:w="880" w:type="dxa"/>
            <w:vMerge/>
            <w:tcBorders>
              <w:top w:val="nil"/>
              <w:left w:val="single" w:sz="4" w:space="0" w:color="auto"/>
              <w:bottom w:val="nil"/>
              <w:right w:val="nil"/>
            </w:tcBorders>
            <w:vAlign w:val="center"/>
            <w:hideMark/>
          </w:tcPr>
          <w:p w14:paraId="2DC3C106"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nil"/>
              <w:right w:val="nil"/>
            </w:tcBorders>
            <w:vAlign w:val="center"/>
            <w:hideMark/>
          </w:tcPr>
          <w:p w14:paraId="49D0D753"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6BE16451"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nil"/>
              <w:right w:val="nil"/>
            </w:tcBorders>
            <w:shd w:val="clear" w:color="auto" w:fill="auto"/>
            <w:vAlign w:val="bottom"/>
            <w:hideMark/>
          </w:tcPr>
          <w:p w14:paraId="40D2571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6064A55C"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1028B29C" w14:textId="3CA2AF3E"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w:t>
            </w:r>
            <w:r w:rsidR="003441D6" w:rsidRPr="00872293">
              <w:rPr>
                <w:rFonts w:ascii="Times New Roman" w:eastAsia="Times New Roman" w:hAnsi="Times New Roman" w:cs="Times New Roman"/>
                <w:sz w:val="22"/>
                <w:szCs w:val="22"/>
              </w:rPr>
              <w:t>1</w:t>
            </w:r>
          </w:p>
        </w:tc>
        <w:tc>
          <w:tcPr>
            <w:tcW w:w="810" w:type="dxa"/>
            <w:vMerge/>
            <w:tcBorders>
              <w:top w:val="nil"/>
              <w:left w:val="nil"/>
              <w:bottom w:val="nil"/>
              <w:right w:val="nil"/>
            </w:tcBorders>
            <w:vAlign w:val="center"/>
            <w:hideMark/>
          </w:tcPr>
          <w:p w14:paraId="0458CBA4"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5D88F232"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0.48</w:t>
            </w:r>
          </w:p>
        </w:tc>
      </w:tr>
      <w:tr w:rsidR="00872293" w:rsidRPr="00872293" w14:paraId="0135BC34" w14:textId="77777777" w:rsidTr="003441D6">
        <w:trPr>
          <w:trHeight w:val="288"/>
        </w:trPr>
        <w:tc>
          <w:tcPr>
            <w:tcW w:w="880" w:type="dxa"/>
            <w:vMerge/>
            <w:tcBorders>
              <w:top w:val="nil"/>
              <w:left w:val="single" w:sz="4" w:space="0" w:color="auto"/>
              <w:bottom w:val="single" w:sz="4" w:space="0" w:color="auto"/>
              <w:right w:val="nil"/>
            </w:tcBorders>
            <w:vAlign w:val="center"/>
            <w:hideMark/>
          </w:tcPr>
          <w:p w14:paraId="72204423"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5AE2F158"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4F5195E8"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07F0D66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p>
        </w:tc>
        <w:tc>
          <w:tcPr>
            <w:tcW w:w="1080" w:type="dxa"/>
            <w:vMerge/>
            <w:tcBorders>
              <w:top w:val="nil"/>
              <w:left w:val="nil"/>
              <w:bottom w:val="single" w:sz="4" w:space="0" w:color="auto"/>
              <w:right w:val="nil"/>
            </w:tcBorders>
            <w:vAlign w:val="center"/>
            <w:hideMark/>
          </w:tcPr>
          <w:p w14:paraId="3D5ED1B7"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79A02335"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0.86</w:t>
            </w:r>
          </w:p>
        </w:tc>
        <w:tc>
          <w:tcPr>
            <w:tcW w:w="810" w:type="dxa"/>
            <w:vMerge/>
            <w:tcBorders>
              <w:top w:val="nil"/>
              <w:left w:val="nil"/>
              <w:bottom w:val="single" w:sz="4" w:space="0" w:color="auto"/>
              <w:right w:val="nil"/>
            </w:tcBorders>
            <w:vAlign w:val="center"/>
            <w:hideMark/>
          </w:tcPr>
          <w:p w14:paraId="0F739E45"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618B73D6"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r>
      <w:tr w:rsidR="00872293" w:rsidRPr="00872293" w14:paraId="3BAA906A" w14:textId="77777777" w:rsidTr="003441D6">
        <w:trPr>
          <w:trHeight w:val="360"/>
        </w:trPr>
        <w:tc>
          <w:tcPr>
            <w:tcW w:w="880" w:type="dxa"/>
            <w:vMerge w:val="restart"/>
            <w:tcBorders>
              <w:top w:val="single" w:sz="4" w:space="0" w:color="auto"/>
              <w:left w:val="single" w:sz="4" w:space="0" w:color="auto"/>
              <w:bottom w:val="nil"/>
              <w:right w:val="nil"/>
            </w:tcBorders>
            <w:shd w:val="clear" w:color="auto" w:fill="auto"/>
            <w:vAlign w:val="bottom"/>
            <w:hideMark/>
          </w:tcPr>
          <w:p w14:paraId="0581CF3E"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1995" w:type="dxa"/>
            <w:vMerge w:val="restart"/>
            <w:tcBorders>
              <w:top w:val="single" w:sz="4" w:space="0" w:color="auto"/>
              <w:left w:val="nil"/>
              <w:bottom w:val="nil"/>
              <w:right w:val="nil"/>
            </w:tcBorders>
            <w:shd w:val="clear" w:color="auto" w:fill="auto"/>
            <w:vAlign w:val="bottom"/>
            <w:hideMark/>
          </w:tcPr>
          <w:p w14:paraId="5FF8216A"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xml:space="preserve"> + session +moisture +</w:t>
            </w:r>
            <w:r w:rsidRPr="00872293">
              <w:rPr>
                <w:rFonts w:ascii="Times New Roman" w:eastAsia="Times New Roman" w:hAnsi="Times New Roman" w:cs="Times New Roman"/>
                <w:sz w:val="22"/>
                <w:szCs w:val="22"/>
              </w:rPr>
              <w:br/>
              <w:t xml:space="preserve"> (1|plot)</w:t>
            </w:r>
          </w:p>
        </w:tc>
        <w:tc>
          <w:tcPr>
            <w:tcW w:w="1260" w:type="dxa"/>
            <w:vMerge w:val="restart"/>
            <w:tcBorders>
              <w:top w:val="single" w:sz="4" w:space="0" w:color="auto"/>
              <w:left w:val="nil"/>
              <w:bottom w:val="nil"/>
              <w:right w:val="nil"/>
            </w:tcBorders>
            <w:shd w:val="clear" w:color="auto" w:fill="auto"/>
            <w:vAlign w:val="bottom"/>
            <w:hideMark/>
          </w:tcPr>
          <w:p w14:paraId="4D26C511" w14:textId="77777777" w:rsidR="00F3155E" w:rsidRPr="00872293" w:rsidRDefault="00F3155E" w:rsidP="00CA7EE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stock</w:t>
            </w:r>
          </w:p>
        </w:tc>
        <w:tc>
          <w:tcPr>
            <w:tcW w:w="1170" w:type="dxa"/>
            <w:tcBorders>
              <w:top w:val="single" w:sz="4" w:space="0" w:color="auto"/>
              <w:left w:val="nil"/>
              <w:bottom w:val="nil"/>
              <w:right w:val="nil"/>
            </w:tcBorders>
            <w:shd w:val="clear" w:color="auto" w:fill="auto"/>
            <w:vAlign w:val="bottom"/>
            <w:hideMark/>
          </w:tcPr>
          <w:p w14:paraId="63630AC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69A203FB"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077FA627"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810" w:type="dxa"/>
            <w:vMerge w:val="restart"/>
            <w:tcBorders>
              <w:top w:val="single" w:sz="4" w:space="0" w:color="auto"/>
              <w:left w:val="nil"/>
              <w:bottom w:val="nil"/>
              <w:right w:val="nil"/>
            </w:tcBorders>
            <w:shd w:val="clear" w:color="auto" w:fill="auto"/>
            <w:vAlign w:val="bottom"/>
            <w:hideMark/>
          </w:tcPr>
          <w:p w14:paraId="4715E435"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r w:rsidRPr="00872293">
              <w:rPr>
                <w:rFonts w:ascii="Times New Roman" w:eastAsia="Times New Roman" w:hAnsi="Times New Roman" w:cs="Times New Roman"/>
                <w:sz w:val="22"/>
                <w:szCs w:val="22"/>
              </w:rPr>
              <w:br/>
              <w:t>0.8</w:t>
            </w:r>
          </w:p>
        </w:tc>
        <w:tc>
          <w:tcPr>
            <w:tcW w:w="1080" w:type="dxa"/>
            <w:tcBorders>
              <w:top w:val="single" w:sz="4" w:space="0" w:color="auto"/>
              <w:left w:val="nil"/>
              <w:bottom w:val="nil"/>
              <w:right w:val="single" w:sz="4" w:space="0" w:color="auto"/>
            </w:tcBorders>
            <w:shd w:val="clear" w:color="auto" w:fill="auto"/>
            <w:noWrap/>
            <w:vAlign w:val="bottom"/>
            <w:hideMark/>
          </w:tcPr>
          <w:p w14:paraId="2DE0AE61"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-702.1</w:t>
            </w:r>
          </w:p>
        </w:tc>
      </w:tr>
      <w:tr w:rsidR="00872293" w:rsidRPr="00872293" w14:paraId="36D8B4DA" w14:textId="77777777" w:rsidTr="003441D6">
        <w:trPr>
          <w:trHeight w:val="351"/>
        </w:trPr>
        <w:tc>
          <w:tcPr>
            <w:tcW w:w="880" w:type="dxa"/>
            <w:vMerge/>
            <w:tcBorders>
              <w:top w:val="nil"/>
              <w:left w:val="single" w:sz="4" w:space="0" w:color="auto"/>
              <w:bottom w:val="nil"/>
              <w:right w:val="nil"/>
            </w:tcBorders>
            <w:vAlign w:val="center"/>
            <w:hideMark/>
          </w:tcPr>
          <w:p w14:paraId="19730070"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nil"/>
              <w:right w:val="nil"/>
            </w:tcBorders>
            <w:vAlign w:val="center"/>
            <w:hideMark/>
          </w:tcPr>
          <w:p w14:paraId="6BE47890"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36F22F23"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nil"/>
              <w:right w:val="nil"/>
            </w:tcBorders>
            <w:shd w:val="clear" w:color="auto" w:fill="auto"/>
            <w:vAlign w:val="bottom"/>
            <w:hideMark/>
          </w:tcPr>
          <w:p w14:paraId="04073141"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22F92E6E"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4C77050E" w14:textId="4829A9CD"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810" w:type="dxa"/>
            <w:vMerge/>
            <w:tcBorders>
              <w:top w:val="nil"/>
              <w:left w:val="nil"/>
              <w:bottom w:val="nil"/>
              <w:right w:val="nil"/>
            </w:tcBorders>
            <w:vAlign w:val="center"/>
            <w:hideMark/>
          </w:tcPr>
          <w:p w14:paraId="0D09D4CA"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4D34EFAC"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83.9</w:t>
            </w:r>
          </w:p>
        </w:tc>
      </w:tr>
      <w:tr w:rsidR="00872293" w:rsidRPr="00872293" w14:paraId="2672B621" w14:textId="77777777" w:rsidTr="003441D6">
        <w:trPr>
          <w:trHeight w:val="225"/>
        </w:trPr>
        <w:tc>
          <w:tcPr>
            <w:tcW w:w="880" w:type="dxa"/>
            <w:vMerge/>
            <w:tcBorders>
              <w:top w:val="nil"/>
              <w:left w:val="single" w:sz="4" w:space="0" w:color="auto"/>
              <w:bottom w:val="single" w:sz="4" w:space="0" w:color="auto"/>
              <w:right w:val="nil"/>
            </w:tcBorders>
            <w:vAlign w:val="center"/>
            <w:hideMark/>
          </w:tcPr>
          <w:p w14:paraId="329EE837"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153F485F"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37C81571"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11EB5AF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Moisture</w:t>
            </w:r>
          </w:p>
        </w:tc>
        <w:tc>
          <w:tcPr>
            <w:tcW w:w="1080" w:type="dxa"/>
            <w:vMerge/>
            <w:tcBorders>
              <w:top w:val="nil"/>
              <w:left w:val="nil"/>
              <w:bottom w:val="single" w:sz="4" w:space="0" w:color="auto"/>
              <w:right w:val="nil"/>
            </w:tcBorders>
            <w:vAlign w:val="center"/>
            <w:hideMark/>
          </w:tcPr>
          <w:p w14:paraId="0D0E1B3D" w14:textId="77777777" w:rsidR="00F3155E" w:rsidRPr="00872293" w:rsidRDefault="00F3155E" w:rsidP="00CA7EE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7137B4A5"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c>
          <w:tcPr>
            <w:tcW w:w="810" w:type="dxa"/>
            <w:vMerge/>
            <w:tcBorders>
              <w:top w:val="nil"/>
              <w:left w:val="nil"/>
              <w:bottom w:val="single" w:sz="4" w:space="0" w:color="auto"/>
              <w:right w:val="nil"/>
            </w:tcBorders>
            <w:vAlign w:val="center"/>
            <w:hideMark/>
          </w:tcPr>
          <w:p w14:paraId="011A14B5"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6099137B"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-0.95</w:t>
            </w:r>
          </w:p>
        </w:tc>
      </w:tr>
      <w:tr w:rsidR="00872293" w:rsidRPr="00872293" w14:paraId="0A603890" w14:textId="77777777" w:rsidTr="003441D6">
        <w:trPr>
          <w:trHeight w:val="430"/>
        </w:trPr>
        <w:tc>
          <w:tcPr>
            <w:tcW w:w="880" w:type="dxa"/>
            <w:vMerge w:val="restart"/>
            <w:tcBorders>
              <w:top w:val="single" w:sz="4" w:space="0" w:color="auto"/>
              <w:left w:val="single" w:sz="4" w:space="0" w:color="auto"/>
              <w:bottom w:val="single" w:sz="8" w:space="0" w:color="000000"/>
              <w:right w:val="nil"/>
            </w:tcBorders>
            <w:shd w:val="clear" w:color="auto" w:fill="auto"/>
            <w:vAlign w:val="bottom"/>
            <w:hideMark/>
          </w:tcPr>
          <w:p w14:paraId="19C1E9D4"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1995" w:type="dxa"/>
            <w:vMerge w:val="restart"/>
            <w:tcBorders>
              <w:top w:val="single" w:sz="4" w:space="0" w:color="auto"/>
              <w:left w:val="nil"/>
              <w:bottom w:val="single" w:sz="8" w:space="0" w:color="000000"/>
              <w:right w:val="nil"/>
            </w:tcBorders>
            <w:shd w:val="clear" w:color="auto" w:fill="auto"/>
            <w:vAlign w:val="bottom"/>
            <w:hideMark/>
          </w:tcPr>
          <w:p w14:paraId="3F343BB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Coarse 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session+ (1|plot)</w:t>
            </w:r>
          </w:p>
        </w:tc>
        <w:tc>
          <w:tcPr>
            <w:tcW w:w="1260" w:type="dxa"/>
            <w:vMerge w:val="restart"/>
            <w:tcBorders>
              <w:top w:val="single" w:sz="4" w:space="0" w:color="auto"/>
              <w:left w:val="nil"/>
              <w:bottom w:val="single" w:sz="8" w:space="0" w:color="000000"/>
              <w:right w:val="nil"/>
            </w:tcBorders>
            <w:shd w:val="clear" w:color="auto" w:fill="auto"/>
            <w:vAlign w:val="bottom"/>
            <w:hideMark/>
          </w:tcPr>
          <w:p w14:paraId="51E2A854" w14:textId="77777777" w:rsidR="00F3155E" w:rsidRPr="00872293" w:rsidRDefault="00F3155E" w:rsidP="00CA7EE9">
            <w:pPr>
              <w:spacing w:after="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Coarse root stock</w:t>
            </w:r>
          </w:p>
        </w:tc>
        <w:tc>
          <w:tcPr>
            <w:tcW w:w="1170" w:type="dxa"/>
            <w:tcBorders>
              <w:top w:val="single" w:sz="4" w:space="0" w:color="auto"/>
              <w:left w:val="nil"/>
              <w:bottom w:val="nil"/>
              <w:right w:val="nil"/>
            </w:tcBorders>
            <w:shd w:val="clear" w:color="auto" w:fill="auto"/>
            <w:vAlign w:val="bottom"/>
            <w:hideMark/>
          </w:tcPr>
          <w:p w14:paraId="7F606CB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single" w:sz="8" w:space="0" w:color="000000"/>
              <w:right w:val="nil"/>
            </w:tcBorders>
            <w:shd w:val="clear" w:color="auto" w:fill="auto"/>
            <w:vAlign w:val="bottom"/>
            <w:hideMark/>
          </w:tcPr>
          <w:p w14:paraId="313880C7" w14:textId="77777777" w:rsidR="00F3155E" w:rsidRPr="00872293" w:rsidRDefault="00F3155E" w:rsidP="00CA7EE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5FB11E58"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0.18</w:t>
            </w:r>
          </w:p>
        </w:tc>
        <w:tc>
          <w:tcPr>
            <w:tcW w:w="810" w:type="dxa"/>
            <w:vMerge w:val="restart"/>
            <w:tcBorders>
              <w:top w:val="single" w:sz="4" w:space="0" w:color="auto"/>
              <w:left w:val="nil"/>
              <w:bottom w:val="single" w:sz="8" w:space="0" w:color="000000"/>
              <w:right w:val="nil"/>
            </w:tcBorders>
            <w:shd w:val="clear" w:color="auto" w:fill="auto"/>
            <w:vAlign w:val="bottom"/>
            <w:hideMark/>
          </w:tcPr>
          <w:p w14:paraId="28E5FDD2" w14:textId="77777777" w:rsidR="00F3155E" w:rsidRPr="00872293" w:rsidRDefault="00F3155E" w:rsidP="00CA7EE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w:t>
            </w:r>
            <w:r w:rsidRPr="00872293">
              <w:rPr>
                <w:rFonts w:ascii="Times New Roman" w:eastAsia="Times New Roman" w:hAnsi="Times New Roman" w:cs="Times New Roman"/>
                <w:sz w:val="22"/>
                <w:szCs w:val="22"/>
              </w:rPr>
              <w:br/>
              <w:t>0.7</w:t>
            </w:r>
          </w:p>
        </w:tc>
        <w:tc>
          <w:tcPr>
            <w:tcW w:w="1080" w:type="dxa"/>
            <w:tcBorders>
              <w:top w:val="single" w:sz="4" w:space="0" w:color="auto"/>
              <w:left w:val="nil"/>
              <w:bottom w:val="nil"/>
              <w:right w:val="single" w:sz="4" w:space="0" w:color="auto"/>
            </w:tcBorders>
            <w:shd w:val="clear" w:color="auto" w:fill="auto"/>
            <w:noWrap/>
            <w:vAlign w:val="bottom"/>
            <w:hideMark/>
          </w:tcPr>
          <w:p w14:paraId="1A4731B1"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-659.1</w:t>
            </w:r>
          </w:p>
        </w:tc>
      </w:tr>
      <w:tr w:rsidR="00872293" w:rsidRPr="00872293" w14:paraId="48E272D7" w14:textId="77777777" w:rsidTr="003441D6">
        <w:trPr>
          <w:trHeight w:val="403"/>
        </w:trPr>
        <w:tc>
          <w:tcPr>
            <w:tcW w:w="880" w:type="dxa"/>
            <w:vMerge/>
            <w:tcBorders>
              <w:top w:val="nil"/>
              <w:left w:val="single" w:sz="4" w:space="0" w:color="auto"/>
              <w:bottom w:val="single" w:sz="4" w:space="0" w:color="auto"/>
              <w:right w:val="nil"/>
            </w:tcBorders>
            <w:vAlign w:val="center"/>
            <w:hideMark/>
          </w:tcPr>
          <w:p w14:paraId="2866B1B3" w14:textId="77777777" w:rsidR="00F3155E" w:rsidRPr="00872293" w:rsidRDefault="00F3155E" w:rsidP="00CA4391">
            <w:pPr>
              <w:rPr>
                <w:rFonts w:ascii="Times New Roman" w:eastAsia="Times New Roman" w:hAnsi="Times New Roman" w:cs="Times New Roman"/>
                <w:sz w:val="22"/>
                <w:szCs w:val="22"/>
              </w:rPr>
            </w:pPr>
          </w:p>
        </w:tc>
        <w:tc>
          <w:tcPr>
            <w:tcW w:w="1995" w:type="dxa"/>
            <w:vMerge/>
            <w:tcBorders>
              <w:top w:val="nil"/>
              <w:left w:val="nil"/>
              <w:bottom w:val="single" w:sz="4" w:space="0" w:color="auto"/>
              <w:right w:val="nil"/>
            </w:tcBorders>
            <w:vAlign w:val="center"/>
            <w:hideMark/>
          </w:tcPr>
          <w:p w14:paraId="06BBDB26"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6FD30057" w14:textId="77777777" w:rsidR="00F3155E" w:rsidRPr="00872293" w:rsidRDefault="00F3155E" w:rsidP="00CA4391">
            <w:pPr>
              <w:rPr>
                <w:rFonts w:ascii="Times New Roman" w:eastAsia="Times New Roman" w:hAnsi="Times New Roman" w:cs="Times New Roman"/>
                <w:sz w:val="22"/>
                <w:szCs w:val="22"/>
              </w:rPr>
            </w:pPr>
          </w:p>
        </w:tc>
        <w:tc>
          <w:tcPr>
            <w:tcW w:w="1170" w:type="dxa"/>
            <w:tcBorders>
              <w:top w:val="nil"/>
              <w:left w:val="nil"/>
              <w:bottom w:val="single" w:sz="4" w:space="0" w:color="auto"/>
              <w:right w:val="nil"/>
            </w:tcBorders>
            <w:shd w:val="clear" w:color="auto" w:fill="auto"/>
            <w:vAlign w:val="bottom"/>
            <w:hideMark/>
          </w:tcPr>
          <w:p w14:paraId="0CC10B03"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64D019E0" w14:textId="77777777" w:rsidR="00F3155E" w:rsidRPr="00872293" w:rsidRDefault="00F3155E" w:rsidP="00CA4391">
            <w:pPr>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1E7D9186" w14:textId="0163F3DE"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810" w:type="dxa"/>
            <w:vMerge/>
            <w:tcBorders>
              <w:top w:val="nil"/>
              <w:left w:val="nil"/>
              <w:bottom w:val="single" w:sz="4" w:space="0" w:color="auto"/>
              <w:right w:val="nil"/>
            </w:tcBorders>
            <w:vAlign w:val="center"/>
            <w:hideMark/>
          </w:tcPr>
          <w:p w14:paraId="524491C7"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2B995FC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37.9</w:t>
            </w:r>
          </w:p>
        </w:tc>
      </w:tr>
    </w:tbl>
    <w:p w14:paraId="6DBF21CB" w14:textId="77777777" w:rsidR="00F3155E" w:rsidRPr="00872293" w:rsidRDefault="00F3155E">
      <w:pPr>
        <w:rPr>
          <w:rFonts w:ascii="Times New Roman" w:hAnsi="Times New Roman" w:cs="Times New Roman"/>
          <w:i/>
          <w:iCs/>
        </w:rPr>
      </w:pPr>
    </w:p>
    <w:p w14:paraId="4C591CB9" w14:textId="77777777" w:rsidR="00F3155E" w:rsidRPr="00872293" w:rsidRDefault="00F3155E">
      <w:pPr>
        <w:rPr>
          <w:rFonts w:ascii="Times New Roman" w:hAnsi="Times New Roman" w:cs="Times New Roman"/>
          <w:i/>
          <w:iCs/>
        </w:rPr>
      </w:pPr>
    </w:p>
    <w:p w14:paraId="1F189756" w14:textId="77777777" w:rsidR="00F3155E" w:rsidRPr="00872293" w:rsidRDefault="00F3155E">
      <w:pPr>
        <w:rPr>
          <w:rFonts w:ascii="Times New Roman" w:hAnsi="Times New Roman" w:cs="Times New Roman"/>
          <w:i/>
          <w:iCs/>
        </w:rPr>
      </w:pPr>
      <w:r w:rsidRPr="00872293">
        <w:rPr>
          <w:rFonts w:ascii="Times New Roman" w:hAnsi="Times New Roman" w:cs="Times New Roman"/>
          <w:i/>
          <w:iCs/>
        </w:rPr>
        <w:br w:type="page"/>
      </w:r>
    </w:p>
    <w:p w14:paraId="00B5513E" w14:textId="3CD2DDD5" w:rsidR="00CA4391" w:rsidRPr="00872293" w:rsidRDefault="00CA4391" w:rsidP="003A10D2">
      <w:pPr>
        <w:spacing w:before="240" w:after="240"/>
        <w:rPr>
          <w:rFonts w:ascii="Times New Roman" w:hAnsi="Times New Roman" w:cs="Times New Roman"/>
          <w:i/>
          <w:iCs/>
        </w:rPr>
      </w:pPr>
      <w:r w:rsidRPr="00872293">
        <w:rPr>
          <w:rFonts w:ascii="Times New Roman" w:hAnsi="Times New Roman" w:cs="Times New Roman"/>
          <w:i/>
          <w:iCs/>
        </w:rPr>
        <w:lastRenderedPageBreak/>
        <w:t>Table 4 (Continued)</w:t>
      </w:r>
    </w:p>
    <w:tbl>
      <w:tblPr>
        <w:tblW w:w="9085" w:type="dxa"/>
        <w:tblLayout w:type="fixed"/>
        <w:tblLook w:val="04A0" w:firstRow="1" w:lastRow="0" w:firstColumn="1" w:lastColumn="0" w:noHBand="0" w:noVBand="1"/>
      </w:tblPr>
      <w:tblGrid>
        <w:gridCol w:w="715"/>
        <w:gridCol w:w="2070"/>
        <w:gridCol w:w="1260"/>
        <w:gridCol w:w="1350"/>
        <w:gridCol w:w="1080"/>
        <w:gridCol w:w="810"/>
        <w:gridCol w:w="720"/>
        <w:gridCol w:w="1080"/>
      </w:tblGrid>
      <w:tr w:rsidR="00872293" w:rsidRPr="00872293" w14:paraId="18E2E61C" w14:textId="77777777" w:rsidTr="001946E1">
        <w:trPr>
          <w:trHeight w:val="364"/>
        </w:trPr>
        <w:tc>
          <w:tcPr>
            <w:tcW w:w="715" w:type="dxa"/>
            <w:vMerge w:val="restart"/>
            <w:tcBorders>
              <w:top w:val="single" w:sz="4" w:space="0" w:color="auto"/>
              <w:left w:val="single" w:sz="4" w:space="0" w:color="auto"/>
              <w:bottom w:val="nil"/>
              <w:right w:val="nil"/>
            </w:tcBorders>
            <w:shd w:val="clear" w:color="auto" w:fill="auto"/>
            <w:vAlign w:val="bottom"/>
            <w:hideMark/>
          </w:tcPr>
          <w:p w14:paraId="11C0F342"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Time</w:t>
            </w:r>
          </w:p>
        </w:tc>
        <w:tc>
          <w:tcPr>
            <w:tcW w:w="2070" w:type="dxa"/>
            <w:vMerge w:val="restart"/>
            <w:tcBorders>
              <w:top w:val="single" w:sz="4" w:space="0" w:color="auto"/>
              <w:left w:val="nil"/>
              <w:bottom w:val="nil"/>
              <w:right w:val="nil"/>
            </w:tcBorders>
            <w:shd w:val="clear" w:color="auto" w:fill="auto"/>
            <w:vAlign w:val="bottom"/>
            <w:hideMark/>
          </w:tcPr>
          <w:p w14:paraId="3240F89A"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Model (</w:t>
            </w:r>
            <w:proofErr w:type="spellStart"/>
            <w:r w:rsidRPr="00872293">
              <w:rPr>
                <w:rFonts w:ascii="Times New Roman" w:eastAsia="Times New Roman" w:hAnsi="Times New Roman" w:cs="Times New Roman"/>
                <w:b/>
                <w:bCs/>
                <w:sz w:val="22"/>
                <w:szCs w:val="22"/>
              </w:rPr>
              <w:t>lmer</w:t>
            </w:r>
            <w:proofErr w:type="spellEnd"/>
            <w:r w:rsidRPr="00872293">
              <w:rPr>
                <w:rFonts w:ascii="Times New Roman" w:eastAsia="Times New Roman" w:hAnsi="Times New Roman" w:cs="Times New Roman"/>
                <w:b/>
                <w:bCs/>
                <w:sz w:val="22"/>
                <w:szCs w:val="22"/>
              </w:rPr>
              <w:t>)</w:t>
            </w:r>
          </w:p>
        </w:tc>
        <w:tc>
          <w:tcPr>
            <w:tcW w:w="1260" w:type="dxa"/>
            <w:vMerge w:val="restart"/>
            <w:tcBorders>
              <w:top w:val="single" w:sz="4" w:space="0" w:color="auto"/>
              <w:left w:val="nil"/>
              <w:bottom w:val="nil"/>
              <w:right w:val="nil"/>
            </w:tcBorders>
            <w:shd w:val="clear" w:color="auto" w:fill="auto"/>
            <w:vAlign w:val="bottom"/>
            <w:hideMark/>
          </w:tcPr>
          <w:p w14:paraId="018E0CAF"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Dependent variable</w:t>
            </w:r>
          </w:p>
        </w:tc>
        <w:tc>
          <w:tcPr>
            <w:tcW w:w="1350" w:type="dxa"/>
            <w:vMerge w:val="restart"/>
            <w:tcBorders>
              <w:top w:val="single" w:sz="4" w:space="0" w:color="auto"/>
              <w:left w:val="nil"/>
              <w:bottom w:val="nil"/>
              <w:right w:val="nil"/>
            </w:tcBorders>
            <w:shd w:val="clear" w:color="auto" w:fill="auto"/>
            <w:vAlign w:val="bottom"/>
            <w:hideMark/>
          </w:tcPr>
          <w:p w14:paraId="418935CB"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Fixed effects</w:t>
            </w:r>
          </w:p>
        </w:tc>
        <w:tc>
          <w:tcPr>
            <w:tcW w:w="1080" w:type="dxa"/>
            <w:vMerge w:val="restart"/>
            <w:tcBorders>
              <w:top w:val="single" w:sz="4" w:space="0" w:color="auto"/>
              <w:left w:val="nil"/>
              <w:bottom w:val="nil"/>
              <w:right w:val="nil"/>
            </w:tcBorders>
            <w:shd w:val="clear" w:color="auto" w:fill="auto"/>
            <w:vAlign w:val="bottom"/>
            <w:hideMark/>
          </w:tcPr>
          <w:p w14:paraId="47E18AA2"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Random effect</w:t>
            </w:r>
          </w:p>
        </w:tc>
        <w:tc>
          <w:tcPr>
            <w:tcW w:w="810" w:type="dxa"/>
            <w:vMerge w:val="restart"/>
            <w:tcBorders>
              <w:top w:val="single" w:sz="4" w:space="0" w:color="auto"/>
              <w:left w:val="nil"/>
              <w:bottom w:val="nil"/>
              <w:right w:val="nil"/>
            </w:tcBorders>
            <w:shd w:val="clear" w:color="auto" w:fill="auto"/>
            <w:vAlign w:val="bottom"/>
            <w:hideMark/>
          </w:tcPr>
          <w:p w14:paraId="32903EA5"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 value</w:t>
            </w:r>
          </w:p>
        </w:tc>
        <w:tc>
          <w:tcPr>
            <w:tcW w:w="720" w:type="dxa"/>
            <w:vMerge w:val="restart"/>
            <w:tcBorders>
              <w:top w:val="single" w:sz="4" w:space="0" w:color="auto"/>
              <w:left w:val="nil"/>
              <w:bottom w:val="nil"/>
              <w:right w:val="nil"/>
            </w:tcBorders>
            <w:shd w:val="clear" w:color="auto" w:fill="auto"/>
            <w:vAlign w:val="bottom"/>
            <w:hideMark/>
          </w:tcPr>
          <w:p w14:paraId="62C018F4"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m/R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c</w:t>
            </w:r>
          </w:p>
        </w:tc>
        <w:tc>
          <w:tcPr>
            <w:tcW w:w="1080" w:type="dxa"/>
            <w:vMerge w:val="restart"/>
            <w:tcBorders>
              <w:top w:val="single" w:sz="4" w:space="0" w:color="auto"/>
              <w:left w:val="nil"/>
              <w:bottom w:val="nil"/>
              <w:right w:val="single" w:sz="4" w:space="0" w:color="auto"/>
            </w:tcBorders>
            <w:shd w:val="clear" w:color="auto" w:fill="auto"/>
            <w:vAlign w:val="bottom"/>
            <w:hideMark/>
          </w:tcPr>
          <w:p w14:paraId="7E8A40BF" w14:textId="77777777" w:rsidR="00F3155E" w:rsidRPr="00872293" w:rsidRDefault="00F3155E" w:rsidP="00CA4391">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Estimate</w:t>
            </w:r>
          </w:p>
        </w:tc>
      </w:tr>
      <w:tr w:rsidR="00872293" w:rsidRPr="00872293" w14:paraId="3F58CDA9" w14:textId="77777777" w:rsidTr="001946E1">
        <w:trPr>
          <w:trHeight w:val="295"/>
        </w:trPr>
        <w:tc>
          <w:tcPr>
            <w:tcW w:w="715" w:type="dxa"/>
            <w:vMerge/>
            <w:tcBorders>
              <w:top w:val="single" w:sz="8" w:space="0" w:color="auto"/>
              <w:left w:val="single" w:sz="4" w:space="0" w:color="auto"/>
              <w:bottom w:val="single" w:sz="4" w:space="0" w:color="auto"/>
              <w:right w:val="nil"/>
            </w:tcBorders>
            <w:vAlign w:val="center"/>
            <w:hideMark/>
          </w:tcPr>
          <w:p w14:paraId="53A28A6D" w14:textId="77777777" w:rsidR="00F3155E" w:rsidRPr="00872293" w:rsidRDefault="00F3155E" w:rsidP="00CA4391">
            <w:pPr>
              <w:rPr>
                <w:rFonts w:ascii="Times New Roman" w:eastAsia="Times New Roman" w:hAnsi="Times New Roman" w:cs="Times New Roman"/>
                <w:b/>
                <w:bCs/>
                <w:sz w:val="22"/>
                <w:szCs w:val="22"/>
              </w:rPr>
            </w:pPr>
          </w:p>
        </w:tc>
        <w:tc>
          <w:tcPr>
            <w:tcW w:w="2070" w:type="dxa"/>
            <w:vMerge/>
            <w:tcBorders>
              <w:top w:val="single" w:sz="8" w:space="0" w:color="auto"/>
              <w:left w:val="nil"/>
              <w:bottom w:val="single" w:sz="4" w:space="0" w:color="auto"/>
              <w:right w:val="nil"/>
            </w:tcBorders>
            <w:vAlign w:val="center"/>
            <w:hideMark/>
          </w:tcPr>
          <w:p w14:paraId="1DA551AA" w14:textId="77777777" w:rsidR="00F3155E" w:rsidRPr="00872293" w:rsidRDefault="00F3155E" w:rsidP="00CA4391">
            <w:pPr>
              <w:rPr>
                <w:rFonts w:ascii="Times New Roman" w:eastAsia="Times New Roman" w:hAnsi="Times New Roman" w:cs="Times New Roman"/>
                <w:b/>
                <w:bCs/>
                <w:sz w:val="22"/>
                <w:szCs w:val="22"/>
              </w:rPr>
            </w:pPr>
          </w:p>
        </w:tc>
        <w:tc>
          <w:tcPr>
            <w:tcW w:w="1260" w:type="dxa"/>
            <w:vMerge/>
            <w:tcBorders>
              <w:top w:val="single" w:sz="8" w:space="0" w:color="auto"/>
              <w:left w:val="nil"/>
              <w:bottom w:val="single" w:sz="4" w:space="0" w:color="auto"/>
              <w:right w:val="nil"/>
            </w:tcBorders>
            <w:vAlign w:val="center"/>
            <w:hideMark/>
          </w:tcPr>
          <w:p w14:paraId="6A3AA6F8" w14:textId="77777777" w:rsidR="00F3155E" w:rsidRPr="00872293" w:rsidRDefault="00F3155E" w:rsidP="00CA4391">
            <w:pPr>
              <w:rPr>
                <w:rFonts w:ascii="Times New Roman" w:eastAsia="Times New Roman" w:hAnsi="Times New Roman" w:cs="Times New Roman"/>
                <w:b/>
                <w:bCs/>
                <w:sz w:val="22"/>
                <w:szCs w:val="22"/>
              </w:rPr>
            </w:pPr>
          </w:p>
        </w:tc>
        <w:tc>
          <w:tcPr>
            <w:tcW w:w="1350" w:type="dxa"/>
            <w:vMerge/>
            <w:tcBorders>
              <w:top w:val="single" w:sz="8" w:space="0" w:color="auto"/>
              <w:left w:val="nil"/>
              <w:bottom w:val="single" w:sz="4" w:space="0" w:color="auto"/>
              <w:right w:val="nil"/>
            </w:tcBorders>
            <w:vAlign w:val="center"/>
            <w:hideMark/>
          </w:tcPr>
          <w:p w14:paraId="67246B7B" w14:textId="77777777" w:rsidR="00F3155E" w:rsidRPr="00872293" w:rsidRDefault="00F3155E" w:rsidP="00CA4391">
            <w:pPr>
              <w:rPr>
                <w:rFonts w:ascii="Times New Roman" w:eastAsia="Times New Roman" w:hAnsi="Times New Roman" w:cs="Times New Roman"/>
                <w:b/>
                <w:bCs/>
                <w:sz w:val="22"/>
                <w:szCs w:val="22"/>
              </w:rPr>
            </w:pPr>
          </w:p>
        </w:tc>
        <w:tc>
          <w:tcPr>
            <w:tcW w:w="1080" w:type="dxa"/>
            <w:vMerge/>
            <w:tcBorders>
              <w:top w:val="single" w:sz="8" w:space="0" w:color="auto"/>
              <w:left w:val="nil"/>
              <w:bottom w:val="single" w:sz="4" w:space="0" w:color="auto"/>
              <w:right w:val="nil"/>
            </w:tcBorders>
            <w:vAlign w:val="center"/>
            <w:hideMark/>
          </w:tcPr>
          <w:p w14:paraId="7B3C4365" w14:textId="77777777" w:rsidR="00F3155E" w:rsidRPr="00872293" w:rsidRDefault="00F3155E" w:rsidP="00CA4391">
            <w:pPr>
              <w:rPr>
                <w:rFonts w:ascii="Times New Roman" w:eastAsia="Times New Roman" w:hAnsi="Times New Roman" w:cs="Times New Roman"/>
                <w:b/>
                <w:bCs/>
                <w:sz w:val="22"/>
                <w:szCs w:val="22"/>
              </w:rPr>
            </w:pPr>
          </w:p>
        </w:tc>
        <w:tc>
          <w:tcPr>
            <w:tcW w:w="810" w:type="dxa"/>
            <w:vMerge/>
            <w:tcBorders>
              <w:top w:val="single" w:sz="8" w:space="0" w:color="auto"/>
              <w:left w:val="nil"/>
              <w:bottom w:val="single" w:sz="4" w:space="0" w:color="auto"/>
              <w:right w:val="nil"/>
            </w:tcBorders>
            <w:vAlign w:val="center"/>
            <w:hideMark/>
          </w:tcPr>
          <w:p w14:paraId="51F2613E" w14:textId="77777777" w:rsidR="00F3155E" w:rsidRPr="00872293" w:rsidRDefault="00F3155E" w:rsidP="00CA4391">
            <w:pPr>
              <w:rPr>
                <w:rFonts w:ascii="Times New Roman" w:eastAsia="Times New Roman" w:hAnsi="Times New Roman" w:cs="Times New Roman"/>
                <w:b/>
                <w:bCs/>
                <w:sz w:val="22"/>
                <w:szCs w:val="22"/>
              </w:rPr>
            </w:pPr>
          </w:p>
        </w:tc>
        <w:tc>
          <w:tcPr>
            <w:tcW w:w="720" w:type="dxa"/>
            <w:vMerge/>
            <w:tcBorders>
              <w:top w:val="single" w:sz="8" w:space="0" w:color="auto"/>
              <w:left w:val="nil"/>
              <w:bottom w:val="single" w:sz="4" w:space="0" w:color="auto"/>
              <w:right w:val="nil"/>
            </w:tcBorders>
            <w:vAlign w:val="center"/>
            <w:hideMark/>
          </w:tcPr>
          <w:p w14:paraId="5A89628F" w14:textId="77777777" w:rsidR="00F3155E" w:rsidRPr="00872293" w:rsidRDefault="00F3155E" w:rsidP="00CA4391">
            <w:pPr>
              <w:rPr>
                <w:rFonts w:ascii="Times New Roman" w:eastAsia="Times New Roman" w:hAnsi="Times New Roman" w:cs="Times New Roman"/>
                <w:b/>
                <w:bCs/>
                <w:sz w:val="22"/>
                <w:szCs w:val="22"/>
              </w:rPr>
            </w:pPr>
          </w:p>
        </w:tc>
        <w:tc>
          <w:tcPr>
            <w:tcW w:w="1080" w:type="dxa"/>
            <w:vMerge/>
            <w:tcBorders>
              <w:top w:val="single" w:sz="8" w:space="0" w:color="auto"/>
              <w:left w:val="nil"/>
              <w:bottom w:val="single" w:sz="4" w:space="0" w:color="auto"/>
              <w:right w:val="single" w:sz="4" w:space="0" w:color="auto"/>
            </w:tcBorders>
            <w:vAlign w:val="center"/>
            <w:hideMark/>
          </w:tcPr>
          <w:p w14:paraId="6396FC63" w14:textId="77777777" w:rsidR="00F3155E" w:rsidRPr="00872293" w:rsidRDefault="00F3155E" w:rsidP="00CA4391">
            <w:pPr>
              <w:rPr>
                <w:rFonts w:ascii="Times New Roman" w:eastAsia="Times New Roman" w:hAnsi="Times New Roman" w:cs="Times New Roman"/>
                <w:b/>
                <w:bCs/>
                <w:sz w:val="22"/>
                <w:szCs w:val="22"/>
              </w:rPr>
            </w:pPr>
          </w:p>
        </w:tc>
      </w:tr>
      <w:tr w:rsidR="00872293" w:rsidRPr="00872293" w14:paraId="1DF50F47" w14:textId="77777777" w:rsidTr="001946E1">
        <w:trPr>
          <w:trHeight w:val="505"/>
        </w:trPr>
        <w:tc>
          <w:tcPr>
            <w:tcW w:w="715" w:type="dxa"/>
            <w:vMerge w:val="restart"/>
            <w:tcBorders>
              <w:top w:val="single" w:sz="4" w:space="0" w:color="auto"/>
              <w:left w:val="single" w:sz="4" w:space="0" w:color="auto"/>
              <w:bottom w:val="nil"/>
              <w:right w:val="nil"/>
            </w:tcBorders>
            <w:shd w:val="clear" w:color="auto" w:fill="auto"/>
            <w:vAlign w:val="bottom"/>
            <w:hideMark/>
          </w:tcPr>
          <w:p w14:paraId="4CD6AC87" w14:textId="20F6B1EA" w:rsidR="00F3155E" w:rsidRPr="00872293" w:rsidRDefault="002B5957"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nil"/>
              <w:right w:val="nil"/>
            </w:tcBorders>
            <w:shd w:val="clear" w:color="auto" w:fill="auto"/>
            <w:vAlign w:val="bottom"/>
            <w:hideMark/>
          </w:tcPr>
          <w:p w14:paraId="62A5929B" w14:textId="6EF11165"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production~</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treatment + session+ temperature + (1|plot)</w:t>
            </w:r>
          </w:p>
        </w:tc>
        <w:tc>
          <w:tcPr>
            <w:tcW w:w="1260" w:type="dxa"/>
            <w:vMerge w:val="restart"/>
            <w:tcBorders>
              <w:top w:val="single" w:sz="4" w:space="0" w:color="auto"/>
              <w:left w:val="nil"/>
              <w:bottom w:val="nil"/>
              <w:right w:val="nil"/>
            </w:tcBorders>
            <w:shd w:val="clear" w:color="auto" w:fill="auto"/>
            <w:vAlign w:val="bottom"/>
            <w:hideMark/>
          </w:tcPr>
          <w:p w14:paraId="04F61CCE" w14:textId="77777777" w:rsidR="00F3155E" w:rsidRPr="00872293" w:rsidRDefault="00F3155E" w:rsidP="00391129">
            <w:pPr>
              <w:spacing w:before="240"/>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production</w:t>
            </w:r>
          </w:p>
        </w:tc>
        <w:tc>
          <w:tcPr>
            <w:tcW w:w="1350" w:type="dxa"/>
            <w:tcBorders>
              <w:top w:val="single" w:sz="4" w:space="0" w:color="auto"/>
              <w:left w:val="nil"/>
              <w:bottom w:val="nil"/>
              <w:right w:val="nil"/>
            </w:tcBorders>
            <w:shd w:val="clear" w:color="auto" w:fill="auto"/>
            <w:vAlign w:val="bottom"/>
            <w:hideMark/>
          </w:tcPr>
          <w:p w14:paraId="70BBABCD"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6ABAD4AD"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1C7DDEC5"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w:t>
            </w:r>
          </w:p>
        </w:tc>
        <w:tc>
          <w:tcPr>
            <w:tcW w:w="720" w:type="dxa"/>
            <w:vMerge w:val="restart"/>
            <w:tcBorders>
              <w:top w:val="single" w:sz="4" w:space="0" w:color="auto"/>
              <w:left w:val="nil"/>
              <w:bottom w:val="nil"/>
              <w:right w:val="nil"/>
            </w:tcBorders>
            <w:shd w:val="clear" w:color="auto" w:fill="auto"/>
            <w:vAlign w:val="bottom"/>
            <w:hideMark/>
          </w:tcPr>
          <w:p w14:paraId="23D7F0F4"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0.25/</w:t>
            </w:r>
            <w:r w:rsidRPr="00872293">
              <w:rPr>
                <w:rFonts w:ascii="Times New Roman" w:eastAsia="Times New Roman" w:hAnsi="Times New Roman" w:cs="Times New Roman"/>
                <w:sz w:val="22"/>
                <w:szCs w:val="22"/>
              </w:rPr>
              <w:br/>
              <w:t>0.27</w:t>
            </w:r>
          </w:p>
        </w:tc>
        <w:tc>
          <w:tcPr>
            <w:tcW w:w="1080" w:type="dxa"/>
            <w:tcBorders>
              <w:top w:val="single" w:sz="4" w:space="0" w:color="auto"/>
              <w:left w:val="nil"/>
              <w:bottom w:val="nil"/>
              <w:right w:val="single" w:sz="4" w:space="0" w:color="auto"/>
            </w:tcBorders>
            <w:shd w:val="clear" w:color="auto" w:fill="auto"/>
            <w:noWrap/>
            <w:vAlign w:val="bottom"/>
            <w:hideMark/>
          </w:tcPr>
          <w:p w14:paraId="2E437BC3"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r>
      <w:tr w:rsidR="00872293" w:rsidRPr="00872293" w14:paraId="6FBAD380" w14:textId="77777777" w:rsidTr="001946E1">
        <w:trPr>
          <w:trHeight w:val="336"/>
        </w:trPr>
        <w:tc>
          <w:tcPr>
            <w:tcW w:w="715" w:type="dxa"/>
            <w:vMerge/>
            <w:tcBorders>
              <w:top w:val="nil"/>
              <w:left w:val="single" w:sz="4" w:space="0" w:color="auto"/>
              <w:bottom w:val="nil"/>
              <w:right w:val="nil"/>
            </w:tcBorders>
            <w:vAlign w:val="center"/>
            <w:hideMark/>
          </w:tcPr>
          <w:p w14:paraId="5D57E4F1"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nil"/>
              <w:right w:val="nil"/>
            </w:tcBorders>
            <w:vAlign w:val="center"/>
            <w:hideMark/>
          </w:tcPr>
          <w:p w14:paraId="0FF6DCB4"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0C7D8F21"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47E89F22"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 Session</w:t>
            </w:r>
          </w:p>
        </w:tc>
        <w:tc>
          <w:tcPr>
            <w:tcW w:w="1080" w:type="dxa"/>
            <w:vMerge/>
            <w:tcBorders>
              <w:top w:val="nil"/>
              <w:left w:val="nil"/>
              <w:bottom w:val="nil"/>
              <w:right w:val="nil"/>
            </w:tcBorders>
            <w:vAlign w:val="center"/>
            <w:hideMark/>
          </w:tcPr>
          <w:p w14:paraId="422DB364"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6E47ED93" w14:textId="1C1DDE1E"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nil"/>
              <w:right w:val="nil"/>
            </w:tcBorders>
            <w:vAlign w:val="center"/>
            <w:hideMark/>
          </w:tcPr>
          <w:p w14:paraId="58720FF8"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2ADB88C4"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0.08</w:t>
            </w:r>
          </w:p>
        </w:tc>
      </w:tr>
      <w:tr w:rsidR="00872293" w:rsidRPr="00872293" w14:paraId="1D70CF51" w14:textId="77777777" w:rsidTr="001946E1">
        <w:trPr>
          <w:trHeight w:val="254"/>
        </w:trPr>
        <w:tc>
          <w:tcPr>
            <w:tcW w:w="715" w:type="dxa"/>
            <w:vMerge/>
            <w:tcBorders>
              <w:top w:val="nil"/>
              <w:left w:val="single" w:sz="4" w:space="0" w:color="auto"/>
              <w:bottom w:val="single" w:sz="4" w:space="0" w:color="auto"/>
              <w:right w:val="nil"/>
            </w:tcBorders>
            <w:vAlign w:val="center"/>
            <w:hideMark/>
          </w:tcPr>
          <w:p w14:paraId="6D50D686"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5142CACA"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0A6A87D2"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33E92E0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Temperature</w:t>
            </w:r>
          </w:p>
        </w:tc>
        <w:tc>
          <w:tcPr>
            <w:tcW w:w="1080" w:type="dxa"/>
            <w:vMerge/>
            <w:tcBorders>
              <w:top w:val="nil"/>
              <w:left w:val="nil"/>
              <w:bottom w:val="single" w:sz="4" w:space="0" w:color="auto"/>
              <w:right w:val="nil"/>
            </w:tcBorders>
            <w:vAlign w:val="center"/>
            <w:hideMark/>
          </w:tcPr>
          <w:p w14:paraId="13967E02"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0F6CDB8F" w14:textId="40DEDD65"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4" w:space="0" w:color="auto"/>
              <w:right w:val="nil"/>
            </w:tcBorders>
            <w:vAlign w:val="center"/>
            <w:hideMark/>
          </w:tcPr>
          <w:p w14:paraId="5E2FC5B4"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69C0728A"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p>
        </w:tc>
      </w:tr>
      <w:tr w:rsidR="00872293" w:rsidRPr="00872293" w14:paraId="66742B7C" w14:textId="77777777" w:rsidTr="001946E1">
        <w:trPr>
          <w:trHeight w:val="453"/>
        </w:trPr>
        <w:tc>
          <w:tcPr>
            <w:tcW w:w="715" w:type="dxa"/>
            <w:vMerge w:val="restart"/>
            <w:tcBorders>
              <w:top w:val="single" w:sz="4" w:space="0" w:color="auto"/>
              <w:left w:val="single" w:sz="4" w:space="0" w:color="auto"/>
              <w:bottom w:val="nil"/>
              <w:right w:val="nil"/>
            </w:tcBorders>
            <w:shd w:val="clear" w:color="auto" w:fill="auto"/>
            <w:vAlign w:val="bottom"/>
            <w:hideMark/>
          </w:tcPr>
          <w:p w14:paraId="0BCE1F7C" w14:textId="77777777" w:rsidR="00F3155E" w:rsidRPr="00872293" w:rsidRDefault="00F3155E" w:rsidP="00391129">
            <w:pPr>
              <w:spacing w:line="48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nil"/>
              <w:right w:val="nil"/>
            </w:tcBorders>
            <w:shd w:val="clear" w:color="auto" w:fill="auto"/>
            <w:vAlign w:val="bottom"/>
            <w:hideMark/>
          </w:tcPr>
          <w:p w14:paraId="7D9A8F57" w14:textId="31354E52"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mortality~</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treatment + session + (1|plot)</w:t>
            </w:r>
          </w:p>
        </w:tc>
        <w:tc>
          <w:tcPr>
            <w:tcW w:w="1260" w:type="dxa"/>
            <w:vMerge w:val="restart"/>
            <w:tcBorders>
              <w:top w:val="single" w:sz="4" w:space="0" w:color="auto"/>
              <w:left w:val="nil"/>
              <w:bottom w:val="nil"/>
              <w:right w:val="nil"/>
            </w:tcBorders>
            <w:shd w:val="clear" w:color="auto" w:fill="auto"/>
            <w:vAlign w:val="bottom"/>
            <w:hideMark/>
          </w:tcPr>
          <w:p w14:paraId="2D79FEC2" w14:textId="5C10E316"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w:t>
            </w:r>
            <w:r w:rsidR="002B5957"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mortality</w:t>
            </w:r>
          </w:p>
        </w:tc>
        <w:tc>
          <w:tcPr>
            <w:tcW w:w="1350" w:type="dxa"/>
            <w:tcBorders>
              <w:top w:val="single" w:sz="4" w:space="0" w:color="auto"/>
              <w:left w:val="nil"/>
              <w:bottom w:val="nil"/>
              <w:right w:val="nil"/>
            </w:tcBorders>
            <w:shd w:val="clear" w:color="auto" w:fill="auto"/>
            <w:vAlign w:val="bottom"/>
            <w:hideMark/>
          </w:tcPr>
          <w:p w14:paraId="3C2F1F96"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Treatment </w:t>
            </w:r>
          </w:p>
        </w:tc>
        <w:tc>
          <w:tcPr>
            <w:tcW w:w="1080" w:type="dxa"/>
            <w:vMerge w:val="restart"/>
            <w:tcBorders>
              <w:top w:val="single" w:sz="4" w:space="0" w:color="auto"/>
              <w:left w:val="nil"/>
              <w:bottom w:val="nil"/>
              <w:right w:val="nil"/>
            </w:tcBorders>
            <w:shd w:val="clear" w:color="auto" w:fill="auto"/>
            <w:vAlign w:val="bottom"/>
            <w:hideMark/>
          </w:tcPr>
          <w:p w14:paraId="76DB7F6D"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5DB472CE"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720" w:type="dxa"/>
            <w:vMerge w:val="restart"/>
            <w:tcBorders>
              <w:top w:val="single" w:sz="4" w:space="0" w:color="auto"/>
              <w:left w:val="nil"/>
              <w:bottom w:val="nil"/>
              <w:right w:val="nil"/>
            </w:tcBorders>
            <w:shd w:val="clear" w:color="auto" w:fill="auto"/>
            <w:vAlign w:val="bottom"/>
            <w:hideMark/>
          </w:tcPr>
          <w:p w14:paraId="6EA52C9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0.15/</w:t>
            </w:r>
            <w:r w:rsidRPr="00872293">
              <w:rPr>
                <w:rFonts w:ascii="Times New Roman" w:eastAsia="Times New Roman" w:hAnsi="Times New Roman" w:cs="Times New Roman"/>
                <w:sz w:val="22"/>
                <w:szCs w:val="22"/>
              </w:rPr>
              <w:br/>
              <w:t>0.3</w:t>
            </w:r>
          </w:p>
        </w:tc>
        <w:tc>
          <w:tcPr>
            <w:tcW w:w="1080" w:type="dxa"/>
            <w:tcBorders>
              <w:top w:val="single" w:sz="4" w:space="0" w:color="auto"/>
              <w:left w:val="nil"/>
              <w:bottom w:val="nil"/>
              <w:right w:val="single" w:sz="4" w:space="0" w:color="auto"/>
            </w:tcBorders>
            <w:shd w:val="clear" w:color="auto" w:fill="auto"/>
            <w:noWrap/>
            <w:vAlign w:val="bottom"/>
            <w:hideMark/>
          </w:tcPr>
          <w:p w14:paraId="51AB8773"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-1.24</w:t>
            </w:r>
          </w:p>
        </w:tc>
      </w:tr>
      <w:tr w:rsidR="00872293" w:rsidRPr="00872293" w14:paraId="6F13A5E1" w14:textId="77777777" w:rsidTr="001946E1">
        <w:trPr>
          <w:trHeight w:val="345"/>
        </w:trPr>
        <w:tc>
          <w:tcPr>
            <w:tcW w:w="715" w:type="dxa"/>
            <w:vMerge/>
            <w:tcBorders>
              <w:top w:val="nil"/>
              <w:left w:val="single" w:sz="4" w:space="0" w:color="auto"/>
              <w:bottom w:val="single" w:sz="4" w:space="0" w:color="auto"/>
              <w:right w:val="nil"/>
            </w:tcBorders>
            <w:vAlign w:val="center"/>
            <w:hideMark/>
          </w:tcPr>
          <w:p w14:paraId="11B5196E"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6B9D3B38"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09F5BE45"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33911856"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605F68B7"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47412DA4"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4" w:space="0" w:color="auto"/>
              <w:right w:val="nil"/>
            </w:tcBorders>
            <w:vAlign w:val="center"/>
            <w:hideMark/>
          </w:tcPr>
          <w:p w14:paraId="2A80BB68"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27A23B8E"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0.14</w:t>
            </w:r>
          </w:p>
        </w:tc>
      </w:tr>
      <w:tr w:rsidR="00872293" w:rsidRPr="00872293" w14:paraId="5A49A92F" w14:textId="77777777" w:rsidTr="001946E1">
        <w:trPr>
          <w:trHeight w:val="361"/>
        </w:trPr>
        <w:tc>
          <w:tcPr>
            <w:tcW w:w="715" w:type="dxa"/>
            <w:vMerge w:val="restart"/>
            <w:tcBorders>
              <w:top w:val="single" w:sz="4" w:space="0" w:color="auto"/>
              <w:left w:val="single" w:sz="4" w:space="0" w:color="auto"/>
              <w:bottom w:val="nil"/>
              <w:right w:val="nil"/>
            </w:tcBorders>
            <w:shd w:val="clear" w:color="auto" w:fill="auto"/>
            <w:vAlign w:val="bottom"/>
            <w:hideMark/>
          </w:tcPr>
          <w:p w14:paraId="5FCFADCF" w14:textId="77777777" w:rsidR="00F3155E" w:rsidRPr="00872293" w:rsidRDefault="00F3155E"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nil"/>
              <w:right w:val="nil"/>
            </w:tcBorders>
            <w:shd w:val="clear" w:color="auto" w:fill="auto"/>
            <w:vAlign w:val="bottom"/>
            <w:hideMark/>
          </w:tcPr>
          <w:p w14:paraId="3D4BCED1"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xml:space="preserve">+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xml:space="preserve"> + (1|plot)</w:t>
            </w:r>
          </w:p>
        </w:tc>
        <w:tc>
          <w:tcPr>
            <w:tcW w:w="1260" w:type="dxa"/>
            <w:vMerge w:val="restart"/>
            <w:tcBorders>
              <w:top w:val="single" w:sz="4" w:space="0" w:color="auto"/>
              <w:left w:val="nil"/>
              <w:bottom w:val="nil"/>
              <w:right w:val="nil"/>
            </w:tcBorders>
            <w:shd w:val="clear" w:color="auto" w:fill="auto"/>
            <w:vAlign w:val="bottom"/>
            <w:hideMark/>
          </w:tcPr>
          <w:p w14:paraId="204A01FE" w14:textId="77777777" w:rsidR="00F3155E" w:rsidRPr="00872293" w:rsidRDefault="00F3155E"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stock</w:t>
            </w:r>
          </w:p>
        </w:tc>
        <w:tc>
          <w:tcPr>
            <w:tcW w:w="1350" w:type="dxa"/>
            <w:tcBorders>
              <w:top w:val="single" w:sz="4" w:space="0" w:color="auto"/>
              <w:left w:val="nil"/>
              <w:bottom w:val="nil"/>
              <w:right w:val="nil"/>
            </w:tcBorders>
            <w:shd w:val="clear" w:color="auto" w:fill="auto"/>
            <w:vAlign w:val="bottom"/>
            <w:hideMark/>
          </w:tcPr>
          <w:p w14:paraId="523B2D7C"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434CE170"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77715509"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720" w:type="dxa"/>
            <w:vMerge w:val="restart"/>
            <w:tcBorders>
              <w:top w:val="single" w:sz="4" w:space="0" w:color="auto"/>
              <w:left w:val="nil"/>
              <w:bottom w:val="nil"/>
              <w:right w:val="nil"/>
            </w:tcBorders>
            <w:shd w:val="clear" w:color="auto" w:fill="auto"/>
            <w:vAlign w:val="bottom"/>
            <w:hideMark/>
          </w:tcPr>
          <w:p w14:paraId="51D821D2"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w:t>
            </w:r>
            <w:r w:rsidRPr="00872293">
              <w:rPr>
                <w:rFonts w:ascii="Times New Roman" w:eastAsia="Times New Roman" w:hAnsi="Times New Roman" w:cs="Times New Roman"/>
                <w:sz w:val="22"/>
                <w:szCs w:val="22"/>
              </w:rPr>
              <w:br/>
              <w:t>0.8</w:t>
            </w:r>
          </w:p>
        </w:tc>
        <w:tc>
          <w:tcPr>
            <w:tcW w:w="1080" w:type="dxa"/>
            <w:tcBorders>
              <w:top w:val="single" w:sz="4" w:space="0" w:color="auto"/>
              <w:left w:val="nil"/>
              <w:bottom w:val="nil"/>
              <w:right w:val="single" w:sz="4" w:space="0" w:color="auto"/>
            </w:tcBorders>
            <w:shd w:val="clear" w:color="auto" w:fill="auto"/>
            <w:noWrap/>
            <w:vAlign w:val="bottom"/>
            <w:hideMark/>
          </w:tcPr>
          <w:p w14:paraId="6B965053"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126</w:t>
            </w:r>
          </w:p>
        </w:tc>
      </w:tr>
      <w:tr w:rsidR="00872293" w:rsidRPr="00872293" w14:paraId="3DC25BD9" w14:textId="77777777" w:rsidTr="001946E1">
        <w:trPr>
          <w:trHeight w:val="412"/>
        </w:trPr>
        <w:tc>
          <w:tcPr>
            <w:tcW w:w="715" w:type="dxa"/>
            <w:vMerge/>
            <w:tcBorders>
              <w:top w:val="nil"/>
              <w:left w:val="single" w:sz="4" w:space="0" w:color="auto"/>
              <w:bottom w:val="nil"/>
              <w:right w:val="nil"/>
            </w:tcBorders>
            <w:vAlign w:val="center"/>
            <w:hideMark/>
          </w:tcPr>
          <w:p w14:paraId="56EC523B"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nil"/>
              <w:right w:val="nil"/>
            </w:tcBorders>
            <w:vAlign w:val="center"/>
            <w:hideMark/>
          </w:tcPr>
          <w:p w14:paraId="431B84CA"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11C20DAE"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5C938CF3"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23931DB9"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5DE7F4B5" w14:textId="40E043E2"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nil"/>
              <w:right w:val="nil"/>
            </w:tcBorders>
            <w:vAlign w:val="center"/>
            <w:hideMark/>
          </w:tcPr>
          <w:p w14:paraId="26A3ADEE"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705445B2"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142</w:t>
            </w:r>
          </w:p>
        </w:tc>
      </w:tr>
      <w:tr w:rsidR="00872293" w:rsidRPr="00872293" w14:paraId="191C221F" w14:textId="77777777" w:rsidTr="001946E1">
        <w:trPr>
          <w:trHeight w:val="390"/>
        </w:trPr>
        <w:tc>
          <w:tcPr>
            <w:tcW w:w="715" w:type="dxa"/>
            <w:vMerge/>
            <w:tcBorders>
              <w:top w:val="nil"/>
              <w:left w:val="single" w:sz="4" w:space="0" w:color="auto"/>
              <w:bottom w:val="single" w:sz="4" w:space="0" w:color="auto"/>
              <w:right w:val="nil"/>
            </w:tcBorders>
            <w:vAlign w:val="center"/>
            <w:hideMark/>
          </w:tcPr>
          <w:p w14:paraId="644A662D"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153EBE17"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230F47DB"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1C446BAF" w14:textId="2D102265"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07E3EB39"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4DC3AA98" w14:textId="769906EC"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4" w:space="0" w:color="auto"/>
              <w:right w:val="nil"/>
            </w:tcBorders>
            <w:vAlign w:val="center"/>
            <w:hideMark/>
          </w:tcPr>
          <w:p w14:paraId="66746E98"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1BC3B435"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-86.78</w:t>
            </w:r>
          </w:p>
        </w:tc>
      </w:tr>
      <w:tr w:rsidR="00872293" w:rsidRPr="00872293" w14:paraId="6A107374" w14:textId="77777777" w:rsidTr="001946E1">
        <w:trPr>
          <w:trHeight w:val="369"/>
        </w:trPr>
        <w:tc>
          <w:tcPr>
            <w:tcW w:w="715" w:type="dxa"/>
            <w:vMerge w:val="restart"/>
            <w:tcBorders>
              <w:top w:val="single" w:sz="4" w:space="0" w:color="auto"/>
              <w:left w:val="single" w:sz="4" w:space="0" w:color="auto"/>
              <w:bottom w:val="nil"/>
              <w:right w:val="nil"/>
            </w:tcBorders>
            <w:shd w:val="clear" w:color="auto" w:fill="auto"/>
            <w:vAlign w:val="bottom"/>
            <w:hideMark/>
          </w:tcPr>
          <w:p w14:paraId="6755C5C4" w14:textId="77777777" w:rsidR="00F3155E" w:rsidRPr="00872293" w:rsidRDefault="00F3155E"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nil"/>
              <w:right w:val="nil"/>
            </w:tcBorders>
            <w:shd w:val="clear" w:color="auto" w:fill="auto"/>
            <w:vAlign w:val="bottom"/>
            <w:hideMark/>
          </w:tcPr>
          <w:p w14:paraId="6090ED7B"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Coarse root </w:t>
            </w:r>
            <w:proofErr w:type="spellStart"/>
            <w:r w:rsidRPr="00872293">
              <w:rPr>
                <w:rFonts w:ascii="Times New Roman" w:eastAsia="Times New Roman" w:hAnsi="Times New Roman" w:cs="Times New Roman"/>
                <w:sz w:val="22"/>
                <w:szCs w:val="22"/>
              </w:rPr>
              <w:t>stock~treatment</w:t>
            </w:r>
            <w:proofErr w:type="spellEnd"/>
            <w:r w:rsidRPr="00872293">
              <w:rPr>
                <w:rFonts w:ascii="Times New Roman" w:eastAsia="Times New Roman" w:hAnsi="Times New Roman" w:cs="Times New Roman"/>
                <w:sz w:val="22"/>
                <w:szCs w:val="22"/>
              </w:rPr>
              <w:t xml:space="preserve">+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xml:space="preserve"> + (1|plot)</w:t>
            </w:r>
          </w:p>
        </w:tc>
        <w:tc>
          <w:tcPr>
            <w:tcW w:w="1260" w:type="dxa"/>
            <w:vMerge w:val="restart"/>
            <w:tcBorders>
              <w:top w:val="single" w:sz="4" w:space="0" w:color="auto"/>
              <w:left w:val="nil"/>
              <w:bottom w:val="nil"/>
              <w:right w:val="nil"/>
            </w:tcBorders>
            <w:shd w:val="clear" w:color="auto" w:fill="auto"/>
            <w:vAlign w:val="bottom"/>
            <w:hideMark/>
          </w:tcPr>
          <w:p w14:paraId="32F37C7F"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Coarse root stock</w:t>
            </w:r>
          </w:p>
        </w:tc>
        <w:tc>
          <w:tcPr>
            <w:tcW w:w="1350" w:type="dxa"/>
            <w:tcBorders>
              <w:top w:val="single" w:sz="4" w:space="0" w:color="auto"/>
              <w:left w:val="nil"/>
              <w:bottom w:val="nil"/>
              <w:right w:val="nil"/>
            </w:tcBorders>
            <w:shd w:val="clear" w:color="auto" w:fill="auto"/>
            <w:vAlign w:val="bottom"/>
            <w:hideMark/>
          </w:tcPr>
          <w:p w14:paraId="41FBF4CB"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79EAF5B8"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45E19C37"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w:t>
            </w:r>
          </w:p>
        </w:tc>
        <w:tc>
          <w:tcPr>
            <w:tcW w:w="720" w:type="dxa"/>
            <w:vMerge w:val="restart"/>
            <w:tcBorders>
              <w:top w:val="single" w:sz="4" w:space="0" w:color="auto"/>
              <w:left w:val="nil"/>
              <w:bottom w:val="nil"/>
              <w:right w:val="nil"/>
            </w:tcBorders>
            <w:shd w:val="clear" w:color="auto" w:fill="auto"/>
            <w:vAlign w:val="bottom"/>
            <w:hideMark/>
          </w:tcPr>
          <w:p w14:paraId="7B32B3EE" w14:textId="3042C950" w:rsidR="00F3155E" w:rsidRPr="00872293" w:rsidRDefault="002B5957"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r w:rsidRPr="00872293">
              <w:rPr>
                <w:rFonts w:ascii="Times New Roman" w:eastAsia="Times New Roman" w:hAnsi="Times New Roman" w:cs="Times New Roman"/>
                <w:sz w:val="22"/>
                <w:szCs w:val="22"/>
              </w:rPr>
              <w:br/>
              <w:t>0.8</w:t>
            </w:r>
          </w:p>
        </w:tc>
        <w:tc>
          <w:tcPr>
            <w:tcW w:w="1080" w:type="dxa"/>
            <w:tcBorders>
              <w:top w:val="single" w:sz="4" w:space="0" w:color="auto"/>
              <w:left w:val="nil"/>
              <w:bottom w:val="nil"/>
              <w:right w:val="single" w:sz="4" w:space="0" w:color="auto"/>
            </w:tcBorders>
            <w:shd w:val="clear" w:color="auto" w:fill="auto"/>
            <w:noWrap/>
            <w:vAlign w:val="bottom"/>
            <w:hideMark/>
          </w:tcPr>
          <w:p w14:paraId="632DBC6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825.3</w:t>
            </w:r>
          </w:p>
        </w:tc>
      </w:tr>
      <w:tr w:rsidR="00872293" w:rsidRPr="00872293" w14:paraId="76CB4202" w14:textId="77777777" w:rsidTr="001946E1">
        <w:trPr>
          <w:trHeight w:val="319"/>
        </w:trPr>
        <w:tc>
          <w:tcPr>
            <w:tcW w:w="715" w:type="dxa"/>
            <w:vMerge/>
            <w:tcBorders>
              <w:top w:val="nil"/>
              <w:left w:val="single" w:sz="4" w:space="0" w:color="auto"/>
              <w:bottom w:val="nil"/>
              <w:right w:val="nil"/>
            </w:tcBorders>
            <w:vAlign w:val="center"/>
            <w:hideMark/>
          </w:tcPr>
          <w:p w14:paraId="142A24DA"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nil"/>
              <w:right w:val="nil"/>
            </w:tcBorders>
            <w:vAlign w:val="center"/>
            <w:hideMark/>
          </w:tcPr>
          <w:p w14:paraId="2FD46E67"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039C2988"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18F1FE28"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16AFFD68"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78992D15" w14:textId="67AB730F"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nil"/>
              <w:right w:val="nil"/>
            </w:tcBorders>
            <w:vAlign w:val="center"/>
            <w:hideMark/>
          </w:tcPr>
          <w:p w14:paraId="27638893"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307B3251"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68.8</w:t>
            </w:r>
          </w:p>
        </w:tc>
      </w:tr>
      <w:tr w:rsidR="00872293" w:rsidRPr="00872293" w14:paraId="3020EDFF" w14:textId="77777777" w:rsidTr="001946E1">
        <w:trPr>
          <w:trHeight w:val="754"/>
        </w:trPr>
        <w:tc>
          <w:tcPr>
            <w:tcW w:w="715" w:type="dxa"/>
            <w:vMerge/>
            <w:tcBorders>
              <w:top w:val="nil"/>
              <w:left w:val="single" w:sz="4" w:space="0" w:color="auto"/>
              <w:bottom w:val="single" w:sz="4" w:space="0" w:color="auto"/>
              <w:right w:val="nil"/>
            </w:tcBorders>
            <w:vAlign w:val="center"/>
            <w:hideMark/>
          </w:tcPr>
          <w:p w14:paraId="6EB03BC3"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79F1A8F0"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46EAFE31"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40267325" w14:textId="5F043B2E"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1E1C2803"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3937BF33" w14:textId="3769F2DF"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4" w:space="0" w:color="auto"/>
              <w:right w:val="nil"/>
            </w:tcBorders>
            <w:vAlign w:val="center"/>
            <w:hideMark/>
          </w:tcPr>
          <w:p w14:paraId="2AAEE5A4"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12AC7D74"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-61.8</w:t>
            </w:r>
          </w:p>
        </w:tc>
      </w:tr>
      <w:tr w:rsidR="00872293" w:rsidRPr="00872293" w14:paraId="15D7585D" w14:textId="77777777" w:rsidTr="001946E1">
        <w:trPr>
          <w:trHeight w:val="361"/>
        </w:trPr>
        <w:tc>
          <w:tcPr>
            <w:tcW w:w="715" w:type="dxa"/>
            <w:vMerge w:val="restart"/>
            <w:tcBorders>
              <w:top w:val="single" w:sz="4" w:space="0" w:color="auto"/>
              <w:left w:val="single" w:sz="4" w:space="0" w:color="auto"/>
              <w:bottom w:val="nil"/>
              <w:right w:val="nil"/>
            </w:tcBorders>
            <w:shd w:val="clear" w:color="auto" w:fill="auto"/>
            <w:noWrap/>
            <w:vAlign w:val="bottom"/>
            <w:hideMark/>
          </w:tcPr>
          <w:p w14:paraId="7A57128B" w14:textId="77777777" w:rsidR="00F3155E" w:rsidRPr="00872293" w:rsidRDefault="00F3155E"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nil"/>
              <w:right w:val="nil"/>
            </w:tcBorders>
            <w:shd w:val="clear" w:color="auto" w:fill="auto"/>
            <w:vAlign w:val="bottom"/>
            <w:hideMark/>
          </w:tcPr>
          <w:p w14:paraId="796F669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production~ treatment+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temperature +(1|plot)</w:t>
            </w:r>
          </w:p>
        </w:tc>
        <w:tc>
          <w:tcPr>
            <w:tcW w:w="1260" w:type="dxa"/>
            <w:vMerge w:val="restart"/>
            <w:tcBorders>
              <w:top w:val="single" w:sz="4" w:space="0" w:color="auto"/>
              <w:left w:val="nil"/>
              <w:bottom w:val="nil"/>
              <w:right w:val="nil"/>
            </w:tcBorders>
            <w:shd w:val="clear" w:color="auto" w:fill="auto"/>
            <w:vAlign w:val="bottom"/>
            <w:hideMark/>
          </w:tcPr>
          <w:p w14:paraId="41BE9D1F"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production</w:t>
            </w:r>
          </w:p>
        </w:tc>
        <w:tc>
          <w:tcPr>
            <w:tcW w:w="1350" w:type="dxa"/>
            <w:tcBorders>
              <w:top w:val="single" w:sz="4" w:space="0" w:color="auto"/>
              <w:left w:val="nil"/>
              <w:bottom w:val="nil"/>
              <w:right w:val="nil"/>
            </w:tcBorders>
            <w:shd w:val="clear" w:color="auto" w:fill="auto"/>
            <w:vAlign w:val="bottom"/>
            <w:hideMark/>
          </w:tcPr>
          <w:p w14:paraId="489E7D03"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nil"/>
              <w:right w:val="nil"/>
            </w:tcBorders>
            <w:shd w:val="clear" w:color="auto" w:fill="auto"/>
            <w:vAlign w:val="bottom"/>
            <w:hideMark/>
          </w:tcPr>
          <w:p w14:paraId="032EB243"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31796379"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w:t>
            </w:r>
          </w:p>
        </w:tc>
        <w:tc>
          <w:tcPr>
            <w:tcW w:w="720" w:type="dxa"/>
            <w:vMerge w:val="restart"/>
            <w:tcBorders>
              <w:top w:val="single" w:sz="4" w:space="0" w:color="auto"/>
              <w:left w:val="nil"/>
              <w:bottom w:val="nil"/>
              <w:right w:val="nil"/>
            </w:tcBorders>
            <w:shd w:val="clear" w:color="auto" w:fill="auto"/>
            <w:vAlign w:val="bottom"/>
            <w:hideMark/>
          </w:tcPr>
          <w:p w14:paraId="18E9D61B"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0.25/</w:t>
            </w:r>
            <w:r w:rsidRPr="00872293">
              <w:rPr>
                <w:rFonts w:ascii="Times New Roman" w:eastAsia="Times New Roman" w:hAnsi="Times New Roman" w:cs="Times New Roman"/>
                <w:sz w:val="22"/>
                <w:szCs w:val="22"/>
              </w:rPr>
              <w:br/>
              <w:t>0.27</w:t>
            </w:r>
          </w:p>
        </w:tc>
        <w:tc>
          <w:tcPr>
            <w:tcW w:w="1080" w:type="dxa"/>
            <w:tcBorders>
              <w:top w:val="single" w:sz="4" w:space="0" w:color="auto"/>
              <w:left w:val="nil"/>
              <w:bottom w:val="nil"/>
              <w:right w:val="single" w:sz="4" w:space="0" w:color="auto"/>
            </w:tcBorders>
            <w:shd w:val="clear" w:color="auto" w:fill="auto"/>
            <w:noWrap/>
            <w:vAlign w:val="bottom"/>
            <w:hideMark/>
          </w:tcPr>
          <w:p w14:paraId="5DC77651"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w:t>
            </w:r>
          </w:p>
        </w:tc>
      </w:tr>
      <w:tr w:rsidR="00872293" w:rsidRPr="00872293" w14:paraId="703423CE" w14:textId="77777777" w:rsidTr="001946E1">
        <w:trPr>
          <w:trHeight w:val="328"/>
        </w:trPr>
        <w:tc>
          <w:tcPr>
            <w:tcW w:w="715" w:type="dxa"/>
            <w:vMerge/>
            <w:tcBorders>
              <w:top w:val="nil"/>
              <w:left w:val="single" w:sz="4" w:space="0" w:color="auto"/>
              <w:bottom w:val="nil"/>
              <w:right w:val="nil"/>
            </w:tcBorders>
            <w:vAlign w:val="center"/>
            <w:hideMark/>
          </w:tcPr>
          <w:p w14:paraId="0165932C"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nil"/>
              <w:right w:val="nil"/>
            </w:tcBorders>
            <w:vAlign w:val="center"/>
            <w:hideMark/>
          </w:tcPr>
          <w:p w14:paraId="30CBB8FB"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12843F4B"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767CD182"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2D7E65B2"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65102A77" w14:textId="7697287B"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nil"/>
              <w:right w:val="nil"/>
            </w:tcBorders>
            <w:vAlign w:val="center"/>
            <w:hideMark/>
          </w:tcPr>
          <w:p w14:paraId="3839F80A"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22ED653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w:t>
            </w:r>
          </w:p>
        </w:tc>
      </w:tr>
      <w:tr w:rsidR="00872293" w:rsidRPr="00872293" w14:paraId="3D93AADB" w14:textId="77777777" w:rsidTr="001946E1">
        <w:trPr>
          <w:trHeight w:val="270"/>
        </w:trPr>
        <w:tc>
          <w:tcPr>
            <w:tcW w:w="715" w:type="dxa"/>
            <w:vMerge/>
            <w:tcBorders>
              <w:top w:val="nil"/>
              <w:left w:val="single" w:sz="4" w:space="0" w:color="auto"/>
              <w:bottom w:val="nil"/>
              <w:right w:val="nil"/>
            </w:tcBorders>
            <w:vAlign w:val="center"/>
            <w:hideMark/>
          </w:tcPr>
          <w:p w14:paraId="1B4E99B6"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nil"/>
              <w:right w:val="nil"/>
            </w:tcBorders>
            <w:vAlign w:val="center"/>
            <w:hideMark/>
          </w:tcPr>
          <w:p w14:paraId="316BA8F8"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nil"/>
              <w:right w:val="nil"/>
            </w:tcBorders>
            <w:vAlign w:val="center"/>
            <w:hideMark/>
          </w:tcPr>
          <w:p w14:paraId="0A3E015F"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07C753BC" w14:textId="405F4048"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session</w:t>
            </w:r>
          </w:p>
        </w:tc>
        <w:tc>
          <w:tcPr>
            <w:tcW w:w="1080" w:type="dxa"/>
            <w:vMerge/>
            <w:tcBorders>
              <w:top w:val="nil"/>
              <w:left w:val="nil"/>
              <w:bottom w:val="nil"/>
              <w:right w:val="nil"/>
            </w:tcBorders>
            <w:vAlign w:val="center"/>
            <w:hideMark/>
          </w:tcPr>
          <w:p w14:paraId="04E40BF2"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3BAB02AE"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w:t>
            </w:r>
          </w:p>
        </w:tc>
        <w:tc>
          <w:tcPr>
            <w:tcW w:w="720" w:type="dxa"/>
            <w:vMerge/>
            <w:tcBorders>
              <w:top w:val="nil"/>
              <w:left w:val="nil"/>
              <w:bottom w:val="nil"/>
              <w:right w:val="nil"/>
            </w:tcBorders>
            <w:vAlign w:val="center"/>
            <w:hideMark/>
          </w:tcPr>
          <w:p w14:paraId="2A9296CB"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54AFAB75"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1B9F4372" w14:textId="77777777" w:rsidTr="001946E1">
        <w:trPr>
          <w:trHeight w:val="136"/>
        </w:trPr>
        <w:tc>
          <w:tcPr>
            <w:tcW w:w="715" w:type="dxa"/>
            <w:vMerge/>
            <w:tcBorders>
              <w:top w:val="nil"/>
              <w:left w:val="single" w:sz="4" w:space="0" w:color="auto"/>
              <w:bottom w:val="single" w:sz="4" w:space="0" w:color="auto"/>
              <w:right w:val="nil"/>
            </w:tcBorders>
            <w:vAlign w:val="center"/>
            <w:hideMark/>
          </w:tcPr>
          <w:p w14:paraId="650E5C50" w14:textId="77777777" w:rsidR="00F3155E" w:rsidRPr="00872293" w:rsidRDefault="00F3155E" w:rsidP="00391129">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72F85136" w14:textId="77777777" w:rsidR="00F3155E" w:rsidRPr="00872293" w:rsidRDefault="00F3155E" w:rsidP="00391129">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3B5070E4" w14:textId="77777777" w:rsidR="00F3155E" w:rsidRPr="00872293" w:rsidRDefault="00F3155E" w:rsidP="00391129">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1807A070"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Temperature</w:t>
            </w:r>
          </w:p>
        </w:tc>
        <w:tc>
          <w:tcPr>
            <w:tcW w:w="1080" w:type="dxa"/>
            <w:vMerge/>
            <w:tcBorders>
              <w:top w:val="nil"/>
              <w:left w:val="nil"/>
              <w:bottom w:val="single" w:sz="4" w:space="0" w:color="auto"/>
              <w:right w:val="nil"/>
            </w:tcBorders>
            <w:vAlign w:val="center"/>
            <w:hideMark/>
          </w:tcPr>
          <w:p w14:paraId="77A2B8B5" w14:textId="77777777" w:rsidR="00F3155E" w:rsidRPr="00872293" w:rsidRDefault="00F3155E" w:rsidP="00391129">
            <w:pPr>
              <w:spacing w:line="600" w:lineRule="auto"/>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3894F7A8" w14:textId="1FF8DDDD"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4" w:space="0" w:color="auto"/>
              <w:right w:val="nil"/>
            </w:tcBorders>
            <w:vAlign w:val="center"/>
            <w:hideMark/>
          </w:tcPr>
          <w:p w14:paraId="45EDC445" w14:textId="77777777" w:rsidR="00F3155E" w:rsidRPr="00872293" w:rsidRDefault="00F3155E" w:rsidP="00391129">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4D8F558B"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-0.31</w:t>
            </w:r>
          </w:p>
        </w:tc>
      </w:tr>
      <w:tr w:rsidR="00872293" w:rsidRPr="00872293" w14:paraId="5C3DC7D2" w14:textId="77777777" w:rsidTr="001946E1">
        <w:trPr>
          <w:trHeight w:val="328"/>
        </w:trPr>
        <w:tc>
          <w:tcPr>
            <w:tcW w:w="715" w:type="dxa"/>
            <w:vMerge w:val="restart"/>
            <w:tcBorders>
              <w:top w:val="single" w:sz="4" w:space="0" w:color="auto"/>
              <w:left w:val="single" w:sz="4" w:space="0" w:color="auto"/>
              <w:bottom w:val="single" w:sz="8" w:space="0" w:color="000000"/>
              <w:right w:val="nil"/>
            </w:tcBorders>
            <w:shd w:val="clear" w:color="auto" w:fill="auto"/>
            <w:vAlign w:val="bottom"/>
            <w:hideMark/>
          </w:tcPr>
          <w:p w14:paraId="47EB3A90" w14:textId="77777777" w:rsidR="00F3155E" w:rsidRPr="00872293" w:rsidRDefault="00F3155E" w:rsidP="00391129">
            <w:pPr>
              <w:spacing w:line="72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After</w:t>
            </w:r>
          </w:p>
        </w:tc>
        <w:tc>
          <w:tcPr>
            <w:tcW w:w="2070" w:type="dxa"/>
            <w:vMerge w:val="restart"/>
            <w:tcBorders>
              <w:top w:val="single" w:sz="4" w:space="0" w:color="auto"/>
              <w:left w:val="nil"/>
              <w:bottom w:val="single" w:sz="8" w:space="0" w:color="000000"/>
              <w:right w:val="nil"/>
            </w:tcBorders>
            <w:shd w:val="clear" w:color="auto" w:fill="auto"/>
            <w:vAlign w:val="bottom"/>
            <w:hideMark/>
          </w:tcPr>
          <w:p w14:paraId="26329176"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mortality~ treatment+ session+ </w:t>
            </w:r>
            <w:proofErr w:type="spellStart"/>
            <w:proofErr w:type="gramStart"/>
            <w:r w:rsidRPr="00872293">
              <w:rPr>
                <w:rFonts w:ascii="Times New Roman" w:eastAsia="Times New Roman" w:hAnsi="Times New Roman" w:cs="Times New Roman"/>
                <w:sz w:val="22"/>
                <w:szCs w:val="22"/>
              </w:rPr>
              <w:t>treatment:session</w:t>
            </w:r>
            <w:proofErr w:type="spellEnd"/>
            <w:proofErr w:type="gramEnd"/>
            <w:r w:rsidRPr="00872293">
              <w:rPr>
                <w:rFonts w:ascii="Times New Roman" w:eastAsia="Times New Roman" w:hAnsi="Times New Roman" w:cs="Times New Roman"/>
                <w:sz w:val="22"/>
                <w:szCs w:val="22"/>
              </w:rPr>
              <w:t>+ (1|plot)</w:t>
            </w:r>
          </w:p>
        </w:tc>
        <w:tc>
          <w:tcPr>
            <w:tcW w:w="1260" w:type="dxa"/>
            <w:vMerge w:val="restart"/>
            <w:tcBorders>
              <w:top w:val="single" w:sz="4" w:space="0" w:color="auto"/>
              <w:left w:val="nil"/>
              <w:bottom w:val="single" w:sz="8" w:space="0" w:color="000000"/>
              <w:right w:val="nil"/>
            </w:tcBorders>
            <w:shd w:val="clear" w:color="auto" w:fill="auto"/>
            <w:vAlign w:val="bottom"/>
            <w:hideMark/>
          </w:tcPr>
          <w:p w14:paraId="7D032BF6"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mortality</w:t>
            </w:r>
          </w:p>
        </w:tc>
        <w:tc>
          <w:tcPr>
            <w:tcW w:w="1350" w:type="dxa"/>
            <w:tcBorders>
              <w:top w:val="single" w:sz="4" w:space="0" w:color="auto"/>
              <w:left w:val="nil"/>
              <w:bottom w:val="nil"/>
              <w:right w:val="nil"/>
            </w:tcBorders>
            <w:shd w:val="clear" w:color="auto" w:fill="auto"/>
            <w:vAlign w:val="bottom"/>
            <w:hideMark/>
          </w:tcPr>
          <w:p w14:paraId="7DBA833C"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p>
        </w:tc>
        <w:tc>
          <w:tcPr>
            <w:tcW w:w="1080" w:type="dxa"/>
            <w:vMerge w:val="restart"/>
            <w:tcBorders>
              <w:top w:val="single" w:sz="4" w:space="0" w:color="auto"/>
              <w:left w:val="nil"/>
              <w:bottom w:val="single" w:sz="8" w:space="0" w:color="000000"/>
              <w:right w:val="nil"/>
            </w:tcBorders>
            <w:shd w:val="clear" w:color="auto" w:fill="auto"/>
            <w:vAlign w:val="bottom"/>
            <w:hideMark/>
          </w:tcPr>
          <w:p w14:paraId="77499333" w14:textId="77777777" w:rsidR="00F3155E" w:rsidRPr="00872293" w:rsidRDefault="00F3155E" w:rsidP="00391129">
            <w:pPr>
              <w:spacing w:line="600" w:lineRule="auto"/>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p>
        </w:tc>
        <w:tc>
          <w:tcPr>
            <w:tcW w:w="810" w:type="dxa"/>
            <w:tcBorders>
              <w:top w:val="single" w:sz="4" w:space="0" w:color="auto"/>
              <w:left w:val="nil"/>
              <w:bottom w:val="nil"/>
              <w:right w:val="nil"/>
            </w:tcBorders>
            <w:shd w:val="clear" w:color="auto" w:fill="auto"/>
            <w:vAlign w:val="bottom"/>
            <w:hideMark/>
          </w:tcPr>
          <w:p w14:paraId="5CA0F5D9"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c>
          <w:tcPr>
            <w:tcW w:w="720" w:type="dxa"/>
            <w:vMerge w:val="restart"/>
            <w:tcBorders>
              <w:top w:val="single" w:sz="4" w:space="0" w:color="auto"/>
              <w:left w:val="nil"/>
              <w:bottom w:val="single" w:sz="8" w:space="0" w:color="000000"/>
              <w:right w:val="nil"/>
            </w:tcBorders>
            <w:shd w:val="clear" w:color="auto" w:fill="auto"/>
            <w:vAlign w:val="bottom"/>
            <w:hideMark/>
          </w:tcPr>
          <w:p w14:paraId="26047C72"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0.15/</w:t>
            </w:r>
            <w:r w:rsidRPr="00872293">
              <w:rPr>
                <w:rFonts w:ascii="Times New Roman" w:eastAsia="Times New Roman" w:hAnsi="Times New Roman" w:cs="Times New Roman"/>
                <w:sz w:val="22"/>
                <w:szCs w:val="22"/>
              </w:rPr>
              <w:br/>
              <w:t>0.3</w:t>
            </w:r>
          </w:p>
        </w:tc>
        <w:tc>
          <w:tcPr>
            <w:tcW w:w="1080" w:type="dxa"/>
            <w:tcBorders>
              <w:top w:val="single" w:sz="4" w:space="0" w:color="auto"/>
              <w:left w:val="nil"/>
              <w:bottom w:val="nil"/>
              <w:right w:val="single" w:sz="4" w:space="0" w:color="auto"/>
            </w:tcBorders>
            <w:shd w:val="clear" w:color="auto" w:fill="auto"/>
            <w:noWrap/>
            <w:vAlign w:val="bottom"/>
            <w:hideMark/>
          </w:tcPr>
          <w:p w14:paraId="1526E97F" w14:textId="77777777" w:rsidR="00F3155E" w:rsidRPr="00872293" w:rsidRDefault="00F3155E" w:rsidP="00391129">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-1.93</w:t>
            </w:r>
          </w:p>
        </w:tc>
      </w:tr>
      <w:tr w:rsidR="00872293" w:rsidRPr="00872293" w14:paraId="523532F8" w14:textId="77777777" w:rsidTr="001946E1">
        <w:trPr>
          <w:trHeight w:val="317"/>
        </w:trPr>
        <w:tc>
          <w:tcPr>
            <w:tcW w:w="715" w:type="dxa"/>
            <w:vMerge/>
            <w:tcBorders>
              <w:top w:val="nil"/>
              <w:left w:val="single" w:sz="4" w:space="0" w:color="auto"/>
              <w:bottom w:val="single" w:sz="8" w:space="0" w:color="000000"/>
              <w:right w:val="nil"/>
            </w:tcBorders>
            <w:vAlign w:val="center"/>
            <w:hideMark/>
          </w:tcPr>
          <w:p w14:paraId="4927ABD0" w14:textId="77777777" w:rsidR="00F3155E" w:rsidRPr="00872293" w:rsidRDefault="00F3155E" w:rsidP="00CA4391">
            <w:pPr>
              <w:rPr>
                <w:rFonts w:ascii="Times New Roman" w:eastAsia="Times New Roman" w:hAnsi="Times New Roman" w:cs="Times New Roman"/>
                <w:sz w:val="22"/>
                <w:szCs w:val="22"/>
              </w:rPr>
            </w:pPr>
          </w:p>
        </w:tc>
        <w:tc>
          <w:tcPr>
            <w:tcW w:w="2070" w:type="dxa"/>
            <w:vMerge/>
            <w:tcBorders>
              <w:top w:val="nil"/>
              <w:left w:val="nil"/>
              <w:bottom w:val="single" w:sz="8" w:space="0" w:color="000000"/>
              <w:right w:val="nil"/>
            </w:tcBorders>
            <w:vAlign w:val="center"/>
            <w:hideMark/>
          </w:tcPr>
          <w:p w14:paraId="11F73351"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8" w:space="0" w:color="000000"/>
              <w:right w:val="nil"/>
            </w:tcBorders>
            <w:vAlign w:val="center"/>
            <w:hideMark/>
          </w:tcPr>
          <w:p w14:paraId="53785B5A" w14:textId="77777777" w:rsidR="00F3155E" w:rsidRPr="00872293" w:rsidRDefault="00F3155E" w:rsidP="00CA4391">
            <w:pPr>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vAlign w:val="bottom"/>
            <w:hideMark/>
          </w:tcPr>
          <w:p w14:paraId="4B557CF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Session</w:t>
            </w:r>
          </w:p>
        </w:tc>
        <w:tc>
          <w:tcPr>
            <w:tcW w:w="1080" w:type="dxa"/>
            <w:vMerge/>
            <w:tcBorders>
              <w:top w:val="nil"/>
              <w:left w:val="nil"/>
              <w:bottom w:val="single" w:sz="8" w:space="0" w:color="000000"/>
              <w:right w:val="nil"/>
            </w:tcBorders>
            <w:vAlign w:val="center"/>
            <w:hideMark/>
          </w:tcPr>
          <w:p w14:paraId="29A8C1F7" w14:textId="77777777" w:rsidR="00F3155E" w:rsidRPr="00872293" w:rsidRDefault="00F3155E" w:rsidP="00CA4391">
            <w:pPr>
              <w:rPr>
                <w:rFonts w:ascii="Times New Roman" w:eastAsia="Times New Roman" w:hAnsi="Times New Roman" w:cs="Times New Roman"/>
                <w:sz w:val="22"/>
                <w:szCs w:val="22"/>
              </w:rPr>
            </w:pPr>
          </w:p>
        </w:tc>
        <w:tc>
          <w:tcPr>
            <w:tcW w:w="810" w:type="dxa"/>
            <w:tcBorders>
              <w:top w:val="nil"/>
              <w:left w:val="nil"/>
              <w:bottom w:val="nil"/>
              <w:right w:val="nil"/>
            </w:tcBorders>
            <w:shd w:val="clear" w:color="auto" w:fill="auto"/>
            <w:vAlign w:val="bottom"/>
            <w:hideMark/>
          </w:tcPr>
          <w:p w14:paraId="4A25E238" w14:textId="29641F68"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c>
          <w:tcPr>
            <w:tcW w:w="720" w:type="dxa"/>
            <w:vMerge/>
            <w:tcBorders>
              <w:top w:val="nil"/>
              <w:left w:val="nil"/>
              <w:bottom w:val="single" w:sz="8" w:space="0" w:color="000000"/>
              <w:right w:val="nil"/>
            </w:tcBorders>
            <w:vAlign w:val="center"/>
            <w:hideMark/>
          </w:tcPr>
          <w:p w14:paraId="2A644EBE"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nil"/>
              <w:right w:val="single" w:sz="4" w:space="0" w:color="auto"/>
            </w:tcBorders>
            <w:shd w:val="clear" w:color="auto" w:fill="auto"/>
            <w:noWrap/>
            <w:vAlign w:val="bottom"/>
            <w:hideMark/>
          </w:tcPr>
          <w:p w14:paraId="652DA50A"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w:t>
            </w:r>
          </w:p>
        </w:tc>
      </w:tr>
      <w:tr w:rsidR="00872293" w:rsidRPr="00872293" w14:paraId="33E0FA3D" w14:textId="77777777" w:rsidTr="001946E1">
        <w:trPr>
          <w:trHeight w:val="358"/>
        </w:trPr>
        <w:tc>
          <w:tcPr>
            <w:tcW w:w="715" w:type="dxa"/>
            <w:vMerge/>
            <w:tcBorders>
              <w:top w:val="nil"/>
              <w:left w:val="single" w:sz="4" w:space="0" w:color="auto"/>
              <w:bottom w:val="single" w:sz="4" w:space="0" w:color="auto"/>
              <w:right w:val="nil"/>
            </w:tcBorders>
            <w:vAlign w:val="center"/>
            <w:hideMark/>
          </w:tcPr>
          <w:p w14:paraId="5DF13593" w14:textId="77777777" w:rsidR="00F3155E" w:rsidRPr="00872293" w:rsidRDefault="00F3155E" w:rsidP="00CA4391">
            <w:pPr>
              <w:rPr>
                <w:rFonts w:ascii="Times New Roman" w:eastAsia="Times New Roman" w:hAnsi="Times New Roman" w:cs="Times New Roman"/>
                <w:sz w:val="22"/>
                <w:szCs w:val="22"/>
              </w:rPr>
            </w:pPr>
          </w:p>
        </w:tc>
        <w:tc>
          <w:tcPr>
            <w:tcW w:w="2070" w:type="dxa"/>
            <w:vMerge/>
            <w:tcBorders>
              <w:top w:val="nil"/>
              <w:left w:val="nil"/>
              <w:bottom w:val="single" w:sz="4" w:space="0" w:color="auto"/>
              <w:right w:val="nil"/>
            </w:tcBorders>
            <w:vAlign w:val="center"/>
            <w:hideMark/>
          </w:tcPr>
          <w:p w14:paraId="09A12E4F" w14:textId="77777777" w:rsidR="00F3155E" w:rsidRPr="00872293" w:rsidRDefault="00F3155E" w:rsidP="00CA4391">
            <w:pPr>
              <w:rPr>
                <w:rFonts w:ascii="Times New Roman" w:eastAsia="Times New Roman" w:hAnsi="Times New Roman" w:cs="Times New Roman"/>
                <w:sz w:val="22"/>
                <w:szCs w:val="22"/>
              </w:rPr>
            </w:pPr>
          </w:p>
        </w:tc>
        <w:tc>
          <w:tcPr>
            <w:tcW w:w="1260" w:type="dxa"/>
            <w:vMerge/>
            <w:tcBorders>
              <w:top w:val="nil"/>
              <w:left w:val="nil"/>
              <w:bottom w:val="single" w:sz="4" w:space="0" w:color="auto"/>
              <w:right w:val="nil"/>
            </w:tcBorders>
            <w:vAlign w:val="center"/>
            <w:hideMark/>
          </w:tcPr>
          <w:p w14:paraId="077A4161" w14:textId="77777777" w:rsidR="00F3155E" w:rsidRPr="00872293" w:rsidRDefault="00F3155E" w:rsidP="00CA4391">
            <w:pPr>
              <w:rPr>
                <w:rFonts w:ascii="Times New Roman" w:eastAsia="Times New Roman" w:hAnsi="Times New Roman" w:cs="Times New Roman"/>
                <w:sz w:val="22"/>
                <w:szCs w:val="22"/>
              </w:rPr>
            </w:pPr>
          </w:p>
        </w:tc>
        <w:tc>
          <w:tcPr>
            <w:tcW w:w="1350" w:type="dxa"/>
            <w:tcBorders>
              <w:top w:val="nil"/>
              <w:left w:val="nil"/>
              <w:bottom w:val="single" w:sz="4" w:space="0" w:color="auto"/>
              <w:right w:val="nil"/>
            </w:tcBorders>
            <w:shd w:val="clear" w:color="auto" w:fill="auto"/>
            <w:vAlign w:val="bottom"/>
            <w:hideMark/>
          </w:tcPr>
          <w:p w14:paraId="782ACDF2" w14:textId="2131EB91" w:rsidR="00F3155E" w:rsidRPr="00872293" w:rsidRDefault="00F3155E" w:rsidP="007B1C32">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Treatment:</w:t>
            </w:r>
            <w:r w:rsidR="007E2326"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session</w:t>
            </w:r>
          </w:p>
        </w:tc>
        <w:tc>
          <w:tcPr>
            <w:tcW w:w="1080" w:type="dxa"/>
            <w:vMerge/>
            <w:tcBorders>
              <w:top w:val="nil"/>
              <w:left w:val="nil"/>
              <w:bottom w:val="single" w:sz="4" w:space="0" w:color="auto"/>
              <w:right w:val="nil"/>
            </w:tcBorders>
            <w:vAlign w:val="center"/>
            <w:hideMark/>
          </w:tcPr>
          <w:p w14:paraId="1D2BC775" w14:textId="77777777" w:rsidR="00F3155E" w:rsidRPr="00872293" w:rsidRDefault="00F3155E" w:rsidP="00CA4391">
            <w:pPr>
              <w:rPr>
                <w:rFonts w:ascii="Times New Roman" w:eastAsia="Times New Roman" w:hAnsi="Times New Roman" w:cs="Times New Roman"/>
                <w:sz w:val="22"/>
                <w:szCs w:val="22"/>
              </w:rPr>
            </w:pPr>
          </w:p>
        </w:tc>
        <w:tc>
          <w:tcPr>
            <w:tcW w:w="810" w:type="dxa"/>
            <w:tcBorders>
              <w:top w:val="nil"/>
              <w:left w:val="nil"/>
              <w:bottom w:val="single" w:sz="4" w:space="0" w:color="auto"/>
              <w:right w:val="nil"/>
            </w:tcBorders>
            <w:shd w:val="clear" w:color="auto" w:fill="auto"/>
            <w:vAlign w:val="bottom"/>
            <w:hideMark/>
          </w:tcPr>
          <w:p w14:paraId="338FA7CD"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w:t>
            </w:r>
          </w:p>
        </w:tc>
        <w:tc>
          <w:tcPr>
            <w:tcW w:w="720" w:type="dxa"/>
            <w:vMerge/>
            <w:tcBorders>
              <w:top w:val="nil"/>
              <w:left w:val="nil"/>
              <w:bottom w:val="single" w:sz="4" w:space="0" w:color="auto"/>
              <w:right w:val="nil"/>
            </w:tcBorders>
            <w:vAlign w:val="center"/>
            <w:hideMark/>
          </w:tcPr>
          <w:p w14:paraId="29252436" w14:textId="77777777" w:rsidR="00F3155E" w:rsidRPr="00872293" w:rsidRDefault="00F3155E" w:rsidP="00CA4391">
            <w:pPr>
              <w:rPr>
                <w:rFonts w:ascii="Times New Roman" w:eastAsia="Times New Roman" w:hAnsi="Times New Roman" w:cs="Times New Roman"/>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14:paraId="10EB0310" w14:textId="77777777" w:rsidR="00F3155E" w:rsidRPr="00872293" w:rsidRDefault="00F3155E" w:rsidP="00CA439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w:t>
            </w:r>
          </w:p>
        </w:tc>
      </w:tr>
    </w:tbl>
    <w:p w14:paraId="06C7FF81" w14:textId="15478008" w:rsidR="00F575EF" w:rsidRPr="00872293" w:rsidRDefault="00F575EF">
      <w:pPr>
        <w:rPr>
          <w:rFonts w:ascii="Times New Roman" w:hAnsi="Times New Roman" w:cs="Times New Roman"/>
          <w:b/>
          <w:sz w:val="22"/>
          <w:szCs w:val="22"/>
        </w:rPr>
      </w:pPr>
    </w:p>
    <w:p w14:paraId="2635DF1A" w14:textId="7BBCA31C" w:rsidR="001A64B8" w:rsidRPr="00872293" w:rsidRDefault="001A64B8">
      <w:pPr>
        <w:rPr>
          <w:rFonts w:ascii="Times New Roman" w:hAnsi="Times New Roman" w:cs="Times New Roman"/>
          <w:b/>
          <w:sz w:val="22"/>
          <w:szCs w:val="22"/>
        </w:rPr>
      </w:pPr>
      <w:r w:rsidRPr="00872293">
        <w:rPr>
          <w:rFonts w:ascii="Times New Roman" w:hAnsi="Times New Roman" w:cs="Times New Roman"/>
          <w:b/>
          <w:sz w:val="22"/>
          <w:szCs w:val="22"/>
        </w:rPr>
        <w:br w:type="page"/>
      </w:r>
    </w:p>
    <w:p w14:paraId="535F2597" w14:textId="5F91C843" w:rsidR="00F575EF" w:rsidRPr="00872293" w:rsidRDefault="00F575EF" w:rsidP="003A10D2">
      <w:pPr>
        <w:pStyle w:val="Caption"/>
        <w:spacing w:before="240" w:after="240"/>
        <w:rPr>
          <w:rFonts w:ascii="Times New Roman" w:eastAsia="Times New Roman" w:hAnsi="Times New Roman" w:cs="Times New Roman"/>
          <w:color w:val="auto"/>
          <w:sz w:val="24"/>
          <w:szCs w:val="24"/>
        </w:rPr>
      </w:pPr>
      <w:bookmarkStart w:id="107" w:name="_Toc53755747"/>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5</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Pr="00872293">
        <w:rPr>
          <w:rFonts w:ascii="Times New Roman" w:eastAsia="Times New Roman" w:hAnsi="Times New Roman" w:cs="Times New Roman"/>
          <w:color w:val="auto"/>
          <w:sz w:val="24"/>
          <w:szCs w:val="24"/>
        </w:rPr>
        <w:t>Total leaf area (m</w:t>
      </w:r>
      <w:r w:rsidRPr="00872293">
        <w:rPr>
          <w:rFonts w:ascii="Times New Roman" w:eastAsia="Times New Roman" w:hAnsi="Times New Roman" w:cs="Times New Roman"/>
          <w:color w:val="auto"/>
          <w:sz w:val="24"/>
          <w:szCs w:val="24"/>
          <w:vertAlign w:val="superscript"/>
        </w:rPr>
        <w:t>2</w:t>
      </w:r>
      <w:r w:rsidRPr="00872293">
        <w:rPr>
          <w:rFonts w:ascii="Times New Roman" w:eastAsia="Times New Roman" w:hAnsi="Times New Roman" w:cs="Times New Roman"/>
          <w:color w:val="auto"/>
          <w:sz w:val="24"/>
          <w:szCs w:val="24"/>
        </w:rPr>
        <w:t xml:space="preserve"> m</w:t>
      </w:r>
      <w:r w:rsidRPr="00872293">
        <w:rPr>
          <w:rFonts w:ascii="Times New Roman" w:eastAsia="Times New Roman" w:hAnsi="Times New Roman" w:cs="Times New Roman"/>
          <w:color w:val="auto"/>
          <w:sz w:val="24"/>
          <w:szCs w:val="24"/>
          <w:vertAlign w:val="superscript"/>
        </w:rPr>
        <w:t>-2</w:t>
      </w:r>
      <w:r w:rsidRPr="00872293">
        <w:rPr>
          <w:rFonts w:ascii="Times New Roman" w:eastAsia="Times New Roman" w:hAnsi="Times New Roman" w:cs="Times New Roman"/>
          <w:color w:val="auto"/>
          <w:sz w:val="24"/>
          <w:szCs w:val="24"/>
        </w:rPr>
        <w:t>)</w:t>
      </w:r>
      <w:r w:rsidR="007F65E8" w:rsidRPr="00872293">
        <w:rPr>
          <w:rFonts w:ascii="Times New Roman" w:eastAsia="Times New Roman" w:hAnsi="Times New Roman" w:cs="Times New Roman"/>
          <w:color w:val="auto"/>
          <w:sz w:val="24"/>
          <w:szCs w:val="24"/>
        </w:rPr>
        <w:t xml:space="preserve"> of understory</w:t>
      </w:r>
      <w:r w:rsidRPr="00872293">
        <w:rPr>
          <w:rFonts w:ascii="Times New Roman" w:eastAsia="Times New Roman" w:hAnsi="Times New Roman" w:cs="Times New Roman"/>
          <w:color w:val="auto"/>
          <w:sz w:val="24"/>
          <w:szCs w:val="24"/>
        </w:rPr>
        <w:t xml:space="preserve"> </w:t>
      </w:r>
      <w:r w:rsidR="007F65E8" w:rsidRPr="00872293">
        <w:rPr>
          <w:rFonts w:ascii="Times New Roman" w:eastAsia="Times New Roman" w:hAnsi="Times New Roman" w:cs="Times New Roman"/>
          <w:color w:val="auto"/>
          <w:sz w:val="24"/>
          <w:szCs w:val="24"/>
        </w:rPr>
        <w:t xml:space="preserve">by assigned </w:t>
      </w:r>
      <w:r w:rsidRPr="00872293">
        <w:rPr>
          <w:rFonts w:ascii="Times New Roman" w:eastAsia="Times New Roman" w:hAnsi="Times New Roman" w:cs="Times New Roman"/>
          <w:color w:val="auto"/>
          <w:sz w:val="24"/>
          <w:szCs w:val="24"/>
        </w:rPr>
        <w:t xml:space="preserve">treatment </w:t>
      </w:r>
      <w:r w:rsidR="007F65E8" w:rsidRPr="00872293">
        <w:rPr>
          <w:rFonts w:ascii="Times New Roman" w:eastAsia="Times New Roman" w:hAnsi="Times New Roman" w:cs="Times New Roman"/>
          <w:color w:val="auto"/>
          <w:sz w:val="24"/>
          <w:szCs w:val="24"/>
        </w:rPr>
        <w:t>plots on</w:t>
      </w:r>
      <w:r w:rsidRPr="00872293">
        <w:rPr>
          <w:rFonts w:ascii="Times New Roman" w:eastAsia="Times New Roman" w:hAnsi="Times New Roman" w:cs="Times New Roman"/>
          <w:color w:val="auto"/>
          <w:sz w:val="24"/>
          <w:szCs w:val="24"/>
        </w:rPr>
        <w:t xml:space="preserve"> conditions of pre-warming (2016), warming (2017), post-hurricane but </w:t>
      </w:r>
      <w:proofErr w:type="spellStart"/>
      <w:r w:rsidRPr="00872293">
        <w:rPr>
          <w:rFonts w:ascii="Times New Roman" w:eastAsia="Times New Roman" w:hAnsi="Times New Roman" w:cs="Times New Roman"/>
          <w:color w:val="auto"/>
          <w:sz w:val="24"/>
          <w:szCs w:val="24"/>
        </w:rPr>
        <w:t>unwarmed</w:t>
      </w:r>
      <w:proofErr w:type="spellEnd"/>
      <w:r w:rsidRPr="00872293">
        <w:rPr>
          <w:rFonts w:ascii="Times New Roman" w:eastAsia="Times New Roman" w:hAnsi="Times New Roman" w:cs="Times New Roman"/>
          <w:color w:val="auto"/>
          <w:sz w:val="24"/>
          <w:szCs w:val="24"/>
        </w:rPr>
        <w:t xml:space="preserve"> (2018), up to the re-start of the warming treatment after the hurricanes (2019)</w:t>
      </w:r>
      <w:bookmarkEnd w:id="107"/>
    </w:p>
    <w:tbl>
      <w:tblPr>
        <w:tblW w:w="629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37"/>
        <w:gridCol w:w="1200"/>
        <w:gridCol w:w="780"/>
        <w:gridCol w:w="1283"/>
        <w:gridCol w:w="1695"/>
      </w:tblGrid>
      <w:tr w:rsidR="00F575EF" w:rsidRPr="00872293" w14:paraId="33DDC7E2" w14:textId="77777777" w:rsidTr="005F5B6A">
        <w:trPr>
          <w:trHeight w:val="700"/>
          <w:jc w:val="center"/>
        </w:trPr>
        <w:tc>
          <w:tcPr>
            <w:tcW w:w="1337" w:type="dxa"/>
            <w:tcBorders>
              <w:top w:val="single" w:sz="4" w:space="0" w:color="auto"/>
              <w:bottom w:val="single" w:sz="4" w:space="0" w:color="auto"/>
              <w:right w:val="single" w:sz="4" w:space="0" w:color="auto"/>
            </w:tcBorders>
            <w:shd w:val="clear" w:color="auto" w:fill="auto"/>
            <w:vAlign w:val="bottom"/>
            <w:hideMark/>
          </w:tcPr>
          <w:p w14:paraId="2E527DC3" w14:textId="77777777" w:rsidR="00F575EF" w:rsidRPr="00872293" w:rsidRDefault="00F575EF"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Conditions</w:t>
            </w:r>
          </w:p>
        </w:tc>
        <w:tc>
          <w:tcPr>
            <w:tcW w:w="1200" w:type="dxa"/>
            <w:tcBorders>
              <w:top w:val="single" w:sz="4" w:space="0" w:color="auto"/>
              <w:left w:val="single" w:sz="4" w:space="0" w:color="auto"/>
              <w:bottom w:val="single" w:sz="4" w:space="0" w:color="auto"/>
            </w:tcBorders>
            <w:shd w:val="clear" w:color="auto" w:fill="auto"/>
            <w:vAlign w:val="bottom"/>
            <w:hideMark/>
          </w:tcPr>
          <w:p w14:paraId="2DAF7EC1" w14:textId="77777777" w:rsidR="00F575EF" w:rsidRPr="00872293" w:rsidRDefault="00F575EF"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year</w:t>
            </w:r>
          </w:p>
        </w:tc>
        <w:tc>
          <w:tcPr>
            <w:tcW w:w="780" w:type="dxa"/>
            <w:tcBorders>
              <w:top w:val="single" w:sz="4" w:space="0" w:color="auto"/>
              <w:bottom w:val="single" w:sz="4" w:space="0" w:color="auto"/>
            </w:tcBorders>
            <w:shd w:val="clear" w:color="auto" w:fill="auto"/>
            <w:vAlign w:val="bottom"/>
            <w:hideMark/>
          </w:tcPr>
          <w:p w14:paraId="409E6E95" w14:textId="77777777" w:rsidR="00F575EF" w:rsidRPr="00872293" w:rsidRDefault="00F575EF"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Plot ID</w:t>
            </w:r>
          </w:p>
        </w:tc>
        <w:tc>
          <w:tcPr>
            <w:tcW w:w="1283" w:type="dxa"/>
            <w:tcBorders>
              <w:top w:val="single" w:sz="4" w:space="0" w:color="auto"/>
              <w:bottom w:val="single" w:sz="4" w:space="0" w:color="auto"/>
            </w:tcBorders>
            <w:shd w:val="clear" w:color="auto" w:fill="auto"/>
            <w:vAlign w:val="bottom"/>
            <w:hideMark/>
          </w:tcPr>
          <w:p w14:paraId="19051403" w14:textId="77777777" w:rsidR="00F575EF" w:rsidRPr="00872293" w:rsidRDefault="00F575EF"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Assigned treatment</w:t>
            </w:r>
          </w:p>
        </w:tc>
        <w:tc>
          <w:tcPr>
            <w:tcW w:w="1695" w:type="dxa"/>
            <w:tcBorders>
              <w:top w:val="single" w:sz="4" w:space="0" w:color="auto"/>
              <w:bottom w:val="single" w:sz="4" w:space="0" w:color="auto"/>
            </w:tcBorders>
            <w:shd w:val="clear" w:color="auto" w:fill="auto"/>
            <w:vAlign w:val="bottom"/>
            <w:hideMark/>
          </w:tcPr>
          <w:p w14:paraId="72DD6E4F" w14:textId="77777777" w:rsidR="00F575EF" w:rsidRPr="00872293" w:rsidRDefault="00F575EF"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Total leaf area (m</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 xml:space="preserve"> m</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w:t>
            </w:r>
          </w:p>
        </w:tc>
      </w:tr>
      <w:tr w:rsidR="00F575EF" w:rsidRPr="00872293" w14:paraId="448C7075" w14:textId="77777777" w:rsidTr="005F5B6A">
        <w:trPr>
          <w:trHeight w:val="290"/>
          <w:jc w:val="center"/>
        </w:trPr>
        <w:tc>
          <w:tcPr>
            <w:tcW w:w="1337" w:type="dxa"/>
            <w:vMerge w:val="restart"/>
            <w:tcBorders>
              <w:top w:val="single" w:sz="4" w:space="0" w:color="auto"/>
              <w:bottom w:val="single" w:sz="4" w:space="0" w:color="auto"/>
              <w:right w:val="single" w:sz="4" w:space="0" w:color="auto"/>
            </w:tcBorders>
            <w:shd w:val="clear" w:color="auto" w:fill="auto"/>
            <w:textDirection w:val="btLr"/>
            <w:vAlign w:val="center"/>
            <w:hideMark/>
          </w:tcPr>
          <w:p w14:paraId="5E49F44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Pre-warming, </w:t>
            </w:r>
            <w:r w:rsidRPr="00872293">
              <w:rPr>
                <w:rFonts w:ascii="Times New Roman" w:eastAsia="Times New Roman" w:hAnsi="Times New Roman" w:cs="Times New Roman"/>
                <w:sz w:val="22"/>
                <w:szCs w:val="22"/>
              </w:rPr>
              <w:br/>
              <w:t>pre-hurricane</w:t>
            </w:r>
          </w:p>
        </w:tc>
        <w:tc>
          <w:tcPr>
            <w:tcW w:w="1200" w:type="dxa"/>
            <w:tcBorders>
              <w:top w:val="single" w:sz="4" w:space="0" w:color="auto"/>
              <w:left w:val="single" w:sz="4" w:space="0" w:color="auto"/>
              <w:bottom w:val="nil"/>
            </w:tcBorders>
            <w:shd w:val="clear" w:color="auto" w:fill="auto"/>
            <w:noWrap/>
            <w:vAlign w:val="bottom"/>
            <w:hideMark/>
          </w:tcPr>
          <w:p w14:paraId="562C4292" w14:textId="56D3D86C"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single" w:sz="4" w:space="0" w:color="auto"/>
              <w:bottom w:val="nil"/>
            </w:tcBorders>
            <w:shd w:val="clear" w:color="auto" w:fill="auto"/>
            <w:noWrap/>
            <w:vAlign w:val="bottom"/>
            <w:hideMark/>
          </w:tcPr>
          <w:p w14:paraId="7B02B68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c>
          <w:tcPr>
            <w:tcW w:w="1283" w:type="dxa"/>
            <w:tcBorders>
              <w:top w:val="single" w:sz="4" w:space="0" w:color="auto"/>
              <w:bottom w:val="nil"/>
            </w:tcBorders>
            <w:shd w:val="clear" w:color="auto" w:fill="auto"/>
            <w:noWrap/>
            <w:vAlign w:val="bottom"/>
            <w:hideMark/>
          </w:tcPr>
          <w:p w14:paraId="32212A9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single" w:sz="4" w:space="0" w:color="auto"/>
              <w:bottom w:val="nil"/>
            </w:tcBorders>
            <w:shd w:val="clear" w:color="auto" w:fill="auto"/>
            <w:noWrap/>
            <w:vAlign w:val="bottom"/>
            <w:hideMark/>
          </w:tcPr>
          <w:p w14:paraId="3D6AC82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0.29</w:t>
            </w:r>
          </w:p>
        </w:tc>
      </w:tr>
      <w:tr w:rsidR="00F575EF" w:rsidRPr="00872293" w14:paraId="7624D0FF"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5AC30381"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066A6540" w14:textId="02E057FC"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3ABB059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w:t>
            </w:r>
          </w:p>
        </w:tc>
        <w:tc>
          <w:tcPr>
            <w:tcW w:w="1283" w:type="dxa"/>
            <w:tcBorders>
              <w:top w:val="nil"/>
              <w:bottom w:val="nil"/>
            </w:tcBorders>
            <w:shd w:val="clear" w:color="auto" w:fill="auto"/>
            <w:noWrap/>
            <w:vAlign w:val="bottom"/>
            <w:hideMark/>
          </w:tcPr>
          <w:p w14:paraId="33D34F2C"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nil"/>
            </w:tcBorders>
            <w:shd w:val="clear" w:color="auto" w:fill="auto"/>
            <w:noWrap/>
            <w:vAlign w:val="bottom"/>
            <w:hideMark/>
          </w:tcPr>
          <w:p w14:paraId="4C911D7B"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0.17</w:t>
            </w:r>
          </w:p>
        </w:tc>
      </w:tr>
      <w:tr w:rsidR="00F575EF" w:rsidRPr="00872293" w14:paraId="6EA244D2"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7D72B441"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347A17ED" w14:textId="2FAA112A"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2016</w:t>
            </w:r>
          </w:p>
        </w:tc>
        <w:tc>
          <w:tcPr>
            <w:tcW w:w="780" w:type="dxa"/>
            <w:tcBorders>
              <w:top w:val="nil"/>
              <w:bottom w:val="nil"/>
            </w:tcBorders>
            <w:shd w:val="clear" w:color="auto" w:fill="auto"/>
            <w:noWrap/>
            <w:vAlign w:val="bottom"/>
            <w:hideMark/>
          </w:tcPr>
          <w:p w14:paraId="4AF4B1B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w:t>
            </w:r>
          </w:p>
        </w:tc>
        <w:tc>
          <w:tcPr>
            <w:tcW w:w="1283" w:type="dxa"/>
            <w:tcBorders>
              <w:top w:val="nil"/>
              <w:bottom w:val="nil"/>
            </w:tcBorders>
            <w:shd w:val="clear" w:color="auto" w:fill="auto"/>
            <w:noWrap/>
            <w:vAlign w:val="bottom"/>
            <w:hideMark/>
          </w:tcPr>
          <w:p w14:paraId="2853AD4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2D2B3BCF"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0.31</w:t>
            </w:r>
          </w:p>
        </w:tc>
      </w:tr>
      <w:tr w:rsidR="00F575EF" w:rsidRPr="00872293" w14:paraId="1C7C2AD7"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62371736"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7682543F" w14:textId="480CE397"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00E6E8BB"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w:t>
            </w:r>
          </w:p>
        </w:tc>
        <w:tc>
          <w:tcPr>
            <w:tcW w:w="1283" w:type="dxa"/>
            <w:tcBorders>
              <w:top w:val="nil"/>
              <w:bottom w:val="nil"/>
            </w:tcBorders>
            <w:shd w:val="clear" w:color="auto" w:fill="auto"/>
            <w:noWrap/>
            <w:vAlign w:val="bottom"/>
            <w:hideMark/>
          </w:tcPr>
          <w:p w14:paraId="357AFA84"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nil"/>
            </w:tcBorders>
            <w:shd w:val="clear" w:color="auto" w:fill="auto"/>
            <w:noWrap/>
            <w:vAlign w:val="bottom"/>
            <w:hideMark/>
          </w:tcPr>
          <w:p w14:paraId="49E976B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0.24</w:t>
            </w:r>
          </w:p>
        </w:tc>
      </w:tr>
      <w:tr w:rsidR="00F575EF" w:rsidRPr="00872293" w14:paraId="5C1C81C4"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62844435"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073997C0" w14:textId="31840314"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477F42D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w:t>
            </w:r>
          </w:p>
        </w:tc>
        <w:tc>
          <w:tcPr>
            <w:tcW w:w="1283" w:type="dxa"/>
            <w:tcBorders>
              <w:top w:val="nil"/>
              <w:bottom w:val="nil"/>
            </w:tcBorders>
            <w:shd w:val="clear" w:color="auto" w:fill="auto"/>
            <w:noWrap/>
            <w:vAlign w:val="bottom"/>
            <w:hideMark/>
          </w:tcPr>
          <w:p w14:paraId="783424B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037289C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0.43</w:t>
            </w:r>
          </w:p>
        </w:tc>
      </w:tr>
      <w:tr w:rsidR="00F575EF" w:rsidRPr="00872293" w14:paraId="612E56DB"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4CAB1A50"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single" w:sz="4" w:space="0" w:color="auto"/>
            </w:tcBorders>
            <w:shd w:val="clear" w:color="auto" w:fill="auto"/>
            <w:noWrap/>
            <w:vAlign w:val="bottom"/>
            <w:hideMark/>
          </w:tcPr>
          <w:p w14:paraId="5B1D4E4C" w14:textId="3076ED55"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single" w:sz="4" w:space="0" w:color="auto"/>
            </w:tcBorders>
            <w:shd w:val="clear" w:color="auto" w:fill="auto"/>
            <w:noWrap/>
            <w:vAlign w:val="bottom"/>
            <w:hideMark/>
          </w:tcPr>
          <w:p w14:paraId="0E518E4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w:t>
            </w:r>
          </w:p>
        </w:tc>
        <w:tc>
          <w:tcPr>
            <w:tcW w:w="1283" w:type="dxa"/>
            <w:tcBorders>
              <w:top w:val="nil"/>
              <w:bottom w:val="single" w:sz="4" w:space="0" w:color="auto"/>
            </w:tcBorders>
            <w:shd w:val="clear" w:color="auto" w:fill="auto"/>
            <w:noWrap/>
            <w:vAlign w:val="bottom"/>
            <w:hideMark/>
          </w:tcPr>
          <w:p w14:paraId="69CC1D5F"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single" w:sz="4" w:space="0" w:color="auto"/>
            </w:tcBorders>
            <w:shd w:val="clear" w:color="auto" w:fill="auto"/>
            <w:noWrap/>
            <w:vAlign w:val="bottom"/>
            <w:hideMark/>
          </w:tcPr>
          <w:p w14:paraId="568FAEB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0.14</w:t>
            </w:r>
          </w:p>
        </w:tc>
      </w:tr>
      <w:tr w:rsidR="00F575EF" w:rsidRPr="00872293" w14:paraId="78755EE4" w14:textId="77777777" w:rsidTr="005F5B6A">
        <w:trPr>
          <w:trHeight w:val="290"/>
          <w:jc w:val="center"/>
        </w:trPr>
        <w:tc>
          <w:tcPr>
            <w:tcW w:w="1337" w:type="dxa"/>
            <w:vMerge w:val="restart"/>
            <w:tcBorders>
              <w:top w:val="nil"/>
              <w:bottom w:val="single" w:sz="4" w:space="0" w:color="auto"/>
              <w:right w:val="single" w:sz="4" w:space="0" w:color="auto"/>
            </w:tcBorders>
            <w:shd w:val="clear" w:color="auto" w:fill="auto"/>
            <w:textDirection w:val="btLr"/>
            <w:vAlign w:val="center"/>
            <w:hideMark/>
          </w:tcPr>
          <w:p w14:paraId="49C6E820"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Warming, </w:t>
            </w:r>
            <w:r w:rsidRPr="00872293">
              <w:rPr>
                <w:rFonts w:ascii="Times New Roman" w:eastAsia="Times New Roman" w:hAnsi="Times New Roman" w:cs="Times New Roman"/>
                <w:sz w:val="22"/>
                <w:szCs w:val="22"/>
              </w:rPr>
              <w:br/>
              <w:t>pre-hurricane</w:t>
            </w:r>
          </w:p>
        </w:tc>
        <w:tc>
          <w:tcPr>
            <w:tcW w:w="1200" w:type="dxa"/>
            <w:tcBorders>
              <w:top w:val="single" w:sz="4" w:space="0" w:color="auto"/>
              <w:left w:val="single" w:sz="4" w:space="0" w:color="auto"/>
              <w:bottom w:val="nil"/>
            </w:tcBorders>
            <w:shd w:val="clear" w:color="auto" w:fill="auto"/>
            <w:noWrap/>
            <w:vAlign w:val="bottom"/>
            <w:hideMark/>
          </w:tcPr>
          <w:p w14:paraId="6EC3E1EC" w14:textId="0F154305" w:rsidR="00F575EF" w:rsidRPr="00872293" w:rsidRDefault="00F575EF" w:rsidP="00F575EF">
            <w:pPr>
              <w:rPr>
                <w:rFonts w:ascii="Times New Roman" w:eastAsia="Times New Roman" w:hAnsi="Times New Roman" w:cs="Times New Roman"/>
                <w:sz w:val="22"/>
                <w:szCs w:val="22"/>
              </w:rPr>
            </w:pPr>
          </w:p>
        </w:tc>
        <w:tc>
          <w:tcPr>
            <w:tcW w:w="780" w:type="dxa"/>
            <w:tcBorders>
              <w:top w:val="single" w:sz="4" w:space="0" w:color="auto"/>
              <w:bottom w:val="nil"/>
            </w:tcBorders>
            <w:shd w:val="clear" w:color="auto" w:fill="auto"/>
            <w:noWrap/>
            <w:vAlign w:val="bottom"/>
            <w:hideMark/>
          </w:tcPr>
          <w:p w14:paraId="6BBF13D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c>
          <w:tcPr>
            <w:tcW w:w="1283" w:type="dxa"/>
            <w:tcBorders>
              <w:top w:val="single" w:sz="4" w:space="0" w:color="auto"/>
              <w:bottom w:val="nil"/>
            </w:tcBorders>
            <w:shd w:val="clear" w:color="auto" w:fill="auto"/>
            <w:noWrap/>
            <w:vAlign w:val="bottom"/>
            <w:hideMark/>
          </w:tcPr>
          <w:p w14:paraId="1C68272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single" w:sz="4" w:space="0" w:color="auto"/>
              <w:bottom w:val="nil"/>
            </w:tcBorders>
            <w:shd w:val="clear" w:color="auto" w:fill="auto"/>
            <w:noWrap/>
            <w:vAlign w:val="bottom"/>
            <w:hideMark/>
          </w:tcPr>
          <w:p w14:paraId="62B297C5"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0.39</w:t>
            </w:r>
          </w:p>
        </w:tc>
      </w:tr>
      <w:tr w:rsidR="00F575EF" w:rsidRPr="00872293" w14:paraId="11DC9F25"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49C65A79"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5989A15B" w14:textId="19A0FBA6" w:rsidR="00F575EF" w:rsidRPr="00872293" w:rsidRDefault="00F575EF" w:rsidP="00F575EF">
            <w:pP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1000124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w:t>
            </w:r>
          </w:p>
        </w:tc>
        <w:tc>
          <w:tcPr>
            <w:tcW w:w="1283" w:type="dxa"/>
            <w:tcBorders>
              <w:top w:val="nil"/>
              <w:bottom w:val="nil"/>
            </w:tcBorders>
            <w:shd w:val="clear" w:color="auto" w:fill="auto"/>
            <w:noWrap/>
            <w:vAlign w:val="bottom"/>
            <w:hideMark/>
          </w:tcPr>
          <w:p w14:paraId="6DC8F431"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tcBorders>
              <w:top w:val="nil"/>
              <w:bottom w:val="nil"/>
            </w:tcBorders>
            <w:shd w:val="clear" w:color="auto" w:fill="auto"/>
            <w:noWrap/>
            <w:vAlign w:val="bottom"/>
            <w:hideMark/>
          </w:tcPr>
          <w:p w14:paraId="514CFEED"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0.26</w:t>
            </w:r>
          </w:p>
        </w:tc>
      </w:tr>
      <w:tr w:rsidR="00F575EF" w:rsidRPr="00872293" w14:paraId="561200CC"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57D20823"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2F8EFB4F"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2017</w:t>
            </w:r>
          </w:p>
        </w:tc>
        <w:tc>
          <w:tcPr>
            <w:tcW w:w="780" w:type="dxa"/>
            <w:tcBorders>
              <w:top w:val="nil"/>
              <w:bottom w:val="nil"/>
            </w:tcBorders>
            <w:shd w:val="clear" w:color="auto" w:fill="auto"/>
            <w:noWrap/>
            <w:vAlign w:val="bottom"/>
            <w:hideMark/>
          </w:tcPr>
          <w:p w14:paraId="1B4BE250"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w:t>
            </w:r>
          </w:p>
        </w:tc>
        <w:tc>
          <w:tcPr>
            <w:tcW w:w="1283" w:type="dxa"/>
            <w:tcBorders>
              <w:top w:val="nil"/>
              <w:bottom w:val="nil"/>
            </w:tcBorders>
            <w:shd w:val="clear" w:color="auto" w:fill="auto"/>
            <w:noWrap/>
            <w:vAlign w:val="bottom"/>
            <w:hideMark/>
          </w:tcPr>
          <w:p w14:paraId="4935DE05"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3293402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0.50</w:t>
            </w:r>
          </w:p>
        </w:tc>
      </w:tr>
      <w:tr w:rsidR="00F575EF" w:rsidRPr="00872293" w14:paraId="3A16F8A6"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0BB57505"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4B56EB4D" w14:textId="343CB9D6" w:rsidR="00F575EF" w:rsidRPr="00872293" w:rsidRDefault="00F575EF" w:rsidP="00F575EF">
            <w:pP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608DC26F"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w:t>
            </w:r>
          </w:p>
        </w:tc>
        <w:tc>
          <w:tcPr>
            <w:tcW w:w="1283" w:type="dxa"/>
            <w:tcBorders>
              <w:top w:val="nil"/>
              <w:bottom w:val="nil"/>
            </w:tcBorders>
            <w:shd w:val="clear" w:color="auto" w:fill="auto"/>
            <w:noWrap/>
            <w:vAlign w:val="bottom"/>
            <w:hideMark/>
          </w:tcPr>
          <w:p w14:paraId="396917E2"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tcBorders>
              <w:top w:val="nil"/>
              <w:bottom w:val="nil"/>
            </w:tcBorders>
            <w:shd w:val="clear" w:color="auto" w:fill="auto"/>
            <w:noWrap/>
            <w:vAlign w:val="bottom"/>
            <w:hideMark/>
          </w:tcPr>
          <w:p w14:paraId="0FC600BC"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0.41</w:t>
            </w:r>
          </w:p>
        </w:tc>
      </w:tr>
      <w:tr w:rsidR="00F575EF" w:rsidRPr="00872293" w14:paraId="16A6F5DD"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1E4DD5AB"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2B0AC109" w14:textId="64970BD3"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569C4DC9"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w:t>
            </w:r>
          </w:p>
        </w:tc>
        <w:tc>
          <w:tcPr>
            <w:tcW w:w="1283" w:type="dxa"/>
            <w:tcBorders>
              <w:top w:val="nil"/>
              <w:bottom w:val="nil"/>
            </w:tcBorders>
            <w:shd w:val="clear" w:color="auto" w:fill="auto"/>
            <w:noWrap/>
            <w:vAlign w:val="bottom"/>
            <w:hideMark/>
          </w:tcPr>
          <w:p w14:paraId="4560F7DA"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34114C40"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0.77</w:t>
            </w:r>
          </w:p>
        </w:tc>
      </w:tr>
      <w:tr w:rsidR="00F575EF" w:rsidRPr="00872293" w14:paraId="32984F9C"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1E32E51F"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single" w:sz="4" w:space="0" w:color="auto"/>
            </w:tcBorders>
            <w:shd w:val="clear" w:color="auto" w:fill="auto"/>
            <w:noWrap/>
            <w:vAlign w:val="bottom"/>
            <w:hideMark/>
          </w:tcPr>
          <w:p w14:paraId="218C94D4" w14:textId="03052E42"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single" w:sz="4" w:space="0" w:color="auto"/>
            </w:tcBorders>
            <w:shd w:val="clear" w:color="auto" w:fill="auto"/>
            <w:noWrap/>
            <w:vAlign w:val="bottom"/>
            <w:hideMark/>
          </w:tcPr>
          <w:p w14:paraId="29365632"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w:t>
            </w:r>
          </w:p>
        </w:tc>
        <w:tc>
          <w:tcPr>
            <w:tcW w:w="1283" w:type="dxa"/>
            <w:tcBorders>
              <w:top w:val="nil"/>
              <w:bottom w:val="single" w:sz="4" w:space="0" w:color="auto"/>
            </w:tcBorders>
            <w:shd w:val="clear" w:color="auto" w:fill="auto"/>
            <w:noWrap/>
            <w:vAlign w:val="bottom"/>
            <w:hideMark/>
          </w:tcPr>
          <w:p w14:paraId="2495731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tcBorders>
              <w:top w:val="nil"/>
              <w:bottom w:val="single" w:sz="4" w:space="0" w:color="auto"/>
            </w:tcBorders>
            <w:shd w:val="clear" w:color="auto" w:fill="auto"/>
            <w:noWrap/>
            <w:vAlign w:val="bottom"/>
            <w:hideMark/>
          </w:tcPr>
          <w:p w14:paraId="146CF24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0.11</w:t>
            </w:r>
          </w:p>
        </w:tc>
      </w:tr>
      <w:tr w:rsidR="00F575EF" w:rsidRPr="00872293" w14:paraId="12EDB0CF" w14:textId="77777777" w:rsidTr="005F5B6A">
        <w:trPr>
          <w:trHeight w:val="290"/>
          <w:jc w:val="center"/>
        </w:trPr>
        <w:tc>
          <w:tcPr>
            <w:tcW w:w="1337" w:type="dxa"/>
            <w:vMerge w:val="restart"/>
            <w:tcBorders>
              <w:top w:val="nil"/>
              <w:bottom w:val="single" w:sz="4" w:space="0" w:color="auto"/>
              <w:right w:val="single" w:sz="4" w:space="0" w:color="auto"/>
            </w:tcBorders>
            <w:shd w:val="clear" w:color="auto" w:fill="auto"/>
            <w:textDirection w:val="btLr"/>
            <w:vAlign w:val="center"/>
            <w:hideMark/>
          </w:tcPr>
          <w:p w14:paraId="1832F322"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Post-warming, post-hurricane</w:t>
            </w:r>
          </w:p>
        </w:tc>
        <w:tc>
          <w:tcPr>
            <w:tcW w:w="1200" w:type="dxa"/>
            <w:tcBorders>
              <w:top w:val="single" w:sz="4" w:space="0" w:color="auto"/>
              <w:left w:val="single" w:sz="4" w:space="0" w:color="auto"/>
              <w:bottom w:val="nil"/>
            </w:tcBorders>
            <w:shd w:val="clear" w:color="auto" w:fill="auto"/>
            <w:noWrap/>
            <w:vAlign w:val="bottom"/>
            <w:hideMark/>
          </w:tcPr>
          <w:p w14:paraId="75A6228F" w14:textId="032DB013"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single" w:sz="4" w:space="0" w:color="auto"/>
              <w:bottom w:val="nil"/>
            </w:tcBorders>
            <w:shd w:val="clear" w:color="auto" w:fill="auto"/>
            <w:noWrap/>
            <w:vAlign w:val="bottom"/>
            <w:hideMark/>
          </w:tcPr>
          <w:p w14:paraId="0188C58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c>
          <w:tcPr>
            <w:tcW w:w="1283" w:type="dxa"/>
            <w:tcBorders>
              <w:top w:val="single" w:sz="4" w:space="0" w:color="auto"/>
              <w:bottom w:val="nil"/>
            </w:tcBorders>
            <w:shd w:val="clear" w:color="auto" w:fill="auto"/>
            <w:noWrap/>
            <w:vAlign w:val="bottom"/>
            <w:hideMark/>
          </w:tcPr>
          <w:p w14:paraId="770EB65D"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single" w:sz="4" w:space="0" w:color="auto"/>
              <w:bottom w:val="nil"/>
            </w:tcBorders>
            <w:shd w:val="clear" w:color="auto" w:fill="auto"/>
            <w:noWrap/>
            <w:vAlign w:val="bottom"/>
            <w:hideMark/>
          </w:tcPr>
          <w:p w14:paraId="0A770454"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0.33</w:t>
            </w:r>
          </w:p>
        </w:tc>
      </w:tr>
      <w:tr w:rsidR="00F575EF" w:rsidRPr="00872293" w14:paraId="2E1ADADE"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43A4A1B5"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1DDC728D" w14:textId="6651464B" w:rsidR="00F575EF" w:rsidRPr="00872293" w:rsidRDefault="00F575EF" w:rsidP="00F575EF">
            <w:pP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2D233DE0"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w:t>
            </w:r>
          </w:p>
        </w:tc>
        <w:tc>
          <w:tcPr>
            <w:tcW w:w="1283" w:type="dxa"/>
            <w:tcBorders>
              <w:top w:val="nil"/>
              <w:bottom w:val="nil"/>
            </w:tcBorders>
            <w:shd w:val="clear" w:color="auto" w:fill="auto"/>
            <w:noWrap/>
            <w:vAlign w:val="bottom"/>
            <w:hideMark/>
          </w:tcPr>
          <w:p w14:paraId="3C098C1F"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nil"/>
            </w:tcBorders>
            <w:shd w:val="clear" w:color="auto" w:fill="auto"/>
            <w:noWrap/>
            <w:vAlign w:val="bottom"/>
            <w:hideMark/>
          </w:tcPr>
          <w:p w14:paraId="5551619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0.51</w:t>
            </w:r>
          </w:p>
        </w:tc>
      </w:tr>
      <w:tr w:rsidR="00F575EF" w:rsidRPr="00872293" w14:paraId="0A9A44A2"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574B42C6"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7D4D94BF"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2018</w:t>
            </w:r>
          </w:p>
        </w:tc>
        <w:tc>
          <w:tcPr>
            <w:tcW w:w="780" w:type="dxa"/>
            <w:tcBorders>
              <w:top w:val="nil"/>
              <w:bottom w:val="nil"/>
            </w:tcBorders>
            <w:shd w:val="clear" w:color="auto" w:fill="auto"/>
            <w:noWrap/>
            <w:vAlign w:val="bottom"/>
            <w:hideMark/>
          </w:tcPr>
          <w:p w14:paraId="2450560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w:t>
            </w:r>
          </w:p>
        </w:tc>
        <w:tc>
          <w:tcPr>
            <w:tcW w:w="1283" w:type="dxa"/>
            <w:tcBorders>
              <w:top w:val="nil"/>
              <w:bottom w:val="nil"/>
            </w:tcBorders>
            <w:shd w:val="clear" w:color="auto" w:fill="auto"/>
            <w:noWrap/>
            <w:vAlign w:val="bottom"/>
            <w:hideMark/>
          </w:tcPr>
          <w:p w14:paraId="3901211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7B5F1AF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0.93</w:t>
            </w:r>
          </w:p>
        </w:tc>
      </w:tr>
      <w:tr w:rsidR="00F575EF" w:rsidRPr="00872293" w14:paraId="5AF619DC"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5B47B8AB"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69844C57" w14:textId="24CB97A2"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137185BE"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w:t>
            </w:r>
          </w:p>
        </w:tc>
        <w:tc>
          <w:tcPr>
            <w:tcW w:w="1283" w:type="dxa"/>
            <w:tcBorders>
              <w:top w:val="nil"/>
              <w:bottom w:val="nil"/>
            </w:tcBorders>
            <w:shd w:val="clear" w:color="auto" w:fill="auto"/>
            <w:noWrap/>
            <w:vAlign w:val="bottom"/>
            <w:hideMark/>
          </w:tcPr>
          <w:p w14:paraId="05247F3A"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nil"/>
            </w:tcBorders>
            <w:shd w:val="clear" w:color="auto" w:fill="auto"/>
            <w:noWrap/>
            <w:vAlign w:val="bottom"/>
            <w:hideMark/>
          </w:tcPr>
          <w:p w14:paraId="64318632"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0.36</w:t>
            </w:r>
          </w:p>
        </w:tc>
      </w:tr>
      <w:tr w:rsidR="00F575EF" w:rsidRPr="00872293" w14:paraId="45BA5746"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2E4AE3C4"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nil"/>
            </w:tcBorders>
            <w:shd w:val="clear" w:color="auto" w:fill="auto"/>
            <w:noWrap/>
            <w:vAlign w:val="bottom"/>
            <w:hideMark/>
          </w:tcPr>
          <w:p w14:paraId="0A109DB0" w14:textId="3D87FF79" w:rsidR="00F575EF" w:rsidRPr="00872293" w:rsidRDefault="00F575EF" w:rsidP="00F575EF">
            <w:pPr>
              <w:rPr>
                <w:rFonts w:ascii="Times New Roman" w:eastAsia="Times New Roman" w:hAnsi="Times New Roman" w:cs="Times New Roman"/>
                <w:sz w:val="22"/>
                <w:szCs w:val="22"/>
              </w:rPr>
            </w:pPr>
          </w:p>
        </w:tc>
        <w:tc>
          <w:tcPr>
            <w:tcW w:w="780" w:type="dxa"/>
            <w:tcBorders>
              <w:top w:val="nil"/>
              <w:bottom w:val="nil"/>
            </w:tcBorders>
            <w:shd w:val="clear" w:color="auto" w:fill="auto"/>
            <w:noWrap/>
            <w:vAlign w:val="bottom"/>
            <w:hideMark/>
          </w:tcPr>
          <w:p w14:paraId="3A7E275A"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w:t>
            </w:r>
          </w:p>
        </w:tc>
        <w:tc>
          <w:tcPr>
            <w:tcW w:w="1283" w:type="dxa"/>
            <w:tcBorders>
              <w:top w:val="nil"/>
              <w:bottom w:val="nil"/>
            </w:tcBorders>
            <w:shd w:val="clear" w:color="auto" w:fill="auto"/>
            <w:noWrap/>
            <w:vAlign w:val="bottom"/>
            <w:hideMark/>
          </w:tcPr>
          <w:p w14:paraId="14B88D4D"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nil"/>
              <w:bottom w:val="nil"/>
            </w:tcBorders>
            <w:shd w:val="clear" w:color="auto" w:fill="auto"/>
            <w:noWrap/>
            <w:vAlign w:val="bottom"/>
            <w:hideMark/>
          </w:tcPr>
          <w:p w14:paraId="07118224"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0.98</w:t>
            </w:r>
          </w:p>
        </w:tc>
      </w:tr>
      <w:tr w:rsidR="00F575EF" w:rsidRPr="00872293" w14:paraId="33F9C1D8"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18B2FB1D" w14:textId="77777777" w:rsidR="00F575EF" w:rsidRPr="00872293" w:rsidRDefault="00F575EF" w:rsidP="00886F84">
            <w:pPr>
              <w:rPr>
                <w:rFonts w:ascii="Times New Roman" w:eastAsia="Times New Roman" w:hAnsi="Times New Roman" w:cs="Times New Roman"/>
                <w:sz w:val="22"/>
                <w:szCs w:val="22"/>
              </w:rPr>
            </w:pPr>
          </w:p>
        </w:tc>
        <w:tc>
          <w:tcPr>
            <w:tcW w:w="1200" w:type="dxa"/>
            <w:tcBorders>
              <w:top w:val="nil"/>
              <w:left w:val="single" w:sz="4" w:space="0" w:color="auto"/>
              <w:bottom w:val="single" w:sz="4" w:space="0" w:color="auto"/>
            </w:tcBorders>
            <w:shd w:val="clear" w:color="auto" w:fill="auto"/>
            <w:noWrap/>
            <w:vAlign w:val="bottom"/>
            <w:hideMark/>
          </w:tcPr>
          <w:p w14:paraId="2558437B" w14:textId="6BB04258" w:rsidR="00F575EF" w:rsidRPr="00872293" w:rsidRDefault="00F575EF" w:rsidP="00F575EF">
            <w:pPr>
              <w:rPr>
                <w:rFonts w:ascii="Times New Roman" w:eastAsia="Times New Roman" w:hAnsi="Times New Roman" w:cs="Times New Roman"/>
                <w:sz w:val="22"/>
                <w:szCs w:val="22"/>
              </w:rPr>
            </w:pPr>
          </w:p>
        </w:tc>
        <w:tc>
          <w:tcPr>
            <w:tcW w:w="780" w:type="dxa"/>
            <w:tcBorders>
              <w:top w:val="nil"/>
              <w:bottom w:val="single" w:sz="4" w:space="0" w:color="auto"/>
            </w:tcBorders>
            <w:shd w:val="clear" w:color="auto" w:fill="auto"/>
            <w:noWrap/>
            <w:vAlign w:val="bottom"/>
            <w:hideMark/>
          </w:tcPr>
          <w:p w14:paraId="4621852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w:t>
            </w:r>
          </w:p>
        </w:tc>
        <w:tc>
          <w:tcPr>
            <w:tcW w:w="1283" w:type="dxa"/>
            <w:tcBorders>
              <w:top w:val="nil"/>
              <w:bottom w:val="single" w:sz="4" w:space="0" w:color="auto"/>
            </w:tcBorders>
            <w:shd w:val="clear" w:color="auto" w:fill="auto"/>
            <w:noWrap/>
            <w:vAlign w:val="bottom"/>
            <w:hideMark/>
          </w:tcPr>
          <w:p w14:paraId="0EFDD6E1" w14:textId="77777777" w:rsidR="00F575EF" w:rsidRPr="00872293" w:rsidRDefault="00F575EF"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Unwarmed</w:t>
            </w:r>
            <w:proofErr w:type="spellEnd"/>
          </w:p>
        </w:tc>
        <w:tc>
          <w:tcPr>
            <w:tcW w:w="1695" w:type="dxa"/>
            <w:tcBorders>
              <w:top w:val="nil"/>
              <w:bottom w:val="single" w:sz="4" w:space="0" w:color="auto"/>
            </w:tcBorders>
            <w:shd w:val="clear" w:color="auto" w:fill="auto"/>
            <w:noWrap/>
            <w:vAlign w:val="bottom"/>
            <w:hideMark/>
          </w:tcPr>
          <w:p w14:paraId="3B292192"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0.42</w:t>
            </w:r>
          </w:p>
        </w:tc>
      </w:tr>
      <w:tr w:rsidR="00F575EF" w:rsidRPr="00872293" w14:paraId="6A49A1D5" w14:textId="77777777" w:rsidTr="005F5B6A">
        <w:trPr>
          <w:trHeight w:val="290"/>
          <w:jc w:val="center"/>
        </w:trPr>
        <w:tc>
          <w:tcPr>
            <w:tcW w:w="1337" w:type="dxa"/>
            <w:vMerge w:val="restart"/>
            <w:tcBorders>
              <w:top w:val="nil"/>
              <w:bottom w:val="single" w:sz="4" w:space="0" w:color="auto"/>
              <w:right w:val="single" w:sz="4" w:space="0" w:color="auto"/>
            </w:tcBorders>
            <w:shd w:val="clear" w:color="auto" w:fill="auto"/>
            <w:textDirection w:val="btLr"/>
            <w:vAlign w:val="center"/>
            <w:hideMark/>
          </w:tcPr>
          <w:p w14:paraId="0F8E533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Warming, </w:t>
            </w:r>
            <w:r w:rsidRPr="00872293">
              <w:rPr>
                <w:rFonts w:ascii="Times New Roman" w:eastAsia="Times New Roman" w:hAnsi="Times New Roman" w:cs="Times New Roman"/>
                <w:sz w:val="22"/>
                <w:szCs w:val="22"/>
              </w:rPr>
              <w:br/>
              <w:t>post-hurricane</w:t>
            </w:r>
          </w:p>
        </w:tc>
        <w:tc>
          <w:tcPr>
            <w:tcW w:w="1200" w:type="dxa"/>
            <w:tcBorders>
              <w:top w:val="single" w:sz="4" w:space="0" w:color="auto"/>
              <w:left w:val="single" w:sz="4" w:space="0" w:color="auto"/>
            </w:tcBorders>
            <w:shd w:val="clear" w:color="auto" w:fill="auto"/>
            <w:noWrap/>
            <w:vAlign w:val="bottom"/>
            <w:hideMark/>
          </w:tcPr>
          <w:p w14:paraId="621B0CFE" w14:textId="7F2748F7" w:rsidR="00F575EF" w:rsidRPr="00872293" w:rsidRDefault="00F575EF" w:rsidP="00886F84">
            <w:pPr>
              <w:jc w:val="center"/>
              <w:rPr>
                <w:rFonts w:ascii="Times New Roman" w:eastAsia="Times New Roman" w:hAnsi="Times New Roman" w:cs="Times New Roman"/>
                <w:sz w:val="22"/>
                <w:szCs w:val="22"/>
              </w:rPr>
            </w:pPr>
          </w:p>
        </w:tc>
        <w:tc>
          <w:tcPr>
            <w:tcW w:w="780" w:type="dxa"/>
            <w:tcBorders>
              <w:top w:val="single" w:sz="4" w:space="0" w:color="auto"/>
            </w:tcBorders>
            <w:shd w:val="clear" w:color="auto" w:fill="auto"/>
            <w:noWrap/>
            <w:vAlign w:val="bottom"/>
            <w:hideMark/>
          </w:tcPr>
          <w:p w14:paraId="42CE45F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w:t>
            </w:r>
          </w:p>
        </w:tc>
        <w:tc>
          <w:tcPr>
            <w:tcW w:w="1283" w:type="dxa"/>
            <w:tcBorders>
              <w:top w:val="single" w:sz="4" w:space="0" w:color="auto"/>
            </w:tcBorders>
            <w:shd w:val="clear" w:color="auto" w:fill="auto"/>
            <w:noWrap/>
            <w:vAlign w:val="bottom"/>
            <w:hideMark/>
          </w:tcPr>
          <w:p w14:paraId="7E5ED876"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tcBorders>
              <w:top w:val="single" w:sz="4" w:space="0" w:color="auto"/>
            </w:tcBorders>
            <w:shd w:val="clear" w:color="auto" w:fill="auto"/>
            <w:noWrap/>
            <w:vAlign w:val="bottom"/>
            <w:hideMark/>
          </w:tcPr>
          <w:p w14:paraId="17A32EDD"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0.43</w:t>
            </w:r>
          </w:p>
        </w:tc>
      </w:tr>
      <w:tr w:rsidR="00F575EF" w:rsidRPr="00872293" w14:paraId="07D3F00B"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25D26882" w14:textId="77777777" w:rsidR="00F575EF" w:rsidRPr="00872293" w:rsidRDefault="00F575EF" w:rsidP="00886F84">
            <w:pPr>
              <w:rPr>
                <w:rFonts w:ascii="Times New Roman" w:eastAsia="Times New Roman" w:hAnsi="Times New Roman" w:cs="Times New Roman"/>
                <w:sz w:val="22"/>
                <w:szCs w:val="22"/>
              </w:rPr>
            </w:pPr>
          </w:p>
        </w:tc>
        <w:tc>
          <w:tcPr>
            <w:tcW w:w="1200" w:type="dxa"/>
            <w:tcBorders>
              <w:left w:val="single" w:sz="4" w:space="0" w:color="auto"/>
            </w:tcBorders>
            <w:shd w:val="clear" w:color="auto" w:fill="auto"/>
            <w:noWrap/>
            <w:vAlign w:val="bottom"/>
            <w:hideMark/>
          </w:tcPr>
          <w:p w14:paraId="14000DEF" w14:textId="3DAEBE2D" w:rsidR="00F575EF" w:rsidRPr="00872293" w:rsidRDefault="00F575EF" w:rsidP="00886F84">
            <w:pPr>
              <w:jc w:val="center"/>
              <w:rPr>
                <w:rFonts w:ascii="Times New Roman" w:eastAsia="Times New Roman" w:hAnsi="Times New Roman" w:cs="Times New Roman"/>
                <w:sz w:val="22"/>
                <w:szCs w:val="22"/>
              </w:rPr>
            </w:pPr>
          </w:p>
        </w:tc>
        <w:tc>
          <w:tcPr>
            <w:tcW w:w="780" w:type="dxa"/>
            <w:shd w:val="clear" w:color="auto" w:fill="auto"/>
            <w:noWrap/>
            <w:vAlign w:val="bottom"/>
            <w:hideMark/>
          </w:tcPr>
          <w:p w14:paraId="612340F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w:t>
            </w:r>
          </w:p>
        </w:tc>
        <w:tc>
          <w:tcPr>
            <w:tcW w:w="1283" w:type="dxa"/>
            <w:shd w:val="clear" w:color="auto" w:fill="auto"/>
            <w:noWrap/>
            <w:vAlign w:val="bottom"/>
            <w:hideMark/>
          </w:tcPr>
          <w:p w14:paraId="20805E4F"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shd w:val="clear" w:color="auto" w:fill="auto"/>
            <w:noWrap/>
            <w:vAlign w:val="bottom"/>
            <w:hideMark/>
          </w:tcPr>
          <w:p w14:paraId="77AECBF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0.37</w:t>
            </w:r>
          </w:p>
        </w:tc>
      </w:tr>
      <w:tr w:rsidR="00F575EF" w:rsidRPr="00872293" w14:paraId="6F462137"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68AC8EB7" w14:textId="77777777" w:rsidR="00F575EF" w:rsidRPr="00872293" w:rsidRDefault="00F575EF" w:rsidP="00886F84">
            <w:pPr>
              <w:rPr>
                <w:rFonts w:ascii="Times New Roman" w:eastAsia="Times New Roman" w:hAnsi="Times New Roman" w:cs="Times New Roman"/>
                <w:sz w:val="22"/>
                <w:szCs w:val="22"/>
              </w:rPr>
            </w:pPr>
          </w:p>
        </w:tc>
        <w:tc>
          <w:tcPr>
            <w:tcW w:w="1200" w:type="dxa"/>
            <w:tcBorders>
              <w:left w:val="single" w:sz="4" w:space="0" w:color="auto"/>
            </w:tcBorders>
            <w:shd w:val="clear" w:color="auto" w:fill="auto"/>
            <w:noWrap/>
            <w:vAlign w:val="bottom"/>
            <w:hideMark/>
          </w:tcPr>
          <w:p w14:paraId="3EEBEF94"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2019</w:t>
            </w:r>
          </w:p>
        </w:tc>
        <w:tc>
          <w:tcPr>
            <w:tcW w:w="780" w:type="dxa"/>
            <w:shd w:val="clear" w:color="auto" w:fill="auto"/>
            <w:noWrap/>
            <w:vAlign w:val="bottom"/>
            <w:hideMark/>
          </w:tcPr>
          <w:p w14:paraId="7C52C639"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3</w:t>
            </w:r>
          </w:p>
        </w:tc>
        <w:tc>
          <w:tcPr>
            <w:tcW w:w="1283" w:type="dxa"/>
            <w:shd w:val="clear" w:color="auto" w:fill="auto"/>
            <w:noWrap/>
            <w:vAlign w:val="bottom"/>
            <w:hideMark/>
          </w:tcPr>
          <w:p w14:paraId="0E8B6129"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shd w:val="clear" w:color="auto" w:fill="auto"/>
            <w:noWrap/>
            <w:vAlign w:val="bottom"/>
            <w:hideMark/>
          </w:tcPr>
          <w:p w14:paraId="141B1D7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0.52</w:t>
            </w:r>
          </w:p>
        </w:tc>
      </w:tr>
      <w:tr w:rsidR="00F575EF" w:rsidRPr="00872293" w14:paraId="76CB5A8A"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707523A7" w14:textId="77777777" w:rsidR="00F575EF" w:rsidRPr="00872293" w:rsidRDefault="00F575EF" w:rsidP="00886F84">
            <w:pPr>
              <w:rPr>
                <w:rFonts w:ascii="Times New Roman" w:eastAsia="Times New Roman" w:hAnsi="Times New Roman" w:cs="Times New Roman"/>
                <w:sz w:val="22"/>
                <w:szCs w:val="22"/>
              </w:rPr>
            </w:pPr>
          </w:p>
        </w:tc>
        <w:tc>
          <w:tcPr>
            <w:tcW w:w="1200" w:type="dxa"/>
            <w:tcBorders>
              <w:left w:val="single" w:sz="4" w:space="0" w:color="auto"/>
            </w:tcBorders>
            <w:shd w:val="clear" w:color="auto" w:fill="auto"/>
            <w:noWrap/>
            <w:vAlign w:val="bottom"/>
            <w:hideMark/>
          </w:tcPr>
          <w:p w14:paraId="58E5B46E" w14:textId="79070DED" w:rsidR="00F575EF" w:rsidRPr="00872293" w:rsidRDefault="00F575EF" w:rsidP="00886F84">
            <w:pPr>
              <w:jc w:val="center"/>
              <w:rPr>
                <w:rFonts w:ascii="Times New Roman" w:eastAsia="Times New Roman" w:hAnsi="Times New Roman" w:cs="Times New Roman"/>
                <w:sz w:val="22"/>
                <w:szCs w:val="22"/>
              </w:rPr>
            </w:pPr>
          </w:p>
        </w:tc>
        <w:tc>
          <w:tcPr>
            <w:tcW w:w="780" w:type="dxa"/>
            <w:shd w:val="clear" w:color="auto" w:fill="auto"/>
            <w:noWrap/>
            <w:vAlign w:val="bottom"/>
            <w:hideMark/>
          </w:tcPr>
          <w:p w14:paraId="7F47B60D"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4</w:t>
            </w:r>
          </w:p>
        </w:tc>
        <w:tc>
          <w:tcPr>
            <w:tcW w:w="1283" w:type="dxa"/>
            <w:shd w:val="clear" w:color="auto" w:fill="auto"/>
            <w:noWrap/>
            <w:vAlign w:val="bottom"/>
            <w:hideMark/>
          </w:tcPr>
          <w:p w14:paraId="7D20059B"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shd w:val="clear" w:color="auto" w:fill="auto"/>
            <w:noWrap/>
            <w:vAlign w:val="bottom"/>
            <w:hideMark/>
          </w:tcPr>
          <w:p w14:paraId="5084194C"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0.32</w:t>
            </w:r>
          </w:p>
        </w:tc>
      </w:tr>
      <w:tr w:rsidR="00F575EF" w:rsidRPr="00872293" w14:paraId="5DFFFEFD"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725D497B" w14:textId="77777777" w:rsidR="00F575EF" w:rsidRPr="00872293" w:rsidRDefault="00F575EF" w:rsidP="00886F84">
            <w:pPr>
              <w:rPr>
                <w:rFonts w:ascii="Times New Roman" w:eastAsia="Times New Roman" w:hAnsi="Times New Roman" w:cs="Times New Roman"/>
                <w:sz w:val="22"/>
                <w:szCs w:val="22"/>
              </w:rPr>
            </w:pPr>
          </w:p>
        </w:tc>
        <w:tc>
          <w:tcPr>
            <w:tcW w:w="1200" w:type="dxa"/>
            <w:tcBorders>
              <w:left w:val="single" w:sz="4" w:space="0" w:color="auto"/>
            </w:tcBorders>
            <w:shd w:val="clear" w:color="auto" w:fill="auto"/>
            <w:noWrap/>
            <w:vAlign w:val="bottom"/>
            <w:hideMark/>
          </w:tcPr>
          <w:p w14:paraId="7FD8DC81" w14:textId="49356AE8" w:rsidR="00F575EF" w:rsidRPr="00872293" w:rsidRDefault="00F575EF" w:rsidP="00886F84">
            <w:pPr>
              <w:jc w:val="center"/>
              <w:rPr>
                <w:rFonts w:ascii="Times New Roman" w:eastAsia="Times New Roman" w:hAnsi="Times New Roman" w:cs="Times New Roman"/>
                <w:sz w:val="22"/>
                <w:szCs w:val="22"/>
              </w:rPr>
            </w:pPr>
          </w:p>
        </w:tc>
        <w:tc>
          <w:tcPr>
            <w:tcW w:w="780" w:type="dxa"/>
            <w:shd w:val="clear" w:color="auto" w:fill="auto"/>
            <w:noWrap/>
            <w:vAlign w:val="bottom"/>
            <w:hideMark/>
          </w:tcPr>
          <w:p w14:paraId="3D904590"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w:t>
            </w:r>
          </w:p>
        </w:tc>
        <w:tc>
          <w:tcPr>
            <w:tcW w:w="1283" w:type="dxa"/>
            <w:shd w:val="clear" w:color="auto" w:fill="auto"/>
            <w:noWrap/>
            <w:vAlign w:val="bottom"/>
            <w:hideMark/>
          </w:tcPr>
          <w:p w14:paraId="62C97329"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Control</w:t>
            </w:r>
          </w:p>
        </w:tc>
        <w:tc>
          <w:tcPr>
            <w:tcW w:w="1695" w:type="dxa"/>
            <w:shd w:val="clear" w:color="auto" w:fill="auto"/>
            <w:noWrap/>
            <w:vAlign w:val="bottom"/>
            <w:hideMark/>
          </w:tcPr>
          <w:p w14:paraId="6553E188"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0.84</w:t>
            </w:r>
          </w:p>
        </w:tc>
      </w:tr>
      <w:tr w:rsidR="00F575EF" w:rsidRPr="00872293" w14:paraId="458C044D" w14:textId="77777777" w:rsidTr="005F5B6A">
        <w:trPr>
          <w:trHeight w:val="290"/>
          <w:jc w:val="center"/>
        </w:trPr>
        <w:tc>
          <w:tcPr>
            <w:tcW w:w="1337" w:type="dxa"/>
            <w:vMerge/>
            <w:tcBorders>
              <w:top w:val="nil"/>
              <w:bottom w:val="single" w:sz="4" w:space="0" w:color="auto"/>
              <w:right w:val="single" w:sz="4" w:space="0" w:color="auto"/>
            </w:tcBorders>
            <w:vAlign w:val="center"/>
            <w:hideMark/>
          </w:tcPr>
          <w:p w14:paraId="40E60EEB" w14:textId="77777777" w:rsidR="00F575EF" w:rsidRPr="00872293" w:rsidRDefault="00F575EF" w:rsidP="00886F84">
            <w:pPr>
              <w:rPr>
                <w:rFonts w:ascii="Times New Roman" w:eastAsia="Times New Roman" w:hAnsi="Times New Roman" w:cs="Times New Roman"/>
                <w:sz w:val="22"/>
                <w:szCs w:val="22"/>
              </w:rPr>
            </w:pPr>
          </w:p>
        </w:tc>
        <w:tc>
          <w:tcPr>
            <w:tcW w:w="1200" w:type="dxa"/>
            <w:tcBorders>
              <w:left w:val="single" w:sz="4" w:space="0" w:color="auto"/>
            </w:tcBorders>
            <w:shd w:val="clear" w:color="auto" w:fill="auto"/>
            <w:noWrap/>
            <w:vAlign w:val="bottom"/>
            <w:hideMark/>
          </w:tcPr>
          <w:p w14:paraId="54D7337F" w14:textId="0371C126" w:rsidR="00F575EF" w:rsidRPr="00872293" w:rsidRDefault="00F575EF" w:rsidP="00886F84">
            <w:pPr>
              <w:jc w:val="center"/>
              <w:rPr>
                <w:rFonts w:ascii="Times New Roman" w:eastAsia="Times New Roman" w:hAnsi="Times New Roman" w:cs="Times New Roman"/>
                <w:sz w:val="22"/>
                <w:szCs w:val="22"/>
              </w:rPr>
            </w:pPr>
          </w:p>
        </w:tc>
        <w:tc>
          <w:tcPr>
            <w:tcW w:w="780" w:type="dxa"/>
            <w:shd w:val="clear" w:color="auto" w:fill="auto"/>
            <w:noWrap/>
            <w:vAlign w:val="bottom"/>
            <w:hideMark/>
          </w:tcPr>
          <w:p w14:paraId="5EDF7F14"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6</w:t>
            </w:r>
          </w:p>
        </w:tc>
        <w:tc>
          <w:tcPr>
            <w:tcW w:w="1283" w:type="dxa"/>
            <w:shd w:val="clear" w:color="auto" w:fill="auto"/>
            <w:noWrap/>
            <w:vAlign w:val="bottom"/>
            <w:hideMark/>
          </w:tcPr>
          <w:p w14:paraId="3F1B0A57"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Warmed</w:t>
            </w:r>
          </w:p>
        </w:tc>
        <w:tc>
          <w:tcPr>
            <w:tcW w:w="1695" w:type="dxa"/>
            <w:shd w:val="clear" w:color="auto" w:fill="auto"/>
            <w:noWrap/>
            <w:vAlign w:val="bottom"/>
            <w:hideMark/>
          </w:tcPr>
          <w:p w14:paraId="0B6890E9" w14:textId="77777777" w:rsidR="00F575EF" w:rsidRPr="00872293" w:rsidRDefault="00F575EF" w:rsidP="00886F84">
            <w:pPr>
              <w:jc w:val="center"/>
              <w:rPr>
                <w:rFonts w:ascii="Times New Roman" w:eastAsia="Times New Roman" w:hAnsi="Times New Roman" w:cs="Times New Roman"/>
                <w:sz w:val="22"/>
                <w:szCs w:val="22"/>
              </w:rPr>
            </w:pPr>
            <w:r w:rsidRPr="00872293">
              <w:rPr>
                <w:rFonts w:ascii="Times New Roman" w:hAnsi="Times New Roman" w:cs="Times New Roman"/>
                <w:sz w:val="22"/>
                <w:szCs w:val="22"/>
              </w:rPr>
              <w:t>0.63</w:t>
            </w:r>
          </w:p>
        </w:tc>
      </w:tr>
    </w:tbl>
    <w:p w14:paraId="7200E87D" w14:textId="77777777" w:rsidR="008A45AE" w:rsidRPr="00872293" w:rsidRDefault="008A45AE" w:rsidP="008A45AE">
      <w:pPr>
        <w:spacing w:line="480" w:lineRule="auto"/>
        <w:rPr>
          <w:rFonts w:ascii="Times New Roman" w:eastAsia="Times New Roman" w:hAnsi="Times New Roman" w:cs="Times New Roman"/>
        </w:rPr>
      </w:pPr>
    </w:p>
    <w:p w14:paraId="7062FBAD" w14:textId="77777777" w:rsidR="008A45AE" w:rsidRPr="00872293" w:rsidRDefault="008A45AE">
      <w:pPr>
        <w:rPr>
          <w:rFonts w:ascii="Times New Roman" w:eastAsia="Times New Roman" w:hAnsi="Times New Roman" w:cs="Times New Roman"/>
        </w:rPr>
      </w:pPr>
      <w:r w:rsidRPr="00872293">
        <w:rPr>
          <w:rFonts w:ascii="Times New Roman" w:eastAsia="Times New Roman" w:hAnsi="Times New Roman" w:cs="Times New Roman"/>
        </w:rPr>
        <w:br w:type="page"/>
      </w:r>
    </w:p>
    <w:p w14:paraId="2288376C" w14:textId="24A1ADF5" w:rsidR="008A45AE" w:rsidRPr="00872293" w:rsidRDefault="008A45AE" w:rsidP="003A10D2">
      <w:pPr>
        <w:pStyle w:val="Caption"/>
        <w:spacing w:before="240" w:after="240"/>
        <w:rPr>
          <w:rFonts w:ascii="Times New Roman" w:eastAsia="Times New Roman" w:hAnsi="Times New Roman" w:cs="Times New Roman"/>
          <w:color w:val="auto"/>
          <w:sz w:val="24"/>
          <w:szCs w:val="24"/>
        </w:rPr>
      </w:pPr>
      <w:bookmarkStart w:id="108" w:name="_Toc53755748"/>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6</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B21A58" w:rsidRPr="00872293">
        <w:rPr>
          <w:rFonts w:ascii="Times New Roman" w:eastAsia="Times New Roman" w:hAnsi="Times New Roman" w:cs="Times New Roman"/>
          <w:color w:val="auto"/>
          <w:sz w:val="24"/>
          <w:szCs w:val="24"/>
        </w:rPr>
        <w:t xml:space="preserve">Linear </w:t>
      </w:r>
      <w:r w:rsidRPr="00872293">
        <w:rPr>
          <w:rFonts w:ascii="Times New Roman" w:eastAsia="Times New Roman" w:hAnsi="Times New Roman" w:cs="Times New Roman"/>
          <w:color w:val="auto"/>
          <w:sz w:val="24"/>
          <w:szCs w:val="24"/>
        </w:rPr>
        <w:t xml:space="preserve">models for before and after the hurricane events. Model; dependent variables; </w:t>
      </w:r>
      <w:r w:rsidR="00B21A58" w:rsidRPr="00872293">
        <w:rPr>
          <w:rFonts w:ascii="Times New Roman" w:eastAsia="Times New Roman" w:hAnsi="Times New Roman" w:cs="Times New Roman"/>
          <w:color w:val="auto"/>
          <w:sz w:val="24"/>
          <w:szCs w:val="24"/>
        </w:rPr>
        <w:t>independent variables</w:t>
      </w:r>
      <w:r w:rsidRPr="00872293">
        <w:rPr>
          <w:rFonts w:ascii="Times New Roman" w:eastAsia="Times New Roman" w:hAnsi="Times New Roman" w:cs="Times New Roman"/>
          <w:color w:val="auto"/>
          <w:sz w:val="24"/>
          <w:szCs w:val="24"/>
        </w:rPr>
        <w:t>; P values; R</w:t>
      </w:r>
      <w:r w:rsidRPr="00872293">
        <w:rPr>
          <w:rFonts w:ascii="Times New Roman" w:eastAsia="Times New Roman" w:hAnsi="Times New Roman" w:cs="Times New Roman"/>
          <w:color w:val="auto"/>
          <w:sz w:val="24"/>
          <w:szCs w:val="24"/>
          <w:vertAlign w:val="superscript"/>
        </w:rPr>
        <w:t>2</w:t>
      </w:r>
      <w:r w:rsidRPr="00872293">
        <w:rPr>
          <w:rFonts w:ascii="Times New Roman" w:eastAsia="Times New Roman" w:hAnsi="Times New Roman" w:cs="Times New Roman"/>
          <w:color w:val="auto"/>
          <w:sz w:val="24"/>
          <w:szCs w:val="24"/>
        </w:rPr>
        <w:t>; coefficient estimates.</w:t>
      </w:r>
      <w:bookmarkEnd w:id="108"/>
      <w:r w:rsidR="00E73E47" w:rsidRPr="00872293">
        <w:rPr>
          <w:rFonts w:ascii="Times New Roman" w:eastAsia="Times New Roman" w:hAnsi="Times New Roman" w:cs="Times New Roman"/>
          <w:color w:val="auto"/>
          <w:sz w:val="24"/>
          <w:szCs w:val="24"/>
        </w:rPr>
        <w:t xml:space="preserve"> </w:t>
      </w:r>
    </w:p>
    <w:tbl>
      <w:tblPr>
        <w:tblW w:w="890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345"/>
        <w:gridCol w:w="1800"/>
        <w:gridCol w:w="1350"/>
        <w:gridCol w:w="1530"/>
        <w:gridCol w:w="810"/>
        <w:gridCol w:w="900"/>
        <w:gridCol w:w="1170"/>
      </w:tblGrid>
      <w:tr w:rsidR="00872293" w:rsidRPr="00872293" w14:paraId="53DE6000" w14:textId="77777777" w:rsidTr="006F7DE3">
        <w:trPr>
          <w:trHeight w:val="588"/>
        </w:trPr>
        <w:tc>
          <w:tcPr>
            <w:tcW w:w="134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1C606FEE" w14:textId="77777777"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Time from hurricanes</w:t>
            </w:r>
          </w:p>
        </w:tc>
        <w:tc>
          <w:tcPr>
            <w:tcW w:w="18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AB2BD3A" w14:textId="6EF6B80E"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Model (</w:t>
            </w:r>
            <w:proofErr w:type="spellStart"/>
            <w:r w:rsidRPr="00872293">
              <w:rPr>
                <w:rFonts w:ascii="Times New Roman" w:hAnsi="Times New Roman" w:cs="Times New Roman"/>
                <w:b/>
                <w:bCs/>
                <w:sz w:val="22"/>
                <w:szCs w:val="22"/>
              </w:rPr>
              <w:t>lm</w:t>
            </w:r>
            <w:proofErr w:type="spellEnd"/>
            <w:r w:rsidRPr="00872293">
              <w:rPr>
                <w:rFonts w:ascii="Times New Roman" w:hAnsi="Times New Roman" w:cs="Times New Roman"/>
                <w:b/>
                <w:bCs/>
                <w:sz w:val="22"/>
                <w:szCs w:val="22"/>
              </w:rPr>
              <w:t>)</w:t>
            </w:r>
          </w:p>
        </w:tc>
        <w:tc>
          <w:tcPr>
            <w:tcW w:w="135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61223A6" w14:textId="77777777"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Dependent variable</w:t>
            </w:r>
          </w:p>
        </w:tc>
        <w:tc>
          <w:tcPr>
            <w:tcW w:w="153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0EE7F62" w14:textId="180248E6"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Independent variable</w:t>
            </w:r>
          </w:p>
        </w:tc>
        <w:tc>
          <w:tcPr>
            <w:tcW w:w="81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6742B05" w14:textId="77777777"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P value</w:t>
            </w:r>
          </w:p>
        </w:tc>
        <w:tc>
          <w:tcPr>
            <w:tcW w:w="9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1A349BD" w14:textId="7D505EDA"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R</w:t>
            </w:r>
            <w:r w:rsidRPr="00091355">
              <w:rPr>
                <w:rFonts w:ascii="Times New Roman" w:hAnsi="Times New Roman" w:cs="Times New Roman"/>
                <w:b/>
                <w:bCs/>
                <w:sz w:val="22"/>
                <w:szCs w:val="22"/>
                <w:vertAlign w:val="superscript"/>
              </w:rPr>
              <w:t>2</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050B938" w14:textId="77777777" w:rsidR="00E940C2" w:rsidRPr="00872293" w:rsidRDefault="00E940C2" w:rsidP="003A3193">
            <w:pPr>
              <w:spacing w:line="288" w:lineRule="auto"/>
              <w:jc w:val="center"/>
              <w:rPr>
                <w:rFonts w:ascii="Times New Roman" w:hAnsi="Times New Roman" w:cs="Times New Roman"/>
                <w:b/>
                <w:bCs/>
                <w:sz w:val="22"/>
                <w:szCs w:val="22"/>
              </w:rPr>
            </w:pPr>
            <w:r w:rsidRPr="00872293">
              <w:rPr>
                <w:rFonts w:ascii="Times New Roman" w:hAnsi="Times New Roman" w:cs="Times New Roman"/>
                <w:b/>
                <w:bCs/>
                <w:sz w:val="22"/>
                <w:szCs w:val="22"/>
              </w:rPr>
              <w:t>Estimate</w:t>
            </w:r>
          </w:p>
        </w:tc>
      </w:tr>
      <w:tr w:rsidR="00872293" w:rsidRPr="00872293" w14:paraId="2538DDF0" w14:textId="77777777" w:rsidTr="006F7DE3">
        <w:tc>
          <w:tcPr>
            <w:tcW w:w="1345" w:type="dxa"/>
            <w:vMerge w:val="restart"/>
            <w:tcBorders>
              <w:top w:val="single" w:sz="4" w:space="0" w:color="auto"/>
              <w:bottom w:val="nil"/>
            </w:tcBorders>
            <w:shd w:val="clear" w:color="auto" w:fill="auto"/>
            <w:noWrap/>
            <w:tcMar>
              <w:top w:w="15" w:type="dxa"/>
              <w:left w:w="15" w:type="dxa"/>
              <w:bottom w:w="0" w:type="dxa"/>
              <w:right w:w="15" w:type="dxa"/>
            </w:tcMar>
            <w:vAlign w:val="center"/>
            <w:hideMark/>
          </w:tcPr>
          <w:p w14:paraId="1E742917"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Before</w:t>
            </w:r>
          </w:p>
        </w:tc>
        <w:tc>
          <w:tcPr>
            <w:tcW w:w="1800" w:type="dxa"/>
            <w:vMerge w:val="restart"/>
            <w:tcBorders>
              <w:top w:val="single" w:sz="4" w:space="0" w:color="auto"/>
              <w:bottom w:val="nil"/>
            </w:tcBorders>
            <w:shd w:val="clear" w:color="auto" w:fill="auto"/>
            <w:tcMar>
              <w:top w:w="15" w:type="dxa"/>
              <w:left w:w="15" w:type="dxa"/>
              <w:bottom w:w="0" w:type="dxa"/>
              <w:right w:w="15" w:type="dxa"/>
            </w:tcMar>
            <w:vAlign w:val="center"/>
            <w:hideMark/>
          </w:tcPr>
          <w:p w14:paraId="69591F6F" w14:textId="2B6E433A"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 NH4+ treatment</w:t>
            </w:r>
          </w:p>
        </w:tc>
        <w:tc>
          <w:tcPr>
            <w:tcW w:w="1350" w:type="dxa"/>
            <w:vMerge w:val="restart"/>
            <w:tcBorders>
              <w:top w:val="single" w:sz="4" w:space="0" w:color="auto"/>
              <w:bottom w:val="nil"/>
            </w:tcBorders>
            <w:shd w:val="clear" w:color="auto" w:fill="auto"/>
            <w:tcMar>
              <w:top w:w="15" w:type="dxa"/>
              <w:left w:w="15" w:type="dxa"/>
              <w:bottom w:w="0" w:type="dxa"/>
              <w:right w:w="15" w:type="dxa"/>
            </w:tcMar>
            <w:vAlign w:val="center"/>
            <w:hideMark/>
          </w:tcPr>
          <w:p w14:paraId="1B17DB7D"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w:t>
            </w:r>
          </w:p>
        </w:tc>
        <w:tc>
          <w:tcPr>
            <w:tcW w:w="1530" w:type="dxa"/>
            <w:tcBorders>
              <w:top w:val="single" w:sz="4" w:space="0" w:color="auto"/>
              <w:bottom w:val="nil"/>
            </w:tcBorders>
            <w:shd w:val="clear" w:color="auto" w:fill="auto"/>
            <w:tcMar>
              <w:top w:w="15" w:type="dxa"/>
              <w:left w:w="15" w:type="dxa"/>
              <w:bottom w:w="0" w:type="dxa"/>
              <w:right w:w="15" w:type="dxa"/>
            </w:tcMar>
            <w:vAlign w:val="center"/>
            <w:hideMark/>
          </w:tcPr>
          <w:p w14:paraId="7D4C0F0B"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 xml:space="preserve">NH4 </w:t>
            </w:r>
          </w:p>
        </w:tc>
        <w:tc>
          <w:tcPr>
            <w:tcW w:w="810" w:type="dxa"/>
            <w:tcBorders>
              <w:top w:val="single" w:sz="4" w:space="0" w:color="auto"/>
              <w:bottom w:val="nil"/>
            </w:tcBorders>
            <w:shd w:val="clear" w:color="auto" w:fill="auto"/>
            <w:tcMar>
              <w:top w:w="15" w:type="dxa"/>
              <w:left w:w="15" w:type="dxa"/>
              <w:bottom w:w="0" w:type="dxa"/>
              <w:right w:w="15" w:type="dxa"/>
            </w:tcMar>
            <w:vAlign w:val="center"/>
            <w:hideMark/>
          </w:tcPr>
          <w:p w14:paraId="51493424"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&lt;0.01</w:t>
            </w:r>
          </w:p>
        </w:tc>
        <w:tc>
          <w:tcPr>
            <w:tcW w:w="900" w:type="dxa"/>
            <w:vMerge w:val="restart"/>
            <w:tcBorders>
              <w:top w:val="single" w:sz="4" w:space="0" w:color="auto"/>
              <w:bottom w:val="nil"/>
            </w:tcBorders>
            <w:shd w:val="clear" w:color="auto" w:fill="auto"/>
            <w:tcMar>
              <w:top w:w="15" w:type="dxa"/>
              <w:left w:w="15" w:type="dxa"/>
              <w:bottom w:w="0" w:type="dxa"/>
              <w:right w:w="15" w:type="dxa"/>
            </w:tcMar>
            <w:vAlign w:val="center"/>
            <w:hideMark/>
          </w:tcPr>
          <w:p w14:paraId="00622758" w14:textId="463021B5"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0.95</w:t>
            </w:r>
          </w:p>
        </w:tc>
        <w:tc>
          <w:tcPr>
            <w:tcW w:w="1170" w:type="dxa"/>
            <w:tcBorders>
              <w:top w:val="single" w:sz="4" w:space="0" w:color="auto"/>
              <w:bottom w:val="nil"/>
            </w:tcBorders>
            <w:shd w:val="clear" w:color="auto" w:fill="auto"/>
            <w:tcMar>
              <w:top w:w="15" w:type="dxa"/>
              <w:left w:w="15" w:type="dxa"/>
              <w:bottom w:w="0" w:type="dxa"/>
              <w:right w:w="15" w:type="dxa"/>
            </w:tcMar>
            <w:vAlign w:val="center"/>
            <w:hideMark/>
          </w:tcPr>
          <w:p w14:paraId="508BFB69"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13.49</w:t>
            </w:r>
          </w:p>
        </w:tc>
      </w:tr>
      <w:tr w:rsidR="00872293" w:rsidRPr="00872293" w14:paraId="4A385716" w14:textId="77777777" w:rsidTr="006F7DE3">
        <w:tc>
          <w:tcPr>
            <w:tcW w:w="1345" w:type="dxa"/>
            <w:vMerge/>
            <w:tcBorders>
              <w:top w:val="nil"/>
              <w:bottom w:val="single" w:sz="4" w:space="0" w:color="auto"/>
            </w:tcBorders>
            <w:vAlign w:val="center"/>
            <w:hideMark/>
          </w:tcPr>
          <w:p w14:paraId="11A70C8B" w14:textId="77777777" w:rsidR="00E940C2" w:rsidRPr="00872293" w:rsidRDefault="00E940C2" w:rsidP="00886F84">
            <w:pPr>
              <w:spacing w:line="288" w:lineRule="auto"/>
              <w:rPr>
                <w:rFonts w:ascii="Times New Roman" w:hAnsi="Times New Roman" w:cs="Times New Roman"/>
                <w:sz w:val="22"/>
                <w:szCs w:val="22"/>
              </w:rPr>
            </w:pPr>
          </w:p>
        </w:tc>
        <w:tc>
          <w:tcPr>
            <w:tcW w:w="1800" w:type="dxa"/>
            <w:vMerge/>
            <w:tcBorders>
              <w:top w:val="nil"/>
              <w:bottom w:val="single" w:sz="4" w:space="0" w:color="auto"/>
            </w:tcBorders>
            <w:vAlign w:val="center"/>
            <w:hideMark/>
          </w:tcPr>
          <w:p w14:paraId="5098E77E" w14:textId="77777777" w:rsidR="00E940C2" w:rsidRPr="00872293" w:rsidRDefault="00E940C2" w:rsidP="00886F84">
            <w:pPr>
              <w:spacing w:line="288" w:lineRule="auto"/>
              <w:rPr>
                <w:rFonts w:ascii="Times New Roman" w:hAnsi="Times New Roman" w:cs="Times New Roman"/>
                <w:sz w:val="22"/>
                <w:szCs w:val="22"/>
              </w:rPr>
            </w:pPr>
          </w:p>
        </w:tc>
        <w:tc>
          <w:tcPr>
            <w:tcW w:w="1350" w:type="dxa"/>
            <w:vMerge/>
            <w:tcBorders>
              <w:top w:val="nil"/>
              <w:bottom w:val="single" w:sz="4" w:space="0" w:color="auto"/>
            </w:tcBorders>
            <w:vAlign w:val="center"/>
            <w:hideMark/>
          </w:tcPr>
          <w:p w14:paraId="14F5B30E" w14:textId="77777777" w:rsidR="00E940C2" w:rsidRPr="00872293" w:rsidRDefault="00E940C2" w:rsidP="00886F84">
            <w:pPr>
              <w:spacing w:line="288" w:lineRule="auto"/>
              <w:rPr>
                <w:rFonts w:ascii="Times New Roman" w:hAnsi="Times New Roman" w:cs="Times New Roman"/>
                <w:sz w:val="22"/>
                <w:szCs w:val="22"/>
              </w:rPr>
            </w:pPr>
          </w:p>
        </w:tc>
        <w:tc>
          <w:tcPr>
            <w:tcW w:w="1530" w:type="dxa"/>
            <w:tcBorders>
              <w:top w:val="nil"/>
              <w:bottom w:val="single" w:sz="4" w:space="0" w:color="auto"/>
            </w:tcBorders>
            <w:shd w:val="clear" w:color="auto" w:fill="auto"/>
            <w:tcMar>
              <w:top w:w="15" w:type="dxa"/>
              <w:left w:w="15" w:type="dxa"/>
              <w:bottom w:w="0" w:type="dxa"/>
              <w:right w:w="15" w:type="dxa"/>
            </w:tcMar>
            <w:vAlign w:val="center"/>
            <w:hideMark/>
          </w:tcPr>
          <w:p w14:paraId="30E2D13D"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Treatment</w:t>
            </w:r>
          </w:p>
        </w:tc>
        <w:tc>
          <w:tcPr>
            <w:tcW w:w="810" w:type="dxa"/>
            <w:tcBorders>
              <w:top w:val="nil"/>
              <w:bottom w:val="single" w:sz="4" w:space="0" w:color="auto"/>
            </w:tcBorders>
            <w:shd w:val="clear" w:color="auto" w:fill="auto"/>
            <w:tcMar>
              <w:top w:w="15" w:type="dxa"/>
              <w:left w:w="15" w:type="dxa"/>
              <w:bottom w:w="0" w:type="dxa"/>
              <w:right w:w="15" w:type="dxa"/>
            </w:tcMar>
            <w:vAlign w:val="center"/>
            <w:hideMark/>
          </w:tcPr>
          <w:p w14:paraId="7C072653"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&lt;0.01</w:t>
            </w:r>
          </w:p>
        </w:tc>
        <w:tc>
          <w:tcPr>
            <w:tcW w:w="900" w:type="dxa"/>
            <w:vMerge/>
            <w:tcBorders>
              <w:top w:val="nil"/>
              <w:bottom w:val="single" w:sz="4" w:space="0" w:color="auto"/>
            </w:tcBorders>
            <w:vAlign w:val="center"/>
            <w:hideMark/>
          </w:tcPr>
          <w:p w14:paraId="39562721" w14:textId="77777777" w:rsidR="00E940C2" w:rsidRPr="00872293" w:rsidRDefault="00E940C2" w:rsidP="00886F84">
            <w:pPr>
              <w:spacing w:line="288" w:lineRule="auto"/>
              <w:rPr>
                <w:rFonts w:ascii="Times New Roman" w:hAnsi="Times New Roman" w:cs="Times New Roman"/>
                <w:sz w:val="22"/>
                <w:szCs w:val="22"/>
              </w:rPr>
            </w:pPr>
          </w:p>
        </w:tc>
        <w:tc>
          <w:tcPr>
            <w:tcW w:w="1170" w:type="dxa"/>
            <w:tcBorders>
              <w:top w:val="nil"/>
              <w:bottom w:val="single" w:sz="4" w:space="0" w:color="auto"/>
            </w:tcBorders>
            <w:shd w:val="clear" w:color="auto" w:fill="auto"/>
            <w:tcMar>
              <w:top w:w="15" w:type="dxa"/>
              <w:left w:w="15" w:type="dxa"/>
              <w:bottom w:w="0" w:type="dxa"/>
              <w:right w:w="15" w:type="dxa"/>
            </w:tcMar>
            <w:vAlign w:val="center"/>
            <w:hideMark/>
          </w:tcPr>
          <w:p w14:paraId="3927E2E6" w14:textId="1F371211"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-10.52</w:t>
            </w:r>
          </w:p>
        </w:tc>
      </w:tr>
      <w:tr w:rsidR="00872293" w:rsidRPr="00872293" w14:paraId="154E18AC" w14:textId="77777777" w:rsidTr="006F7DE3">
        <w:tc>
          <w:tcPr>
            <w:tcW w:w="134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E71D668"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Before</w:t>
            </w:r>
          </w:p>
        </w:tc>
        <w:tc>
          <w:tcPr>
            <w:tcW w:w="18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03B57CF" w14:textId="49F89013"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 microbial N</w:t>
            </w:r>
          </w:p>
        </w:tc>
        <w:tc>
          <w:tcPr>
            <w:tcW w:w="135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FA455C6"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w:t>
            </w:r>
          </w:p>
        </w:tc>
        <w:tc>
          <w:tcPr>
            <w:tcW w:w="153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E7B61E5"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Microbial N</w:t>
            </w:r>
          </w:p>
        </w:tc>
        <w:tc>
          <w:tcPr>
            <w:tcW w:w="81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5B1CBBB"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0.07</w:t>
            </w:r>
          </w:p>
        </w:tc>
        <w:tc>
          <w:tcPr>
            <w:tcW w:w="9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0E1A823" w14:textId="3579A23D"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0.50</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BFC336F"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0.17</w:t>
            </w:r>
          </w:p>
        </w:tc>
      </w:tr>
      <w:tr w:rsidR="00872293" w:rsidRPr="00872293" w14:paraId="149895DE" w14:textId="77777777" w:rsidTr="006F7DE3">
        <w:tc>
          <w:tcPr>
            <w:tcW w:w="1345"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50C66ED7"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Before</w:t>
            </w:r>
          </w:p>
        </w:tc>
        <w:tc>
          <w:tcPr>
            <w:tcW w:w="18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7970625" w14:textId="21672A1E"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mortality~</w:t>
            </w:r>
            <w:r w:rsidR="000E5BE5" w:rsidRPr="00872293">
              <w:rPr>
                <w:rFonts w:ascii="Times New Roman" w:hAnsi="Times New Roman" w:cs="Times New Roman"/>
                <w:sz w:val="22"/>
                <w:szCs w:val="22"/>
              </w:rPr>
              <w:t xml:space="preserve"> </w:t>
            </w:r>
            <w:r w:rsidRPr="00872293">
              <w:rPr>
                <w:rFonts w:ascii="Times New Roman" w:hAnsi="Times New Roman" w:cs="Times New Roman"/>
                <w:sz w:val="22"/>
                <w:szCs w:val="22"/>
              </w:rPr>
              <w:t>microbial N</w:t>
            </w:r>
          </w:p>
        </w:tc>
        <w:tc>
          <w:tcPr>
            <w:tcW w:w="135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7D3A3B1"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mortality</w:t>
            </w:r>
          </w:p>
        </w:tc>
        <w:tc>
          <w:tcPr>
            <w:tcW w:w="153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D3B8681"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Microbial N</w:t>
            </w:r>
          </w:p>
        </w:tc>
        <w:tc>
          <w:tcPr>
            <w:tcW w:w="81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EFFF869"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0.07</w:t>
            </w:r>
          </w:p>
        </w:tc>
        <w:tc>
          <w:tcPr>
            <w:tcW w:w="90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CE9C25D" w14:textId="0F1B5DD1"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0.5</w:t>
            </w:r>
            <w:r w:rsidR="00410AA6" w:rsidRPr="00872293">
              <w:rPr>
                <w:rFonts w:ascii="Times New Roman" w:hAnsi="Times New Roman" w:cs="Times New Roman"/>
                <w:sz w:val="22"/>
                <w:szCs w:val="22"/>
              </w:rPr>
              <w:t>0</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ED24B1D" w14:textId="77777777" w:rsidR="00E940C2" w:rsidRPr="00872293" w:rsidRDefault="00E940C2" w:rsidP="00886F84">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0.28</w:t>
            </w:r>
          </w:p>
        </w:tc>
      </w:tr>
      <w:tr w:rsidR="00872293" w:rsidRPr="00872293" w14:paraId="0935E46A" w14:textId="77777777" w:rsidTr="006F7DE3">
        <w:tc>
          <w:tcPr>
            <w:tcW w:w="1345" w:type="dxa"/>
            <w:tcBorders>
              <w:top w:val="single" w:sz="4" w:space="0" w:color="auto"/>
              <w:bottom w:val="single" w:sz="4" w:space="0" w:color="auto"/>
            </w:tcBorders>
            <w:vAlign w:val="center"/>
          </w:tcPr>
          <w:p w14:paraId="02A561F9" w14:textId="648FE549"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After</w:t>
            </w:r>
          </w:p>
        </w:tc>
        <w:tc>
          <w:tcPr>
            <w:tcW w:w="1800" w:type="dxa"/>
            <w:tcBorders>
              <w:top w:val="single" w:sz="4" w:space="0" w:color="auto"/>
              <w:bottom w:val="single" w:sz="4" w:space="0" w:color="auto"/>
            </w:tcBorders>
            <w:vAlign w:val="center"/>
          </w:tcPr>
          <w:p w14:paraId="1DAC3BB1" w14:textId="251EE940"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 NH4</w:t>
            </w:r>
          </w:p>
        </w:tc>
        <w:tc>
          <w:tcPr>
            <w:tcW w:w="1350" w:type="dxa"/>
            <w:tcBorders>
              <w:top w:val="single" w:sz="4" w:space="0" w:color="auto"/>
              <w:bottom w:val="single" w:sz="4" w:space="0" w:color="auto"/>
            </w:tcBorders>
            <w:vAlign w:val="center"/>
          </w:tcPr>
          <w:p w14:paraId="737AAB8C" w14:textId="089B5504"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w:t>
            </w:r>
          </w:p>
        </w:tc>
        <w:tc>
          <w:tcPr>
            <w:tcW w:w="153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44141E2F" w14:textId="4A19405C"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NH4</w:t>
            </w:r>
          </w:p>
        </w:tc>
        <w:tc>
          <w:tcPr>
            <w:tcW w:w="81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13F1532B" w14:textId="5B8182BA"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0.0</w:t>
            </w:r>
            <w:r w:rsidR="00B85F69" w:rsidRPr="00872293">
              <w:rPr>
                <w:rFonts w:ascii="Times New Roman" w:hAnsi="Times New Roman" w:cs="Times New Roman"/>
                <w:sz w:val="22"/>
                <w:szCs w:val="22"/>
              </w:rPr>
              <w:t>2</w:t>
            </w:r>
          </w:p>
        </w:tc>
        <w:tc>
          <w:tcPr>
            <w:tcW w:w="900" w:type="dxa"/>
            <w:tcBorders>
              <w:top w:val="single" w:sz="4" w:space="0" w:color="auto"/>
              <w:bottom w:val="single" w:sz="4" w:space="0" w:color="auto"/>
            </w:tcBorders>
            <w:vAlign w:val="center"/>
          </w:tcPr>
          <w:p w14:paraId="2C104CD9" w14:textId="630FF175"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0.8</w:t>
            </w:r>
            <w:r w:rsidR="00B85F69" w:rsidRPr="00872293">
              <w:rPr>
                <w:rFonts w:ascii="Times New Roman" w:hAnsi="Times New Roman" w:cs="Times New Roman"/>
                <w:sz w:val="22"/>
                <w:szCs w:val="22"/>
              </w:rPr>
              <w:t>8</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0860EB77" w14:textId="25C02ED9" w:rsidR="000E5BE5" w:rsidRPr="00872293" w:rsidRDefault="00B85F69"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18</w:t>
            </w:r>
            <w:r w:rsidR="000E5BE5" w:rsidRPr="00872293">
              <w:rPr>
                <w:rFonts w:ascii="Times New Roman" w:hAnsi="Times New Roman" w:cs="Times New Roman"/>
                <w:sz w:val="22"/>
                <w:szCs w:val="22"/>
              </w:rPr>
              <w:t>.58</w:t>
            </w:r>
          </w:p>
        </w:tc>
      </w:tr>
      <w:tr w:rsidR="00872293" w:rsidRPr="00872293" w14:paraId="4EF904E4" w14:textId="77777777" w:rsidTr="006F7DE3">
        <w:tc>
          <w:tcPr>
            <w:tcW w:w="1345" w:type="dxa"/>
            <w:tcBorders>
              <w:top w:val="single" w:sz="4" w:space="0" w:color="auto"/>
              <w:bottom w:val="single" w:sz="4" w:space="0" w:color="auto"/>
            </w:tcBorders>
            <w:vAlign w:val="center"/>
          </w:tcPr>
          <w:p w14:paraId="79089A08" w14:textId="423D71C6"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After</w:t>
            </w:r>
          </w:p>
        </w:tc>
        <w:tc>
          <w:tcPr>
            <w:tcW w:w="1800" w:type="dxa"/>
            <w:tcBorders>
              <w:top w:val="single" w:sz="4" w:space="0" w:color="auto"/>
              <w:bottom w:val="single" w:sz="4" w:space="0" w:color="auto"/>
            </w:tcBorders>
            <w:vAlign w:val="center"/>
          </w:tcPr>
          <w:p w14:paraId="5A0A12AD" w14:textId="282092FD"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 microbial N+ treatment</w:t>
            </w:r>
          </w:p>
        </w:tc>
        <w:tc>
          <w:tcPr>
            <w:tcW w:w="1350" w:type="dxa"/>
            <w:tcBorders>
              <w:top w:val="single" w:sz="4" w:space="0" w:color="auto"/>
              <w:bottom w:val="single" w:sz="4" w:space="0" w:color="auto"/>
            </w:tcBorders>
            <w:vAlign w:val="center"/>
          </w:tcPr>
          <w:p w14:paraId="4F7B54BB" w14:textId="77757C31"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production</w:t>
            </w:r>
          </w:p>
        </w:tc>
        <w:tc>
          <w:tcPr>
            <w:tcW w:w="153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496E7AA0" w14:textId="712A5C48"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Microbial N</w:t>
            </w:r>
          </w:p>
        </w:tc>
        <w:tc>
          <w:tcPr>
            <w:tcW w:w="81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2E632D29" w14:textId="0123395C"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&lt;0.01</w:t>
            </w:r>
          </w:p>
        </w:tc>
        <w:tc>
          <w:tcPr>
            <w:tcW w:w="900" w:type="dxa"/>
            <w:tcBorders>
              <w:top w:val="single" w:sz="4" w:space="0" w:color="auto"/>
              <w:bottom w:val="single" w:sz="4" w:space="0" w:color="auto"/>
            </w:tcBorders>
            <w:vAlign w:val="center"/>
          </w:tcPr>
          <w:p w14:paraId="2DC839FD" w14:textId="35897B8E"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0.94</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75656C4F" w14:textId="4F43929B"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1.72</w:t>
            </w:r>
          </w:p>
        </w:tc>
      </w:tr>
      <w:tr w:rsidR="00872293" w:rsidRPr="00872293" w14:paraId="783684D0" w14:textId="77777777" w:rsidTr="006F7DE3">
        <w:trPr>
          <w:trHeight w:val="245"/>
        </w:trPr>
        <w:tc>
          <w:tcPr>
            <w:tcW w:w="1345" w:type="dxa"/>
            <w:tcBorders>
              <w:top w:val="single" w:sz="4" w:space="0" w:color="auto"/>
            </w:tcBorders>
            <w:vAlign w:val="center"/>
          </w:tcPr>
          <w:p w14:paraId="223AA553" w14:textId="78A313A6" w:rsidR="000E5BE5" w:rsidRPr="00872293" w:rsidRDefault="006F7DE3" w:rsidP="006F7DE3">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After</w:t>
            </w:r>
          </w:p>
        </w:tc>
        <w:tc>
          <w:tcPr>
            <w:tcW w:w="1800" w:type="dxa"/>
            <w:tcBorders>
              <w:top w:val="single" w:sz="4" w:space="0" w:color="auto"/>
            </w:tcBorders>
            <w:vAlign w:val="center"/>
          </w:tcPr>
          <w:p w14:paraId="3EE537C5" w14:textId="049BDBCF" w:rsidR="000E5BE5" w:rsidRPr="00872293" w:rsidRDefault="006F7DE3" w:rsidP="006F7DE3">
            <w:pPr>
              <w:jc w:val="center"/>
              <w:rPr>
                <w:rFonts w:ascii="Times New Roman" w:hAnsi="Times New Roman" w:cs="Times New Roman"/>
                <w:sz w:val="22"/>
                <w:szCs w:val="22"/>
              </w:rPr>
            </w:pPr>
            <w:r w:rsidRPr="00872293">
              <w:rPr>
                <w:rFonts w:ascii="Times New Roman" w:hAnsi="Times New Roman" w:cs="Times New Roman"/>
                <w:sz w:val="22"/>
                <w:szCs w:val="22"/>
              </w:rPr>
              <w:t>Root mortality~ NH4</w:t>
            </w:r>
          </w:p>
        </w:tc>
        <w:tc>
          <w:tcPr>
            <w:tcW w:w="1350" w:type="dxa"/>
            <w:tcBorders>
              <w:top w:val="single" w:sz="4" w:space="0" w:color="auto"/>
            </w:tcBorders>
            <w:vAlign w:val="center"/>
          </w:tcPr>
          <w:p w14:paraId="7A995981" w14:textId="3C916311" w:rsidR="000E5BE5" w:rsidRPr="00872293" w:rsidRDefault="006F7DE3"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Root mortality</w:t>
            </w:r>
          </w:p>
        </w:tc>
        <w:tc>
          <w:tcPr>
            <w:tcW w:w="1530" w:type="dxa"/>
            <w:tcBorders>
              <w:top w:val="single" w:sz="4" w:space="0" w:color="auto"/>
            </w:tcBorders>
            <w:shd w:val="clear" w:color="auto" w:fill="auto"/>
            <w:tcMar>
              <w:top w:w="15" w:type="dxa"/>
              <w:left w:w="15" w:type="dxa"/>
              <w:bottom w:w="0" w:type="dxa"/>
              <w:right w:w="15" w:type="dxa"/>
            </w:tcMar>
            <w:vAlign w:val="center"/>
          </w:tcPr>
          <w:p w14:paraId="4A039E19" w14:textId="77777777" w:rsidR="006F7DE3"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Treatment</w:t>
            </w:r>
            <w:r w:rsidR="006F7DE3" w:rsidRPr="00872293">
              <w:rPr>
                <w:rFonts w:ascii="Times New Roman" w:hAnsi="Times New Roman" w:cs="Times New Roman"/>
                <w:sz w:val="22"/>
                <w:szCs w:val="22"/>
              </w:rPr>
              <w:t xml:space="preserve"> </w:t>
            </w:r>
          </w:p>
          <w:p w14:paraId="680B9B01" w14:textId="6715CA6D" w:rsidR="000E5BE5" w:rsidRPr="00872293" w:rsidRDefault="006F7DE3"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NH4</w:t>
            </w:r>
          </w:p>
        </w:tc>
        <w:tc>
          <w:tcPr>
            <w:tcW w:w="810" w:type="dxa"/>
            <w:tcBorders>
              <w:top w:val="single" w:sz="4" w:space="0" w:color="auto"/>
            </w:tcBorders>
            <w:shd w:val="clear" w:color="auto" w:fill="auto"/>
            <w:tcMar>
              <w:top w:w="15" w:type="dxa"/>
              <w:left w:w="15" w:type="dxa"/>
              <w:bottom w:w="0" w:type="dxa"/>
              <w:right w:w="15" w:type="dxa"/>
            </w:tcMar>
            <w:vAlign w:val="center"/>
          </w:tcPr>
          <w:p w14:paraId="171A04E2" w14:textId="77777777" w:rsidR="000E5BE5" w:rsidRPr="00872293" w:rsidRDefault="000E5BE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&lt;0.01</w:t>
            </w:r>
          </w:p>
          <w:p w14:paraId="204659FF" w14:textId="5C3A1649" w:rsidR="006F7DE3" w:rsidRPr="00872293" w:rsidRDefault="006F7DE3"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0.03</w:t>
            </w:r>
          </w:p>
        </w:tc>
        <w:tc>
          <w:tcPr>
            <w:tcW w:w="900" w:type="dxa"/>
            <w:tcBorders>
              <w:top w:val="single" w:sz="4" w:space="0" w:color="auto"/>
            </w:tcBorders>
            <w:vAlign w:val="center"/>
          </w:tcPr>
          <w:p w14:paraId="45F73CF1" w14:textId="668D03CF" w:rsidR="000E5BE5" w:rsidRPr="00872293" w:rsidRDefault="006F7DE3"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0.64</w:t>
            </w:r>
          </w:p>
        </w:tc>
        <w:tc>
          <w:tcPr>
            <w:tcW w:w="1170" w:type="dxa"/>
            <w:tcBorders>
              <w:top w:val="single" w:sz="4" w:space="0" w:color="auto"/>
            </w:tcBorders>
            <w:shd w:val="clear" w:color="auto" w:fill="auto"/>
            <w:tcMar>
              <w:top w:w="15" w:type="dxa"/>
              <w:left w:w="15" w:type="dxa"/>
              <w:bottom w:w="0" w:type="dxa"/>
              <w:right w:w="15" w:type="dxa"/>
            </w:tcMar>
            <w:vAlign w:val="center"/>
          </w:tcPr>
          <w:p w14:paraId="46960BF5" w14:textId="77777777" w:rsidR="000E5BE5" w:rsidRPr="00872293" w:rsidRDefault="001F7BD5"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65.64</w:t>
            </w:r>
          </w:p>
          <w:p w14:paraId="38E9B0F5" w14:textId="055598FD" w:rsidR="006F7DE3" w:rsidRPr="00872293" w:rsidRDefault="006F7DE3" w:rsidP="000E5BE5">
            <w:pPr>
              <w:spacing w:line="288" w:lineRule="auto"/>
              <w:jc w:val="center"/>
              <w:rPr>
                <w:rFonts w:ascii="Times New Roman" w:hAnsi="Times New Roman" w:cs="Times New Roman"/>
                <w:sz w:val="22"/>
                <w:szCs w:val="22"/>
              </w:rPr>
            </w:pPr>
            <w:r w:rsidRPr="00872293">
              <w:rPr>
                <w:rFonts w:ascii="Times New Roman" w:hAnsi="Times New Roman" w:cs="Times New Roman"/>
                <w:sz w:val="22"/>
                <w:szCs w:val="22"/>
              </w:rPr>
              <w:t>4.93</w:t>
            </w:r>
          </w:p>
        </w:tc>
      </w:tr>
    </w:tbl>
    <w:p w14:paraId="3FE5367B" w14:textId="69254D93" w:rsidR="008A45AE" w:rsidRPr="00872293" w:rsidRDefault="008A45AE" w:rsidP="004F3FDE">
      <w:pPr>
        <w:keepNext/>
        <w:spacing w:before="240" w:line="360" w:lineRule="auto"/>
        <w:rPr>
          <w:rFonts w:ascii="Times New Roman" w:eastAsia="Times New Roman" w:hAnsi="Times New Roman" w:cs="Times New Roman"/>
          <w:noProof/>
        </w:rPr>
      </w:pPr>
    </w:p>
    <w:p w14:paraId="571E0267" w14:textId="77777777" w:rsidR="008A45AE" w:rsidRPr="00872293" w:rsidRDefault="008A45AE">
      <w:pPr>
        <w:rPr>
          <w:rFonts w:ascii="Times New Roman" w:eastAsia="Times New Roman" w:hAnsi="Times New Roman" w:cs="Times New Roman"/>
          <w:noProof/>
        </w:rPr>
      </w:pPr>
      <w:r w:rsidRPr="00872293">
        <w:rPr>
          <w:rFonts w:ascii="Times New Roman" w:eastAsia="Times New Roman" w:hAnsi="Times New Roman" w:cs="Times New Roman"/>
          <w:noProof/>
        </w:rPr>
        <w:br w:type="page"/>
      </w:r>
    </w:p>
    <w:p w14:paraId="341462F3" w14:textId="216B6735" w:rsidR="00F575EF" w:rsidRPr="00872293" w:rsidRDefault="00C93DE5" w:rsidP="003A10D2">
      <w:pPr>
        <w:pStyle w:val="Caption"/>
        <w:spacing w:before="240" w:after="240"/>
        <w:rPr>
          <w:rFonts w:ascii="Times New Roman" w:eastAsia="Times New Roman" w:hAnsi="Times New Roman" w:cs="Times New Roman"/>
          <w:noProof/>
          <w:color w:val="auto"/>
          <w:sz w:val="24"/>
          <w:szCs w:val="24"/>
        </w:rPr>
      </w:pPr>
      <w:bookmarkStart w:id="109" w:name="_Toc53755749"/>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7</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Pr="00872293">
        <w:rPr>
          <w:rFonts w:ascii="Times New Roman" w:eastAsia="Times New Roman" w:hAnsi="Times New Roman" w:cs="Times New Roman"/>
          <w:color w:val="auto"/>
          <w:sz w:val="24"/>
          <w:szCs w:val="24"/>
        </w:rPr>
        <w:t>Mixed effect models for specific root length (SRL) and root diameter; model; dependent variables; fixed effects; random effects; P values</w:t>
      </w:r>
      <w:bookmarkEnd w:id="109"/>
    </w:p>
    <w:tbl>
      <w:tblPr>
        <w:tblW w:w="692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6"/>
        <w:gridCol w:w="1693"/>
        <w:gridCol w:w="1231"/>
        <w:gridCol w:w="1573"/>
        <w:gridCol w:w="1463"/>
        <w:gridCol w:w="726"/>
      </w:tblGrid>
      <w:tr w:rsidR="00872293" w:rsidRPr="00872293" w14:paraId="5165E737" w14:textId="77777777" w:rsidTr="00E73604">
        <w:trPr>
          <w:trHeight w:val="450"/>
          <w:jc w:val="center"/>
        </w:trPr>
        <w:tc>
          <w:tcPr>
            <w:tcW w:w="986" w:type="dxa"/>
            <w:vMerge w:val="restart"/>
            <w:tcBorders>
              <w:top w:val="single" w:sz="4" w:space="0" w:color="auto"/>
              <w:bottom w:val="single" w:sz="4" w:space="0" w:color="auto"/>
            </w:tcBorders>
            <w:shd w:val="clear" w:color="auto" w:fill="auto"/>
            <w:vAlign w:val="center"/>
            <w:hideMark/>
          </w:tcPr>
          <w:p w14:paraId="5E0F982C"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Root trait</w:t>
            </w:r>
          </w:p>
        </w:tc>
        <w:tc>
          <w:tcPr>
            <w:tcW w:w="1826" w:type="dxa"/>
            <w:vMerge w:val="restart"/>
            <w:tcBorders>
              <w:top w:val="single" w:sz="4" w:space="0" w:color="auto"/>
              <w:bottom w:val="single" w:sz="4" w:space="0" w:color="auto"/>
            </w:tcBorders>
            <w:shd w:val="clear" w:color="auto" w:fill="auto"/>
            <w:vAlign w:val="center"/>
            <w:hideMark/>
          </w:tcPr>
          <w:p w14:paraId="174DA854"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Model (</w:t>
            </w:r>
            <w:proofErr w:type="spellStart"/>
            <w:r w:rsidRPr="00872293">
              <w:rPr>
                <w:rFonts w:ascii="Times New Roman" w:eastAsia="Times New Roman" w:hAnsi="Times New Roman" w:cs="Times New Roman"/>
                <w:b/>
                <w:bCs/>
                <w:sz w:val="22"/>
                <w:szCs w:val="22"/>
              </w:rPr>
              <w:t>lmer</w:t>
            </w:r>
            <w:proofErr w:type="spellEnd"/>
            <w:r w:rsidRPr="00872293">
              <w:rPr>
                <w:rFonts w:ascii="Times New Roman" w:eastAsia="Times New Roman" w:hAnsi="Times New Roman" w:cs="Times New Roman"/>
                <w:b/>
                <w:bCs/>
                <w:sz w:val="22"/>
                <w:szCs w:val="22"/>
              </w:rPr>
              <w:t>)</w:t>
            </w:r>
          </w:p>
        </w:tc>
        <w:tc>
          <w:tcPr>
            <w:tcW w:w="1231" w:type="dxa"/>
            <w:vMerge w:val="restart"/>
            <w:tcBorders>
              <w:top w:val="single" w:sz="4" w:space="0" w:color="auto"/>
              <w:bottom w:val="single" w:sz="4" w:space="0" w:color="auto"/>
            </w:tcBorders>
            <w:shd w:val="clear" w:color="auto" w:fill="auto"/>
            <w:vAlign w:val="center"/>
            <w:hideMark/>
          </w:tcPr>
          <w:p w14:paraId="193F57EA"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Dependent variable</w:t>
            </w:r>
          </w:p>
        </w:tc>
        <w:tc>
          <w:tcPr>
            <w:tcW w:w="1130" w:type="dxa"/>
            <w:vMerge w:val="restart"/>
            <w:tcBorders>
              <w:top w:val="single" w:sz="4" w:space="0" w:color="auto"/>
              <w:bottom w:val="single" w:sz="4" w:space="0" w:color="auto"/>
            </w:tcBorders>
            <w:shd w:val="clear" w:color="auto" w:fill="auto"/>
            <w:vAlign w:val="center"/>
            <w:hideMark/>
          </w:tcPr>
          <w:p w14:paraId="2E1C64BB"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Fixed effects</w:t>
            </w:r>
          </w:p>
        </w:tc>
        <w:tc>
          <w:tcPr>
            <w:tcW w:w="1023" w:type="dxa"/>
            <w:vMerge w:val="restart"/>
            <w:tcBorders>
              <w:top w:val="single" w:sz="4" w:space="0" w:color="auto"/>
              <w:bottom w:val="single" w:sz="4" w:space="0" w:color="auto"/>
            </w:tcBorders>
            <w:shd w:val="clear" w:color="auto" w:fill="auto"/>
            <w:vAlign w:val="center"/>
            <w:hideMark/>
          </w:tcPr>
          <w:p w14:paraId="125120AB"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Random effect</w:t>
            </w:r>
          </w:p>
        </w:tc>
        <w:tc>
          <w:tcPr>
            <w:tcW w:w="726" w:type="dxa"/>
            <w:vMerge w:val="restart"/>
            <w:tcBorders>
              <w:top w:val="single" w:sz="4" w:space="0" w:color="auto"/>
              <w:bottom w:val="single" w:sz="4" w:space="0" w:color="auto"/>
            </w:tcBorders>
            <w:shd w:val="clear" w:color="auto" w:fill="auto"/>
            <w:vAlign w:val="center"/>
            <w:hideMark/>
          </w:tcPr>
          <w:p w14:paraId="4D5F0594" w14:textId="77777777" w:rsidR="00685056" w:rsidRPr="00872293" w:rsidRDefault="00685056"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 value</w:t>
            </w:r>
          </w:p>
        </w:tc>
      </w:tr>
      <w:tr w:rsidR="00872293" w:rsidRPr="00872293" w14:paraId="42937F20" w14:textId="77777777" w:rsidTr="00E73604">
        <w:trPr>
          <w:trHeight w:val="450"/>
          <w:jc w:val="center"/>
        </w:trPr>
        <w:tc>
          <w:tcPr>
            <w:tcW w:w="986" w:type="dxa"/>
            <w:vMerge/>
            <w:tcBorders>
              <w:top w:val="nil"/>
              <w:bottom w:val="single" w:sz="4" w:space="0" w:color="auto"/>
            </w:tcBorders>
            <w:vAlign w:val="center"/>
            <w:hideMark/>
          </w:tcPr>
          <w:p w14:paraId="4D640AC3" w14:textId="77777777" w:rsidR="00685056" w:rsidRPr="00872293" w:rsidRDefault="00685056" w:rsidP="00886F84">
            <w:pPr>
              <w:rPr>
                <w:rFonts w:ascii="Times New Roman" w:eastAsia="Times New Roman" w:hAnsi="Times New Roman" w:cs="Times New Roman"/>
                <w:b/>
                <w:bCs/>
                <w:sz w:val="22"/>
                <w:szCs w:val="22"/>
              </w:rPr>
            </w:pPr>
          </w:p>
        </w:tc>
        <w:tc>
          <w:tcPr>
            <w:tcW w:w="1826" w:type="dxa"/>
            <w:vMerge/>
            <w:tcBorders>
              <w:top w:val="nil"/>
              <w:bottom w:val="single" w:sz="4" w:space="0" w:color="auto"/>
            </w:tcBorders>
            <w:vAlign w:val="center"/>
            <w:hideMark/>
          </w:tcPr>
          <w:p w14:paraId="11FDB641" w14:textId="77777777" w:rsidR="00685056" w:rsidRPr="00872293" w:rsidRDefault="00685056" w:rsidP="00886F84">
            <w:pPr>
              <w:rPr>
                <w:rFonts w:ascii="Times New Roman" w:eastAsia="Times New Roman" w:hAnsi="Times New Roman" w:cs="Times New Roman"/>
                <w:b/>
                <w:bCs/>
                <w:sz w:val="22"/>
                <w:szCs w:val="22"/>
              </w:rPr>
            </w:pPr>
          </w:p>
        </w:tc>
        <w:tc>
          <w:tcPr>
            <w:tcW w:w="1231" w:type="dxa"/>
            <w:vMerge/>
            <w:tcBorders>
              <w:top w:val="nil"/>
              <w:bottom w:val="single" w:sz="4" w:space="0" w:color="auto"/>
            </w:tcBorders>
            <w:vAlign w:val="center"/>
            <w:hideMark/>
          </w:tcPr>
          <w:p w14:paraId="4D45A62B" w14:textId="77777777" w:rsidR="00685056" w:rsidRPr="00872293" w:rsidRDefault="00685056" w:rsidP="00886F84">
            <w:pPr>
              <w:rPr>
                <w:rFonts w:ascii="Times New Roman" w:eastAsia="Times New Roman" w:hAnsi="Times New Roman" w:cs="Times New Roman"/>
                <w:b/>
                <w:bCs/>
                <w:sz w:val="22"/>
                <w:szCs w:val="22"/>
              </w:rPr>
            </w:pPr>
          </w:p>
        </w:tc>
        <w:tc>
          <w:tcPr>
            <w:tcW w:w="1130" w:type="dxa"/>
            <w:vMerge/>
            <w:tcBorders>
              <w:top w:val="nil"/>
              <w:bottom w:val="single" w:sz="4" w:space="0" w:color="auto"/>
            </w:tcBorders>
            <w:vAlign w:val="center"/>
            <w:hideMark/>
          </w:tcPr>
          <w:p w14:paraId="04048F33" w14:textId="77777777" w:rsidR="00685056" w:rsidRPr="00872293" w:rsidRDefault="00685056" w:rsidP="00886F84">
            <w:pPr>
              <w:rPr>
                <w:rFonts w:ascii="Times New Roman" w:eastAsia="Times New Roman" w:hAnsi="Times New Roman" w:cs="Times New Roman"/>
                <w:b/>
                <w:bCs/>
                <w:sz w:val="22"/>
                <w:szCs w:val="22"/>
              </w:rPr>
            </w:pPr>
          </w:p>
        </w:tc>
        <w:tc>
          <w:tcPr>
            <w:tcW w:w="1023" w:type="dxa"/>
            <w:vMerge/>
            <w:tcBorders>
              <w:top w:val="nil"/>
              <w:bottom w:val="single" w:sz="4" w:space="0" w:color="auto"/>
            </w:tcBorders>
            <w:vAlign w:val="center"/>
            <w:hideMark/>
          </w:tcPr>
          <w:p w14:paraId="3DF64742" w14:textId="77777777" w:rsidR="00685056" w:rsidRPr="00872293" w:rsidRDefault="00685056" w:rsidP="00886F84">
            <w:pPr>
              <w:rPr>
                <w:rFonts w:ascii="Times New Roman" w:eastAsia="Times New Roman" w:hAnsi="Times New Roman" w:cs="Times New Roman"/>
                <w:b/>
                <w:bCs/>
                <w:sz w:val="22"/>
                <w:szCs w:val="22"/>
              </w:rPr>
            </w:pPr>
          </w:p>
        </w:tc>
        <w:tc>
          <w:tcPr>
            <w:tcW w:w="726" w:type="dxa"/>
            <w:vMerge/>
            <w:tcBorders>
              <w:top w:val="nil"/>
              <w:bottom w:val="single" w:sz="4" w:space="0" w:color="auto"/>
            </w:tcBorders>
            <w:vAlign w:val="center"/>
            <w:hideMark/>
          </w:tcPr>
          <w:p w14:paraId="2C187D81" w14:textId="77777777" w:rsidR="00685056" w:rsidRPr="00872293" w:rsidRDefault="00685056" w:rsidP="00886F84">
            <w:pPr>
              <w:rPr>
                <w:rFonts w:ascii="Times New Roman" w:eastAsia="Times New Roman" w:hAnsi="Times New Roman" w:cs="Times New Roman"/>
                <w:b/>
                <w:bCs/>
                <w:sz w:val="22"/>
                <w:szCs w:val="22"/>
              </w:rPr>
            </w:pPr>
          </w:p>
        </w:tc>
      </w:tr>
      <w:tr w:rsidR="00872293" w:rsidRPr="00872293" w14:paraId="5DC69C78" w14:textId="77777777" w:rsidTr="00E73604">
        <w:trPr>
          <w:trHeight w:val="290"/>
          <w:jc w:val="center"/>
        </w:trPr>
        <w:tc>
          <w:tcPr>
            <w:tcW w:w="986" w:type="dxa"/>
            <w:vMerge w:val="restart"/>
            <w:tcBorders>
              <w:top w:val="single" w:sz="4" w:space="0" w:color="auto"/>
            </w:tcBorders>
            <w:shd w:val="clear" w:color="auto" w:fill="auto"/>
            <w:vAlign w:val="center"/>
            <w:hideMark/>
          </w:tcPr>
          <w:p w14:paraId="2F80D07C"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826" w:type="dxa"/>
            <w:vMerge w:val="restart"/>
            <w:tcBorders>
              <w:top w:val="single" w:sz="4" w:space="0" w:color="auto"/>
            </w:tcBorders>
            <w:shd w:val="clear" w:color="auto" w:fill="auto"/>
            <w:vAlign w:val="center"/>
            <w:hideMark/>
          </w:tcPr>
          <w:p w14:paraId="2FA4E4E0" w14:textId="677F01FB" w:rsidR="00CF137A" w:rsidRPr="00872293" w:rsidRDefault="00685056" w:rsidP="00886F84">
            <w:pPr>
              <w:jc w:val="center"/>
              <w:rPr>
                <w:rFonts w:ascii="Times New Roman" w:eastAsia="Times New Roman" w:hAnsi="Times New Roman" w:cs="Times New Roman"/>
                <w:sz w:val="22"/>
                <w:szCs w:val="22"/>
              </w:rPr>
            </w:pPr>
            <w:proofErr w:type="spellStart"/>
            <w:r w:rsidRPr="00872293">
              <w:rPr>
                <w:rFonts w:ascii="Times New Roman" w:eastAsia="Times New Roman" w:hAnsi="Times New Roman" w:cs="Times New Roman"/>
                <w:sz w:val="22"/>
                <w:szCs w:val="22"/>
              </w:rPr>
              <w:t>SRL~Time</w:t>
            </w:r>
            <w:proofErr w:type="spellEnd"/>
            <w:r w:rsidRPr="00872293">
              <w:rPr>
                <w:rFonts w:ascii="Times New Roman" w:eastAsia="Times New Roman" w:hAnsi="Times New Roman" w:cs="Times New Roman"/>
                <w:sz w:val="22"/>
                <w:szCs w:val="22"/>
              </w:rPr>
              <w:t>+ treatment+</w:t>
            </w:r>
            <w:r w:rsidR="00CF137A" w:rsidRPr="00872293">
              <w:rPr>
                <w:rFonts w:ascii="Times New Roman" w:eastAsia="Times New Roman" w:hAnsi="Times New Roman" w:cs="Times New Roman"/>
                <w:sz w:val="22"/>
                <w:szCs w:val="22"/>
              </w:rPr>
              <w:t xml:space="preserve"> </w:t>
            </w:r>
            <w:proofErr w:type="spellStart"/>
            <w:proofErr w:type="gramStart"/>
            <w:r w:rsidR="00CF137A" w:rsidRPr="00872293">
              <w:rPr>
                <w:rFonts w:ascii="Times New Roman" w:eastAsia="Times New Roman" w:hAnsi="Times New Roman" w:cs="Times New Roman"/>
                <w:sz w:val="22"/>
                <w:szCs w:val="22"/>
              </w:rPr>
              <w:t>time:treatment</w:t>
            </w:r>
            <w:proofErr w:type="spellEnd"/>
            <w:proofErr w:type="gramEnd"/>
            <w:r w:rsidR="00CF137A" w:rsidRPr="00872293">
              <w:rPr>
                <w:rFonts w:ascii="Times New Roman" w:eastAsia="Times New Roman" w:hAnsi="Times New Roman" w:cs="Times New Roman"/>
                <w:sz w:val="22"/>
                <w:szCs w:val="22"/>
              </w:rPr>
              <w:t>+</w:t>
            </w:r>
          </w:p>
          <w:p w14:paraId="7BCAE110" w14:textId="71F719C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(1|Plot)</w:t>
            </w:r>
          </w:p>
        </w:tc>
        <w:tc>
          <w:tcPr>
            <w:tcW w:w="1231" w:type="dxa"/>
            <w:vMerge w:val="restart"/>
            <w:tcBorders>
              <w:top w:val="single" w:sz="4" w:space="0" w:color="auto"/>
            </w:tcBorders>
            <w:shd w:val="clear" w:color="auto" w:fill="auto"/>
            <w:vAlign w:val="center"/>
            <w:hideMark/>
          </w:tcPr>
          <w:p w14:paraId="31290F9C"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130" w:type="dxa"/>
            <w:tcBorders>
              <w:top w:val="single" w:sz="4" w:space="0" w:color="auto"/>
            </w:tcBorders>
            <w:shd w:val="clear" w:color="auto" w:fill="auto"/>
            <w:vAlign w:val="center"/>
            <w:hideMark/>
          </w:tcPr>
          <w:p w14:paraId="0F48A3A0"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Time</w:t>
            </w:r>
          </w:p>
        </w:tc>
        <w:tc>
          <w:tcPr>
            <w:tcW w:w="1023" w:type="dxa"/>
            <w:vMerge w:val="restart"/>
            <w:tcBorders>
              <w:top w:val="single" w:sz="4" w:space="0" w:color="auto"/>
            </w:tcBorders>
            <w:shd w:val="clear" w:color="auto" w:fill="auto"/>
            <w:vAlign w:val="center"/>
            <w:hideMark/>
          </w:tcPr>
          <w:p w14:paraId="70B9DD54" w14:textId="2042F454"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r w:rsidR="003D1D71" w:rsidRPr="00872293">
              <w:rPr>
                <w:rFonts w:ascii="Times New Roman" w:eastAsia="Times New Roman" w:hAnsi="Times New Roman" w:cs="Times New Roman"/>
                <w:sz w:val="22"/>
                <w:szCs w:val="22"/>
              </w:rPr>
              <w:t>/treatment</w:t>
            </w:r>
          </w:p>
        </w:tc>
        <w:tc>
          <w:tcPr>
            <w:tcW w:w="726" w:type="dxa"/>
            <w:tcBorders>
              <w:top w:val="single" w:sz="4" w:space="0" w:color="auto"/>
            </w:tcBorders>
            <w:shd w:val="clear" w:color="auto" w:fill="auto"/>
            <w:vAlign w:val="center"/>
            <w:hideMark/>
          </w:tcPr>
          <w:p w14:paraId="256CE62A"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r>
      <w:tr w:rsidR="00872293" w:rsidRPr="00872293" w14:paraId="5D8396AE" w14:textId="77777777" w:rsidTr="00CA7EE9">
        <w:trPr>
          <w:trHeight w:val="290"/>
          <w:jc w:val="center"/>
        </w:trPr>
        <w:tc>
          <w:tcPr>
            <w:tcW w:w="986" w:type="dxa"/>
            <w:vMerge/>
            <w:tcBorders>
              <w:bottom w:val="single" w:sz="4" w:space="0" w:color="auto"/>
            </w:tcBorders>
            <w:vAlign w:val="center"/>
            <w:hideMark/>
          </w:tcPr>
          <w:p w14:paraId="276D7ED0" w14:textId="77777777" w:rsidR="00685056" w:rsidRPr="00872293" w:rsidRDefault="00685056" w:rsidP="00886F84">
            <w:pPr>
              <w:rPr>
                <w:rFonts w:ascii="Times New Roman" w:eastAsia="Times New Roman" w:hAnsi="Times New Roman" w:cs="Times New Roman"/>
                <w:sz w:val="22"/>
                <w:szCs w:val="22"/>
              </w:rPr>
            </w:pPr>
          </w:p>
        </w:tc>
        <w:tc>
          <w:tcPr>
            <w:tcW w:w="1826" w:type="dxa"/>
            <w:vMerge/>
            <w:tcBorders>
              <w:bottom w:val="single" w:sz="4" w:space="0" w:color="auto"/>
            </w:tcBorders>
            <w:vAlign w:val="center"/>
            <w:hideMark/>
          </w:tcPr>
          <w:p w14:paraId="2EA6B586" w14:textId="77777777" w:rsidR="00685056" w:rsidRPr="00872293" w:rsidRDefault="00685056" w:rsidP="00886F84">
            <w:pPr>
              <w:rPr>
                <w:rFonts w:ascii="Times New Roman" w:eastAsia="Times New Roman" w:hAnsi="Times New Roman" w:cs="Times New Roman"/>
                <w:sz w:val="22"/>
                <w:szCs w:val="22"/>
              </w:rPr>
            </w:pPr>
          </w:p>
        </w:tc>
        <w:tc>
          <w:tcPr>
            <w:tcW w:w="1231" w:type="dxa"/>
            <w:vMerge/>
            <w:tcBorders>
              <w:bottom w:val="single" w:sz="4" w:space="0" w:color="auto"/>
            </w:tcBorders>
            <w:vAlign w:val="center"/>
            <w:hideMark/>
          </w:tcPr>
          <w:p w14:paraId="4C8EA5DA" w14:textId="77777777" w:rsidR="00685056" w:rsidRPr="00872293" w:rsidRDefault="00685056" w:rsidP="00886F84">
            <w:pPr>
              <w:rPr>
                <w:rFonts w:ascii="Times New Roman" w:eastAsia="Times New Roman" w:hAnsi="Times New Roman" w:cs="Times New Roman"/>
                <w:sz w:val="22"/>
                <w:szCs w:val="22"/>
              </w:rPr>
            </w:pPr>
          </w:p>
        </w:tc>
        <w:tc>
          <w:tcPr>
            <w:tcW w:w="1130" w:type="dxa"/>
            <w:tcBorders>
              <w:bottom w:val="single" w:sz="4" w:space="0" w:color="auto"/>
            </w:tcBorders>
            <w:shd w:val="clear" w:color="auto" w:fill="auto"/>
            <w:vAlign w:val="center"/>
            <w:hideMark/>
          </w:tcPr>
          <w:p w14:paraId="56CBE6A4" w14:textId="50C5D2A7" w:rsidR="00685056" w:rsidRPr="00872293" w:rsidRDefault="000D6A80"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w:t>
            </w:r>
            <w:r w:rsidR="00685056" w:rsidRPr="00872293">
              <w:rPr>
                <w:rFonts w:ascii="Times New Roman" w:eastAsia="Times New Roman" w:hAnsi="Times New Roman" w:cs="Times New Roman"/>
                <w:sz w:val="22"/>
                <w:szCs w:val="22"/>
              </w:rPr>
              <w:t>reatment</w:t>
            </w:r>
          </w:p>
          <w:p w14:paraId="177D83AD" w14:textId="10CB2E56" w:rsidR="000D6A80" w:rsidRPr="00872293" w:rsidRDefault="000D6A80" w:rsidP="00886F84">
            <w:pPr>
              <w:jc w:val="center"/>
              <w:rPr>
                <w:rFonts w:ascii="Times New Roman" w:eastAsia="Times New Roman" w:hAnsi="Times New Roman" w:cs="Times New Roman"/>
                <w:sz w:val="22"/>
                <w:szCs w:val="22"/>
              </w:rPr>
            </w:pPr>
            <w:proofErr w:type="spellStart"/>
            <w:proofErr w:type="gramStart"/>
            <w:r w:rsidRPr="00872293">
              <w:rPr>
                <w:rFonts w:ascii="Times New Roman" w:eastAsia="Times New Roman" w:hAnsi="Times New Roman" w:cs="Times New Roman"/>
                <w:sz w:val="22"/>
                <w:szCs w:val="22"/>
              </w:rPr>
              <w:t>Time:treatment</w:t>
            </w:r>
            <w:proofErr w:type="spellEnd"/>
            <w:proofErr w:type="gramEnd"/>
          </w:p>
        </w:tc>
        <w:tc>
          <w:tcPr>
            <w:tcW w:w="1023" w:type="dxa"/>
            <w:vMerge/>
            <w:tcBorders>
              <w:bottom w:val="single" w:sz="4" w:space="0" w:color="auto"/>
            </w:tcBorders>
            <w:vAlign w:val="center"/>
            <w:hideMark/>
          </w:tcPr>
          <w:p w14:paraId="45313167" w14:textId="77777777" w:rsidR="00685056" w:rsidRPr="00872293" w:rsidRDefault="00685056" w:rsidP="00886F84">
            <w:pPr>
              <w:rPr>
                <w:rFonts w:ascii="Times New Roman" w:eastAsia="Times New Roman" w:hAnsi="Times New Roman" w:cs="Times New Roman"/>
                <w:sz w:val="22"/>
                <w:szCs w:val="22"/>
              </w:rPr>
            </w:pPr>
          </w:p>
        </w:tc>
        <w:tc>
          <w:tcPr>
            <w:tcW w:w="726" w:type="dxa"/>
            <w:tcBorders>
              <w:bottom w:val="single" w:sz="4" w:space="0" w:color="auto"/>
            </w:tcBorders>
            <w:shd w:val="clear" w:color="auto" w:fill="auto"/>
            <w:vAlign w:val="center"/>
            <w:hideMark/>
          </w:tcPr>
          <w:p w14:paraId="16AD92FB" w14:textId="77777777" w:rsidR="00685056" w:rsidRPr="00872293" w:rsidRDefault="00685056" w:rsidP="003D1D7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0.18</w:t>
            </w:r>
          </w:p>
          <w:p w14:paraId="0B41270B" w14:textId="57CB0B20" w:rsidR="000D6A80" w:rsidRPr="00872293" w:rsidRDefault="003D1D71" w:rsidP="003D1D7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0.37</w:t>
            </w:r>
          </w:p>
        </w:tc>
      </w:tr>
      <w:tr w:rsidR="00872293" w:rsidRPr="00872293" w14:paraId="78FC86A5" w14:textId="77777777" w:rsidTr="00C00EF1">
        <w:trPr>
          <w:trHeight w:val="449"/>
          <w:jc w:val="center"/>
        </w:trPr>
        <w:tc>
          <w:tcPr>
            <w:tcW w:w="986" w:type="dxa"/>
            <w:vMerge w:val="restart"/>
            <w:tcBorders>
              <w:top w:val="single" w:sz="4" w:space="0" w:color="auto"/>
              <w:bottom w:val="nil"/>
            </w:tcBorders>
            <w:shd w:val="clear" w:color="auto" w:fill="auto"/>
            <w:vAlign w:val="center"/>
            <w:hideMark/>
          </w:tcPr>
          <w:p w14:paraId="1C386835"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diameter</w:t>
            </w:r>
          </w:p>
        </w:tc>
        <w:tc>
          <w:tcPr>
            <w:tcW w:w="1826" w:type="dxa"/>
            <w:vMerge w:val="restart"/>
            <w:tcBorders>
              <w:top w:val="single" w:sz="4" w:space="0" w:color="auto"/>
              <w:bottom w:val="nil"/>
            </w:tcBorders>
            <w:shd w:val="clear" w:color="auto" w:fill="auto"/>
            <w:vAlign w:val="center"/>
            <w:hideMark/>
          </w:tcPr>
          <w:p w14:paraId="3B02684F" w14:textId="7942B783"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w:t>
            </w:r>
            <w:proofErr w:type="spellStart"/>
            <w:r w:rsidRPr="00872293">
              <w:rPr>
                <w:rFonts w:ascii="Times New Roman" w:eastAsia="Times New Roman" w:hAnsi="Times New Roman" w:cs="Times New Roman"/>
                <w:sz w:val="22"/>
                <w:szCs w:val="22"/>
              </w:rPr>
              <w:t>diameter~Time</w:t>
            </w:r>
            <w:proofErr w:type="spellEnd"/>
            <w:r w:rsidRPr="00872293">
              <w:rPr>
                <w:rFonts w:ascii="Times New Roman" w:eastAsia="Times New Roman" w:hAnsi="Times New Roman" w:cs="Times New Roman"/>
                <w:sz w:val="22"/>
                <w:szCs w:val="22"/>
              </w:rPr>
              <w:t>+ treatment+</w:t>
            </w:r>
            <w:r w:rsidR="00CF137A" w:rsidRPr="00872293">
              <w:rPr>
                <w:rFonts w:ascii="Times New Roman" w:eastAsia="Times New Roman" w:hAnsi="Times New Roman" w:cs="Times New Roman"/>
                <w:sz w:val="22"/>
                <w:szCs w:val="22"/>
              </w:rPr>
              <w:t xml:space="preserve"> </w:t>
            </w:r>
            <w:proofErr w:type="spellStart"/>
            <w:proofErr w:type="gramStart"/>
            <w:r w:rsidR="00CF137A" w:rsidRPr="00872293">
              <w:rPr>
                <w:rFonts w:ascii="Times New Roman" w:eastAsia="Times New Roman" w:hAnsi="Times New Roman" w:cs="Times New Roman"/>
                <w:sz w:val="22"/>
                <w:szCs w:val="22"/>
              </w:rPr>
              <w:t>time:treatment</w:t>
            </w:r>
            <w:proofErr w:type="spellEnd"/>
            <w:proofErr w:type="gramEnd"/>
            <w:r w:rsidR="00CF137A" w:rsidRPr="00872293">
              <w:rPr>
                <w:rFonts w:ascii="Times New Roman" w:eastAsia="Times New Roman" w:hAnsi="Times New Roman" w:cs="Times New Roman"/>
                <w:sz w:val="22"/>
                <w:szCs w:val="22"/>
              </w:rPr>
              <w:t xml:space="preserve">+ </w:t>
            </w:r>
            <w:r w:rsidRPr="00872293">
              <w:rPr>
                <w:rFonts w:ascii="Times New Roman" w:eastAsia="Times New Roman" w:hAnsi="Times New Roman" w:cs="Times New Roman"/>
                <w:sz w:val="22"/>
                <w:szCs w:val="22"/>
              </w:rPr>
              <w:t>(1|Plot)</w:t>
            </w:r>
          </w:p>
        </w:tc>
        <w:tc>
          <w:tcPr>
            <w:tcW w:w="1231" w:type="dxa"/>
            <w:vMerge w:val="restart"/>
            <w:tcBorders>
              <w:top w:val="single" w:sz="4" w:space="0" w:color="auto"/>
              <w:bottom w:val="nil"/>
            </w:tcBorders>
            <w:shd w:val="clear" w:color="auto" w:fill="auto"/>
            <w:vAlign w:val="center"/>
            <w:hideMark/>
          </w:tcPr>
          <w:p w14:paraId="66687B3C"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diameter</w:t>
            </w:r>
          </w:p>
        </w:tc>
        <w:tc>
          <w:tcPr>
            <w:tcW w:w="1130" w:type="dxa"/>
            <w:tcBorders>
              <w:top w:val="single" w:sz="4" w:space="0" w:color="auto"/>
              <w:bottom w:val="nil"/>
            </w:tcBorders>
            <w:shd w:val="clear" w:color="auto" w:fill="auto"/>
            <w:vAlign w:val="center"/>
            <w:hideMark/>
          </w:tcPr>
          <w:p w14:paraId="514C9326"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Time</w:t>
            </w:r>
          </w:p>
        </w:tc>
        <w:tc>
          <w:tcPr>
            <w:tcW w:w="1023" w:type="dxa"/>
            <w:vMerge w:val="restart"/>
            <w:tcBorders>
              <w:top w:val="single" w:sz="4" w:space="0" w:color="auto"/>
              <w:bottom w:val="nil"/>
            </w:tcBorders>
            <w:shd w:val="clear" w:color="auto" w:fill="auto"/>
            <w:vAlign w:val="center"/>
            <w:hideMark/>
          </w:tcPr>
          <w:p w14:paraId="01B5F74B" w14:textId="1A951042"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Plot</w:t>
            </w:r>
            <w:r w:rsidR="003D1D71" w:rsidRPr="00872293">
              <w:rPr>
                <w:rFonts w:ascii="Times New Roman" w:eastAsia="Times New Roman" w:hAnsi="Times New Roman" w:cs="Times New Roman"/>
                <w:sz w:val="22"/>
                <w:szCs w:val="22"/>
              </w:rPr>
              <w:t>/treatment</w:t>
            </w:r>
          </w:p>
        </w:tc>
        <w:tc>
          <w:tcPr>
            <w:tcW w:w="726" w:type="dxa"/>
            <w:tcBorders>
              <w:top w:val="single" w:sz="4" w:space="0" w:color="auto"/>
              <w:bottom w:val="nil"/>
            </w:tcBorders>
            <w:shd w:val="clear" w:color="auto" w:fill="auto"/>
            <w:vAlign w:val="center"/>
            <w:hideMark/>
          </w:tcPr>
          <w:p w14:paraId="3CDCAD98" w14:textId="77777777" w:rsidR="00685056" w:rsidRPr="00872293" w:rsidRDefault="00685056"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r>
      <w:tr w:rsidR="00872293" w:rsidRPr="00872293" w14:paraId="4362FF0B" w14:textId="77777777" w:rsidTr="00C00EF1">
        <w:trPr>
          <w:trHeight w:val="819"/>
          <w:jc w:val="center"/>
        </w:trPr>
        <w:tc>
          <w:tcPr>
            <w:tcW w:w="986" w:type="dxa"/>
            <w:vMerge/>
            <w:tcBorders>
              <w:top w:val="nil"/>
              <w:bottom w:val="single" w:sz="4" w:space="0" w:color="auto"/>
            </w:tcBorders>
            <w:vAlign w:val="center"/>
            <w:hideMark/>
          </w:tcPr>
          <w:p w14:paraId="0AC66467" w14:textId="77777777" w:rsidR="00685056" w:rsidRPr="00872293" w:rsidRDefault="00685056" w:rsidP="00886F84">
            <w:pPr>
              <w:rPr>
                <w:rFonts w:ascii="Times New Roman" w:eastAsia="Times New Roman" w:hAnsi="Times New Roman" w:cs="Times New Roman"/>
                <w:sz w:val="22"/>
                <w:szCs w:val="22"/>
              </w:rPr>
            </w:pPr>
          </w:p>
        </w:tc>
        <w:tc>
          <w:tcPr>
            <w:tcW w:w="1826" w:type="dxa"/>
            <w:vMerge/>
            <w:tcBorders>
              <w:top w:val="nil"/>
              <w:bottom w:val="single" w:sz="4" w:space="0" w:color="auto"/>
            </w:tcBorders>
            <w:vAlign w:val="center"/>
            <w:hideMark/>
          </w:tcPr>
          <w:p w14:paraId="78066BA7" w14:textId="77777777" w:rsidR="00685056" w:rsidRPr="00872293" w:rsidRDefault="00685056" w:rsidP="00886F84">
            <w:pPr>
              <w:rPr>
                <w:rFonts w:ascii="Times New Roman" w:eastAsia="Times New Roman" w:hAnsi="Times New Roman" w:cs="Times New Roman"/>
                <w:sz w:val="22"/>
                <w:szCs w:val="22"/>
              </w:rPr>
            </w:pPr>
          </w:p>
        </w:tc>
        <w:tc>
          <w:tcPr>
            <w:tcW w:w="1231" w:type="dxa"/>
            <w:vMerge/>
            <w:tcBorders>
              <w:top w:val="nil"/>
              <w:bottom w:val="single" w:sz="4" w:space="0" w:color="auto"/>
            </w:tcBorders>
            <w:vAlign w:val="center"/>
            <w:hideMark/>
          </w:tcPr>
          <w:p w14:paraId="295CD444" w14:textId="77777777" w:rsidR="00685056" w:rsidRPr="00872293" w:rsidRDefault="00685056" w:rsidP="00886F84">
            <w:pPr>
              <w:rPr>
                <w:rFonts w:ascii="Times New Roman" w:eastAsia="Times New Roman" w:hAnsi="Times New Roman" w:cs="Times New Roman"/>
                <w:sz w:val="22"/>
                <w:szCs w:val="22"/>
              </w:rPr>
            </w:pPr>
          </w:p>
        </w:tc>
        <w:tc>
          <w:tcPr>
            <w:tcW w:w="1130" w:type="dxa"/>
            <w:tcBorders>
              <w:top w:val="nil"/>
              <w:bottom w:val="single" w:sz="4" w:space="0" w:color="auto"/>
            </w:tcBorders>
            <w:shd w:val="clear" w:color="auto" w:fill="auto"/>
            <w:vAlign w:val="center"/>
            <w:hideMark/>
          </w:tcPr>
          <w:p w14:paraId="1FDCB659" w14:textId="77777777" w:rsidR="00685056" w:rsidRPr="00872293" w:rsidRDefault="000D6A80"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T</w:t>
            </w:r>
            <w:r w:rsidR="00685056" w:rsidRPr="00872293">
              <w:rPr>
                <w:rFonts w:ascii="Times New Roman" w:eastAsia="Times New Roman" w:hAnsi="Times New Roman" w:cs="Times New Roman"/>
                <w:sz w:val="22"/>
                <w:szCs w:val="22"/>
              </w:rPr>
              <w:t>reatment</w:t>
            </w:r>
          </w:p>
          <w:p w14:paraId="6947EC13" w14:textId="3CF656E6" w:rsidR="000D6A80" w:rsidRPr="00872293" w:rsidRDefault="000D6A80" w:rsidP="00886F84">
            <w:pPr>
              <w:jc w:val="center"/>
              <w:rPr>
                <w:rFonts w:ascii="Times New Roman" w:eastAsia="Times New Roman" w:hAnsi="Times New Roman" w:cs="Times New Roman"/>
                <w:sz w:val="22"/>
                <w:szCs w:val="22"/>
              </w:rPr>
            </w:pPr>
            <w:proofErr w:type="spellStart"/>
            <w:proofErr w:type="gramStart"/>
            <w:r w:rsidRPr="00872293">
              <w:rPr>
                <w:rFonts w:ascii="Times New Roman" w:eastAsia="Times New Roman" w:hAnsi="Times New Roman" w:cs="Times New Roman"/>
                <w:sz w:val="22"/>
                <w:szCs w:val="22"/>
              </w:rPr>
              <w:t>Time:treatment</w:t>
            </w:r>
            <w:proofErr w:type="spellEnd"/>
            <w:proofErr w:type="gramEnd"/>
          </w:p>
        </w:tc>
        <w:tc>
          <w:tcPr>
            <w:tcW w:w="1023" w:type="dxa"/>
            <w:vMerge/>
            <w:tcBorders>
              <w:top w:val="nil"/>
              <w:bottom w:val="single" w:sz="4" w:space="0" w:color="auto"/>
            </w:tcBorders>
            <w:vAlign w:val="center"/>
            <w:hideMark/>
          </w:tcPr>
          <w:p w14:paraId="073877A9" w14:textId="77777777" w:rsidR="00685056" w:rsidRPr="00872293" w:rsidRDefault="00685056" w:rsidP="00886F84">
            <w:pPr>
              <w:rPr>
                <w:rFonts w:ascii="Times New Roman" w:eastAsia="Times New Roman" w:hAnsi="Times New Roman" w:cs="Times New Roman"/>
                <w:sz w:val="22"/>
                <w:szCs w:val="22"/>
              </w:rPr>
            </w:pPr>
          </w:p>
        </w:tc>
        <w:tc>
          <w:tcPr>
            <w:tcW w:w="726" w:type="dxa"/>
            <w:tcBorders>
              <w:top w:val="nil"/>
              <w:bottom w:val="single" w:sz="4" w:space="0" w:color="auto"/>
            </w:tcBorders>
            <w:shd w:val="clear" w:color="auto" w:fill="auto"/>
            <w:vAlign w:val="center"/>
            <w:hideMark/>
          </w:tcPr>
          <w:p w14:paraId="2A062DA9" w14:textId="77777777" w:rsidR="00685056" w:rsidRPr="00872293" w:rsidRDefault="000D6A80"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0.97</w:t>
            </w:r>
          </w:p>
          <w:p w14:paraId="1C53514F" w14:textId="7E2DB908" w:rsidR="000D6A80" w:rsidRPr="00872293" w:rsidRDefault="00C00EF1"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0.71</w:t>
            </w:r>
          </w:p>
        </w:tc>
      </w:tr>
    </w:tbl>
    <w:p w14:paraId="464028A8" w14:textId="0C68F02F" w:rsidR="00321A45" w:rsidRPr="00872293" w:rsidRDefault="00321A45" w:rsidP="004F3FDE">
      <w:pPr>
        <w:keepNext/>
        <w:spacing w:before="240" w:line="360" w:lineRule="auto"/>
        <w:rPr>
          <w:rFonts w:ascii="Times New Roman" w:eastAsia="Times New Roman" w:hAnsi="Times New Roman" w:cs="Times New Roman"/>
          <w:noProof/>
        </w:rPr>
      </w:pPr>
    </w:p>
    <w:p w14:paraId="7F44C5E5" w14:textId="0AEA3A33" w:rsidR="00F575EF" w:rsidRPr="00872293" w:rsidRDefault="00321A45" w:rsidP="00CA7EE9">
      <w:pPr>
        <w:rPr>
          <w:rFonts w:ascii="Times New Roman" w:eastAsia="Times New Roman" w:hAnsi="Times New Roman" w:cs="Times New Roman"/>
          <w:noProof/>
        </w:rPr>
      </w:pPr>
      <w:r w:rsidRPr="00872293">
        <w:rPr>
          <w:rFonts w:ascii="Times New Roman" w:eastAsia="Times New Roman" w:hAnsi="Times New Roman" w:cs="Times New Roman"/>
          <w:noProof/>
        </w:rPr>
        <w:br w:type="page"/>
      </w:r>
    </w:p>
    <w:p w14:paraId="7E6A203B" w14:textId="5767DAC2" w:rsidR="004C4C8B" w:rsidRPr="00872293" w:rsidRDefault="004C4C8B" w:rsidP="00135130">
      <w:pPr>
        <w:keepNext/>
        <w:spacing w:before="240" w:line="360" w:lineRule="auto"/>
        <w:jc w:val="center"/>
      </w:pPr>
      <w:r w:rsidRPr="00872293">
        <w:rPr>
          <w:rFonts w:ascii="Times New Roman" w:eastAsia="Times New Roman" w:hAnsi="Times New Roman" w:cs="Times New Roman"/>
          <w:noProof/>
        </w:rPr>
        <w:lastRenderedPageBreak/>
        <w:drawing>
          <wp:inline distT="0" distB="0" distL="0" distR="0" wp14:anchorId="36A9673E" wp14:editId="69347B34">
            <wp:extent cx="3505200" cy="2848729"/>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opy openness (%)3.tif"/>
                    <pic:cNvPicPr/>
                  </pic:nvPicPr>
                  <pic:blipFill rotWithShape="1">
                    <a:blip r:embed="rId31" cstate="print">
                      <a:extLst>
                        <a:ext uri="{28A0092B-C50C-407E-A947-70E740481C1C}">
                          <a14:useLocalDpi xmlns:a14="http://schemas.microsoft.com/office/drawing/2010/main" val="0"/>
                        </a:ext>
                      </a:extLst>
                    </a:blip>
                    <a:srcRect l="18056" t="12660" r="19764" b="49439"/>
                    <a:stretch/>
                  </pic:blipFill>
                  <pic:spPr bwMode="auto">
                    <a:xfrm>
                      <a:off x="0" y="0"/>
                      <a:ext cx="3507321" cy="2850453"/>
                    </a:xfrm>
                    <a:prstGeom prst="rect">
                      <a:avLst/>
                    </a:prstGeom>
                    <a:ln>
                      <a:noFill/>
                    </a:ln>
                    <a:extLst>
                      <a:ext uri="{53640926-AAD7-44D8-BBD7-CCE9431645EC}">
                        <a14:shadowObscured xmlns:a14="http://schemas.microsoft.com/office/drawing/2010/main"/>
                      </a:ext>
                    </a:extLst>
                  </pic:spPr>
                </pic:pic>
              </a:graphicData>
            </a:graphic>
          </wp:inline>
        </w:drawing>
      </w:r>
    </w:p>
    <w:p w14:paraId="48636966" w14:textId="06E8FE82" w:rsidR="00010163" w:rsidRPr="00872293" w:rsidRDefault="004C4C8B" w:rsidP="005F3DF5">
      <w:pPr>
        <w:pStyle w:val="Caption"/>
        <w:rPr>
          <w:rFonts w:ascii="Times New Roman" w:hAnsi="Times New Roman" w:cs="Times New Roman"/>
          <w:b/>
          <w:bCs/>
          <w:color w:val="auto"/>
          <w:sz w:val="24"/>
          <w:szCs w:val="24"/>
        </w:rPr>
      </w:pPr>
      <w:bookmarkStart w:id="110" w:name="_Toc53755779"/>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10</w:t>
      </w:r>
      <w:r w:rsidR="00CE76B7" w:rsidRPr="00872293">
        <w:rPr>
          <w:rFonts w:ascii="Times New Roman" w:hAnsi="Times New Roman" w:cs="Times New Roman"/>
          <w:color w:val="auto"/>
          <w:sz w:val="24"/>
          <w:szCs w:val="24"/>
        </w:rPr>
        <w:fldChar w:fldCharType="end"/>
      </w:r>
      <w:r w:rsidR="00D64DEE"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w:t>
      </w:r>
      <w:r w:rsidRPr="00872293">
        <w:rPr>
          <w:rFonts w:ascii="Times New Roman" w:eastAsia="Times New Roman" w:hAnsi="Times New Roman" w:cs="Times New Roman"/>
          <w:color w:val="auto"/>
          <w:sz w:val="24"/>
          <w:szCs w:val="24"/>
        </w:rPr>
        <w:t xml:space="preserve">Circles represent the average canopy openness (%) per treatment (red circles warming blue </w:t>
      </w:r>
      <w:r w:rsidR="00891D3A" w:rsidRPr="00872293">
        <w:rPr>
          <w:rFonts w:ascii="Times New Roman" w:eastAsia="Times New Roman" w:hAnsi="Times New Roman" w:cs="Times New Roman"/>
          <w:color w:val="auto"/>
          <w:sz w:val="24"/>
          <w:szCs w:val="24"/>
        </w:rPr>
        <w:t>triangles</w:t>
      </w:r>
      <w:r w:rsidRPr="00872293">
        <w:rPr>
          <w:rFonts w:ascii="Times New Roman" w:eastAsia="Times New Roman" w:hAnsi="Times New Roman" w:cs="Times New Roman"/>
          <w:color w:val="auto"/>
          <w:sz w:val="24"/>
          <w:szCs w:val="24"/>
        </w:rPr>
        <w:t xml:space="preserve"> control) in undisturbed conditions (pre-treatment, 2015), after the warming treatment started (2017), and post hurricane (2018). The error bars represent the standard error of plots per treatment. The dates in x axis are expressed in mm-</w:t>
      </w:r>
      <w:proofErr w:type="spellStart"/>
      <w:r w:rsidRPr="00872293">
        <w:rPr>
          <w:rFonts w:ascii="Times New Roman" w:eastAsia="Times New Roman" w:hAnsi="Times New Roman" w:cs="Times New Roman"/>
          <w:color w:val="auto"/>
          <w:sz w:val="24"/>
          <w:szCs w:val="24"/>
        </w:rPr>
        <w:t>yy</w:t>
      </w:r>
      <w:proofErr w:type="spellEnd"/>
      <w:r w:rsidRPr="00872293">
        <w:rPr>
          <w:rFonts w:ascii="Times New Roman" w:eastAsia="Times New Roman" w:hAnsi="Times New Roman" w:cs="Times New Roman"/>
          <w:color w:val="auto"/>
          <w:sz w:val="24"/>
          <w:szCs w:val="24"/>
        </w:rPr>
        <w:t>.</w:t>
      </w:r>
      <w:bookmarkEnd w:id="110"/>
    </w:p>
    <w:p w14:paraId="28CF5289" w14:textId="77777777" w:rsidR="00294019" w:rsidRPr="00872293" w:rsidRDefault="00294019" w:rsidP="003C456F">
      <w:pPr>
        <w:spacing w:line="360" w:lineRule="auto"/>
        <w:rPr>
          <w:rFonts w:ascii="Times New Roman" w:hAnsi="Times New Roman" w:cs="Times New Roman"/>
          <w:b/>
          <w:bCs/>
        </w:rPr>
      </w:pPr>
    </w:p>
    <w:p w14:paraId="349E1B80" w14:textId="77777777" w:rsidR="00010163" w:rsidRPr="00872293" w:rsidRDefault="00010163" w:rsidP="004F3FDE">
      <w:pPr>
        <w:spacing w:before="240" w:line="360" w:lineRule="auto"/>
        <w:jc w:val="center"/>
        <w:rPr>
          <w:rFonts w:ascii="Times New Roman" w:eastAsia="Times New Roman" w:hAnsi="Times New Roman" w:cs="Times New Roman"/>
        </w:rPr>
      </w:pPr>
      <w:r w:rsidRPr="00872293">
        <w:rPr>
          <w:rFonts w:ascii="Times New Roman" w:eastAsia="Times New Roman" w:hAnsi="Times New Roman" w:cs="Times New Roman"/>
          <w:noProof/>
        </w:rPr>
        <w:drawing>
          <wp:inline distT="0" distB="0" distL="0" distR="0" wp14:anchorId="0DEA12B9" wp14:editId="67DCFB7A">
            <wp:extent cx="5943600" cy="1380490"/>
            <wp:effectExtent l="0" t="0" r="0" b="0"/>
            <wp:docPr id="26" name="Picture 26" descr="A tree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ACE BEFORE AND AFTER HURRICANE.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380490"/>
                    </a:xfrm>
                    <a:prstGeom prst="rect">
                      <a:avLst/>
                    </a:prstGeom>
                  </pic:spPr>
                </pic:pic>
              </a:graphicData>
            </a:graphic>
          </wp:inline>
        </w:drawing>
      </w:r>
    </w:p>
    <w:p w14:paraId="3091CD26" w14:textId="1221C5F1" w:rsidR="00010163" w:rsidRPr="00872293" w:rsidRDefault="00552C22" w:rsidP="00916183">
      <w:pPr>
        <w:pStyle w:val="Caption"/>
        <w:rPr>
          <w:rFonts w:ascii="Times New Roman" w:eastAsia="Times New Roman" w:hAnsi="Times New Roman" w:cs="Times New Roman"/>
          <w:color w:val="auto"/>
          <w:sz w:val="24"/>
          <w:szCs w:val="24"/>
        </w:rPr>
      </w:pPr>
      <w:bookmarkStart w:id="111" w:name="_Toc32770146"/>
      <w:bookmarkStart w:id="112" w:name="_Toc32771032"/>
      <w:bookmarkStart w:id="113" w:name="_Toc53755780"/>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11</w:t>
      </w:r>
      <w:r w:rsidR="00CE76B7" w:rsidRPr="00872293">
        <w:rPr>
          <w:rFonts w:ascii="Times New Roman" w:hAnsi="Times New Roman" w:cs="Times New Roman"/>
          <w:color w:val="auto"/>
          <w:sz w:val="24"/>
          <w:szCs w:val="24"/>
        </w:rPr>
        <w:fldChar w:fldCharType="end"/>
      </w:r>
      <w:r w:rsidR="00D64DEE" w:rsidRPr="00872293">
        <w:rPr>
          <w:rFonts w:ascii="Times New Roman" w:hAnsi="Times New Roman" w:cs="Times New Roman"/>
          <w:color w:val="auto"/>
          <w:sz w:val="24"/>
          <w:szCs w:val="24"/>
        </w:rPr>
        <w:t>.</w:t>
      </w:r>
      <w:r w:rsidR="00D734F1" w:rsidRPr="00872293">
        <w:rPr>
          <w:rFonts w:ascii="Times New Roman" w:eastAsia="Times New Roman" w:hAnsi="Times New Roman" w:cs="Times New Roman"/>
          <w:color w:val="auto"/>
          <w:sz w:val="24"/>
          <w:szCs w:val="24"/>
        </w:rPr>
        <w:t xml:space="preserve"> One plot from the warming experiment when the project began (left, April 2015). The same plot after a month </w:t>
      </w:r>
      <w:r w:rsidR="00B56F36" w:rsidRPr="00872293">
        <w:rPr>
          <w:rFonts w:ascii="Times New Roman" w:eastAsia="Times New Roman" w:hAnsi="Times New Roman" w:cs="Times New Roman"/>
          <w:color w:val="auto"/>
          <w:sz w:val="24"/>
          <w:szCs w:val="24"/>
        </w:rPr>
        <w:t>from the two hurricanes disturbances (middle; Oct 2017)</w:t>
      </w:r>
      <w:r w:rsidR="00D734F1" w:rsidRPr="00872293">
        <w:rPr>
          <w:rFonts w:ascii="Times New Roman" w:eastAsia="Times New Roman" w:hAnsi="Times New Roman" w:cs="Times New Roman"/>
          <w:color w:val="auto"/>
          <w:sz w:val="24"/>
          <w:szCs w:val="24"/>
        </w:rPr>
        <w:t>, and nine months after</w:t>
      </w:r>
      <w:r w:rsidR="00B56F36" w:rsidRPr="00872293">
        <w:rPr>
          <w:rFonts w:ascii="Times New Roman" w:eastAsia="Times New Roman" w:hAnsi="Times New Roman" w:cs="Times New Roman"/>
          <w:color w:val="auto"/>
          <w:sz w:val="24"/>
          <w:szCs w:val="24"/>
        </w:rPr>
        <w:t xml:space="preserve"> (right; Jun 2018).</w:t>
      </w:r>
      <w:r w:rsidR="00D734F1" w:rsidRPr="00872293">
        <w:rPr>
          <w:rFonts w:ascii="Times New Roman" w:eastAsia="Times New Roman" w:hAnsi="Times New Roman" w:cs="Times New Roman"/>
          <w:color w:val="auto"/>
          <w:sz w:val="24"/>
          <w:szCs w:val="24"/>
        </w:rPr>
        <w:t xml:space="preserve"> Photo by TRACE</w:t>
      </w:r>
      <w:bookmarkEnd w:id="111"/>
      <w:bookmarkEnd w:id="112"/>
      <w:r w:rsidR="00A00B0D" w:rsidRPr="00872293">
        <w:rPr>
          <w:rFonts w:ascii="Times New Roman" w:eastAsia="Times New Roman" w:hAnsi="Times New Roman" w:cs="Times New Roman"/>
          <w:color w:val="auto"/>
          <w:sz w:val="24"/>
          <w:szCs w:val="24"/>
        </w:rPr>
        <w:t xml:space="preserve"> team.</w:t>
      </w:r>
      <w:bookmarkEnd w:id="113"/>
      <w:r w:rsidR="0062675D" w:rsidRPr="00872293">
        <w:rPr>
          <w:rFonts w:ascii="Times New Roman" w:eastAsia="Times New Roman" w:hAnsi="Times New Roman" w:cs="Times New Roman"/>
          <w:color w:val="auto"/>
        </w:rPr>
        <w:br w:type="page"/>
      </w:r>
    </w:p>
    <w:p w14:paraId="647807DD" w14:textId="77777777" w:rsidR="00010163" w:rsidRPr="00872293" w:rsidRDefault="00C361EF" w:rsidP="00590020">
      <w:pPr>
        <w:spacing w:line="360" w:lineRule="auto"/>
        <w:ind w:left="-864"/>
        <w:jc w:val="center"/>
        <w:rPr>
          <w:rFonts w:ascii="Times New Roman" w:eastAsia="Times New Roman" w:hAnsi="Times New Roman" w:cs="Times New Roman"/>
        </w:rPr>
      </w:pPr>
      <w:r w:rsidRPr="00872293">
        <w:rPr>
          <w:rFonts w:ascii="Times New Roman" w:eastAsia="Times New Roman" w:hAnsi="Times New Roman" w:cs="Times New Roman"/>
          <w:noProof/>
        </w:rPr>
        <w:lastRenderedPageBreak/>
        <w:drawing>
          <wp:inline distT="0" distB="0" distL="0" distR="0" wp14:anchorId="23A860F9" wp14:editId="2ACD38AD">
            <wp:extent cx="5854700" cy="3535338"/>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2.tif"/>
                    <pic:cNvPicPr/>
                  </pic:nvPicPr>
                  <pic:blipFill rotWithShape="1">
                    <a:blip r:embed="rId33" cstate="print">
                      <a:extLst>
                        <a:ext uri="{28A0092B-C50C-407E-A947-70E740481C1C}">
                          <a14:useLocalDpi xmlns:a14="http://schemas.microsoft.com/office/drawing/2010/main" val="0"/>
                        </a:ext>
                      </a:extLst>
                    </a:blip>
                    <a:srcRect t="28285" b="25481"/>
                    <a:stretch/>
                  </pic:blipFill>
                  <pic:spPr bwMode="auto">
                    <a:xfrm>
                      <a:off x="0" y="0"/>
                      <a:ext cx="5875061" cy="3547633"/>
                    </a:xfrm>
                    <a:prstGeom prst="rect">
                      <a:avLst/>
                    </a:prstGeom>
                    <a:ln>
                      <a:noFill/>
                    </a:ln>
                    <a:extLst>
                      <a:ext uri="{53640926-AAD7-44D8-BBD7-CCE9431645EC}">
                        <a14:shadowObscured xmlns:a14="http://schemas.microsoft.com/office/drawing/2010/main"/>
                      </a:ext>
                    </a:extLst>
                  </pic:spPr>
                </pic:pic>
              </a:graphicData>
            </a:graphic>
          </wp:inline>
        </w:drawing>
      </w:r>
    </w:p>
    <w:p w14:paraId="44D256F0" w14:textId="3712EEC5" w:rsidR="00630DCB" w:rsidRPr="00872293" w:rsidRDefault="00552C22" w:rsidP="005F3DF5">
      <w:pPr>
        <w:pStyle w:val="Caption"/>
        <w:rPr>
          <w:rFonts w:ascii="Times New Roman" w:eastAsia="Times New Roman" w:hAnsi="Times New Roman" w:cs="Times New Roman"/>
          <w:bCs/>
          <w:color w:val="auto"/>
          <w:sz w:val="24"/>
          <w:szCs w:val="24"/>
        </w:rPr>
      </w:pPr>
      <w:bookmarkStart w:id="114" w:name="_Toc32770147"/>
      <w:bookmarkStart w:id="115" w:name="_Toc32771033"/>
      <w:bookmarkStart w:id="116" w:name="_Toc53755781"/>
      <w:r w:rsidRPr="00872293">
        <w:rPr>
          <w:rFonts w:ascii="Times New Roman" w:hAnsi="Times New Roman" w:cs="Times New Roman"/>
          <w:color w:val="auto"/>
          <w:sz w:val="24"/>
          <w:szCs w:val="24"/>
        </w:rPr>
        <w:t xml:space="preserve">Figure </w:t>
      </w:r>
      <w:r w:rsidR="00CE76B7" w:rsidRPr="00872293">
        <w:rPr>
          <w:rFonts w:ascii="Times New Roman" w:hAnsi="Times New Roman" w:cs="Times New Roman"/>
          <w:color w:val="auto"/>
          <w:sz w:val="24"/>
          <w:szCs w:val="24"/>
        </w:rPr>
        <w:fldChar w:fldCharType="begin"/>
      </w:r>
      <w:r w:rsidR="00072EED" w:rsidRPr="00872293">
        <w:rPr>
          <w:rFonts w:ascii="Times New Roman" w:hAnsi="Times New Roman" w:cs="Times New Roman"/>
          <w:color w:val="auto"/>
          <w:sz w:val="24"/>
          <w:szCs w:val="24"/>
        </w:rPr>
        <w:instrText xml:space="preserve"> SEQ Figure \* ARABIC </w:instrText>
      </w:r>
      <w:r w:rsidR="00CE76B7"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12</w:t>
      </w:r>
      <w:r w:rsidR="00CE76B7" w:rsidRPr="00872293">
        <w:rPr>
          <w:rFonts w:ascii="Times New Roman" w:hAnsi="Times New Roman" w:cs="Times New Roman"/>
          <w:color w:val="auto"/>
          <w:sz w:val="24"/>
          <w:szCs w:val="24"/>
        </w:rPr>
        <w:fldChar w:fldCharType="end"/>
      </w:r>
      <w:r w:rsidR="00D64DEE" w:rsidRPr="00872293">
        <w:rPr>
          <w:rFonts w:ascii="Times New Roman" w:hAnsi="Times New Roman" w:cs="Times New Roman"/>
          <w:color w:val="auto"/>
          <w:sz w:val="24"/>
          <w:szCs w:val="24"/>
        </w:rPr>
        <w:t>.</w:t>
      </w:r>
      <w:r w:rsidR="004D6304" w:rsidRPr="00872293">
        <w:rPr>
          <w:rFonts w:ascii="Times New Roman" w:hAnsi="Times New Roman" w:cs="Times New Roman"/>
          <w:color w:val="auto"/>
          <w:sz w:val="24"/>
          <w:szCs w:val="24"/>
        </w:rPr>
        <w:t xml:space="preserve"> </w:t>
      </w:r>
      <w:r w:rsidR="004D6304" w:rsidRPr="00872293">
        <w:rPr>
          <w:rFonts w:ascii="Times New Roman" w:eastAsia="Times New Roman" w:hAnsi="Times New Roman" w:cs="Times New Roman"/>
          <w:bCs/>
          <w:color w:val="auto"/>
          <w:sz w:val="24"/>
          <w:szCs w:val="24"/>
        </w:rPr>
        <w:t xml:space="preserve">The top graphs represent a) Root biomass standing stock, b) root biomass production, and c) root biomass mortality through time. The dates represented by the points are the middle dates between one sampling and another. Dashed line determined when hurricane Maria hit Puerto Rico. The bottom graphs represent the difference of </w:t>
      </w:r>
      <w:r w:rsidR="00C361EF" w:rsidRPr="00872293">
        <w:rPr>
          <w:rFonts w:ascii="Times New Roman" w:eastAsia="Times New Roman" w:hAnsi="Times New Roman" w:cs="Times New Roman"/>
          <w:bCs/>
          <w:color w:val="auto"/>
          <w:sz w:val="24"/>
          <w:szCs w:val="24"/>
        </w:rPr>
        <w:t>d</w:t>
      </w:r>
      <w:r w:rsidR="004D6304" w:rsidRPr="00872293">
        <w:rPr>
          <w:rFonts w:ascii="Times New Roman" w:eastAsia="Times New Roman" w:hAnsi="Times New Roman" w:cs="Times New Roman"/>
          <w:bCs/>
          <w:color w:val="auto"/>
          <w:sz w:val="24"/>
          <w:szCs w:val="24"/>
        </w:rPr>
        <w:t xml:space="preserve">) Root biomass standing stock, </w:t>
      </w:r>
      <w:r w:rsidR="00C361EF" w:rsidRPr="00872293">
        <w:rPr>
          <w:rFonts w:ascii="Times New Roman" w:eastAsia="Times New Roman" w:hAnsi="Times New Roman" w:cs="Times New Roman"/>
          <w:bCs/>
          <w:color w:val="auto"/>
          <w:sz w:val="24"/>
          <w:szCs w:val="24"/>
        </w:rPr>
        <w:t>e</w:t>
      </w:r>
      <w:r w:rsidR="004D6304" w:rsidRPr="00872293">
        <w:rPr>
          <w:rFonts w:ascii="Times New Roman" w:eastAsia="Times New Roman" w:hAnsi="Times New Roman" w:cs="Times New Roman"/>
          <w:bCs/>
          <w:color w:val="auto"/>
          <w:sz w:val="24"/>
          <w:szCs w:val="24"/>
        </w:rPr>
        <w:t xml:space="preserve">) root biomass production, and </w:t>
      </w:r>
      <w:r w:rsidR="00C361EF" w:rsidRPr="00872293">
        <w:rPr>
          <w:rFonts w:ascii="Times New Roman" w:eastAsia="Times New Roman" w:hAnsi="Times New Roman" w:cs="Times New Roman"/>
          <w:bCs/>
          <w:color w:val="auto"/>
          <w:sz w:val="24"/>
          <w:szCs w:val="24"/>
        </w:rPr>
        <w:t>f</w:t>
      </w:r>
      <w:r w:rsidR="004D6304" w:rsidRPr="00872293">
        <w:rPr>
          <w:rFonts w:ascii="Times New Roman" w:eastAsia="Times New Roman" w:hAnsi="Times New Roman" w:cs="Times New Roman"/>
          <w:bCs/>
          <w:color w:val="auto"/>
          <w:sz w:val="24"/>
          <w:szCs w:val="24"/>
        </w:rPr>
        <w:t>) root biomass mortality between control plots and warmed plots though time</w:t>
      </w:r>
      <w:bookmarkEnd w:id="114"/>
      <w:bookmarkEnd w:id="115"/>
      <w:r w:rsidR="00C361EF" w:rsidRPr="00872293">
        <w:rPr>
          <w:rFonts w:ascii="Times New Roman" w:eastAsia="Times New Roman" w:hAnsi="Times New Roman" w:cs="Times New Roman"/>
          <w:bCs/>
          <w:color w:val="auto"/>
          <w:sz w:val="24"/>
          <w:szCs w:val="24"/>
        </w:rPr>
        <w:t>.</w:t>
      </w:r>
      <w:bookmarkEnd w:id="116"/>
      <w:r w:rsidR="00C361EF" w:rsidRPr="00872293">
        <w:rPr>
          <w:rFonts w:ascii="Times New Roman" w:eastAsia="Times New Roman" w:hAnsi="Times New Roman" w:cs="Times New Roman"/>
          <w:bCs/>
          <w:color w:val="auto"/>
          <w:sz w:val="24"/>
          <w:szCs w:val="24"/>
        </w:rPr>
        <w:t xml:space="preserve"> </w:t>
      </w:r>
    </w:p>
    <w:p w14:paraId="096CCCBA" w14:textId="77777777" w:rsidR="00D067CA" w:rsidRPr="00872293" w:rsidRDefault="00D067CA" w:rsidP="00C361EF">
      <w:pPr>
        <w:spacing w:line="360" w:lineRule="auto"/>
        <w:rPr>
          <w:rFonts w:ascii="Times New Roman" w:eastAsia="Times New Roman" w:hAnsi="Times New Roman" w:cs="Times New Roman"/>
        </w:rPr>
      </w:pPr>
    </w:p>
    <w:p w14:paraId="748939F6" w14:textId="4961DC8E" w:rsidR="005E5B4C" w:rsidRPr="00872293" w:rsidRDefault="005E5B4C" w:rsidP="00630DCB">
      <w:pPr>
        <w:rPr>
          <w:rFonts w:ascii="Times New Roman" w:eastAsia="Times New Roman" w:hAnsi="Times New Roman" w:cs="Times New Roman"/>
        </w:rPr>
      </w:pPr>
    </w:p>
    <w:p w14:paraId="35826396" w14:textId="18ABB79D" w:rsidR="008B098C" w:rsidRPr="00872293" w:rsidRDefault="00492286" w:rsidP="00E73604">
      <w:pPr>
        <w:keepNext/>
        <w:spacing w:line="480" w:lineRule="auto"/>
        <w:jc w:val="center"/>
      </w:pPr>
      <w:r w:rsidRPr="00872293">
        <w:rPr>
          <w:noProof/>
        </w:rPr>
        <w:lastRenderedPageBreak/>
        <w:drawing>
          <wp:inline distT="0" distB="0" distL="0" distR="0" wp14:anchorId="0EAFD296" wp14:editId="4C9FDE52">
            <wp:extent cx="5067300" cy="6102350"/>
            <wp:effectExtent l="0" t="0" r="0"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pic:nvPicPr>
                  <pic:blipFill rotWithShape="1">
                    <a:blip r:embed="rId34" cstate="print">
                      <a:extLst>
                        <a:ext uri="{28A0092B-C50C-407E-A947-70E740481C1C}">
                          <a14:useLocalDpi xmlns:a14="http://schemas.microsoft.com/office/drawing/2010/main" val="0"/>
                        </a:ext>
                      </a:extLst>
                    </a:blip>
                    <a:srcRect b="9680"/>
                    <a:stretch/>
                  </pic:blipFill>
                  <pic:spPr bwMode="auto">
                    <a:xfrm>
                      <a:off x="0" y="0"/>
                      <a:ext cx="5068337" cy="6103599"/>
                    </a:xfrm>
                    <a:prstGeom prst="rect">
                      <a:avLst/>
                    </a:prstGeom>
                    <a:ln>
                      <a:noFill/>
                    </a:ln>
                    <a:extLst>
                      <a:ext uri="{53640926-AAD7-44D8-BBD7-CCE9431645EC}">
                        <a14:shadowObscured xmlns:a14="http://schemas.microsoft.com/office/drawing/2010/main"/>
                      </a:ext>
                    </a:extLst>
                  </pic:spPr>
                </pic:pic>
              </a:graphicData>
            </a:graphic>
          </wp:inline>
        </w:drawing>
      </w:r>
    </w:p>
    <w:p w14:paraId="64513AD3" w14:textId="42B49CEB" w:rsidR="002D43DD" w:rsidRPr="00872293" w:rsidRDefault="002D43DD" w:rsidP="005F3DF5">
      <w:pPr>
        <w:pStyle w:val="Caption"/>
        <w:rPr>
          <w:rFonts w:ascii="Times New Roman" w:hAnsi="Times New Roman" w:cs="Times New Roman"/>
          <w:color w:val="auto"/>
          <w:sz w:val="24"/>
          <w:szCs w:val="24"/>
        </w:rPr>
      </w:pPr>
      <w:bookmarkStart w:id="117" w:name="_Toc53755782"/>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13</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Pr="00872293">
        <w:rPr>
          <w:rFonts w:ascii="Times New Roman" w:eastAsia="Times New Roman" w:hAnsi="Times New Roman" w:cs="Times New Roman"/>
          <w:color w:val="auto"/>
          <w:sz w:val="24"/>
          <w:szCs w:val="24"/>
        </w:rPr>
        <w:t xml:space="preserve">Significant regressions between root production and soil and microbial nutrient concentrations. Colors represent the treatment (red=warmed plots, blue=control plots), and the lines represent </w:t>
      </w:r>
      <w:r w:rsidR="007F1AA3" w:rsidRPr="00872293">
        <w:rPr>
          <w:rFonts w:ascii="Times New Roman" w:eastAsia="Times New Roman" w:hAnsi="Times New Roman" w:cs="Times New Roman"/>
          <w:color w:val="auto"/>
          <w:sz w:val="24"/>
          <w:szCs w:val="24"/>
        </w:rPr>
        <w:t>the linear model</w:t>
      </w:r>
      <w:r w:rsidRPr="00872293">
        <w:rPr>
          <w:rFonts w:ascii="Times New Roman" w:eastAsia="Times New Roman" w:hAnsi="Times New Roman" w:cs="Times New Roman"/>
          <w:color w:val="auto"/>
          <w:sz w:val="24"/>
          <w:szCs w:val="24"/>
        </w:rPr>
        <w:t xml:space="preserve">. </w:t>
      </w:r>
      <w:r w:rsidR="007F1AA3" w:rsidRPr="00872293">
        <w:rPr>
          <w:rFonts w:ascii="Times New Roman" w:eastAsia="Times New Roman" w:hAnsi="Times New Roman" w:cs="Times New Roman"/>
          <w:color w:val="auto"/>
          <w:sz w:val="24"/>
          <w:szCs w:val="24"/>
        </w:rPr>
        <w:t>Black</w:t>
      </w:r>
      <w:r w:rsidRPr="00872293">
        <w:rPr>
          <w:rFonts w:ascii="Times New Roman" w:eastAsia="Times New Roman" w:hAnsi="Times New Roman" w:cs="Times New Roman"/>
          <w:color w:val="auto"/>
          <w:sz w:val="24"/>
          <w:szCs w:val="24"/>
        </w:rPr>
        <w:t xml:space="preserve"> lines represent models that did not include treatment, and </w:t>
      </w:r>
      <w:r w:rsidR="007F1AA3" w:rsidRPr="00872293">
        <w:rPr>
          <w:rFonts w:ascii="Times New Roman" w:eastAsia="Times New Roman" w:hAnsi="Times New Roman" w:cs="Times New Roman"/>
          <w:color w:val="auto"/>
          <w:sz w:val="24"/>
          <w:szCs w:val="24"/>
        </w:rPr>
        <w:t>the two</w:t>
      </w:r>
      <w:r w:rsidRPr="00872293">
        <w:rPr>
          <w:rFonts w:ascii="Times New Roman" w:eastAsia="Times New Roman" w:hAnsi="Times New Roman" w:cs="Times New Roman"/>
          <w:color w:val="auto"/>
          <w:sz w:val="24"/>
          <w:szCs w:val="24"/>
        </w:rPr>
        <w:t xml:space="preserve"> lines</w:t>
      </w:r>
      <w:r w:rsidR="007F1AA3" w:rsidRPr="00872293">
        <w:rPr>
          <w:rFonts w:ascii="Times New Roman" w:eastAsia="Times New Roman" w:hAnsi="Times New Roman" w:cs="Times New Roman"/>
          <w:color w:val="auto"/>
          <w:sz w:val="24"/>
          <w:szCs w:val="24"/>
        </w:rPr>
        <w:t xml:space="preserve"> (red and blue)</w:t>
      </w:r>
      <w:r w:rsidRPr="00872293">
        <w:rPr>
          <w:rFonts w:ascii="Times New Roman" w:eastAsia="Times New Roman" w:hAnsi="Times New Roman" w:cs="Times New Roman"/>
          <w:color w:val="auto"/>
          <w:sz w:val="24"/>
          <w:szCs w:val="24"/>
        </w:rPr>
        <w:t xml:space="preserve"> represent the models that included treatment.</w:t>
      </w:r>
      <w:bookmarkEnd w:id="117"/>
    </w:p>
    <w:p w14:paraId="55659583" w14:textId="77777777" w:rsidR="00792734" w:rsidRPr="00872293" w:rsidRDefault="00120E95" w:rsidP="00135130">
      <w:pPr>
        <w:tabs>
          <w:tab w:val="center" w:pos="4680"/>
        </w:tabs>
        <w:spacing w:line="480" w:lineRule="auto"/>
        <w:jc w:val="center"/>
        <w:rPr>
          <w:rFonts w:ascii="Times New Roman" w:eastAsia="Times New Roman" w:hAnsi="Times New Roman" w:cs="Times New Roman"/>
        </w:rPr>
      </w:pPr>
      <w:r w:rsidRPr="00872293">
        <w:rPr>
          <w:noProof/>
          <w:sz w:val="16"/>
          <w:szCs w:val="16"/>
        </w:rPr>
        <w:lastRenderedPageBreak/>
        <w:drawing>
          <wp:inline distT="0" distB="0" distL="0" distR="0" wp14:anchorId="10793872" wp14:editId="10645AA5">
            <wp:extent cx="2764422" cy="2695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mmulative beta distribution by treatment and hurricane.tif"/>
                    <pic:cNvPicPr/>
                  </pic:nvPicPr>
                  <pic:blipFill rotWithShape="1">
                    <a:blip r:embed="rId35" cstate="print">
                      <a:extLst>
                        <a:ext uri="{28A0092B-C50C-407E-A947-70E740481C1C}">
                          <a14:useLocalDpi xmlns:a14="http://schemas.microsoft.com/office/drawing/2010/main" val="0"/>
                        </a:ext>
                      </a:extLst>
                    </a:blip>
                    <a:srcRect l="7907" t="25242" r="36324" b="33974"/>
                    <a:stretch/>
                  </pic:blipFill>
                  <pic:spPr bwMode="auto">
                    <a:xfrm>
                      <a:off x="0" y="0"/>
                      <a:ext cx="2776975" cy="2707816"/>
                    </a:xfrm>
                    <a:prstGeom prst="rect">
                      <a:avLst/>
                    </a:prstGeom>
                    <a:ln>
                      <a:noFill/>
                    </a:ln>
                    <a:extLst>
                      <a:ext uri="{53640926-AAD7-44D8-BBD7-CCE9431645EC}">
                        <a14:shadowObscured xmlns:a14="http://schemas.microsoft.com/office/drawing/2010/main"/>
                      </a:ext>
                    </a:extLst>
                  </pic:spPr>
                </pic:pic>
              </a:graphicData>
            </a:graphic>
          </wp:inline>
        </w:drawing>
      </w:r>
    </w:p>
    <w:p w14:paraId="3525A366" w14:textId="3A84E83C" w:rsidR="00916183" w:rsidRPr="00872293" w:rsidRDefault="002D43DD" w:rsidP="005F3DF5">
      <w:pPr>
        <w:pStyle w:val="Caption"/>
        <w:rPr>
          <w:rFonts w:ascii="Times New Roman" w:hAnsi="Times New Roman" w:cs="Times New Roman"/>
          <w:color w:val="auto"/>
          <w:sz w:val="24"/>
          <w:szCs w:val="24"/>
        </w:rPr>
      </w:pPr>
      <w:bookmarkStart w:id="118" w:name="_Toc32770148"/>
      <w:bookmarkStart w:id="119" w:name="_Toc32771034"/>
      <w:bookmarkStart w:id="120" w:name="_Toc53755783"/>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14</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B10C6A" w:rsidRPr="00872293">
        <w:rPr>
          <w:rFonts w:ascii="Times New Roman" w:hAnsi="Times New Roman" w:cs="Times New Roman"/>
          <w:color w:val="auto"/>
          <w:sz w:val="24"/>
          <w:szCs w:val="24"/>
        </w:rPr>
        <w:t>Averaged cumulative root biomass from all plots and time frame through the whole profile depth.</w:t>
      </w:r>
      <w:bookmarkEnd w:id="118"/>
      <w:bookmarkEnd w:id="119"/>
      <w:bookmarkEnd w:id="120"/>
    </w:p>
    <w:p w14:paraId="61B1B1BA" w14:textId="77777777" w:rsidR="00630DCB" w:rsidRPr="00872293" w:rsidRDefault="00630DCB" w:rsidP="00630DCB"/>
    <w:p w14:paraId="01D3DEF3" w14:textId="77777777" w:rsidR="00630DCB" w:rsidRPr="00872293" w:rsidRDefault="00630DCB" w:rsidP="00630DCB"/>
    <w:p w14:paraId="40800D13" w14:textId="381CB059" w:rsidR="00863535" w:rsidRPr="00872293" w:rsidRDefault="00916183" w:rsidP="00135130">
      <w:pPr>
        <w:pStyle w:val="Caption"/>
        <w:jc w:val="center"/>
        <w:rPr>
          <w:rFonts w:ascii="Times New Roman" w:eastAsia="Times New Roman" w:hAnsi="Times New Roman" w:cs="Times New Roman"/>
          <w:noProof/>
          <w:color w:val="auto"/>
          <w:sz w:val="24"/>
          <w:szCs w:val="24"/>
        </w:rPr>
      </w:pPr>
      <w:r w:rsidRPr="00872293">
        <w:rPr>
          <w:noProof/>
          <w:color w:val="auto"/>
          <w:sz w:val="16"/>
          <w:szCs w:val="16"/>
        </w:rPr>
        <w:drawing>
          <wp:inline distT="0" distB="0" distL="0" distR="0" wp14:anchorId="1701B352" wp14:editId="37491221">
            <wp:extent cx="5943600" cy="3302000"/>
            <wp:effectExtent l="0" t="0" r="0" b="0"/>
            <wp:docPr id="14" name="Picture 1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ot dynamics by depth multiple graphs.tif"/>
                    <pic:cNvPicPr/>
                  </pic:nvPicPr>
                  <pic:blipFill rotWithShape="1">
                    <a:blip r:embed="rId36" cstate="print">
                      <a:extLst>
                        <a:ext uri="{28A0092B-C50C-407E-A947-70E740481C1C}">
                          <a14:useLocalDpi xmlns:a14="http://schemas.microsoft.com/office/drawing/2010/main" val="0"/>
                        </a:ext>
                      </a:extLst>
                    </a:blip>
                    <a:srcRect t="28525" b="29808"/>
                    <a:stretch/>
                  </pic:blipFill>
                  <pic:spPr bwMode="auto">
                    <a:xfrm>
                      <a:off x="0" y="0"/>
                      <a:ext cx="5943600" cy="3302000"/>
                    </a:xfrm>
                    <a:prstGeom prst="rect">
                      <a:avLst/>
                    </a:prstGeom>
                    <a:ln>
                      <a:noFill/>
                    </a:ln>
                    <a:extLst>
                      <a:ext uri="{53640926-AAD7-44D8-BBD7-CCE9431645EC}">
                        <a14:shadowObscured xmlns:a14="http://schemas.microsoft.com/office/drawing/2010/main"/>
                      </a:ext>
                    </a:extLst>
                  </pic:spPr>
                </pic:pic>
              </a:graphicData>
            </a:graphic>
          </wp:inline>
        </w:drawing>
      </w:r>
    </w:p>
    <w:p w14:paraId="232D4390" w14:textId="6F1F3DC0" w:rsidR="00D067CA" w:rsidRPr="00872293" w:rsidRDefault="002D43DD" w:rsidP="005F3DF5">
      <w:pPr>
        <w:pStyle w:val="Caption"/>
        <w:rPr>
          <w:rFonts w:ascii="Times New Roman" w:eastAsia="Times New Roman" w:hAnsi="Times New Roman" w:cs="Times New Roman"/>
          <w:color w:val="auto"/>
          <w:sz w:val="24"/>
          <w:szCs w:val="24"/>
        </w:rPr>
      </w:pPr>
      <w:bookmarkStart w:id="121" w:name="_Toc53755784"/>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15</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w:t>
      </w:r>
      <w:r w:rsidR="00863535" w:rsidRPr="00872293">
        <w:rPr>
          <w:rFonts w:ascii="Times New Roman" w:hAnsi="Times New Roman" w:cs="Times New Roman"/>
          <w:color w:val="auto"/>
          <w:sz w:val="24"/>
          <w:szCs w:val="24"/>
        </w:rPr>
        <w:t xml:space="preserve"> </w:t>
      </w:r>
      <w:r w:rsidR="009E4125" w:rsidRPr="00872293">
        <w:rPr>
          <w:rFonts w:ascii="Times New Roman" w:hAnsi="Times New Roman" w:cs="Times New Roman"/>
          <w:color w:val="auto"/>
          <w:sz w:val="24"/>
          <w:szCs w:val="24"/>
        </w:rPr>
        <w:t xml:space="preserve">a-c) </w:t>
      </w:r>
      <w:r w:rsidR="009E4125" w:rsidRPr="00872293">
        <w:rPr>
          <w:rFonts w:ascii="Times New Roman" w:eastAsia="Times New Roman" w:hAnsi="Times New Roman" w:cs="Times New Roman"/>
          <w:color w:val="auto"/>
          <w:sz w:val="24"/>
          <w:szCs w:val="24"/>
        </w:rPr>
        <w:t xml:space="preserve">Root stock, root production, and root mortality before the hurricanes and d-f) after the hurricanes, as measured by the minirhizotron method by depth. </w:t>
      </w:r>
      <w:r w:rsidR="009E4125" w:rsidRPr="00872293">
        <w:rPr>
          <w:rFonts w:ascii="Times New Roman" w:eastAsia="Times New Roman" w:hAnsi="Times New Roman" w:cs="Times New Roman"/>
          <w:bCs/>
          <w:color w:val="auto"/>
          <w:sz w:val="24"/>
          <w:szCs w:val="24"/>
        </w:rPr>
        <w:t xml:space="preserve">The circles are the </w:t>
      </w:r>
      <w:proofErr w:type="gramStart"/>
      <w:r w:rsidR="009E4125" w:rsidRPr="00872293">
        <w:rPr>
          <w:rFonts w:ascii="Times New Roman" w:eastAsia="Times New Roman" w:hAnsi="Times New Roman" w:cs="Times New Roman"/>
          <w:bCs/>
          <w:color w:val="auto"/>
          <w:sz w:val="24"/>
          <w:szCs w:val="24"/>
        </w:rPr>
        <w:t>mean</w:t>
      </w:r>
      <w:proofErr w:type="gramEnd"/>
      <w:r w:rsidR="009E4125" w:rsidRPr="00872293">
        <w:rPr>
          <w:rFonts w:ascii="Times New Roman" w:eastAsia="Times New Roman" w:hAnsi="Times New Roman" w:cs="Times New Roman"/>
          <w:bCs/>
          <w:color w:val="auto"/>
          <w:sz w:val="24"/>
          <w:szCs w:val="24"/>
        </w:rPr>
        <w:t xml:space="preserve"> and the error bars represent the standard error. Blue circles with dashed lines depict control plot data and red circles with solid lines depict data from the warmed plots.</w:t>
      </w:r>
      <w:bookmarkEnd w:id="121"/>
    </w:p>
    <w:p w14:paraId="1A85B0EC" w14:textId="4B7A38C5" w:rsidR="00013299" w:rsidRPr="00872293" w:rsidRDefault="00EF2B59" w:rsidP="00135130">
      <w:pPr>
        <w:spacing w:line="480" w:lineRule="auto"/>
        <w:jc w:val="center"/>
        <w:rPr>
          <w:rFonts w:ascii="Times New Roman" w:eastAsia="Times New Roman" w:hAnsi="Times New Roman" w:cs="Times New Roman"/>
        </w:rPr>
      </w:pPr>
      <w:r w:rsidRPr="00872293">
        <w:rPr>
          <w:rFonts w:ascii="Times New Roman" w:eastAsia="Times New Roman" w:hAnsi="Times New Roman" w:cs="Times New Roman"/>
          <w:noProof/>
        </w:rPr>
        <w:lastRenderedPageBreak/>
        <w:drawing>
          <wp:inline distT="0" distB="0" distL="0" distR="0" wp14:anchorId="1F5140EC" wp14:editId="4A72705E">
            <wp:extent cx="4391025" cy="3679630"/>
            <wp:effectExtent l="0" t="0" r="0" b="0"/>
            <wp:docPr id="31" name="Picture 3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pic:nvPicPr>
                  <pic:blipFill rotWithShape="1">
                    <a:blip r:embed="rId37" cstate="print">
                      <a:extLst>
                        <a:ext uri="{28A0092B-C50C-407E-A947-70E740481C1C}">
                          <a14:useLocalDpi xmlns:a14="http://schemas.microsoft.com/office/drawing/2010/main" val="0"/>
                        </a:ext>
                      </a:extLst>
                    </a:blip>
                    <a:srcRect l="2351" t="17388" r="21155" b="34535"/>
                    <a:stretch/>
                  </pic:blipFill>
                  <pic:spPr bwMode="auto">
                    <a:xfrm>
                      <a:off x="0" y="0"/>
                      <a:ext cx="4396510" cy="3684227"/>
                    </a:xfrm>
                    <a:prstGeom prst="rect">
                      <a:avLst/>
                    </a:prstGeom>
                    <a:ln>
                      <a:noFill/>
                    </a:ln>
                    <a:extLst>
                      <a:ext uri="{53640926-AAD7-44D8-BBD7-CCE9431645EC}">
                        <a14:shadowObscured xmlns:a14="http://schemas.microsoft.com/office/drawing/2010/main"/>
                      </a:ext>
                    </a:extLst>
                  </pic:spPr>
                </pic:pic>
              </a:graphicData>
            </a:graphic>
          </wp:inline>
        </w:drawing>
      </w:r>
    </w:p>
    <w:p w14:paraId="783F7503" w14:textId="163AEE9E" w:rsidR="00D40CCE" w:rsidRPr="00872293" w:rsidRDefault="00EF2B59" w:rsidP="005F3DF5">
      <w:pPr>
        <w:pStyle w:val="Caption"/>
        <w:rPr>
          <w:rFonts w:ascii="Times New Roman" w:eastAsia="Times New Roman" w:hAnsi="Times New Roman" w:cs="Times New Roman"/>
          <w:color w:val="auto"/>
        </w:rPr>
      </w:pPr>
      <w:bookmarkStart w:id="122" w:name="_Toc53755785"/>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16</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Pr="00872293">
        <w:rPr>
          <w:rFonts w:ascii="Times New Roman" w:eastAsia="Times New Roman" w:hAnsi="Times New Roman" w:cs="Times New Roman"/>
          <w:color w:val="auto"/>
          <w:sz w:val="24"/>
          <w:szCs w:val="24"/>
        </w:rPr>
        <w:t xml:space="preserve">Boxplots showing a) specific root length with time, and b) fine-root diameter with time, using new roots collected from the in-growth cores. </w:t>
      </w:r>
      <w:r w:rsidRPr="00872293">
        <w:rPr>
          <w:rFonts w:ascii="Times New Roman" w:eastAsia="Times New Roman" w:hAnsi="Times New Roman" w:cs="Times New Roman"/>
          <w:bCs/>
          <w:color w:val="auto"/>
          <w:sz w:val="24"/>
          <w:szCs w:val="24"/>
        </w:rPr>
        <w:t xml:space="preserve">The x axis represents the date of root in-growth core collection. </w:t>
      </w:r>
      <w:r w:rsidRPr="00872293">
        <w:rPr>
          <w:rFonts w:ascii="Times New Roman" w:eastAsia="Times New Roman" w:hAnsi="Times New Roman" w:cs="Times New Roman"/>
          <w:color w:val="auto"/>
          <w:sz w:val="24"/>
          <w:szCs w:val="24"/>
        </w:rPr>
        <w:t xml:space="preserve">The vertical dashed line depicts when Hurricane María struck the site. </w:t>
      </w:r>
      <w:r w:rsidRPr="00872293">
        <w:rPr>
          <w:rFonts w:ascii="Times New Roman" w:hAnsi="Times New Roman" w:cs="Times New Roman"/>
          <w:color w:val="auto"/>
          <w:sz w:val="24"/>
          <w:szCs w:val="24"/>
        </w:rPr>
        <w:t>Significant differences from the mixed model ANOVA coefficients are designated with different letters.</w:t>
      </w:r>
      <w:bookmarkEnd w:id="122"/>
      <w:r w:rsidR="00D40CCE" w:rsidRPr="00872293">
        <w:rPr>
          <w:rFonts w:ascii="Times New Roman" w:hAnsi="Times New Roman" w:cs="Times New Roman"/>
          <w:b/>
          <w:bCs/>
          <w:color w:val="auto"/>
        </w:rPr>
        <w:br w:type="page"/>
      </w:r>
    </w:p>
    <w:p w14:paraId="70232D62" w14:textId="77777777" w:rsidR="00E6733C" w:rsidRPr="00872293" w:rsidRDefault="00E6733C" w:rsidP="008C6C33">
      <w:pPr>
        <w:jc w:val="center"/>
        <w:rPr>
          <w:rFonts w:ascii="Times New Roman" w:hAnsi="Times New Roman" w:cs="Times New Roman"/>
          <w:b/>
          <w:bCs/>
          <w:sz w:val="36"/>
          <w:szCs w:val="36"/>
        </w:rPr>
      </w:pPr>
    </w:p>
    <w:p w14:paraId="7C99CF0E" w14:textId="3DD24DD2" w:rsidR="007A5DDC" w:rsidRPr="00872293" w:rsidRDefault="007A5DDC" w:rsidP="00F56AEC">
      <w:pPr>
        <w:jc w:val="center"/>
        <w:rPr>
          <w:rFonts w:ascii="Times New Roman" w:hAnsi="Times New Roman" w:cs="Times New Roman"/>
          <w:b/>
          <w:bCs/>
          <w:sz w:val="36"/>
          <w:szCs w:val="36"/>
        </w:rPr>
      </w:pPr>
      <w:r w:rsidRPr="00872293">
        <w:rPr>
          <w:rFonts w:ascii="Times New Roman" w:hAnsi="Times New Roman" w:cs="Times New Roman"/>
          <w:b/>
          <w:bCs/>
          <w:sz w:val="36"/>
          <w:szCs w:val="36"/>
        </w:rPr>
        <w:t>C</w:t>
      </w:r>
      <w:r w:rsidR="00367F21" w:rsidRPr="00872293">
        <w:rPr>
          <w:rFonts w:ascii="Times New Roman" w:hAnsi="Times New Roman" w:cs="Times New Roman"/>
          <w:b/>
          <w:bCs/>
          <w:sz w:val="36"/>
          <w:szCs w:val="36"/>
        </w:rPr>
        <w:t xml:space="preserve">hapter </w:t>
      </w:r>
      <w:r w:rsidR="007A1DC3" w:rsidRPr="00872293">
        <w:rPr>
          <w:rFonts w:ascii="Times New Roman" w:hAnsi="Times New Roman" w:cs="Times New Roman"/>
          <w:b/>
          <w:bCs/>
          <w:sz w:val="36"/>
          <w:szCs w:val="36"/>
        </w:rPr>
        <w:t>4</w:t>
      </w:r>
    </w:p>
    <w:p w14:paraId="33A94D1D" w14:textId="0DE77A8D" w:rsidR="00943CA9" w:rsidRPr="00872293" w:rsidRDefault="00175F6E" w:rsidP="008C6C33">
      <w:pPr>
        <w:pStyle w:val="Heading1"/>
        <w:rPr>
          <w:rFonts w:cs="Times New Roman"/>
          <w:szCs w:val="36"/>
        </w:rPr>
      </w:pPr>
      <w:bookmarkStart w:id="123" w:name="_Toc53689093"/>
      <w:r w:rsidRPr="00872293">
        <w:t>Tropical fine-root trait strategies for phosphorus acquisition and their response to hurricane disturbance in a wet tropical forest of Puerto Rico</w:t>
      </w:r>
      <w:bookmarkEnd w:id="123"/>
    </w:p>
    <w:p w14:paraId="01002349" w14:textId="77777777" w:rsidR="00B66832" w:rsidRPr="00872293" w:rsidRDefault="00B66832" w:rsidP="00B66832">
      <w:pPr>
        <w:spacing w:line="360" w:lineRule="auto"/>
        <w:rPr>
          <w:rFonts w:ascii="Times New Roman" w:hAnsi="Times New Roman" w:cs="Times New Roman"/>
          <w:b/>
          <w:bCs/>
        </w:rPr>
      </w:pPr>
    </w:p>
    <w:p w14:paraId="4D021699" w14:textId="77777777" w:rsidR="00FA5C24" w:rsidRPr="00872293" w:rsidRDefault="00FA5C24" w:rsidP="00FA5C24">
      <w:pPr>
        <w:spacing w:line="360" w:lineRule="auto"/>
        <w:jc w:val="center"/>
        <w:rPr>
          <w:rFonts w:ascii="Times New Roman" w:hAnsi="Times New Roman" w:cs="Times New Roman"/>
          <w:b/>
          <w:bCs/>
        </w:rPr>
      </w:pPr>
      <w:r w:rsidRPr="00872293">
        <w:rPr>
          <w:rFonts w:ascii="Times New Roman" w:eastAsia="TimesNewRomanPSMT" w:hAnsi="Times New Roman" w:cs="Times New Roman"/>
        </w:rPr>
        <w:t>My use of “we” in this chapter refers to my co-authors and myself.</w:t>
      </w:r>
    </w:p>
    <w:p w14:paraId="6429C74B" w14:textId="4E82431E" w:rsidR="00FA5C24" w:rsidRPr="00872293" w:rsidRDefault="00FA5C24" w:rsidP="00FA5C24">
      <w:pPr>
        <w:spacing w:line="360" w:lineRule="auto"/>
        <w:jc w:val="center"/>
        <w:rPr>
          <w:rFonts w:ascii="Times New Roman" w:hAnsi="Times New Roman" w:cs="Times New Roman"/>
          <w:b/>
          <w:bCs/>
        </w:rPr>
      </w:pPr>
      <w:r w:rsidRPr="00872293">
        <w:rPr>
          <w:rFonts w:ascii="Times New Roman" w:hAnsi="Times New Roman" w:cs="Times New Roman"/>
        </w:rPr>
        <w:t xml:space="preserve">A version of this chapter will be submitted in Frontiers in Forests and Global Change: Yaffar D., </w:t>
      </w:r>
      <w:proofErr w:type="spellStart"/>
      <w:r w:rsidRPr="00872293">
        <w:rPr>
          <w:rFonts w:ascii="Times New Roman" w:hAnsi="Times New Roman" w:cs="Times New Roman"/>
        </w:rPr>
        <w:t>Cabugao</w:t>
      </w:r>
      <w:proofErr w:type="spellEnd"/>
      <w:r w:rsidRPr="00872293">
        <w:rPr>
          <w:rFonts w:ascii="Times New Roman" w:hAnsi="Times New Roman" w:cs="Times New Roman"/>
        </w:rPr>
        <w:t xml:space="preserve"> K. G., Child J., Carvajal N. &amp; Norby R. J.</w:t>
      </w:r>
    </w:p>
    <w:p w14:paraId="31CF6EAD" w14:textId="4EE7FDFC" w:rsidR="00FA5C24" w:rsidRPr="00872293" w:rsidRDefault="00FA5C24" w:rsidP="00FA5C24">
      <w:pPr>
        <w:autoSpaceDE w:val="0"/>
        <w:autoSpaceDN w:val="0"/>
        <w:adjustRightInd w:val="0"/>
        <w:spacing w:line="360" w:lineRule="auto"/>
        <w:jc w:val="center"/>
        <w:rPr>
          <w:rFonts w:ascii="Times New Roman" w:hAnsi="Times New Roman" w:cs="Times New Roman"/>
        </w:rPr>
      </w:pPr>
      <w:r w:rsidRPr="00872293">
        <w:rPr>
          <w:rFonts w:ascii="Times New Roman" w:hAnsi="Times New Roman" w:cs="Times New Roman"/>
        </w:rPr>
        <w:t xml:space="preserve">DY </w:t>
      </w:r>
      <w:r w:rsidR="00C3570C" w:rsidRPr="00872293">
        <w:rPr>
          <w:rFonts w:ascii="Times New Roman" w:hAnsi="Times New Roman" w:cs="Times New Roman"/>
        </w:rPr>
        <w:t xml:space="preserve">developed the concept of the study, </w:t>
      </w:r>
      <w:r w:rsidRPr="00872293">
        <w:rPr>
          <w:rFonts w:ascii="Times New Roman" w:hAnsi="Times New Roman" w:cs="Times New Roman"/>
        </w:rPr>
        <w:t xml:space="preserve">participated in the field and laboratory measurements, analyzed the data, and wrote the paper. </w:t>
      </w:r>
      <w:r w:rsidR="00C3570C" w:rsidRPr="00872293">
        <w:rPr>
          <w:rFonts w:ascii="Times New Roman" w:hAnsi="Times New Roman" w:cs="Times New Roman"/>
        </w:rPr>
        <w:t>KGC participated in</w:t>
      </w:r>
      <w:r w:rsidRPr="00872293">
        <w:rPr>
          <w:rFonts w:ascii="Times New Roman" w:hAnsi="Times New Roman" w:cs="Times New Roman"/>
        </w:rPr>
        <w:t xml:space="preserve"> </w:t>
      </w:r>
      <w:r w:rsidR="00C3570C" w:rsidRPr="00872293">
        <w:rPr>
          <w:rFonts w:ascii="Times New Roman" w:hAnsi="Times New Roman" w:cs="Times New Roman"/>
        </w:rPr>
        <w:t>developing</w:t>
      </w:r>
      <w:r w:rsidRPr="00872293">
        <w:rPr>
          <w:rFonts w:ascii="Times New Roman" w:hAnsi="Times New Roman" w:cs="Times New Roman"/>
        </w:rPr>
        <w:t xml:space="preserve"> the concept for the </w:t>
      </w:r>
      <w:r w:rsidR="00C3570C" w:rsidRPr="00872293">
        <w:rPr>
          <w:rFonts w:ascii="Times New Roman" w:hAnsi="Times New Roman" w:cs="Times New Roman"/>
        </w:rPr>
        <w:t>study</w:t>
      </w:r>
      <w:r w:rsidRPr="00872293">
        <w:rPr>
          <w:rFonts w:ascii="Times New Roman" w:hAnsi="Times New Roman" w:cs="Times New Roman"/>
        </w:rPr>
        <w:t>,</w:t>
      </w:r>
      <w:r w:rsidR="00C3570C" w:rsidRPr="00872293">
        <w:rPr>
          <w:rFonts w:ascii="Times New Roman" w:hAnsi="Times New Roman" w:cs="Times New Roman"/>
        </w:rPr>
        <w:t xml:space="preserve"> participated in the field and laboratory measurements</w:t>
      </w:r>
      <w:r w:rsidRPr="00872293">
        <w:rPr>
          <w:rFonts w:ascii="Times New Roman" w:hAnsi="Times New Roman" w:cs="Times New Roman"/>
        </w:rPr>
        <w:t xml:space="preserve">, reviewed, and edited the paper. </w:t>
      </w:r>
      <w:r w:rsidR="00C3570C" w:rsidRPr="00872293">
        <w:rPr>
          <w:rFonts w:ascii="Times New Roman" w:hAnsi="Times New Roman" w:cs="Times New Roman"/>
        </w:rPr>
        <w:t>JC</w:t>
      </w:r>
      <w:r w:rsidRPr="00872293">
        <w:rPr>
          <w:rFonts w:ascii="Times New Roman" w:hAnsi="Times New Roman" w:cs="Times New Roman"/>
        </w:rPr>
        <w:t xml:space="preserve"> assisted in </w:t>
      </w:r>
      <w:r w:rsidR="00C3570C" w:rsidRPr="00872293">
        <w:rPr>
          <w:rFonts w:ascii="Times New Roman" w:hAnsi="Times New Roman" w:cs="Times New Roman"/>
        </w:rPr>
        <w:t>the field and laboratory measurements</w:t>
      </w:r>
      <w:r w:rsidR="00904FDF" w:rsidRPr="00872293">
        <w:rPr>
          <w:rFonts w:ascii="Times New Roman" w:hAnsi="Times New Roman" w:cs="Times New Roman"/>
        </w:rPr>
        <w:t xml:space="preserve">. </w:t>
      </w:r>
      <w:r w:rsidRPr="00872293">
        <w:rPr>
          <w:rFonts w:ascii="Times New Roman" w:hAnsi="Times New Roman" w:cs="Times New Roman"/>
        </w:rPr>
        <w:t xml:space="preserve">RJN </w:t>
      </w:r>
      <w:r w:rsidR="00847864" w:rsidRPr="00872293">
        <w:rPr>
          <w:rFonts w:ascii="Times New Roman" w:hAnsi="Times New Roman" w:cs="Times New Roman"/>
        </w:rPr>
        <w:t>participated in developing the concept of the study</w:t>
      </w:r>
      <w:r w:rsidRPr="00872293">
        <w:rPr>
          <w:rFonts w:ascii="Times New Roman" w:hAnsi="Times New Roman" w:cs="Times New Roman"/>
        </w:rPr>
        <w:t xml:space="preserve">, </w:t>
      </w:r>
      <w:r w:rsidR="00847864" w:rsidRPr="00872293">
        <w:rPr>
          <w:rFonts w:ascii="Times New Roman" w:hAnsi="Times New Roman" w:cs="Times New Roman"/>
        </w:rPr>
        <w:t>helped in taking field and laboratory measurements</w:t>
      </w:r>
      <w:r w:rsidRPr="00872293">
        <w:rPr>
          <w:rFonts w:ascii="Times New Roman" w:hAnsi="Times New Roman" w:cs="Times New Roman"/>
        </w:rPr>
        <w:t>, reviewed</w:t>
      </w:r>
      <w:r w:rsidR="00847864" w:rsidRPr="00872293">
        <w:rPr>
          <w:rFonts w:ascii="Times New Roman" w:hAnsi="Times New Roman" w:cs="Times New Roman"/>
        </w:rPr>
        <w:t xml:space="preserve"> </w:t>
      </w:r>
      <w:r w:rsidR="00757BD5" w:rsidRPr="00872293">
        <w:rPr>
          <w:rFonts w:ascii="Times New Roman" w:hAnsi="Times New Roman" w:cs="Times New Roman"/>
        </w:rPr>
        <w:t>substantially</w:t>
      </w:r>
      <w:r w:rsidRPr="00872293">
        <w:rPr>
          <w:rFonts w:ascii="Times New Roman" w:hAnsi="Times New Roman" w:cs="Times New Roman"/>
        </w:rPr>
        <w:t>, and edited the paper.</w:t>
      </w:r>
    </w:p>
    <w:p w14:paraId="3842B25F" w14:textId="77777777" w:rsidR="00757BD5" w:rsidRPr="00872293" w:rsidRDefault="00757BD5">
      <w:pPr>
        <w:rPr>
          <w:rFonts w:ascii="Times New Roman" w:hAnsi="Times New Roman" w:cs="Times New Roman"/>
          <w:b/>
          <w:bCs/>
        </w:rPr>
      </w:pPr>
      <w:r w:rsidRPr="00872293">
        <w:rPr>
          <w:rFonts w:ascii="Times New Roman" w:hAnsi="Times New Roman" w:cs="Times New Roman"/>
          <w:b/>
          <w:bCs/>
        </w:rPr>
        <w:br w:type="page"/>
      </w:r>
    </w:p>
    <w:p w14:paraId="132FED41" w14:textId="439E0273" w:rsidR="00346B9A" w:rsidRPr="00872293" w:rsidRDefault="00757BD5" w:rsidP="005F3DF5">
      <w:pPr>
        <w:pStyle w:val="Heading2"/>
        <w:spacing w:before="0" w:after="0" w:line="360" w:lineRule="auto"/>
      </w:pPr>
      <w:bookmarkStart w:id="124" w:name="_Toc53689094"/>
      <w:r w:rsidRPr="00872293">
        <w:lastRenderedPageBreak/>
        <w:t>Abstract</w:t>
      </w:r>
      <w:bookmarkEnd w:id="124"/>
    </w:p>
    <w:p w14:paraId="169C359A" w14:textId="3FE08A94" w:rsidR="00112531" w:rsidRPr="00872293" w:rsidRDefault="00112531" w:rsidP="005F3DF5">
      <w:pPr>
        <w:autoSpaceDE w:val="0"/>
        <w:autoSpaceDN w:val="0"/>
        <w:adjustRightInd w:val="0"/>
        <w:spacing w:before="240" w:line="360" w:lineRule="auto"/>
        <w:rPr>
          <w:rFonts w:ascii="Times New Roman" w:hAnsi="Times New Roman"/>
        </w:rPr>
      </w:pPr>
      <w:r w:rsidRPr="00872293">
        <w:rPr>
          <w:rFonts w:ascii="Times New Roman" w:hAnsi="Times New Roman"/>
        </w:rPr>
        <w:t>Tropical trees commonly present adaptive functional traits to live in low available phosphorus (P) ecosystems, including root traits that optimize P acquisition from soils. These root traits include mycorrhizal colonization, root phosphatase activity (</w:t>
      </w:r>
      <w:proofErr w:type="spellStart"/>
      <w:r w:rsidRPr="00872293">
        <w:rPr>
          <w:rFonts w:ascii="Times New Roman" w:hAnsi="Times New Roman"/>
        </w:rPr>
        <w:t>phosphomonoesterase</w:t>
      </w:r>
      <w:proofErr w:type="spellEnd"/>
      <w:r w:rsidRPr="00872293">
        <w:rPr>
          <w:rFonts w:ascii="Times New Roman" w:hAnsi="Times New Roman"/>
        </w:rPr>
        <w:t xml:space="preserve">; PME), and root branching. However, due to the high cost associated with an investment in any one of these root traits, different species may rely on one more than the others, creating a gradient of strategies for resource acquisition. At one end of this gradient, species have an “outsourcing” strategy, where they invest in their fungal symbiotic partners to obtain P. At the other end, species use the “do it yourself” strategy, which results in thinner roots for nutrient exploration. These strategies are part of the collaboration gradient dimension of the new root economics spectrum framework. Our study aimed to describe seven root traits from common species within the Luquillo Experimental Forest in Puerto Rico, evaluate the position of  mycorrhizal colonization percentage, root branching ratio, and root PME in the collaboration gradient, and test their relationships between each other and with other root traits accounting for site and species variation. Additionally, we tested the responsiveness of these root traits to two consecutive hurricanes that passed by the island. We found that species with greater mycorrhizal colonization had a smaller root branching ratio, which would place greater investment in these two traits at opposite ends of the collaboration gradient. We also found that species with greater root mycorrhizal colonization presented greater root PME, which suggests a combined contribution of root PME by the root and their mycorrhizal symbiont partners, and that both root traits would be closer to the “outsourcing” end of the gradient. Root branching ratio, which </w:t>
      </w:r>
      <w:proofErr w:type="gramStart"/>
      <w:r w:rsidRPr="00872293">
        <w:rPr>
          <w:rFonts w:ascii="Times New Roman" w:hAnsi="Times New Roman"/>
        </w:rPr>
        <w:t>was located in</w:t>
      </w:r>
      <w:proofErr w:type="gramEnd"/>
      <w:r w:rsidRPr="00872293">
        <w:rPr>
          <w:rFonts w:ascii="Times New Roman" w:hAnsi="Times New Roman"/>
        </w:rPr>
        <w:t xml:space="preserve"> the “do it yourself” end</w:t>
      </w:r>
      <w:r w:rsidR="00DB1843" w:rsidRPr="00872293">
        <w:rPr>
          <w:rFonts w:ascii="Times New Roman" w:hAnsi="Times New Roman"/>
        </w:rPr>
        <w:t xml:space="preserve"> of the gradient</w:t>
      </w:r>
      <w:r w:rsidRPr="00872293">
        <w:rPr>
          <w:rFonts w:ascii="Times New Roman" w:hAnsi="Times New Roman"/>
        </w:rPr>
        <w:t>, was positively related to specific root length (SRL) when accounting for species and site variation. We further recognize the effect of species variation on broader patterns and suggest that future studies account for interspecific variation separately from intraspecific variation. Finally, we found that root PME decreased after hurricane</w:t>
      </w:r>
      <w:r w:rsidR="00DB1843" w:rsidRPr="00872293">
        <w:rPr>
          <w:rFonts w:ascii="Times New Roman" w:hAnsi="Times New Roman"/>
        </w:rPr>
        <w:t xml:space="preserve"> disturbance</w:t>
      </w:r>
      <w:r w:rsidRPr="00872293">
        <w:rPr>
          <w:rFonts w:ascii="Times New Roman" w:hAnsi="Times New Roman"/>
        </w:rPr>
        <w:t xml:space="preserve">, suggesting this trait is more responsive than others to </w:t>
      </w:r>
      <w:r w:rsidR="008B6EC5" w:rsidRPr="00872293">
        <w:rPr>
          <w:rFonts w:ascii="Times New Roman" w:hAnsi="Times New Roman"/>
        </w:rPr>
        <w:t xml:space="preserve">abrupt </w:t>
      </w:r>
      <w:r w:rsidRPr="00872293">
        <w:rPr>
          <w:rFonts w:ascii="Times New Roman" w:hAnsi="Times New Roman"/>
        </w:rPr>
        <w:t xml:space="preserve">environmental changes. </w:t>
      </w:r>
    </w:p>
    <w:p w14:paraId="5C01539F" w14:textId="77777777" w:rsidR="00A20952" w:rsidRPr="00872293" w:rsidRDefault="00A20952" w:rsidP="00A20952">
      <w:pPr>
        <w:rPr>
          <w:rFonts w:ascii="Times New Roman" w:hAnsi="Times New Roman"/>
        </w:rPr>
      </w:pPr>
      <w:r w:rsidRPr="00872293">
        <w:rPr>
          <w:rFonts w:ascii="Times New Roman" w:hAnsi="Times New Roman"/>
        </w:rPr>
        <w:br w:type="page"/>
      </w:r>
    </w:p>
    <w:p w14:paraId="102AAA74" w14:textId="5F27EAAC" w:rsidR="00A20952" w:rsidRPr="00872293" w:rsidRDefault="00A20952" w:rsidP="00D26D27">
      <w:pPr>
        <w:pStyle w:val="Heading2"/>
        <w:spacing w:before="0" w:after="0" w:line="360" w:lineRule="auto"/>
      </w:pPr>
      <w:bookmarkStart w:id="125" w:name="_Toc53689095"/>
      <w:bookmarkStart w:id="126" w:name="_Hlk55492359"/>
      <w:r w:rsidRPr="00872293">
        <w:lastRenderedPageBreak/>
        <w:t>Introduction</w:t>
      </w:r>
      <w:bookmarkEnd w:id="125"/>
    </w:p>
    <w:p w14:paraId="2EF929E8" w14:textId="716C9797" w:rsidR="00112531" w:rsidRPr="00872293" w:rsidRDefault="00112531" w:rsidP="00DE08AB">
      <w:pPr>
        <w:autoSpaceDE w:val="0"/>
        <w:autoSpaceDN w:val="0"/>
        <w:adjustRightInd w:val="0"/>
        <w:spacing w:before="240" w:line="360" w:lineRule="auto"/>
        <w:rPr>
          <w:rFonts w:ascii="Times New Roman" w:eastAsia="AdvP45996F" w:hAnsi="Times New Roman"/>
        </w:rPr>
      </w:pPr>
      <w:r w:rsidRPr="00872293">
        <w:rPr>
          <w:rFonts w:ascii="Times New Roman" w:hAnsi="Times New Roman"/>
        </w:rPr>
        <w:t xml:space="preserve">Fine roots account for up to one third of global net primary production (NPP), and their contribution to carbon and nutrient cycling is driven by their functional traits </w:t>
      </w:r>
      <w:r w:rsidRPr="00872293">
        <w:rPr>
          <w:rFonts w:ascii="Times New Roman" w:hAnsi="Times New Roman"/>
        </w:rPr>
        <w:fldChar w:fldCharType="begin" w:fldLock="1"/>
      </w:r>
      <w:r w:rsidRPr="00872293">
        <w:rPr>
          <w:rFonts w:ascii="Times New Roman" w:hAnsi="Times New Roman"/>
        </w:rPr>
        <w:instrText>ADDIN CSL_CITATION {"citationItems":[{"id":"ITEM-1","itemData":{"DOI":"10.1073/pnas.94.14.7362","ISSN":"00278424","PMID":"11038557","abstract":"Global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America","id":"ITEM-1","issue":"14","issued":{"date-parts":[["1997"]]},"page":"7362-7366","title":"A global budget for fine root biomass, surface area, and nutrient contents","type":"article-journal","volume":"94"},"uris":["http://www.mendeley.com/documents/?uuid=be640cc2-8c97-4480-b234-6e69495faf2e"]},{"id":"ITEM-2","itemData":{"DOI":"10.1111/nph.13363","ISSN":"14698137","PMID":"25756288","abstract":"Fine roots acquire essential soil resources and mediate biogeochemical cycling in terrestrial ecosystems. Estimates of carbon and nutrient allocation to build and maintain these structures remain uncertain because of the challenges of consistently measuring and interpreting fine-root systems. Traditionally, fine roots have been defined as all roots ≤ 2 mm in diameter, yet it is now recognized that this approach fails to capture the diversity of form and function observed among fine-root orders. Here, we demonstrate how order-based and functional classification frameworks improve our understanding of dynamic root processes in ecosystems dominated by perennial plants. In these frameworks, fine roots are either separated into individual root orders or functionally defined into a shorter-lived absorptive pool and a longer-lived transport fine-root pool. Using these frameworks, we estimate that fine-root production and turnover represent 22% of terrestrial net primary production globally - a c. 30% reduction from previous estimates assuming a single fine-root pool. Future work developing tools to rapidly differentiate functional fine-root classes, explicit incorporation of mycorrhizal fungi into fine-root studies, and wider adoption of a two-pool approach to model fine roots provide opportunities to better understand below-ground processes in the terrestrial biosphere.","author":[{"dropping-particle":"","family":"McCormack","given":"M. Luke","non-dropping-particle":"","parse-names":false,"suffix":""},{"dropping-particle":"","family":"Dickie","given":"Ian A.","non-dropping-particle":"","parse-names":false,"suffix":""},{"dropping-particle":"","family":"Eissenstat","given":"David M.","non-dropping-particle":"","parse-names":false,"suffix":""},{"dropping-particle":"","family":"Fahey","given":"Timothy J.","non-dropping-particle":"","parse-names":false,"suffix":""},{"dropping-particle":"","family":"Fernandez","given":"Christopher W.","non-dropping-particle":"","parse-names":false,"suffix":""},{"dropping-particle":"","family":"Guo","given":"Dali","non-dropping-particle":"","parse-names":false,"suffix":""},{"dropping-particle":"","family":"Helmisaari","given":"Heljä Sisko","non-dropping-particle":"","parse-names":false,"suffix":""},{"dropping-particle":"","family":"Hobbie","given":"Erik A.","non-dropping-particle":"","parse-names":false,"suffix":""},{"dropping-particle":"","family":"Iversen","given":"Colleen M.","non-dropping-particle":"","parse-names":false,"suffix":""},{"dropping-particle":"","family":"Jackson","given":"Robert B.","non-dropping-particle":"","parse-names":false,"suffix":""},{"dropping-particle":"","family":"Leppälammi-Kujansuu","given":"Jaana","non-dropping-particle":"","parse-names":false,"suffix":""},{"dropping-particle":"","family":"Norby","given":"Richard J.","non-dropping-particle":"","parse-names":false,"suffix":""},{"dropping-particle":"","family":"Phillips","given":"Richard P.","non-dropping-particle":"","parse-names":false,"suffix":""},{"dropping-particle":"","family":"Pregitzer","given":"Kurt S.","non-dropping-particle":"","parse-names":false,"suffix":""},{"dropping-particle":"","family":"Pritchard","given":"Seth G.","non-dropping-particle":"","parse-names":false,"suffix":""},{"dropping-particle":"","family":"Rewald","given":"Boris","non-dropping-particle":"","parse-names":false,"suffix":""},{"dropping-particle":"","family":"Zadworny","given":"Marcin","non-dropping-particle":"","parse-names":false,"suffix":""}],"container-title":"New Phytologist","id":"ITEM-2","issue":"3","issued":{"date-parts":[["2015"]]},"page":"505-518","title":"Redefining fine roots improves understanding of below-ground contributions to terrestrial biosphere processes","type":"article-journal","volume":"207"},"uris":["http://www.mendeley.com/documents/?uuid=62dbc848-98e4-4c13-9906-dd774ad9c407"]}],"mendeley":{"formattedCitation":"(Jackson &lt;i&gt;et al.&lt;/i&gt;, 1997; McCormack &lt;i&gt;et al.&lt;/i&gt;, 2015)","plainTextFormattedCitation":"(Jackson et al., 1997; McCormack et al., 2015)","previouslyFormattedCitation":"(Jackson &lt;i&gt;et al.&lt;/i&gt;, 1997; McCormack &lt;i&gt;et al.&lt;/i&gt;, 2015)"},"properties":{"noteIndex":0},"schema":"https://github.com/citation-style-language/schema/raw/master/csl-citation.json"}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(Jackson </w:t>
      </w:r>
      <w:r w:rsidRPr="00872293">
        <w:rPr>
          <w:rFonts w:ascii="Times New Roman" w:hAnsi="Times New Roman"/>
          <w:i/>
          <w:noProof/>
        </w:rPr>
        <w:t>et al.</w:t>
      </w:r>
      <w:r w:rsidRPr="00872293">
        <w:rPr>
          <w:rFonts w:ascii="Times New Roman" w:hAnsi="Times New Roman"/>
          <w:noProof/>
        </w:rPr>
        <w:t xml:space="preserve">, 1997; McCormack </w:t>
      </w:r>
      <w:r w:rsidRPr="00872293">
        <w:rPr>
          <w:rFonts w:ascii="Times New Roman" w:hAnsi="Times New Roman"/>
          <w:i/>
          <w:noProof/>
        </w:rPr>
        <w:t>et al.</w:t>
      </w:r>
      <w:r w:rsidRPr="00872293">
        <w:rPr>
          <w:rFonts w:ascii="Times New Roman" w:hAnsi="Times New Roman"/>
          <w:noProof/>
        </w:rPr>
        <w:t>, 2015)</w:t>
      </w:r>
      <w:r w:rsidRPr="00872293">
        <w:rPr>
          <w:rFonts w:ascii="Times New Roman" w:hAnsi="Times New Roman"/>
        </w:rPr>
        <w:fldChar w:fldCharType="end"/>
      </w:r>
      <w:r w:rsidRPr="00872293">
        <w:rPr>
          <w:rFonts w:ascii="Times New Roman" w:hAnsi="Times New Roman"/>
        </w:rPr>
        <w:t xml:space="preserve">. </w:t>
      </w:r>
      <w:r w:rsidRPr="00872293">
        <w:rPr>
          <w:rFonts w:ascii="Times New Roman" w:hAnsi="Times New Roman"/>
          <w:bCs/>
        </w:rPr>
        <w:t xml:space="preserve">However, fine and coarse roots are </w:t>
      </w:r>
      <w:r w:rsidRPr="00872293">
        <w:rPr>
          <w:rFonts w:ascii="Times New Roman" w:hAnsi="Times New Roman"/>
        </w:rPr>
        <w:t xml:space="preserve">the most poorly understood plant components in terrestrial ecology (Comas &amp; </w:t>
      </w:r>
      <w:proofErr w:type="spellStart"/>
      <w:r w:rsidRPr="00872293">
        <w:rPr>
          <w:rFonts w:ascii="Times New Roman" w:hAnsi="Times New Roman"/>
        </w:rPr>
        <w:t>Eissenstat</w:t>
      </w:r>
      <w:proofErr w:type="spellEnd"/>
      <w:r w:rsidRPr="00872293">
        <w:rPr>
          <w:rFonts w:ascii="Times New Roman" w:hAnsi="Times New Roman"/>
        </w:rPr>
        <w:t xml:space="preserve">, 2009) and the extent to which plant performance correlates to their root traits remains unresolved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phytologist","id":"ITEM-2","issue":"4","issued":{"date-parts":[["2016"]]},"page":"1159-1169","title":"Towards a multidimensional root trait framework: a tree root review","type":"article-journal","volume":"211"},"uris":["http://www.mendeley.com/documents/?uuid=d741bfb7-9707-4b75-9f0b-92e93dafa19e"]}],"mendeley":{"formattedCitation":"(Kong &lt;i&gt;et al.&lt;/i&gt;, 2014; Weemstra &lt;i&gt;et al.&lt;/i&gt;, 2016)","plainTextFormattedCitation":"(Kong et al., 2014; Weemstra et al., 2016)","previouslyFormattedCitation":"(Kong &lt;i&gt;et al.&lt;/i&gt;, 2014; Weemstra &lt;i&gt;et al.&lt;/i&gt;, 2016)"},"properties":{"noteIndex":0},"schema":"https://github.com/citation-style-language/schema/raw/master/csl-citation.json"}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(Kong </w:t>
      </w:r>
      <w:r w:rsidRPr="00872293">
        <w:rPr>
          <w:rFonts w:ascii="Times New Roman" w:hAnsi="Times New Roman"/>
          <w:i/>
          <w:noProof/>
        </w:rPr>
        <w:t>et al.</w:t>
      </w:r>
      <w:r w:rsidRPr="00872293">
        <w:rPr>
          <w:rFonts w:ascii="Times New Roman" w:hAnsi="Times New Roman"/>
          <w:noProof/>
        </w:rPr>
        <w:t xml:space="preserve">, 2014; Weemstra </w:t>
      </w:r>
      <w:r w:rsidRPr="00872293">
        <w:rPr>
          <w:rFonts w:ascii="Times New Roman" w:hAnsi="Times New Roman"/>
          <w:i/>
          <w:noProof/>
        </w:rPr>
        <w:t>et al.</w:t>
      </w:r>
      <w:r w:rsidRPr="00872293">
        <w:rPr>
          <w:rFonts w:ascii="Times New Roman" w:hAnsi="Times New Roman"/>
          <w:noProof/>
        </w:rPr>
        <w:t>, 2016)</w:t>
      </w:r>
      <w:r w:rsidRPr="00872293">
        <w:rPr>
          <w:rFonts w:ascii="Times New Roman" w:hAnsi="Times New Roman"/>
        </w:rPr>
        <w:fldChar w:fldCharType="end"/>
      </w:r>
      <w:r w:rsidRPr="00872293">
        <w:rPr>
          <w:rFonts w:ascii="Times New Roman" w:hAnsi="Times New Roman"/>
        </w:rPr>
        <w:t xml:space="preserve">. Even less evidence comes from the tropics, where 35% of global terrestrial NPP originates </w:t>
      </w:r>
      <w:r w:rsidRPr="00872293">
        <w:rPr>
          <w:rFonts w:ascii="Times New Roman" w:hAnsi="Times New Roman"/>
        </w:rPr>
        <w:fldChar w:fldCharType="begin" w:fldLock="1"/>
      </w:r>
      <w:r w:rsidRPr="00872293">
        <w:rPr>
          <w:rFonts w:ascii="Times New Roman" w:hAnsi="Times New Roman"/>
        </w:rPr>
        <w:instrText>ADDIN CSL_CITATION {"citationItems":[{"id":"ITEM-1","itemData":{"DOI":"10.1126/science.282.5388.439","author":[{"dropping-particle":"","family":"Phillips","given":"O. L.","non-dropping-particle":"","parse-names":false,"suffix":""}],"container-title":"Science","id":"ITEM-1","issue":"5388","issued":{"date-parts":[["1998","10","16"]]},"page":"439-442","title":"Changes in the Carbon Balance of Tropical Forests: Evidence from Long-Term Plots","type":"article-journal","volume":"282"},"uris":["http://www.mendeley.com/documents/?uuid=2dd1f09c-00a5-49e5-baf0-175ff7abd7d9"]}],"mendeley":{"formattedCitation":"(Phillips, 1998)","plainTextFormattedCitation":"(Phillips, 1998)","previouslyFormattedCitation":"(Phillips, 1998)"},"properties":{"noteIndex":0},"schema":"https://github.com/citation-style-language/schema/raw/master/csl-citation.json"}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(Phillips, 1998)</w:t>
      </w:r>
      <w:r w:rsidRPr="00872293">
        <w:rPr>
          <w:rFonts w:ascii="Times New Roman" w:hAnsi="Times New Roman"/>
        </w:rPr>
        <w:fldChar w:fldCharType="end"/>
      </w:r>
      <w:r w:rsidRPr="00872293">
        <w:rPr>
          <w:rFonts w:ascii="Times New Roman" w:hAnsi="Times New Roman"/>
        </w:rPr>
        <w:t xml:space="preserve">, and phosphorus (P) in soils often limits productivity </w:t>
      </w:r>
      <w:r w:rsidRPr="00872293">
        <w:rPr>
          <w:rFonts w:ascii="Times New Roman" w:hAnsi="Times New Roman"/>
        </w:rPr>
        <w:fldChar w:fldCharType="begin" w:fldLock="1"/>
      </w:r>
      <w:r w:rsidRPr="00872293">
        <w:rPr>
          <w:rFonts w:ascii="Times New Roman" w:hAnsi="Times New Roman"/>
        </w:rPr>
        <w:instrText>ADDIN CSL_CITATION {"citationItems":[{"id":"ITEM-1","itemData":{"abstract":"Moderately fertile soils support productive forests that cycle large quantities of nutrient elements. Forests on the widespread Oxisol/Ultisol soils efficiently cycle smaller quantities of P and Ca, although they appear to be quite rich in N. Forests on sandy Spodosol/Psamment soils cycle small quantities of N (and in some cases P), and they have very high root/shoot ratios. Montane tropical forests generally appear to be low in N, and upper montane forests cycle substantially less N than do lower montane forests. These patterns affect the physiology, community ecology and population biology of tropical forests.-from Authors","author":[{"dropping-particle":"","family":"Vitoussek","given":"P. M.","non-dropping-particle":"","parse-names":false,"suffix":""},{"dropping-particle":"","family":"Sanford","given":"R. L.","non-dropping-particle":"","parse-names":false,"suffix":""}],"container-title":"Annual review of ecology and systematics. Vol. 17","id":"ITEM-1","issue":"1","issued":{"date-parts":[["1986"]]},"page":"137-167","title":"Nutrient cycling in moist tropical forest.","type":"article-journal","volume":"17"},"uris":["http://www.mendeley.com/documents/?uuid=6cd7240e-782a-4796-b27c-adc569d6da73"]}],"mendeley":{"formattedCitation":"(Vitoussek &amp; Sanford, 1986)","plainTextFormattedCitation":"(Vitoussek &amp; Sanford, 1986)","previouslyFormattedCitation":"(Vitoussek &amp; Sanford, 1986)"},"properties":{"noteIndex":0},"schema":"https://github.com/citation-style-language/schema/raw/master/csl-citation.json"}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(Vitoussek &amp; Sanford, 1986)</w:t>
      </w:r>
      <w:r w:rsidRPr="00872293">
        <w:rPr>
          <w:rFonts w:ascii="Times New Roman" w:hAnsi="Times New Roman"/>
        </w:rPr>
        <w:fldChar w:fldCharType="end"/>
      </w:r>
      <w:r w:rsidRPr="00872293">
        <w:rPr>
          <w:rFonts w:ascii="Times New Roman" w:hAnsi="Times New Roman"/>
        </w:rPr>
        <w:t xml:space="preserve">. Our study aimed to explore root traits of common tropical trees, and the relationships of  these root traits, especially those related to P acquisition, in order to test root trait trade-offs from the multidimensional root economic spectrum, of which one dimension represents the collaboration gradient </w:t>
      </w:r>
      <w:r w:rsidRPr="00872293">
        <w:rPr>
          <w:rFonts w:ascii="Times New Roman" w:hAnsi="Times New Roman"/>
        </w:rPr>
        <w:fldChar w:fldCharType="begin" w:fldLock="1"/>
      </w:r>
      <w:r w:rsidRPr="00872293">
        <w:rPr>
          <w:rFonts w:ascii="Times New Roman" w:hAnsi="Times New Roman"/>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plants","type":"article-journal","volume":"6"},"uris":["http://www.mendeley.com/documents/?uuid=32db0a51-ef0e-4152-943b-b2fefc84c374"]},{"id":"ITEM-2","itemData":{"DOI":"10.1111/1365-2745.12562","ISSN":"13652745","abstract":"Root, stem and leaf traits are thought to be functionally coordinated to maximize the efficiency of acquiring and using limited resources. However, evidence is mixed for consistent whole-plant trait coordination among woody plants, and we lack a clear understanding of the adaptive value of root traits along soil resource gradients. If fine roots are the below-ground analogue to leaves, then low specific root length (SRL) and high tissue density should be common on infertile soil. Here, we test the prediction that root, stem and leaf traits and relative growth rate respond in unison with soil fertility gradients. We measured fine root, stem and leaf traits and relative growth rate on individual seedlings of 66 tree species grown in controlled conditions. Our objectives were (i) to determine whether multiple root traits align with growth rate, leaf and stem traits and with each other and (ii) to quantify the relationships between community-weighted mean root traits and two strong soil fertility gradients that differed in spatial extent and community composition. At the species level, fast growth rates were associated with low root and stem tissue density and high specific leaf area. SRL and root diameter were not clearly related to growth rate and loaded on a separate principal component from the plant economic spectrum. At the community level, growth rate was positively related to soil fertility, and root tissue density (RTD) and branching were negatively related to soil fertility. SRL was negatively related and root diameter was positively related to soil fertility on the large-scale gradient that included ectomycorrhizal angiosperms. Synthesis. Root, stem and leaf tissue traits of tree seedlings are coordinated and influence fitness along soil fertility gradients. RTD responds in unison with above-ground traits to soil fertility gradients; however, root traits are multidimensional because SRL is orthogonal to the plant economic spectrum. In contrast to leaves, trees are not constrained in the way they construct fine roots: plants can construct high or low SRL roots of any tissue density. High RTD is the most consistent below-ground trait that reflects adaptation to infertile soil.","author":[{"dropping-particle":"","family":"Kramer-Walter","given":"Kris R.","non-dropping-particle":"","parse-names":false,"suffix":""},{"dropping-particle":"","family":"Bellingham","given":"Peter J.","non-dropping-particle":"","parse-names":false,"suffix":""},{"dropping-particle":"","family":"Millar","given":"Timothy R.","non-dropping-particle":"","parse-names":false,"suffix":""},{"dropping-particle":"","family":"Smissen","given":"Rob D.","non-dropping-particle":"","parse-names":false,"suffix":""},{"dropping-particle":"","family":"Richardson","given":"Sarah J.","non-dropping-particle":"","parse-names":false,"suffix":""},{"dropping-particle":"","family":"Laughlin","given":"Daniel C.","non-dropping-particle":"","parse-names":false,"suffix":""}],"container-title":"Journal of Ecology","id":"ITEM-2","issue":"5","issued":{"date-parts":[["2016"]]},"page":"1299-1310","title":"Root traits are multidimensional: specific root length is independent from root tissue density and the plant economic spectrum","type":"article-journal","volume":"104"},"uris":["http://www.mendeley.com/documents/?uuid=a4c6e22a-fc71-418e-8d26-a75453051c29"]}],"mendeley":{"formattedCitation":"(Kramer-Walter &lt;i&gt;et al.&lt;/i&gt;, 2016; Bergmann &lt;i&gt;et al.&lt;/i&gt;, 2020)","plainTextFormattedCitation":"(Kramer-Walter et al., 2016; Bergmann et al., 2020)","previouslyFormattedCitation":"(Kramer-Walter &lt;i&gt;et al.&lt;/i&gt;, 2016; Bergmann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(Kramer-Walter </w:t>
      </w:r>
      <w:r w:rsidRPr="00872293">
        <w:rPr>
          <w:rFonts w:ascii="Times New Roman" w:hAnsi="Times New Roman"/>
          <w:i/>
          <w:noProof/>
        </w:rPr>
        <w:t>et al.</w:t>
      </w:r>
      <w:r w:rsidRPr="00872293">
        <w:rPr>
          <w:rFonts w:ascii="Times New Roman" w:hAnsi="Times New Roman"/>
          <w:noProof/>
        </w:rPr>
        <w:t xml:space="preserve">, 2016; Bergmann </w:t>
      </w:r>
      <w:r w:rsidRPr="00872293">
        <w:rPr>
          <w:rFonts w:ascii="Times New Roman" w:hAnsi="Times New Roman"/>
          <w:i/>
          <w:noProof/>
        </w:rPr>
        <w:t>et al.</w:t>
      </w:r>
      <w:r w:rsidRPr="00872293">
        <w:rPr>
          <w:rFonts w:ascii="Times New Roman" w:hAnsi="Times New Roman"/>
          <w:noProof/>
        </w:rPr>
        <w:t>, 2020)</w:t>
      </w:r>
      <w:r w:rsidRPr="00872293">
        <w:rPr>
          <w:rFonts w:ascii="Times New Roman" w:hAnsi="Times New Roman"/>
        </w:rPr>
        <w:fldChar w:fldCharType="end"/>
      </w:r>
      <w:r w:rsidRPr="00872293">
        <w:rPr>
          <w:rFonts w:ascii="Times New Roman" w:hAnsi="Times New Roman"/>
        </w:rPr>
        <w:t>. Additionally, we tested the responsiveness of these root traits to a disturbance by comparing them before and after two consecutive hurricane disturbance events in the island.</w:t>
      </w:r>
    </w:p>
    <w:p w14:paraId="27C96C92" w14:textId="77777777" w:rsidR="00112531" w:rsidRPr="00872293" w:rsidRDefault="00112531" w:rsidP="00112531">
      <w:pPr>
        <w:spacing w:line="360" w:lineRule="auto"/>
        <w:rPr>
          <w:rFonts w:ascii="Times New Roman" w:hAnsi="Times New Roman"/>
        </w:rPr>
      </w:pPr>
    </w:p>
    <w:p w14:paraId="7556D4DC" w14:textId="0FB1037C" w:rsidR="00112531" w:rsidRPr="00872293" w:rsidRDefault="00112531" w:rsidP="00112531">
      <w:pPr>
        <w:autoSpaceDE w:val="0"/>
        <w:autoSpaceDN w:val="0"/>
        <w:adjustRightInd w:val="0"/>
        <w:spacing w:line="360" w:lineRule="auto"/>
        <w:rPr>
          <w:rFonts w:ascii="Times New Roman" w:hAnsi="Times New Roman"/>
        </w:rPr>
      </w:pPr>
      <w:r w:rsidRPr="00872293">
        <w:rPr>
          <w:rFonts w:ascii="Times New Roman" w:hAnsi="Times New Roman"/>
        </w:rPr>
        <w:t xml:space="preserve">Like their leaf counterparts, fine-root functional traits are characteristics that can be quantified and measured, and that </w:t>
      </w:r>
      <w:r w:rsidR="00CB238A" w:rsidRPr="00872293">
        <w:rPr>
          <w:rFonts w:ascii="Times New Roman" w:hAnsi="Times New Roman"/>
        </w:rPr>
        <w:t>affect</w:t>
      </w:r>
      <w:r w:rsidRPr="00872293">
        <w:rPr>
          <w:rFonts w:ascii="Times New Roman" w:hAnsi="Times New Roman"/>
        </w:rPr>
        <w:t xml:space="preserve"> plant fitness (</w:t>
      </w:r>
      <w:proofErr w:type="spellStart"/>
      <w:r w:rsidRPr="00872293">
        <w:rPr>
          <w:rFonts w:ascii="Times New Roman" w:hAnsi="Times New Roman"/>
        </w:rPr>
        <w:t>Violle</w:t>
      </w:r>
      <w:proofErr w:type="spellEnd"/>
      <w:r w:rsidRPr="00872293">
        <w:rPr>
          <w:rFonts w:ascii="Times New Roman" w:hAnsi="Times New Roman"/>
        </w:rPr>
        <w:t xml:space="preserve"> </w:t>
      </w:r>
      <w:r w:rsidRPr="00872293">
        <w:rPr>
          <w:rFonts w:ascii="Times New Roman" w:hAnsi="Times New Roman"/>
          <w:i/>
          <w:iCs/>
        </w:rPr>
        <w:t>et al.,</w:t>
      </w:r>
      <w:r w:rsidRPr="00872293">
        <w:rPr>
          <w:rFonts w:ascii="Times New Roman" w:hAnsi="Times New Roman"/>
        </w:rPr>
        <w:t xml:space="preserve"> 2007). Unlike the hypothesized leaf economics spectrum, root traits do not match with a one-dimensional root economics spectrum, in which fast growing plant species would have acquisitive root traits (e.g. root nitrogen content) and slow growing species would have conservative root traits (e.g. root tissue density) </w:t>
      </w:r>
      <w:r w:rsidRPr="00872293">
        <w:rPr>
          <w:rFonts w:ascii="Times New Roman" w:hAnsi="Times New Roman"/>
        </w:rPr>
        <w:fldChar w:fldCharType="begin" w:fldLock="1"/>
      </w:r>
      <w:r w:rsidRPr="00872293">
        <w:rPr>
          <w:rFonts w:ascii="Times New Roman" w:hAnsi="Times New Roman"/>
        </w:rPr>
        <w:instrText>ADDIN CSL_CITATION {"citationItems":[{"id":"ITEM-1","itemData":{"DOI":"10.1038/nature02403","ISSN":"00280836","PMID":"15103368","abstract":"Bringing together leaf trait data spanning 2,548 species and 175 sites we describe, for the first time at global scale, a universal spectrum of leaf economics consisting of key chemical, structural and physiological properties. The spectrum runs from quick to slow return on investments of nutrients and dry mass in leaves, and operates largely independently of growth form, plant functional type or biome. Categories along the spectrum would, in general, describe leaf economic variation at the global scale better than plant functional types overlap substantially in their leaf traits. Overall, modulation of leaf traits and trait relationships by climate is surprisingly modest, although some striking and significant patterns can be seen. Reliable quantification of the leaf economics spectrum and its interaction with climate will prove valuable for modelling nutrient fluxes and vegetation boundaries under changing land-use and climate.","author":[{"dropping-particle":"","family":"Wright","given":"Ian J.","non-dropping-particle":"","parse-names":false,"suffix":""},{"dropping-particle":"","family":"Reich","given":"Peter B.","non-dropping-particle":"","parse-names":false,"suffix":""},{"dropping-particle":"","family":"Westoby","given":"Mark","non-dropping-particle":"","parse-names":false,"suffix":""},{"dropping-particle":"","family":"Ackerly","given":"David D.","non-dropping-particle":"","parse-names":false,"suffix":""},{"dropping-particle":"","family":"Baruch","given":"Zdravko","non-dropping-particle":"","parse-names":false,"suffix":""},{"dropping-particle":"","family":"Bongers","given":"Frans","non-dropping-particle":"","parse-names":false,"suffix":""},{"dropping-particle":"","family":"Cavender-Bares","given":"Jeannine","non-dropping-particle":"","parse-names":false,"suffix":""},{"dropping-particle":"","family":"Chapin","given":"Terry","non-dropping-particle":"","parse-names":false,"suffix":""},{"dropping-particle":"","family":"Cornellssen","given":"Johannes H.C.","non-dropping-particle":"","parse-names":false,"suffix":""},{"dropping-particle":"","family":"Diemer","given":"Matthias","non-dropping-particle":"","parse-names":false,"suffix":""},{"dropping-particle":"","family":"Flexas","given":"Jaume","non-dropping-particle":"","parse-names":false,"suffix":""},{"dropping-particle":"","family":"Garnier","given":"Eric","non-dropping-particle":"","parse-names":false,"suffix":""},{"dropping-particle":"","family":"Groom","given":"Philip K.","non-dropping-particle":"","parse-names":false,"suffix":""},{"dropping-particle":"","family":"Gulias","given":"Javier","non-dropping-particle":"","parse-names":false,"suffix":""},{"dropping-particle":"","family":"Hikosaka","given":"Kouki","non-dropping-particle":"","parse-names":false,"suffix":""},{"dropping-particle":"","family":"Lamont","given":"Byron B.","non-dropping-particle":"","parse-names":false,"suffix":""},{"dropping-particle":"","family":"Lee","given":"Tall","non-dropping-particle":"","parse-names":false,"suffix":""},{"dropping-particle":"","family":"Lee","given":"William","non-dropping-particle":"","parse-names":false,"suffix":""},{"dropping-particle":"","family":"Lusk","given":"Christopher","non-dropping-particle":"","parse-names":false,"suffix":""},{"dropping-particle":"","family":"Midgley","given":"Jeremy J.","non-dropping-particle":"","parse-names":false,"suffix":""},{"dropping-particle":"","family":"Navas","given":"Marie Laure","non-dropping-particle":"","parse-names":false,"suffix":""},{"dropping-particle":"","family":"Niinemets","given":"Ülo","non-dropping-particle":"","parse-names":false,"suffix":""},{"dropping-particle":"","family":"Oleksyn","given":"Jacek","non-dropping-particle":"","parse-names":false,"suffix":""},{"dropping-particle":"","family":"Osada","given":"Horiyuki","non-dropping-particle":"","parse-names":false,"suffix":""},{"dropping-particle":"","family":"Poorter","given":"Hendrik","non-dropping-particle":"","parse-names":false,"suffix":""},{"dropping-particle":"","family":"Pool","given":"Pleter","non-dropping-particle":"","parse-names":false,"suffix":""},{"dropping-particle":"","family":"Prior","given":"Lynda","non-dropping-particle":"","parse-names":false,"suffix":""},{"dropping-particle":"","family":"Pyankov","given":"Vladimir I.","non-dropping-particle":"","parse-names":false,"suffix":""},{"dropping-particle":"","family":"Roumet","given":"Catherine","non-dropping-particle":"","parse-names":false,"suffix":""},{"dropping-particle":"","family":"Thomas","given":"Sean C.","non-dropping-particle":"","parse-names":false,"suffix":""},{"dropping-particle":"","family":"Tjoelker","given":"Mark G.","non-dropping-particle":"","parse-names":false,"suffix":""},{"dropping-particle":"","family":"Veneklaas","given":"Erik J.","non-dropping-particle":"","parse-names":false,"suffix":""},{"dropping-particle":"","family":"Villar","given":"Rafael","non-dropping-particle":"","parse-names":false,"suffix":""}],"container-title":"Nature","id":"ITEM-1","issued":{"date-parts":[["2004"]]},"page":"829-827","title":"The worldwide leaf economics spectrum","type":"article-journal","volume":"428"},"uris":["http://www.mendeley.com/documents/?uuid=07211a9e-b175-40f6-a091-83c57a99ce2e"]},{"id":"ITEM-2","itemData":{"DOI":"10.1111/j.1469-8137.2012.04198.x","ISSN":"0028646X","abstract":"Although linkages of leaf and whole-plant traits to leaf lifespan have been rigorously investigated, there is a limited understanding of similar linkages of whole-plant and fine root traits to root lifespan. In comparisons across species, do suites of traits found in leaves also exist for roots, and can these traits be used to predict root lifespan? We observed the fine root lifespan of 12 temperate tree species using minirhizotrons in a common garden and compared their median lifespans with fine-root and whole-plant traits. We then determined which set of combined traits would be most useful in predicting patterns of root lifespan. Median root lifespan ranged widely among species (95-336d). Root diameter, calcium content, and tree wood density were positively related to root lifespan, whereas specific root length, nitrogen (N):carbon (C) ratio, and plant growth rate were negatively related to root lifespan. Root diameter and plant growth rate, together (R2=0.62) or in combination with root N:C ratio (R2=0.76), were useful predictors of root lifespan across the 12 species. Our results highlight linkages between fine root lifespan in temperate trees and plant functional traits that may reduce uncertainty in predictions of root lifespan or turnover across species at broader spatial scales. © 2012 The Authors. New Phytologist © 2012 New Phytologist Trust.","author":[{"dropping-particle":"","family":"McCormack","given":"Luke M.","non-dropping-particle":"","parse-names":false,"suffix":""},{"dropping-particle":"","family":"Adams","given":"Thomas S.","non-dropping-particle":"","parse-names":false,"suffix":""},{"dropping-particle":"","family":"Smithwick","given":"Erica A.H.","non-dropping-particle":"","parse-names":false,"suffix":""},{"dropping-particle":"","family":"Eissenstat","given":"David M.","non-dropping-particle":"","parse-names":false,"suffix":""}],"container-title":"New Phytologist","id":"ITEM-2","issue":"4","issued":{"date-parts":[["2012"]]},"page":"823-831","title":"Predicting fine root lifespan from plant functional traits in temperate trees","type":"article-journal","volume":"195"},"uris":["http://www.mendeley.com/documents/?uuid=e8d8e9d1-c985-4b86-83ec-aa6fbe3bbf6e"]},{"id":"ITEM-3","itemData":{"DOI":"10.1111/nph.12842","ISBN":"1469-8137","ISSN":"14698137","PMID":"24824672","abstract":"Absorptive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Phytologist","id":"ITEM-3","issue":"3","issued":{"date-parts":[["2014"]]},"page":"863-872","title":"Leading dimensions in absorptive root trait variation across 96 subtropical forest species","type":"article-journal","volume":"203"},"uris":["http://www.mendeley.com/documents/?uuid=a7e2c871-4bd8-41c2-9249-3fc27422af67"]},{"id":"ITEM-4","itemData":{"DOI":"10.1111/nph.14003","ISSN":"14698137","abstract":"Contents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phytologist","id":"ITEM-4","issue":"4","issued":{"date-parts":[["2016"]]},"page":"1159-1169","title":"Towards a multidimensional root trait framework: a tree root review","type":"article-journal","volume":"211"},"uris":["http://www.mendeley.com/documents/?uuid=d741bfb7-9707-4b75-9f0b-92e93dafa19e"]},{"id":"ITEM-5","itemData":{"DOI":"10.1111/geb.12048","ISSN":"1466822X","abstract":"Aim: Plant roots are crucial for water and nutrient absorption, but large-scale patterns and underlying mechanisms of root trait variation and evolution are poorly understood. Here we quantify the degree of variation in functional traits for the first-order roots across large geographical scales and examine the potential mechanisms underlying these patterns. Location: China. Methods: We collected first-order roots (stream-based ordering system) and leaf samples of 65 tree species in six forests from subtropical to temperate zones and determined the key morphological, architectural and chemical traits. Results: We found wider variation in root morphology in the subtropical zone, where species with very thick and very thin first-order roots coexisted, in contrast with narrower variation among species in the temperate zone. Inconsistent with the predictions of trait economics spectrum, root nitrogen concentration was uncorrelated with root morphology. Furthermore, average root diameter at the plant family level decreased markedly with their divergence time in both piecewise and phylogenetic independent contrast regression analyses. Main conclusions: Higher variation in root morphology in the subtropical zone appears to result from the coexistence of tree species with thick and thin roots, probably because of a more favourable water supply. Patterns of root evolution towards thinner roots were driven by both phylogeny and possible adaptation of newly diverged species to drier habitats from mid to late Cretaceous. Our findings reveal contrasting selection pressures at the root and leaf level in different climatic zones during plant evolution, and suggest that a single vector of variation linking morphology to resource acquisition or life span ('trait economics') remains elusive in roots. © 2013 John Wiley &amp; Sons Ltd.","author":[{"dropping-particle":"","family":"Chen","given":"Weile","non-dropping-particle":"","parse-names":false,"suffix":""},{"dropping-particle":"","family":"Zeng","given":"Hui","non-dropping-particle":"","parse-names":false,"suffix":""},{"dropping-particle":"","family":"Eissenstat","given":"David M.","non-dropping-particle":"","parse-names":false,"suffix":""},{"dropping-particle":"","family":"Guo","given":"Dali","non-dropping-particle":"","parse-names":false,"suffix":""}],"container-title":"Global Ecology and Biogeography","id":"ITEM-5","issued":{"date-parts":[["2013"]]},"title":"Variation of first-order root traits across climatic gradients and evolutionary trends in geological time","type":"article-journal"},"uris":["http://www.mendeley.com/documents/?uuid=30491ae6-42d6-4f60-981d-72a85c59028c"]},{"id":"ITEM-6","itemData":{"DOI":"10.1111/nph.13288","ISSN":"14698137","PMID":"25639293","abstract":"Almost all land plants form symbiotic associations with mycorrhizal fungi. These below-ground fungi play a key role in terrestrial ecosystems as they regulate nutrient and carbon cycles, and influence soil structure and ecosystem multifunctionality. Up to 80% of plant N and P is provided by mycorrhizal fungi and many plant species depend on these symbionts for growth and survival. Estimates suggest that there are c. 50 000 fungal species that form mycorrhizal associations with c. 250 000 plant species. The development of high-throughput molecular tools has helped us to better understand the biology, evolution, and biodiversity of mycorrhizal associations. Nuclear genome assemblies and gene annotations of 33 mycorrhizal fungal species are now available providing fascinating opportunities to deepen our understanding of the mycorrhizal lifestyle, the metabolic capabilities of these plant symbionts, the molecular dialogue between symbionts, and evolutionary adaptations across a range of mycorrhizal associations. Large-scale molecular surveys have provided novel insights into the diversity, spatial and temporal dynamics of mycorrhizal fungal communities. At the ecological level, network theory makes it possible to analyze interactions between plant-fungal partners as complex underground multi-species networks. Our analysis suggests that nestedness, modularity and specificity of mycorrhizal networks vary and depend on mycorrhizal type. Mechanistic models explaining partner choice, resource exchange, and coevolution in mycorrhizal associations have been developed and are being tested. This review ends with major frontiers for further research.","author":[{"dropping-particle":"","family":"Van-der-Heijden","given":"Marcel G.A.","non-dropping-particle":"","parse-names":false,"suffix":""},{"dropping-particle":"","family":"Martin","given":"Francis M.","non-dropping-particle":"","parse-names":false,"suffix":""},{"dropping-particle":"","family":"Selosse","given":"Marc André","non-dropping-particle":"","parse-names":false,"suffix":""},{"dropping-particle":"","family":"Sanders","given":"Ian R.","non-dropping-particle":"","parse-names":false,"suffix":""}],"container-title":"New Phytologist","id":"ITEM-6","issue":"4","issued":{"date-parts":[["2015"]]},"page":"1406-1423","title":"Mycorrhizal ecology and evolution: The past, the present, and the future","type":"article-journal","volume":"205"},"uris":["http://www.mendeley.com/documents/?uuid=a3d75809-efbf-4af7-9cdb-0d865f99ca7e"]}],"mendeley":{"formattedCitation":"(Wright &lt;i&gt;et al.&lt;/i&gt;, 2004; McCormack &lt;i&gt;et al.&lt;/i&gt;, 2012; Chen &lt;i&gt;et al.&lt;/i&gt;, 2013; Kong &lt;i&gt;et al.&lt;/i&gt;, 2014; Van-der-Heijden &lt;i&gt;et al.&lt;/i&gt;, 2015; Weemstra &lt;i&gt;et al.&lt;/i&gt;, 2016)","plainTextFormattedCitation":"(Wright et al., 2004; McCormack et al., 2012; Chen et al., 2013; Kong et al., 2014; Van-der-Heijden et al., 2015; Weemstra et al., 2016)","previouslyFormattedCitation":"(Wright &lt;i&gt;et al.&lt;/i&gt;, 2004; McCormack &lt;i&gt;et al.&lt;/i&gt;, 2012; Chen &lt;i&gt;et al.&lt;/i&gt;, 2013; Kong &lt;i&gt;et al.&lt;/i&gt;, 2014; Van-der-Heijden &lt;i&gt;et al.&lt;/i&gt;, 2015; Weemstra &lt;i&gt;et al.&lt;/i&gt;, 2016)"},"properties":{"noteIndex":0},"schema":"https://github.com/citation-style-language/schema/raw/master/csl-citation.json"}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(Wright </w:t>
      </w:r>
      <w:r w:rsidRPr="00872293">
        <w:rPr>
          <w:rFonts w:ascii="Times New Roman" w:hAnsi="Times New Roman"/>
          <w:i/>
          <w:noProof/>
        </w:rPr>
        <w:t>et al.</w:t>
      </w:r>
      <w:r w:rsidRPr="00872293">
        <w:rPr>
          <w:rFonts w:ascii="Times New Roman" w:hAnsi="Times New Roman"/>
          <w:noProof/>
        </w:rPr>
        <w:t xml:space="preserve">, 2004; McCormack </w:t>
      </w:r>
      <w:r w:rsidRPr="00872293">
        <w:rPr>
          <w:rFonts w:ascii="Times New Roman" w:hAnsi="Times New Roman"/>
          <w:i/>
          <w:noProof/>
        </w:rPr>
        <w:t>et al.</w:t>
      </w:r>
      <w:r w:rsidRPr="00872293">
        <w:rPr>
          <w:rFonts w:ascii="Times New Roman" w:hAnsi="Times New Roman"/>
          <w:noProof/>
        </w:rPr>
        <w:t xml:space="preserve">, 2012; Chen </w:t>
      </w:r>
      <w:r w:rsidRPr="00872293">
        <w:rPr>
          <w:rFonts w:ascii="Times New Roman" w:hAnsi="Times New Roman"/>
          <w:i/>
          <w:noProof/>
        </w:rPr>
        <w:t>et al.</w:t>
      </w:r>
      <w:r w:rsidRPr="00872293">
        <w:rPr>
          <w:rFonts w:ascii="Times New Roman" w:hAnsi="Times New Roman"/>
          <w:noProof/>
        </w:rPr>
        <w:t xml:space="preserve">, 2013; Kong </w:t>
      </w:r>
      <w:r w:rsidRPr="00872293">
        <w:rPr>
          <w:rFonts w:ascii="Times New Roman" w:hAnsi="Times New Roman"/>
          <w:i/>
          <w:noProof/>
        </w:rPr>
        <w:t>et al.</w:t>
      </w:r>
      <w:r w:rsidRPr="00872293">
        <w:rPr>
          <w:rFonts w:ascii="Times New Roman" w:hAnsi="Times New Roman"/>
          <w:noProof/>
        </w:rPr>
        <w:t xml:space="preserve">, 2014; Van-der-Heijden </w:t>
      </w:r>
      <w:r w:rsidRPr="00872293">
        <w:rPr>
          <w:rFonts w:ascii="Times New Roman" w:hAnsi="Times New Roman"/>
          <w:i/>
          <w:noProof/>
        </w:rPr>
        <w:t>et al.</w:t>
      </w:r>
      <w:r w:rsidRPr="00872293">
        <w:rPr>
          <w:rFonts w:ascii="Times New Roman" w:hAnsi="Times New Roman"/>
          <w:noProof/>
        </w:rPr>
        <w:t xml:space="preserve">, 2015; Weemstra </w:t>
      </w:r>
      <w:r w:rsidRPr="00872293">
        <w:rPr>
          <w:rFonts w:ascii="Times New Roman" w:hAnsi="Times New Roman"/>
          <w:i/>
          <w:noProof/>
        </w:rPr>
        <w:t>et al.</w:t>
      </w:r>
      <w:r w:rsidRPr="00872293">
        <w:rPr>
          <w:rFonts w:ascii="Times New Roman" w:hAnsi="Times New Roman"/>
          <w:noProof/>
        </w:rPr>
        <w:t>, 2016)</w:t>
      </w:r>
      <w:r w:rsidRPr="00872293">
        <w:rPr>
          <w:rFonts w:ascii="Times New Roman" w:hAnsi="Times New Roman"/>
        </w:rPr>
        <w:fldChar w:fldCharType="end"/>
      </w:r>
      <w:r w:rsidRPr="00872293">
        <w:rPr>
          <w:rFonts w:ascii="Times New Roman" w:hAnsi="Times New Roman"/>
        </w:rPr>
        <w:t xml:space="preserve">. Instead, root economics research considers not only the resource conservation “fast and slow” gradient as one dimension but also a resource “collaboration” gradient as another dimension </w:t>
      </w:r>
      <w:r w:rsidRPr="00872293">
        <w:rPr>
          <w:rFonts w:ascii="Times New Roman" w:hAnsi="Times New Roman"/>
        </w:rPr>
        <w:fldChar w:fldCharType="begin" w:fldLock="1"/>
      </w:r>
      <w:r w:rsidR="00284E10" w:rsidRPr="00872293">
        <w:rPr>
          <w:rFonts w:ascii="Times New Roman" w:hAnsi="Times New Roman"/>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plants","type":"article-journal","volume":"6"},"uris":["http://www.mendeley.com/documents/?uuid=32db0a51-ef0e-4152-943b-b2fefc84c374"]}],"mendeley":{"formattedCitation":"(Bergmann &lt;i&gt;et al.&lt;/i&gt;, 2020)","manualFormatting":"(Bergmann et al., 2020; Figure 17)","plainTextFormattedCitation":"(Bergmann et al., 2020)","previouslyFormattedCitation":"(Bergmann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(Bergmann </w:t>
      </w:r>
      <w:r w:rsidRPr="00872293">
        <w:rPr>
          <w:rFonts w:ascii="Times New Roman" w:hAnsi="Times New Roman"/>
          <w:i/>
          <w:noProof/>
        </w:rPr>
        <w:t>et al.</w:t>
      </w:r>
      <w:r w:rsidRPr="00872293">
        <w:rPr>
          <w:rFonts w:ascii="Times New Roman" w:hAnsi="Times New Roman"/>
          <w:noProof/>
        </w:rPr>
        <w:t>, 2020; Fig</w:t>
      </w:r>
      <w:r w:rsidR="00284E10" w:rsidRPr="00872293">
        <w:rPr>
          <w:rFonts w:ascii="Times New Roman" w:hAnsi="Times New Roman"/>
          <w:noProof/>
        </w:rPr>
        <w:t>ure 17</w:t>
      </w:r>
      <w:r w:rsidRPr="00872293">
        <w:rPr>
          <w:rFonts w:ascii="Times New Roman" w:hAnsi="Times New Roman"/>
          <w:noProof/>
        </w:rPr>
        <w:t>)</w:t>
      </w:r>
      <w:r w:rsidRPr="00872293">
        <w:rPr>
          <w:rFonts w:ascii="Times New Roman" w:hAnsi="Times New Roman"/>
        </w:rPr>
        <w:fldChar w:fldCharType="end"/>
      </w:r>
      <w:r w:rsidRPr="00872293">
        <w:rPr>
          <w:rFonts w:ascii="Times New Roman" w:hAnsi="Times New Roman"/>
        </w:rPr>
        <w:t>. The collaboration gradient takes into account mycorrhizal symbiosis, where thicker fine roots rely on mycorrhizal fungi for resource acquisition (‘</w:t>
      </w:r>
      <w:r w:rsidR="008B7C86" w:rsidRPr="00872293">
        <w:rPr>
          <w:rFonts w:ascii="Times New Roman" w:hAnsi="Times New Roman"/>
        </w:rPr>
        <w:t>o</w:t>
      </w:r>
      <w:r w:rsidRPr="00872293">
        <w:rPr>
          <w:rFonts w:ascii="Times New Roman" w:hAnsi="Times New Roman"/>
        </w:rPr>
        <w:t>utsourcing’ strategy), while thinner fine roots with high specific root length (SRL) are more independent in obtaining resources (“do it yourself’ strategy). There are other root traits that we could deduce their spatial position in this new root economics dimension, for example root branching ratio for the “do it yourself” strategy (Fig</w:t>
      </w:r>
      <w:r w:rsidR="00284E10" w:rsidRPr="00872293">
        <w:rPr>
          <w:rFonts w:ascii="Times New Roman" w:hAnsi="Times New Roman"/>
        </w:rPr>
        <w:t xml:space="preserve">ure </w:t>
      </w:r>
      <w:r w:rsidRPr="00872293">
        <w:rPr>
          <w:rFonts w:ascii="Times New Roman" w:hAnsi="Times New Roman"/>
        </w:rPr>
        <w:t>1</w:t>
      </w:r>
      <w:r w:rsidR="00284E10" w:rsidRPr="00872293">
        <w:rPr>
          <w:rFonts w:ascii="Times New Roman" w:hAnsi="Times New Roman"/>
        </w:rPr>
        <w:t>7</w:t>
      </w:r>
      <w:r w:rsidRPr="00872293">
        <w:rPr>
          <w:rFonts w:ascii="Times New Roman" w:hAnsi="Times New Roman"/>
        </w:rPr>
        <w:t xml:space="preserve">) due to its strong relationship with SRL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Phytologist","id":"ITEM-1","issue":"1","issued":{"date-parts":[["2015"]]},"page":"125-136","title":"Complementarity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species","type":"article-journal","volume":"208"},"uris":["http://www.mendeley.com/documents/?uuid=181e3a6c-c0c7-4de1-a35f-83b486441b89"]}],"mendeley":{"formattedCitation":"(Liu &lt;i&gt;et al.&lt;/i&gt;, 2015)","plainTextFormattedCitation":"(Liu et al., 2015)","previouslyFormattedCitation":"(Liu &lt;i&gt;et al.&lt;/i&gt;, 2015)"},"properties":{"noteIndex":0},"schema":"https://github.com/citation-style-language/schema/raw/master/csl-citation.json"}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(Liu </w:t>
      </w:r>
      <w:r w:rsidRPr="00872293">
        <w:rPr>
          <w:rFonts w:ascii="Times New Roman" w:hAnsi="Times New Roman"/>
          <w:i/>
          <w:noProof/>
        </w:rPr>
        <w:t>et al.</w:t>
      </w:r>
      <w:r w:rsidRPr="00872293">
        <w:rPr>
          <w:rFonts w:ascii="Times New Roman" w:hAnsi="Times New Roman"/>
          <w:noProof/>
        </w:rPr>
        <w:t>, 2015)</w:t>
      </w:r>
      <w:r w:rsidRPr="00872293">
        <w:rPr>
          <w:rFonts w:ascii="Times New Roman" w:hAnsi="Times New Roman"/>
        </w:rPr>
        <w:fldChar w:fldCharType="end"/>
      </w:r>
      <w:r w:rsidRPr="00872293">
        <w:rPr>
          <w:rFonts w:ascii="Times New Roman" w:hAnsi="Times New Roman"/>
        </w:rPr>
        <w:t xml:space="preserve">. Yet, there are other functional traits such as root </w:t>
      </w:r>
      <w:r w:rsidRPr="00872293">
        <w:rPr>
          <w:rFonts w:ascii="Times New Roman" w:hAnsi="Times New Roman"/>
        </w:rPr>
        <w:lastRenderedPageBreak/>
        <w:t>phosphatase activity (</w:t>
      </w:r>
      <w:proofErr w:type="spellStart"/>
      <w:r w:rsidRPr="00872293">
        <w:rPr>
          <w:rFonts w:ascii="Times New Roman" w:hAnsi="Times New Roman"/>
        </w:rPr>
        <w:t>phosphomonoesterase</w:t>
      </w:r>
      <w:proofErr w:type="spellEnd"/>
      <w:r w:rsidRPr="00872293">
        <w:rPr>
          <w:rFonts w:ascii="Times New Roman" w:hAnsi="Times New Roman"/>
        </w:rPr>
        <w:t>: PME), for which the position in the gradient is not as clear.</w:t>
      </w:r>
    </w:p>
    <w:p w14:paraId="5C23EE81" w14:textId="77777777" w:rsidR="00A20952" w:rsidRPr="00872293" w:rsidRDefault="00A20952" w:rsidP="00A20952">
      <w:pPr>
        <w:autoSpaceDE w:val="0"/>
        <w:autoSpaceDN w:val="0"/>
        <w:adjustRightInd w:val="0"/>
        <w:spacing w:line="360" w:lineRule="auto"/>
        <w:rPr>
          <w:rFonts w:ascii="Times New Roman" w:hAnsi="Times New Roman" w:cs="Times New Roman"/>
        </w:rPr>
      </w:pPr>
    </w:p>
    <w:p w14:paraId="6B707C07" w14:textId="6D733037" w:rsidR="00284E10" w:rsidRPr="00872293" w:rsidRDefault="00284E10" w:rsidP="00284E10">
      <w:pPr>
        <w:autoSpaceDE w:val="0"/>
        <w:autoSpaceDN w:val="0"/>
        <w:adjustRightInd w:val="0"/>
        <w:spacing w:line="360" w:lineRule="auto"/>
        <w:rPr>
          <w:rFonts w:ascii="Times New Roman" w:hAnsi="Times New Roman"/>
        </w:rPr>
      </w:pPr>
      <w:r w:rsidRPr="00872293">
        <w:rPr>
          <w:rFonts w:ascii="Times New Roman" w:hAnsi="Times New Roman"/>
        </w:rPr>
        <w:t xml:space="preserve">In the tropics, where more </w:t>
      </w:r>
      <w:r w:rsidRPr="00872293">
        <w:rPr>
          <w:rFonts w:ascii="Times New Roman" w:eastAsia="AdvP45996F" w:hAnsi="Times New Roman"/>
        </w:rPr>
        <w:t xml:space="preserve">C and energy are exchanged with the atmosphere than in any other terrestrial ecosystem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{"citationItems":[{"id":"ITEM-1","itemData":{"DOI":"10.1126/science.281.5374.237","ISSN":"00368075","PMID":"9657713","abstract":"Integrating conceptually similar models of the growth of marine and terrestrial primary producers yielded an estimated global net primary production (NPP) of 104.9 petagrams of carbon per year, with roughly equal contributions from land and oceans. Approaches based on satellite indices of absorbed solar radiation indicate marked heterogeneity in NPP for both land and oceans, reflecting the influence of physical and ecological processes. The spatial and temporal distributions of ocean NPP are consistent with primary limitation by light, nutrients, and temperature. On land, water limitation imposes additional constraints. On land and ocean, progressive changes in NPP can result in altered carbon storage, although contrasts in mechanisms of carbon storage and rates of organic matter turnover result in a range of relations between carbon storage and changes in NPP.","author":[{"dropping-particle":"","family":"Field","given":"Christopher B.","non-dropping-particle":"","parse-names":false,"suffix":""},{"dropping-particle":"","family":"Behrenfeld","given":"Michael J.","non-dropping-particle":"","parse-names":false,"suffix":""},{"dropping-particle":"","family":"Randerson","given":"James T.","non-dropping-particle":"","parse-names":false,"suffix":""},{"dropping-particle":"","family":"Falkowski","given":"Paul","non-dropping-particle":"","parse-names":false,"suffix":""}],"container-title":"Science","id":"ITEM-1","issued":{"date-parts":[["1998"]]},"page":"237-240","title":"Primary production of the biosphere: Integrating terrestrial and oceanic components","type":"article-journal","volume":"281"},"uris":["http://www.mendeley.com/documents/?uuid=c49fc4a7-f7ea-4c97-bd96-c6cfc70b2a7e"]},{"id":"ITEM-2","itemData":{"DOI":"10.1016/b978-012505290-0/50002-8","abstract":"This chapter introduces primary productivity in terrestrial ecosystems. Primary production is a complex set of processes in which chemical or solar energy is converted to produce biomass. By far, the main primary producers are green plants, which convert solar energy, carbon dioxide, and water to glucose, and eventually, to plant tissue. Primary productivity is the rate at which energy is converted into biomass. Estimations of primary productivity can be obtained through different methods. The oldest one is by destructive measurements of plant biomass, aboveground and belowground. Frequent samplings are necessary to avoid an underestimation due to the loss of plant material through herbivory or senescence. This method measures the actual accumulation of biomass after some of the products of photosynthesis are expended for the plant's own maintenance through respiration. More recent methods involve the measurement of carbon dioxide fluxes at the vegetation–atmosphere interface. The milestones in the investigation of terrestrial productivity correspond to increased capabilities to integrate measurements over larger scales. This development is largely the outcome of the efforts of international scientific organizations to stimulate research in this field. Two international programs, the International Biological Program (IBP), and subsequently, the International Geosphere–Biosphere Program (IGBP) have been, and are, instrumental in the coordination and direction of research. However, a lot of effort remains to be expended to improve the knowledge at all scales, as well as to influence policy based on this knowledge.","author":[{"dropping-particle":"","family":"Roy","given":"Jacques","non-dropping-particle":"","parse-names":false,"suffix":""},{"dropping-particle":"","family":"Saugier","given":"Bernard","non-dropping-particle":"","parse-names":false,"suffix":""}],"container-title":"Terrestrial Global Productivity","id":"ITEM-2","issued":{"date-parts":[["2001"]]},"title":"Terrestrial Primary Productivity","type":"chapter"},"uris":["http://www.mendeley.com/documents/?uuid=6640d6f5-b696-4f38-8912-4584ab5c6cf2"]},{"id":"ITEM-3","itemData":{"DOI":"10.1126/science.1184984","ISSN":"00368075","PMID":"20603496","abstract":"Terrestrial gross primary production (GPP) is the largest global CO 2 flux driving several ecosystem functions. We provide an observation-based estimate of this flux at 123 ± 8 petagrams of carbon per year (Pg C year-1) using eddy covariance flux data and various diagnostic models. Tropical forests and savannahs account for 60%. GPP over 40% of the vegetated land is associated with precipitation. State-of-the-art process-oriented biosphere models used for climate predictions exhibit a large between-model variation of GPP's latitudinal patterns and show higher spatial correlations between GPP and precipitation, suggesting the existence of missing processes or feedback mechanisms which attenuate the vegetation response to climate. Our estimates of spatially distributed GPP and its covariation with climate can help improve coupled climate-carbon cycle process models.","author":[{"dropping-particle":"","family":"Beer","given":"Christian","non-dropping-particle":"","parse-names":false,"suffix":""},{"dropping-particle":"","family":"Reichstein","given":"Markus","non-dropping-particle":"","parse-names":false,"suffix":""},{"dropping-particle":"","family":"Tomelleri","given":"Enrico","non-dropping-particle":"","parse-names":false,"suffix":""},{"dropping-particle":"","family":"Ciais","given":"Philippe","non-dropping-particle":"","parse-names":false,"suffix":""},{"dropping-particle":"","family":"Jung","given":"Martin","non-dropping-particle":"","parse-names":false,"suffix":""},{"dropping-particle":"","family":"Carvalhais","given":"Nuno","non-dropping-particle":"","parse-names":false,"suffix":""},{"dropping-particle":"","family":"Rödenbeck","given":"Christian","non-dropping-particle":"","parse-names":false,"suffix":""},{"dropping-particle":"","family":"Arain","given":"M. Altaf","non-dropping-particle":"","parse-names":false,"suffix":""},{"dropping-particle":"","family":"Baldocchi","given":"Dennis","non-dropping-particle":"","parse-names":false,"suffix":""},{"dropping-particle":"","family":"Bonan","given":"Gordon B.","non-dropping-particle":"","parse-names":false,"suffix":""},{"dropping-particle":"","family":"Bondeau","given":"Alberte","non-dropping-particle":"","parse-names":false,"suffix":""},{"dropping-particle":"","family":"Cescatti","given":"Alessandro","non-dropping-particle":"","parse-names":false,"suffix":""},{"dropping-particle":"","family":"Lasslop","given":"Gitta","non-dropping-particle":"","parse-names":false,"suffix":""},{"dropping-particle":"","family":"Lindroth","given":"Anders","non-dropping-particle":"","parse-names":false,"suffix":""},{"dropping-particle":"","family":"Lomas","given":"Mark","non-dropping-particle":"","parse-names":false,"suffix":""},{"dropping-particle":"","family":"Luyssaert","given":"Sebastiaan","non-dropping-particle":"","parse-names":false,"suffix":""},{"dropping-particle":"","family":"Margolis","given":"Hank","non-dropping-particle":"","parse-names":false,"suffix":""},{"dropping-particle":"","family":"Oleson","given":"Keith W.","non-dropping-particle":"","parse-names":false,"suffix":""},{"dropping-particle":"","family":"Roupsard","given":"Olivier","non-dropping-particle":"","parse-names":false,"suffix":""},{"dropping-particle":"","family":"Veenendaal","given":"Elmar","non-dropping-particle":"","parse-names":false,"suffix":""},{"dropping-particle":"","family":"Viovy","given":"Nicolas","non-dropping-particle":"","parse-names":false,"suffix":""},{"dropping-particle":"","family":"Williams","given":"Christopher","non-dropping-particle":"","parse-names":false,"suffix":""},{"dropping-particle":"","family":"Woodward","given":"F. Ian","non-dropping-particle":"","parse-names":false,"suffix":""},{"dropping-particle":"","family":"Papale","given":"Dario","non-dropping-particle":"","parse-names":false,"suffix":""}],"container-title":"Science","id":"ITEM-3","issued":{"date-parts":[["2010"]]},"page":"834-838","title":"Terrestrial gross carbon dioxide uptake: Global distribution and covariation with climate","type":"article-journal","volume":"329"},"uris":["http://www.mendeley.com/documents/?uuid=023db8be-d2f9-4b38-be64-03d093f5574f"]},{"id":"ITEM-4","itemData":{"DOI":"10.1016/j.tree.2008.04.009","ISSN":"01695347","abstract":"Tropical forests are renowned for their biological diversity, but also harbor variable combinations of soil age, chemistry and susceptibility to erosion or tectonic uplift. Here we contend that the combined effects of this biotic and abiotic diversity promote exceptional biogeochemical heterogeneity at multiple scales. At local levels, high plant diversity creates variation in chemical and structural traits that affect plant production, decomposition and nutrient cycling. At regional levels, myriad combinations of soil age, soil chemistry and landscape dynamics create variation and uncertainty in limiting nutrients that do not exist at higher latitudes. The effects of such heterogeneity are not well captured in large-scale estimates of tropical ecosystem function, but we suggest new developments in remote sensing can help bridge the gap. © 2008 Elsevier Ltd. All rights reserved.","author":[{"dropping-particle":"","family":"Townsend","given":"Alan R.","non-dropping-particle":"","parse-names":false,"suffix":""},{"dropping-particle":"","family":"Asner","given":"Gregory P.","non-dropping-particle":"","parse-names":false,"suffix":""},{"dropping-particle":"","family":"Cleveland","given":"Cory C.","non-dropping-particle":"","parse-names":false,"suffix":""}],"container-title":"Trends in Ecology and Evolution","id":"ITEM-4","issue":"8","issued":{"date-parts":[["2008"]]},"page":"424-431","title":"The biogeochemical heterogeneity of tropical forests","type":"article-journal","volume":"23"},"uris":["http://www.mendeley.com/documents/?uuid=289bad66-45d6-4d8c-9915-23d05e514357"]}],"mendeley":{"formattedCitation":"(Field &lt;i&gt;et al.&lt;/i&gt;, 1998; Roy &amp; Saugier, 2001; Townsend &lt;i&gt;et al.&lt;/i&gt;, 2008; Beer &lt;i&gt;et al.&lt;/i&gt;, 2010)","plainTextFormattedCitation":"(Field et al., 1998; Roy &amp; Saugier, 2001; Townsend et al., 2008; Beer et al., 2010)","previouslyFormattedCitation":"(Field &lt;i&gt;et al.&lt;/i&gt;, 1998; Roy &amp; Saugier, 2001; Townsend &lt;i&gt;et al.&lt;/i&gt;, 2008; Beer &lt;i&gt;et al.&lt;/i&gt;, 2010)"},"properties":{"noteIndex":0},"schema":"https://github.com/citation-style-language/schema/raw/master/csl-citation.json"}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 xml:space="preserve">(Field </w:t>
      </w:r>
      <w:r w:rsidRPr="00872293">
        <w:rPr>
          <w:rFonts w:ascii="Times New Roman" w:eastAsia="AdvP45996F" w:hAnsi="Times New Roman"/>
          <w:i/>
          <w:noProof/>
        </w:rPr>
        <w:t>et al.</w:t>
      </w:r>
      <w:r w:rsidRPr="00872293">
        <w:rPr>
          <w:rFonts w:ascii="Times New Roman" w:eastAsia="AdvP45996F" w:hAnsi="Times New Roman"/>
          <w:noProof/>
        </w:rPr>
        <w:t xml:space="preserve">, 1998; Roy &amp; Saugier, 2001; Townsend </w:t>
      </w:r>
      <w:r w:rsidRPr="00872293">
        <w:rPr>
          <w:rFonts w:ascii="Times New Roman" w:eastAsia="AdvP45996F" w:hAnsi="Times New Roman"/>
          <w:i/>
          <w:noProof/>
        </w:rPr>
        <w:t>et al.</w:t>
      </w:r>
      <w:r w:rsidRPr="00872293">
        <w:rPr>
          <w:rFonts w:ascii="Times New Roman" w:eastAsia="AdvP45996F" w:hAnsi="Times New Roman"/>
          <w:noProof/>
        </w:rPr>
        <w:t xml:space="preserve">, 2008; Beer </w:t>
      </w:r>
      <w:r w:rsidRPr="00872293">
        <w:rPr>
          <w:rFonts w:ascii="Times New Roman" w:eastAsia="AdvP45996F" w:hAnsi="Times New Roman"/>
          <w:i/>
          <w:noProof/>
        </w:rPr>
        <w:t>et al.</w:t>
      </w:r>
      <w:r w:rsidRPr="00872293">
        <w:rPr>
          <w:rFonts w:ascii="Times New Roman" w:eastAsia="AdvP45996F" w:hAnsi="Times New Roman"/>
          <w:noProof/>
        </w:rPr>
        <w:t>, 2010)</w:t>
      </w:r>
      <w:r w:rsidRPr="00872293">
        <w:rPr>
          <w:rFonts w:ascii="Times New Roman" w:eastAsia="AdvP45996F" w:hAnsi="Times New Roman"/>
        </w:rPr>
        <w:fldChar w:fldCharType="end"/>
      </w:r>
      <w:r w:rsidRPr="00872293">
        <w:rPr>
          <w:rFonts w:ascii="Times New Roman" w:eastAsia="AdvP45996F" w:hAnsi="Times New Roman"/>
        </w:rPr>
        <w:t>, trees have</w:t>
      </w:r>
      <w:r w:rsidRPr="00872293">
        <w:rPr>
          <w:rFonts w:ascii="Times New Roman" w:hAnsi="Times New Roman"/>
          <w:spacing w:val="2"/>
        </w:rPr>
        <w:t xml:space="preserve"> adapted mechanisms, including root trait trade-offs, to survive in generally low P availability </w:t>
      </w:r>
      <w:r w:rsidRPr="00872293">
        <w:rPr>
          <w:rFonts w:ascii="Times New Roman" w:hAnsi="Times New Roman"/>
          <w:spacing w:val="2"/>
        </w:rPr>
        <w:fldChar w:fldCharType="begin" w:fldLock="1"/>
      </w:r>
      <w:r w:rsidRPr="00872293">
        <w:rPr>
          <w:rFonts w:ascii="Times New Roman" w:hAnsi="Times New Roman"/>
          <w:spacing w:val="2"/>
        </w:rPr>
        <w:instrText>ADDIN CSL_CITATION {"citationItems":[{"id":"ITEM-1","itemData":{"abstract":"Moderately fertile soils support productive forests that cycle large quantities of nutrient elements. Forests on the widespread Oxisol/Ultisol soils efficiently cycle smaller quantities of P and Ca, although they appear to be quite rich in N. Forests on sandy Spodosol/Psamment soils cycle small quantities of N (and in some cases P), and they have very high root/shoot ratios. Montane tropical forests generally appear to be low in N, and upper montane forests cycle substantially less N than do lower montane forests. These patterns affect the physiology, community ecology and population biology of tropical forests.-from Authors","author":[{"dropping-particle":"","family":"Vitoussek","given":"P. M.","non-dropping-particle":"","parse-names":false,"suffix":""},{"dropping-particle":"","family":"Sanford","given":"R. L.","non-dropping-particle":"","parse-names":false,"suffix":""}],"container-title":"Annual review of ecology and systematics. Vol. 17","id":"ITEM-1","issue":"1","issued":{"date-parts":[["1986"]]},"page":"137-167","title":"Nutrient cycling in moist tropical forest.","type":"article-journal","volume":"17"},"uris":["http://www.mendeley.com/documents/?uuid=6cd7240e-782a-4796-b27c-adc569d6da73"]},{"id":"ITEM-2","itemData":{"DOI":"10.1038/nature25789","ISSN":"14764687","abstract":"Phosphorus availability is widely assumed to limit primary productivity in tropical forests, but support for this paradigm is equivocal. Although biogeochemical theory predicts that phosphorus limitation should be prevalent on old, strongly weathered soils, experimental manipulations have failed to detect a consistent response to phosphorus addition in species-rich lowland tropical forests. Here we show, by quantifying the growth of 541 tropical tree species across a steep natural phosphorus gradient in Panama, that phosphorus limitation is widespread at the level of individual species and strengthens markedly below a threshold of two parts per million exchangeable soil phosphate. However, this pervasive species-specific phosphorus limitation does not translate into a community-wide response, because some species grow rapidly on infertile soils despite extremely low phosphorus availability. These results redefine our understanding of nutrient limitation in diverse plant communities and have important implications for attempts to predict the response of tropical forests to environmental change.","author":[{"dropping-particle":"","family":"Turner","given":"Benjamin L.","non-dropping-particle":"","parse-names":false,"suffix":""},{"dropping-particle":"","family":"Brenes-Arguedas","given":"Tania","non-dropping-particle":"","parse-names":false,"suffix":""},{"dropping-particle":"","family":"Condit","given":"Richard","non-dropping-particle":"","parse-names":false,"suffix":""}],"container-title":"Nature","id":"ITEM-2","issued":{"date-parts":[["2018"]]},"page":"367-370","title":"Pervasive phosphorus limitation of tree species but not communities in tropical forests","type":"article-journal","volume":"555"},"uris":["http://www.mendeley.com/documents/?uuid=4112bbf2-26cb-4eb4-b435-73b2cb31c426"]},{"id":"ITEM-3","itemData":{"DOI":"10.1007/s004420051020","ISSN":"00298549","abstract":"We studied soil phosphorus (P) fractionation and P-use efficiencies (PUEs) of rainforests along altitudinal gradients (700-3100 m) on two types of parental rocks (sedimentary versus ultrabasic) on Mount Kinabalu, Borneo. Sedimentary rocks were known to contain more quartz (which does not adsorb P) than ultrabasic rocks. The pool (top 30 cm) of total P was always greater on sedimentary (ranging from 34.9 to 72.6 g m-2) than on ultrabasic (9.0-29.2 g m-2) rocks at comparable altitudes. Accordingly, the pools of organic P and labile inorganic P were always greater on sedimentary than on ultrabasic rocks. The pool of primary mineral, calcium P increased upslope from 1.7 to 4.3 g m-2 on sedimentary rock, suggesting that the altitudinal sequence of the sites reflected a decreasing magnitude of soil weathering upslope. The pool of calcium P on ultrabasic rock did not vary consistently with altitude (1.2-2.8 g m-2), probably reflecting the greater between-site variability of primary mineral P in parent rocks. When all sites were compared, the pool of most labile, bicarbonate-extracted inorganic P increased (ranging from 0.02 to 1.85 g m-2) with increasing calcium P. Calcium P was therefore considered to be an important P source to the biota on Kinabalu. Gross patterns in the variation of PUE (indexed as the reciprocal of the P concentration in litter) were best explained by the pool size of actively cycling P (total P minus occluded inorganic P). PUE, however, demonstrated distinct altitudinal patterns to generate an intricate conrol of P use pattern by soil P pools and altitude.","author":[{"dropping-particle":"","family":"Kitayama","given":"Kanehiro","non-dropping-particle":"","parse-names":false,"suffix":""},{"dropping-particle":"","family":"Majalap-Lee","given":"Noreen","non-dropping-particle":"","parse-names":false,"suffix":""},{"dropping-particle":"","family":"Aiba","given":"Shin Ichiro","non-dropping-particle":"","parse-names":false,"suffix":""}],"container-title":"Oecologia","id":"ITEM-3","issue":"3","issued":{"date-parts":[["2000"]]},"page":"342-349","title":"Soil phosphorus fractionation and phosphorus-use efficiencies of tropical rainforests along altitudinal gradients of Mount Kinabalu, Borneo","type":"article-journal","volume":"123"},"uris":["http://www.mendeley.com/documents/?uuid=2438380f-773c-4f12-8fdd-56a09c8b698c"]}],"mendeley":{"formattedCitation":"(Vitoussek &amp; Sanford, 1986; Kitayama &lt;i&gt;et al.&lt;/i&gt;, 2000; Turner &lt;i&gt;et al.&lt;/i&gt;, 2018)","plainTextFormattedCitation":"(Vitoussek &amp; Sanford, 1986; Kitayama et al., 2000; Turner et al., 2018)","previouslyFormattedCitation":"(Vitoussek &amp; Sanford, 1986; Kitayama &lt;i&gt;et al.&lt;/i&gt;, 2000; Turner &lt;i&gt;et al.&lt;/i&gt;, 2018)"},"properties":{"noteIndex":0},"schema":"https://github.com/citation-style-language/schema/raw/master/csl-citation.json"}</w:instrText>
      </w:r>
      <w:r w:rsidRPr="00872293">
        <w:rPr>
          <w:rFonts w:ascii="Times New Roman" w:hAnsi="Times New Roman"/>
          <w:spacing w:val="2"/>
        </w:rPr>
        <w:fldChar w:fldCharType="separate"/>
      </w:r>
      <w:r w:rsidRPr="00872293">
        <w:rPr>
          <w:rFonts w:ascii="Times New Roman" w:hAnsi="Times New Roman"/>
          <w:noProof/>
          <w:spacing w:val="2"/>
        </w:rPr>
        <w:t xml:space="preserve">(Vitoussek &amp; Sanford, 1986; Kitayama </w:t>
      </w:r>
      <w:r w:rsidRPr="00872293">
        <w:rPr>
          <w:rFonts w:ascii="Times New Roman" w:hAnsi="Times New Roman"/>
          <w:i/>
          <w:noProof/>
          <w:spacing w:val="2"/>
        </w:rPr>
        <w:t>et al.</w:t>
      </w:r>
      <w:r w:rsidRPr="00872293">
        <w:rPr>
          <w:rFonts w:ascii="Times New Roman" w:hAnsi="Times New Roman"/>
          <w:noProof/>
          <w:spacing w:val="2"/>
        </w:rPr>
        <w:t xml:space="preserve">, 2000; Turner </w:t>
      </w:r>
      <w:r w:rsidRPr="00872293">
        <w:rPr>
          <w:rFonts w:ascii="Times New Roman" w:hAnsi="Times New Roman"/>
          <w:i/>
          <w:noProof/>
          <w:spacing w:val="2"/>
        </w:rPr>
        <w:t>et al.</w:t>
      </w:r>
      <w:r w:rsidRPr="00872293">
        <w:rPr>
          <w:rFonts w:ascii="Times New Roman" w:hAnsi="Times New Roman"/>
          <w:noProof/>
          <w:spacing w:val="2"/>
        </w:rPr>
        <w:t>, 2018)</w:t>
      </w:r>
      <w:r w:rsidRPr="00872293">
        <w:rPr>
          <w:rFonts w:ascii="Times New Roman" w:hAnsi="Times New Roman"/>
          <w:spacing w:val="2"/>
        </w:rPr>
        <w:fldChar w:fldCharType="end"/>
      </w:r>
      <w:r w:rsidRPr="00872293">
        <w:rPr>
          <w:rFonts w:ascii="Times New Roman" w:hAnsi="Times New Roman"/>
          <w:spacing w:val="2"/>
        </w:rPr>
        <w:t xml:space="preserve">. </w:t>
      </w:r>
      <w:r w:rsidRPr="00872293">
        <w:rPr>
          <w:rFonts w:ascii="Times New Roman" w:hAnsi="Times New Roman"/>
        </w:rPr>
        <w:t xml:space="preserve">These trade-offs follow the collaboration gradient, investing C to have greater root mycorrhizal symbiosis (“outsourcing” strategy) </w:t>
      </w:r>
      <w:r w:rsidRPr="00872293">
        <w:rPr>
          <w:rFonts w:ascii="Times New Roman" w:hAnsi="Times New Roman"/>
        </w:rPr>
        <w:fldChar w:fldCharType="begin" w:fldLock="1"/>
      </w:r>
      <w:r w:rsidRPr="00872293">
        <w:rPr>
          <w:rFonts w:ascii="Times New Roman" w:hAnsi="Times New Roman"/>
        </w:rPr>
        <w:instrText>ADDIN CSL_CITATION {"citationItems":[{"id":"ITEM-1","itemData":{"DOI":"10.1016/B978-0-12-370526-6.X5001-6","ISBN":"9780123705266","abstract":"The roots of most plants are colonized by symbiotic fungi to form mycorrhiza, which play a critical role in the capture of nutrients from the soil and therefore in plant nutrition. Mycorrhizal Symbiosis is recognized as the definitive work in this area. Since the last edition was published there have been major advances in the field, particularly in the area of molecular biology, and the new edition has been fully revised and updated to incorporate these exciting new developments. . Over 50% new material . Includes expanded color plate section . Covers all aspects of mycorrhiza . Presents new taxonomy . Discusses the impact of proteomics and genomics on research in this area. © 2008 Elsevier Ltd All rights reserved.","author":[{"dropping-particle":"","family":"Smith","given":"Sally","non-dropping-particle":"","parse-names":false,"suffix":""},{"dropping-particle":"","family":"Read","given":"David","non-dropping-particle":"","parse-names":false,"suffix":""}],"container-title":"Mycorrhizal Symbiosis","id":"ITEM-1","issued":{"date-parts":[["2008"]]},"title":"Mycorrhizal Symbiosis","type":"book"},"uris":["http://www.mendeley.com/documents/?uuid=96d3272d-36f1-4d27-b6d6-4e1b782eb375"]}],"mendeley":{"formattedCitation":"(Smith &amp; Read, 2008)","plainTextFormattedCitation":"(Smith &amp; Read, 2008)","previouslyFormattedCitation":"(Smith &amp; Read, 2008)"},"properties":{"noteIndex":0},"schema":"https://github.com/citation-style-language/schema/raw/master/csl-citation.json"}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(Smith &amp; Read, 2008)</w:t>
      </w:r>
      <w:r w:rsidRPr="00872293">
        <w:rPr>
          <w:rFonts w:ascii="Times New Roman" w:hAnsi="Times New Roman"/>
        </w:rPr>
        <w:fldChar w:fldCharType="end"/>
      </w:r>
      <w:r w:rsidRPr="00872293">
        <w:rPr>
          <w:rFonts w:ascii="Times New Roman" w:hAnsi="Times New Roman"/>
        </w:rPr>
        <w:t xml:space="preserve">, or invest C in longer roots (“do it yourself” strategy) for a given diameter with greater branching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Phytologist","id":"ITEM-1","issue":"1","issued":{"date-parts":[["2015"]]},"page":"125-136","title":"Complementarity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species","type":"article-journal","volume":"208"},"uris":["http://www.mendeley.com/documents/?uuid=181e3a6c-c0c7-4de1-a35f-83b486441b89"]}],"mendeley":{"formattedCitation":"(Liu &lt;i&gt;et al.&lt;/i&gt;, 2015)","manualFormatting":"(Liu et al., 2015)","plainTextFormattedCitation":"(Liu et al., 2015)","previouslyFormattedCitation":"(Liu &lt;i&gt;et al.&lt;/i&gt;, 2015)"},"properties":{"noteIndex":0},"schema":"https://github.com/citation-style-language/schema/raw/master/csl-citation.json"}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(Liu </w:t>
      </w:r>
      <w:r w:rsidRPr="00872293">
        <w:rPr>
          <w:rFonts w:ascii="Times New Roman" w:hAnsi="Times New Roman"/>
          <w:i/>
          <w:noProof/>
        </w:rPr>
        <w:t>et al.</w:t>
      </w:r>
      <w:r w:rsidRPr="00872293">
        <w:rPr>
          <w:rFonts w:ascii="Times New Roman" w:hAnsi="Times New Roman"/>
          <w:noProof/>
        </w:rPr>
        <w:t>, 2015)</w:t>
      </w:r>
      <w:r w:rsidRPr="00872293">
        <w:rPr>
          <w:rFonts w:ascii="Times New Roman" w:hAnsi="Times New Roman"/>
        </w:rPr>
        <w:fldChar w:fldCharType="end"/>
      </w:r>
      <w:r w:rsidRPr="00872293">
        <w:rPr>
          <w:rFonts w:ascii="Times New Roman" w:hAnsi="Times New Roman"/>
        </w:rPr>
        <w:t xml:space="preserve">, which in turn could have greater exudation of PME to mobilize </w:t>
      </w:r>
      <w:r w:rsidRPr="00872293">
        <w:rPr>
          <w:rFonts w:ascii="Times New Roman" w:hAnsi="Times New Roman"/>
          <w:spacing w:val="2"/>
        </w:rPr>
        <w:t>organic forms of P in soils</w:t>
      </w:r>
      <w:r w:rsidRPr="00872293">
        <w:rPr>
          <w:rFonts w:ascii="Times New Roman" w:hAnsi="Times New Roman"/>
        </w:rPr>
        <w:t xml:space="preserve"> </w:t>
      </w:r>
      <w:r w:rsidRPr="00872293">
        <w:rPr>
          <w:rFonts w:ascii="Times New Roman" w:hAnsi="Times New Roman"/>
        </w:rPr>
        <w:fldChar w:fldCharType="begin" w:fldLock="1"/>
      </w:r>
      <w:r w:rsidRPr="00872293">
        <w:rPr>
          <w:rFonts w:ascii="Times New Roman" w:hAnsi="Times New Roman"/>
        </w:rPr>
        <w:instrText>ADDIN CSL_CITATION {"citationItems":[{"id":"ITEM-1","itemData":{"DOI":"10.1016/j.tree.2007.10.008","ISSN":"01695347","abstract":"Nitrogen (N) tends to limit plant productivity on young soils; phosphorus (P) becomes increasingly limiting in ancient soils because it gradually disappears through leaching and erosion. Plant traits that are regarded as adaptations to N- and P-limited conditions include mycorrhizas and cluster roots. Mycorrhizas 'scavenge' P from solution or 'mine' insoluble organic N. Cluster roots function in severely P-impoverished landscapes, 'mining' P fixed as insoluble inorganic phosphates. The 'scavenging' and 'mining' strategies of mycorrhizal species without and non-mycorrhizal species with cluster roots, respectively, allow functioning on soils that differ markedly in P availability. Based on recent advances in our understanding of these contrasting strategies of nutrient acquisition, we provide an explanation for the distribution of mycorrhizal species on less P-impoverished soils, and for why, globally, cluster-bearing species dominate on severely P-impoverished, ancient soils, where P sensitivity is relatively common. © 2007 Elsevier Ltd. All rights reserved.","author":[{"dropping-particle":"","family":"Lambers","given":"Hans","non-dropping-particle":"","parse-names":false,"suffix":""},{"dropping-particle":"","family":"Raven","given":"John A.","non-dropping-particle":"","parse-names":false,"suffix":""},{"dropping-particle":"","family":"Shaver","given":"Gaius R.","non-dropping-particle":"","parse-names":false,"suffix":""},{"dropping-particle":"","family":"Smith","given":"Sally E.","non-dropping-particle":"","parse-names":false,"suffix":""}],"container-title":"Trends in Ecology and Evolution","id":"ITEM-1","issue":"2","issued":{"date-parts":[["2008"]]},"page":"95-103","title":"Plant nutrient-acquisition strategies change with soil age","type":"article-journal","volume":"23"},"uris":["http://www.mendeley.com/documents/?uuid=153eb949-d40a-462f-89e8-b6cd8860656b"]},{"id":"ITEM-2","itemData":{"DOI":"10.1023/A:1006316117817","ISSN":"01682563","abstract":"Soil microorganisms and plants produce enzymes that mineralize organically bound nutrients. When nutrient availability is low, the biota may be able to increase production of these enzymes to enhance the supply of inorganic nitrogen (N) and phosphorus (P). Regulation of enzyme production may be a point where N and P cycles interact. We measured acid phosphatase and chitinase (N-acetyl β-D-glucosaminide) activity in soil across a chronosequence in Hawaii where N and P availability varies substantially among sites and long term fertilizer plots had been maintained for over 4 years. Phosphatase activity was high at all sites. Chitinase activity decreased significantly as age and N availability increased across the chronosequence. Phosphorus addition suppressed phosphatase activity at all sites, while N addition increased phosphatase activity at the young, N-limited site. In contrast, N addition repressed chitinase activity only at the N limited young site, and P additions had no effect on chitinase activity. These results suggest that the regulatory relationship between nutrient supply and nutrient mineralization are asymmetric for N and P, and that the differences could help to explain differences observed in patterns of N and P availability.","author":[{"dropping-particle":"","family":"Olander","given":"Lydia P.","non-dropping-particle":"","parse-names":false,"suffix":""},{"dropping-particle":"","family":"Vitousek","given":"Peter M.","non-dropping-particle":"","parse-names":false,"suffix":""}],"container-title":"Biogeochemistry","id":"ITEM-2","issue":"2","issued":{"date-parts":[["2000"]]},"page":"175-191","title":"Regulation of soil phosphatase and chitinase activity by N and P availability","type":"article-journal","volume":"49"},"uris":["http://www.mendeley.com/documents/?uuid=c1286fd9-5cdf-4612-908f-463f4084d177"]}],"mendeley":{"formattedCitation":"(Olander &amp; Vitousek, 2000; Lambers &lt;i&gt;et al.&lt;/i&gt;, 2008)","manualFormatting":"(Olander &amp; Vitousek, 2000; Lambers et al., 2008; Cabugao et al., in review)","plainTextFormattedCitation":"(Olander &amp; Vitousek, 2000; Lambers et al., 2008)","previouslyFormattedCitation":"(Olander &amp; Vitousek, 2000; Lambers &lt;i&gt;et al.&lt;/i&gt;, 2008)"},"properties":{"noteIndex":0},"schema":"https://github.com/citation-style-language/schema/raw/master/csl-citation.json"}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(Olander &amp; Vitousek, 2000; Lambers </w:t>
      </w:r>
      <w:r w:rsidRPr="00872293">
        <w:rPr>
          <w:rFonts w:ascii="Times New Roman" w:hAnsi="Times New Roman"/>
          <w:i/>
          <w:noProof/>
        </w:rPr>
        <w:t>et al.</w:t>
      </w:r>
      <w:r w:rsidRPr="00872293">
        <w:rPr>
          <w:rFonts w:ascii="Times New Roman" w:hAnsi="Times New Roman"/>
          <w:noProof/>
        </w:rPr>
        <w:t xml:space="preserve">, 2008; Cabugao </w:t>
      </w:r>
      <w:r w:rsidRPr="00872293">
        <w:rPr>
          <w:rFonts w:ascii="Times New Roman" w:hAnsi="Times New Roman"/>
          <w:i/>
          <w:iCs/>
          <w:noProof/>
        </w:rPr>
        <w:t>et al</w:t>
      </w:r>
      <w:r w:rsidRPr="00872293">
        <w:rPr>
          <w:rFonts w:ascii="Times New Roman" w:hAnsi="Times New Roman"/>
          <w:noProof/>
        </w:rPr>
        <w:t xml:space="preserve">., </w:t>
      </w:r>
      <w:r w:rsidRPr="00872293">
        <w:rPr>
          <w:rFonts w:ascii="Times New Roman" w:hAnsi="Times New Roman"/>
          <w:i/>
          <w:iCs/>
          <w:noProof/>
        </w:rPr>
        <w:t xml:space="preserve">in </w:t>
      </w:r>
      <w:r w:rsidR="00E8468B">
        <w:rPr>
          <w:rFonts w:ascii="Times New Roman" w:hAnsi="Times New Roman"/>
          <w:i/>
          <w:iCs/>
          <w:noProof/>
        </w:rPr>
        <w:t>press</w:t>
      </w:r>
      <w:r w:rsidRPr="00872293">
        <w:rPr>
          <w:rFonts w:ascii="Times New Roman" w:hAnsi="Times New Roman"/>
          <w:noProof/>
        </w:rPr>
        <w:t>)</w:t>
      </w:r>
      <w:r w:rsidRPr="00872293">
        <w:rPr>
          <w:rFonts w:ascii="Times New Roman" w:hAnsi="Times New Roman"/>
        </w:rPr>
        <w:fldChar w:fldCharType="end"/>
      </w:r>
      <w:r w:rsidRPr="00872293">
        <w:rPr>
          <w:rFonts w:ascii="Times New Roman" w:hAnsi="Times New Roman"/>
        </w:rPr>
        <w:t>.</w:t>
      </w:r>
    </w:p>
    <w:p w14:paraId="5553087C" w14:textId="77777777" w:rsidR="00284E10" w:rsidRPr="00872293" w:rsidRDefault="00284E10" w:rsidP="00284E10">
      <w:pPr>
        <w:autoSpaceDE w:val="0"/>
        <w:autoSpaceDN w:val="0"/>
        <w:adjustRightInd w:val="0"/>
        <w:spacing w:line="360" w:lineRule="auto"/>
        <w:rPr>
          <w:rFonts w:ascii="Times New Roman" w:hAnsi="Times New Roman"/>
        </w:rPr>
      </w:pPr>
    </w:p>
    <w:p w14:paraId="6D796545" w14:textId="4262A903" w:rsidR="00284E10" w:rsidRPr="00872293" w:rsidRDefault="00284E10" w:rsidP="00284E10">
      <w:pPr>
        <w:autoSpaceDE w:val="0"/>
        <w:autoSpaceDN w:val="0"/>
        <w:adjustRightInd w:val="0"/>
        <w:spacing w:line="360" w:lineRule="auto"/>
        <w:rPr>
          <w:rFonts w:ascii="Times New Roman" w:hAnsi="Times New Roman"/>
          <w:spacing w:val="2"/>
        </w:rPr>
      </w:pPr>
      <w:r w:rsidRPr="00872293">
        <w:rPr>
          <w:rFonts w:ascii="Times New Roman" w:hAnsi="Times New Roman"/>
        </w:rPr>
        <w:t>Each of the root trait</w:t>
      </w:r>
      <w:r w:rsidR="00D83907" w:rsidRPr="00872293">
        <w:rPr>
          <w:rFonts w:ascii="Times New Roman" w:hAnsi="Times New Roman"/>
        </w:rPr>
        <w:t>s</w:t>
      </w:r>
      <w:r w:rsidRPr="00872293">
        <w:rPr>
          <w:rFonts w:ascii="Times New Roman" w:hAnsi="Times New Roman"/>
        </w:rPr>
        <w:t xml:space="preserve"> related to P acquisition has an important contribution to P uptake by the plant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{"citationItems":[{"id":"ITEM-1","itemData":{"DOI":"10.1016/0038-0717(79)90110-X","ISSN":"00380717","abstract":"To find out how acid phosphatase activity and production in some Alberta soils may be related to soil properties and past fertilizer history, soils of varying organic matter content, extractable P and P fertilization history were assayed for acid phosphatase using p-nitrophenyl phosphate as substrate. The effect of solution P concentration during the phosphatase assay was examined. The effect of P on the production of new phosphatase was examined in soils incubated with an added energy supply or orthophosphate. Phosphatase activity was influenced by P fertilization practices during the 5 yr before sampling. In a Black Chernozemic soil (Malmo SiCL) with a high organic matter content and high initial phosphatase activity, P fertilization at 27 or 54 kg P ha-1 y-1 for 5 yr reduced phosphatase activity by about 20%. However, in a Grey Luvisolic soil (Cooking Lake L) with low organic matter and initial phosphatase, P fertilization at 54 kg P ha-1y-1 for 5 yr tended to increase activity, probably by increasing plant root growth and organic matter additions. Assay solutions containing orthophosphate at 0.55 mM reduced activity by 25% and 47% in a Malmo SiCL and Maleb L (Orthic Brown Chernozem) soil respectively. Further increases of phosphate concentration to 5.5 mM reduced phosphatase activity by 50% and 76% in the Malmo and Maleb L soils respectively. Phosphatase activity was increased up to 6-fold by incubation of soil with glucose and NH4NO3. Addition of P to produce an added C: added P ratio of 20:1 completely prevented synthesis of phosphatase by proliferating organisms and had a slight inhibitory effect on phosphatase already present. Similarly, addition of P without C in a 6-week incubation had only a small effect on phosphatase activity and maintained P concentrations in the assay solutions slightly below 0.55 mM. It was concluded that the effect of phosphate on soil phosphatase operates more through its effect on phosphatase synthesis than on activity of existing phosphatase. © 1979.","author":[{"dropping-particle":"","family":"Spiers","given":"G. A.","non-dropping-particle":"","parse-names":false,"suffix":""},{"dropping-particle":"","family":"McGill","given":"W. B.","non-dropping-particle":"","parse-names":false,"suffix":""}],"container-title":"Soil Biology and Biochemistry","id":"ITEM-1","issued":{"date-parts":[["1979"]]},"title":"Effects of phosphorus addition and energy supply on acid phosphatase production and activity in soils","type":"article-journal"},"uris":["http://www.mendeley.com/documents/?uuid=66ec38fb-384d-4daa-9bb5-ca6d0ec98be4"]},{"id":"ITEM-2","itemData":{"DOI":"10.2307/1940086","abstract":"Because plant litter decomposition is directly mediated by extracellular en- zymes (ectoenzymes), analyses of the dynamics of their activity may clarify the mechanisms that link decomposition rates to substrate quality and nutrient availability. We investigated this possibility by placing arrays of white birch sticks at eight upland, riparian, and lotic sites on a forested watershed in northern New York. For 3 yr, samples were analyzed for mass loss, protein, total Kjeldahl nitrogen (TKN), and total phosphorus (TP) accumulation, and the activity of 11 classes of extracellular enzymes involved in C, N, and P cycling. The relationship between lignocellulase activity and mass loss did not differ among sites. TKN and TP immobilization exhibited some spatial variation; rates of accumulation per 1% loss of initial mass, estimated from linear regressions, ranged from 2.2 to 4.4 pg/g OM for TP and from 43 to 139 pg/g OM for TKN, with maximum concentrations reached at - 80% mass loss. The relationship between the activities of acid phosphatase (AcPase) and N- acetylglucosaminidase (NAGase), enzymes involved in the acquisition of P and N from organic sources, and mass loss displayed even greater variation among sites; the slopes of linear regressions relating mass loss and temporally integrated activity ranged from 0.019 to 0.135 activity-months per mass loss point and 0.107 to 0.775 activity-months per mass loss point, respectively, suggesting that edaphic rather than substrate quality factors were regulating activity. The extent of N limitation at each site was inferred by plotting TKN accumulation, defined as the slope of the linear regression TKN concentration vs. mass loss, in relation to NAGase activity accumulation, defined as the slope of the linear re- gression cumulative NAGase activity-months vs. mass loss. P limitation at each site was similarly assessed from an analogous plot of TP accumulation in relation to AcPase activity accumulation. Low N or P accumulation in conjunction with high acquisition activity was taken as an indication of nutrient limitation while the converse indicated surfeit. The diagrams suggested that decomposition at the upland hemlock and lotic sites, which dis- played intermediate rates of OM loss (zero order k = 0.29 g/mo and 0.23 g/mo, respectively), was primarily N limited, while the riparian sites, which had the lowest rates of OM loss (k = 0.14 g/mo), appeared to be P limited. Relative to the others, OM loss at the upland …","author":[{"dropping-particle":"","family":"Sinsabaugh","given":"R. L.","non-dropping-particle":"","parse-names":false,"suffix":""},{"dropping-particle":"","family":"Antibus","given":"R. K.","non-dropping-particle":"","parse-names":false,"suffix":""},{"dropping-particle":"","family":"Linkins","given":"A. E.","non-dropping-particle":"","parse-names":false,"suffix":""},{"dropping-particle":"","family":"McClaugherty","given":"C. A.","non-dropping-particle":"","parse-names":false,"suffix":""},{"dropping-particle":"","family":"Rayburn","given":"L.","non-dropping-particle":"","parse-names":false,"suffix":""},{"dropping-particle":"","family":"Repert","given":"D.","non-dropping-particle":"","parse-names":false,"suffix":""},{"dropping-particle":"","family":"Weiland","given":"T.","non-dropping-particle":"","parse-names":false,"suffix":""}],"container-title":"Ecology","id":"ITEM-2","issue":"5","issued":{"date-parts":[["1993"]]},"page":"1586-1593","title":"Wood Decomposition: Nitrogen and Phosphorus Dynamics in Relation to Extracellular Enzyme Activity","type":"article-journal","volume":"74"},"uris":["http://www.mendeley.com/documents/?uuid=c000fa5e-cbb0-46b9-aa95-4b92ba74df80"]},{"id":"ITEM-3","itemData":{"DOI":"10.1007/978-3-319-27422-5_12","abstract":"Tree-ring studies provide important contributions to understanding the climate sensitivity of tropical trees and the effects of global change on tropical forests. This chapter reviews recent advances in tropical tree-ring research. In tropical lowlands, tree ring formation is mainly driven by seasonal variation in precipitation or flooding, and not in temperature. Annual ring formation has now been confirmed for 230 tropical tree species across continents and climate zones. Tree-ring studies indicate that lifespans of tropical tree species average c. 200 years and only few species live &gt;500 years; these values are considerably lower than those based on indirect age estimates. Size-age trajectories show large and persis- tent growth variation among trees of the same species, due to variation in light, water and nutrient availability. Climate-growth analyses suggest that tropical tree growth is moderately sensitive to rainfall (dry years reduce growth) and temperature (hot years reduce growth). Tree-ring studies can assist in evaluating the effects of gradual changes in climatic conditions on tree growth and physiology but this requires that sampling biases are dealt with and ontogenetic changes are disen- tangled from temporal changes. This remains challenging, but studies have reported increases in intrinsic water use efficiency based on δ13C measurements in tree rings, most likely due to increasing atmospheric CO2. We conclude that tree-ring studies offer important insights to global change effects on tropical trees and will increasingly do so as new techniques become available and research efforts intensify.","author":[{"dropping-particle":"","family":"Dalling","given":"James W.","non-dropping-particle":"","parse-names":false,"suffix":""},{"dropping-particle":"","family":"Heineman","given":"Katherine","non-dropping-particle":"","parse-names":false,"suffix":""},{"dropping-particle":"","family":"Lopez","given":"Omar R.","non-dropping-particle":"","parse-names":false,"suffix":""},{"dropping-particle":"","family":"Wright","given":"S. Joseph","non-dropping-particle":"","parse-names":false,"suffix":""},{"dropping-particle":"","family":"Turner","given":"Benjamin L.","non-dropping-particle":"","parse-names":false,"suffix":""}],"container-title":"Tropical tree physiology","id":"ITEM-3","issued":{"date-parts":[["2016"]]},"page":"261-273","title":"Nutrient Availability in Tropical Rain Forests: The Paradigm of Phosphorus Limitation","type":"chapter"},"uris":["http://www.mendeley.com/documents/?uuid=c206f283-cfbc-49e7-9abd-b9775c183206"]},{"id":"ITEM-4","itemData":{"DOI":"10.1016/j.soilbio.2012.11.009","ISSN":"00380717","abstract":"This review focuses on some important and challenging aspects of soil extracellular enzyme research. We report on recent discoveries, identify key research needs and highlight the many opportunities offered by interactions with other microbial enzymologists. The biggest challenges are to understand how the chemical, physical and biological properties of soil affect enzyme production, diffusion, substrate turnover and the proportion of the product that is made available to the producer cells. Thus, the factors that regulate the synthesis and secretion of extracellular enzymes and their distribution after they are externalized are important topics, not only for soil enzymologists, but also in the broader context of microbial ecology. In addition, there are many uncertainties about the ways in which microbes and their extracellular enzymes overcome the generally destructive, inhibitory and competitive properties of the soil matrix, and the various strategies they adopt for effective substrate detection and utilization. The complexity of extracellular enzyme activities in depolymerising macromolecular organics is exemplified by lignocellulose degradation and how the many enzymes involved respond to structural diversity and changing nutrient availabilities. The impacts of climate change on microbes and their extracellular enzymes, although of profound importance, are not well understood but we suggest how they may be predicted, assessed and managed. We describe recent advances that allow for the manipulation of extracellular enzyme activities to facilitate bioremediation, carbon sequestration and plant growth promotion. We also contribute to the ongoing debate as to how to assay enzyme activities in soil and what the measurements tell us, in the context of both traditional methods and the newer techniques that are being developed and adopted. Finally, we offer our collective vision of the future of extracellular enzyme research: one that will depend on imaginative thinking as well as technological advances, and be built upon synergies between diverse disciplines. © 2012 Elsevier Ltd.","author":[{"dropping-particle":"","family":"Burns","given":"Richard G.","non-dropping-particle":"","parse-names":false,"suffix":""},{"dropping-particle":"","family":"DeForest","given":"Jared L.","non-dropping-particle":"","parse-names":false,"suffix":""},{"dropping-particle":"","family":"Marxsen","given":"Jürgen","non-dropping-particle":"","parse-names":false,"suffix":""},{"dropping-particle":"","family":"Sinsabaugh","given":"Robert L.","non-dropping-particle":"","parse-names":false,"suffix":""},{"dropping-particle":"","family":"Stromberger","given":"Mary E.","non-dropping-particle":"","parse-names":false,"suffix":""},{"dropping-particle":"","family":"Wallenstein","given":"Matthew D.","non-dropping-particle":"","parse-names":false,"suffix":""},{"dropping-particle":"","family":"Weintraub","given":"Michael N.","non-dropping-particle":"","parse-names":false,"suffix":""},{"dropping-particle":"","family":"Zoppini","given":"Annamaria","non-dropping-particle":"","parse-names":false,"suffix":""}],"container-title":"Soil Biology and Biochemistry","id":"ITEM-4","issued":{"date-parts":[["2013"]]},"page":"216-234","title":"Soil enzymes in a changing environment: Current knowledge and future directions","type":"article-journal","volume":"58"},"uris":["http://www.mendeley.com/documents/?uuid=1db25828-7e9f-4299-8ca4-08f1d0ddd3d0"]},{"id":"ITEM-5","itemData":{"DOI":"10.1111/j.1469-8137.2004.01015.x","ISSN":"0028646X","abstract":"When roots encounter a nutrient-rich zone or patch they often proliferate within it. Roots experiencing nutrient-rich patches can also enhance their physiological ion-uptake capacities compared with roots of the same plant outside the patch zone. These plastic responses by the root system have been proposed as the major mechanism by which plants cope with the naturally occurring heterogeneous supplies of nutrients in soil. Various attempts to predict how contrasting species will respond to patches have been made based on specific root length (SRL), root demography and biomass allocation within the patch zone. No one criterion has proved definitive. Actually demonstrating that root proliferation is beneficial to the plant, especially in terms of nitrogen capture from patches, has also proved troublesome. Yet by growing plants under more realistic conditions, such as in interspecific plant competition, and with a complex organic patch, a direct benefit can be demonstrated. Thus, as highlighted in this review, the environmental context in which the root response is expressed is as important as the magnitude of the response itself. © New Phytologist (2004).","author":[{"dropping-particle":"","family":"Hodge","given":"Angela","non-dropping-particle":"","parse-names":false,"suffix":""}],"container-title":"New Phytologist","id":"ITEM-5","issue":"1","issued":{"date-parts":[["2004"]]},"page":"9-24","title":"The plastic plant: Root responses to heterogeneous supplies of nutrients","type":"article-journal","volume":"162"},"uris":["http://www.mendeley.com/documents/?uuid=ec2a65b9-403a-4663-bedc-8c00028c6bf4"]},{"id":"ITEM-6","itemData":{"DOI":"10.1111/nph.12842","ISBN":"1469-8137","ISSN":"14698137","PMID":"24824672","abstract":"Absorptive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Phytologist","id":"ITEM-6","issue":"3","issued":{"date-parts":[["2014"]]},"page":"863-872","title":"Leading dimensions in absorptive root trait variation across 96 subtropical forest species","type":"article-journal","volume":"203"},"uris":["http://www.mendeley.com/documents/?uuid=a7e2c871-4bd8-41c2-9249-3fc27422af67"]}],"mendeley":{"formattedCitation":"(Spiers &amp; McGill, 1979; Sinsabaugh &lt;i&gt;et al.&lt;/i&gt;, 1993; Hodge, 2004; Burns &lt;i&gt;et al.&lt;/i&gt;, 2013; Kong &lt;i&gt;et al.&lt;/i&gt;, 2014; Dalling &lt;i&gt;et al.&lt;/i&gt;, 2016)","plainTextFormattedCitation":"(Spiers &amp; McGill, 1979; Sinsabaugh et al., 1993; Hodge, 2004; Burns et al., 2013; Kong et al., 2014; Dalling et al., 2016)","previouslyFormattedCitation":"(Spiers &amp; McGill, 1979; Sinsabaugh &lt;i&gt;et al.&lt;/i&gt;, 1993; Hodge, 2004; Burns &lt;i&gt;et al.&lt;/i&gt;, 2013; Kong &lt;i&gt;et al.&lt;/i&gt;, 2014; Dalling &lt;i&gt;et al.&lt;/i&gt;, 2016)"},"properties":{"noteIndex":0},"schema":"https://github.com/citation-style-language/schema/raw/master/csl-citation.json"}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(Spiers &amp; McGill, 1979; Sinsabaugh </w:t>
      </w:r>
      <w:r w:rsidRPr="00872293">
        <w:rPr>
          <w:rFonts w:ascii="Times New Roman" w:eastAsiaTheme="minorHAnsi" w:hAnsi="Times New Roman"/>
          <w:i/>
          <w:noProof/>
        </w:rPr>
        <w:t>et al.</w:t>
      </w:r>
      <w:r w:rsidRPr="00872293">
        <w:rPr>
          <w:rFonts w:ascii="Times New Roman" w:eastAsiaTheme="minorHAnsi" w:hAnsi="Times New Roman"/>
          <w:noProof/>
        </w:rPr>
        <w:t xml:space="preserve">, 1993; Hodge, 2004; Burns </w:t>
      </w:r>
      <w:r w:rsidRPr="00872293">
        <w:rPr>
          <w:rFonts w:ascii="Times New Roman" w:eastAsiaTheme="minorHAnsi" w:hAnsi="Times New Roman"/>
          <w:i/>
          <w:noProof/>
        </w:rPr>
        <w:t>et al.</w:t>
      </w:r>
      <w:r w:rsidRPr="00872293">
        <w:rPr>
          <w:rFonts w:ascii="Times New Roman" w:eastAsiaTheme="minorHAnsi" w:hAnsi="Times New Roman"/>
          <w:noProof/>
        </w:rPr>
        <w:t xml:space="preserve">, 2013; Kong </w:t>
      </w:r>
      <w:r w:rsidRPr="00872293">
        <w:rPr>
          <w:rFonts w:ascii="Times New Roman" w:eastAsiaTheme="minorHAnsi" w:hAnsi="Times New Roman"/>
          <w:i/>
          <w:noProof/>
        </w:rPr>
        <w:t>et al.</w:t>
      </w:r>
      <w:r w:rsidRPr="00872293">
        <w:rPr>
          <w:rFonts w:ascii="Times New Roman" w:eastAsiaTheme="minorHAnsi" w:hAnsi="Times New Roman"/>
          <w:noProof/>
        </w:rPr>
        <w:t xml:space="preserve">, 2014; Dalling </w:t>
      </w:r>
      <w:r w:rsidRPr="00872293">
        <w:rPr>
          <w:rFonts w:ascii="Times New Roman" w:eastAsiaTheme="minorHAnsi" w:hAnsi="Times New Roman"/>
          <w:i/>
          <w:noProof/>
        </w:rPr>
        <w:t>et al.</w:t>
      </w:r>
      <w:r w:rsidRPr="00872293">
        <w:rPr>
          <w:rFonts w:ascii="Times New Roman" w:eastAsiaTheme="minorHAnsi" w:hAnsi="Times New Roman"/>
          <w:noProof/>
        </w:rPr>
        <w:t>, 2016)</w:t>
      </w:r>
      <w:r w:rsidRPr="00872293">
        <w:rPr>
          <w:rFonts w:ascii="Times New Roman" w:eastAsiaTheme="minorHAnsi" w:hAnsi="Times New Roman"/>
        </w:rPr>
        <w:fldChar w:fldCharType="end"/>
      </w:r>
      <w:r w:rsidRPr="00872293">
        <w:rPr>
          <w:rFonts w:ascii="Times New Roman" w:hAnsi="Times New Roman"/>
        </w:rPr>
        <w:t xml:space="preserve">. For example, arbuscular </w:t>
      </w:r>
      <w:r w:rsidRPr="00872293">
        <w:rPr>
          <w:rFonts w:ascii="Times New Roman" w:eastAsia="AdvP45996F" w:hAnsi="Times New Roman"/>
        </w:rPr>
        <w:t xml:space="preserve">mycorrhizal fungi (AMF), which </w:t>
      </w:r>
      <w:r w:rsidRPr="00872293">
        <w:rPr>
          <w:rFonts w:ascii="Times New Roman" w:hAnsi="Times New Roman"/>
          <w:shd w:val="clear" w:color="auto" w:fill="FFFFFF"/>
        </w:rPr>
        <w:t>represents the most abundant plant mycorrhizal symbiont</w:t>
      </w:r>
      <w:r w:rsidRPr="00872293">
        <w:rPr>
          <w:rFonts w:ascii="Times New Roman" w:eastAsia="AdvP45996F" w:hAnsi="Times New Roman"/>
        </w:rPr>
        <w:t xml:space="preserve">, are responsible for up to 80% of total P uptake in land plants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{"citationItems":[{"id":"ITEM-1","itemData":{"DOI":"10.1023/A:1026466802354","ISSN":"0032079X","abstract":"Just as multi-compartmented root chambers have advantages over standard plastic pots for the study of nutrient uptake by arbuscular mycorrhizal [AM] fungi in soil, so the split-plate in vitro system has advantages over the standard dual culture system for the study of the physiology of AM fungi. We used the split-plate culture system of Ri T-DNA transformed Daucus carota L. roots and Glomus intraradices Schenck &amp; Smith, in which only the fungus has access to the distal compartment, to study the ability of germ tubes and extraradical and intraradical hyphae to take up 13C-labeled substrates. Labeled substrates were added to one side of the plate divider and plates were incubated for 8 weeks while the fungus proliferated on the side from which the root was excluded. Tissues then were recovered from the plate and examined via NMR spectroscopy. Results showed that the morphological phases of the fungus differed in their ability to take up these substrates, most notably that intraradical hyphae take up hexose while extraradical hyphae cannot. In addition. NMR studies indicated that intraradical hyphae actively synthesized lipids while extraradical hyphae did not. These data show that eventual axenic culture of AM fungi is more than a matter of finding the proper substrate for growth. Genetic regulation must be overcome to make extraradical hyphae behave like intraradical hyphae in terms of C uptake and metabolism.","author":[{"dropping-particle":"","family":"Douds","given":"David D.","non-dropping-particle":"","parse-names":false,"suffix":""},{"dropping-particle":"","family":"Pfeffer","given":"Philip E.","non-dropping-particle":"","parse-names":false,"suffix":""},{"dropping-particle":"","family":"Shachar-Hill","given":"Yair","non-dropping-particle":"","parse-names":false,"suffix":""}],"container-title":"Plant and Soil","id":"ITEM-1","issue":"2","issued":{"date-parts":[["2000"]]},"page":"255-261","title":"Application of in vitro methods to study carbon uptake and transport by AM fungi","type":"article-journal","volume":"226"},"uris":["http://www.mendeley.com/documents/?uuid=857ada98-d87a-48a4-abcd-9069bf7902ea"]}],"mendeley":{"formattedCitation":"(Douds &lt;i&gt;et al.&lt;/i&gt;, 2000)","plainTextFormattedCitation":"(Douds et al., 2000)","previouslyFormattedCitation":"(Douds &lt;i&gt;et al.&lt;/i&gt;, 2000)"},"properties":{"noteIndex":0},"schema":"https://github.com/citation-style-language/schema/raw/master/csl-citation.json"}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 xml:space="preserve">(Douds </w:t>
      </w:r>
      <w:r w:rsidRPr="00872293">
        <w:rPr>
          <w:rFonts w:ascii="Times New Roman" w:eastAsia="AdvP45996F" w:hAnsi="Times New Roman"/>
          <w:i/>
          <w:noProof/>
        </w:rPr>
        <w:t>et al.</w:t>
      </w:r>
      <w:r w:rsidRPr="00872293">
        <w:rPr>
          <w:rFonts w:ascii="Times New Roman" w:eastAsia="AdvP45996F" w:hAnsi="Times New Roman"/>
          <w:noProof/>
        </w:rPr>
        <w:t>, 2000)</w:t>
      </w:r>
      <w:r w:rsidRPr="00872293">
        <w:rPr>
          <w:rFonts w:ascii="Times New Roman" w:eastAsia="AdvP45996F" w:hAnsi="Times New Roman"/>
        </w:rPr>
        <w:fldChar w:fldCharType="end"/>
      </w:r>
      <w:r w:rsidRPr="00872293">
        <w:rPr>
          <w:rFonts w:ascii="Times New Roman" w:hAnsi="Times New Roman"/>
          <w:spacing w:val="2"/>
        </w:rPr>
        <w:t xml:space="preserve">. However, the C cost to maintain this symbiosis is high; around 25% of C assimilated by plants is allocated to AMF </w:t>
      </w:r>
      <w:r w:rsidRPr="00872293">
        <w:rPr>
          <w:rFonts w:ascii="Times New Roman" w:hAnsi="Times New Roman"/>
          <w:spacing w:val="2"/>
        </w:rPr>
        <w:fldChar w:fldCharType="begin" w:fldLock="1"/>
      </w:r>
      <w:r w:rsidRPr="00872293">
        <w:rPr>
          <w:rFonts w:ascii="Times New Roman" w:hAnsi="Times New Roman" w:hint="eastAsia"/>
          <w:spacing w:val="2"/>
        </w:rPr>
        <w:instrText>ADDIN CSL_CITATION {"citationItems":[{"id":"ITEM-1","itemData":{"DOI":"10.1111/j.1469-8137.1990.tb00924.x","ISSN":"14698137","abstract":"Cucumber (Cucumis sativus L.) plants grown in PVC tubes with a partially sterilized soil</w:instrText>
      </w:r>
      <w:r w:rsidRPr="00872293">
        <w:rPr>
          <w:rFonts w:ascii="Times New Roman" w:hAnsi="Times New Roman" w:hint="eastAsia"/>
          <w:spacing w:val="2"/>
        </w:rPr>
        <w:instrText>‐</w:instrText>
      </w:r>
      <w:r w:rsidRPr="00872293">
        <w:rPr>
          <w:rFonts w:ascii="Times New Roman" w:hAnsi="Times New Roman" w:hint="eastAsia"/>
          <w:spacing w:val="2"/>
        </w:rPr>
        <w:instrText>sand mixture were inoculated with the vesicular</w:instrText>
      </w:r>
      <w:r w:rsidRPr="00872293">
        <w:rPr>
          <w:rFonts w:ascii="Times New Roman" w:hAnsi="Times New Roman" w:hint="eastAsia"/>
          <w:spacing w:val="2"/>
        </w:rPr>
        <w:instrText>‐</w:instrText>
      </w:r>
      <w:r w:rsidRPr="00872293">
        <w:rPr>
          <w:rFonts w:ascii="Times New Roman" w:hAnsi="Times New Roman" w:hint="eastAsia"/>
          <w:spacing w:val="2"/>
        </w:rPr>
        <w:instrText xml:space="preserve">arbuscular mycorrhizal fungus Glomus fasciculatum (Thaxter) Gerdemann &amp; Trappe emend. Walker &amp; Koske or left uninoculated. The soil column of each PVC tube was divided into a root and a hyphal compartment by a mesh bag (60 </w:instrText>
      </w:r>
      <w:r w:rsidRPr="00872293">
        <w:rPr>
          <w:rFonts w:ascii="Times New Roman" w:hAnsi="Times New Roman" w:hint="eastAsia"/>
          <w:spacing w:val="2"/>
        </w:rPr>
        <w:instrText>μ</w:instrText>
      </w:r>
      <w:r w:rsidRPr="00872293">
        <w:rPr>
          <w:rFonts w:ascii="Times New Roman" w:hAnsi="Times New Roman" w:hint="eastAsia"/>
          <w:spacing w:val="2"/>
        </w:rPr>
        <w:instrText>m), which re</w:instrText>
      </w:r>
      <w:r w:rsidRPr="00872293">
        <w:rPr>
          <w:rFonts w:ascii="Times New Roman" w:hAnsi="Times New Roman"/>
          <w:spacing w:val="2"/>
        </w:rPr>
        <w:instrText>tained the roots but allowed external hyphae to pass. Inoculated plants rapidly became infected and an extensive mycelium developed. Three weeks after seedling emergence plants were labelled with 14CO2 for 16 h. The distribution of 14C within the plants a</w:instrText>
      </w:r>
      <w:r w:rsidRPr="00872293">
        <w:rPr>
          <w:rFonts w:ascii="Times New Roman" w:hAnsi="Times New Roman" w:hint="eastAsia"/>
          <w:spacing w:val="2"/>
        </w:rPr>
        <w:instrText>nd the 14C flow into external hyphae and soil were measured during an 80 h chase period. Below</w:instrText>
      </w:r>
      <w:r w:rsidRPr="00872293">
        <w:rPr>
          <w:rFonts w:ascii="Times New Roman" w:hAnsi="Times New Roman" w:hint="eastAsia"/>
          <w:spacing w:val="2"/>
        </w:rPr>
        <w:instrText>‐</w:instrText>
      </w:r>
      <w:r w:rsidRPr="00872293">
        <w:rPr>
          <w:rFonts w:ascii="Times New Roman" w:hAnsi="Times New Roman" w:hint="eastAsia"/>
          <w:spacing w:val="2"/>
        </w:rPr>
        <w:instrText>ground respiration in mycorrhizal plants accounted for 27% of the photo assimilated 14C. Organic 14C in the soil represented 3</w:instrText>
      </w:r>
      <w:r w:rsidRPr="00872293">
        <w:rPr>
          <w:rFonts w:ascii="Times New Roman" w:hAnsi="Times New Roman" w:hint="eastAsia"/>
          <w:spacing w:val="2"/>
        </w:rPr>
        <w:instrText>˙</w:instrText>
      </w:r>
      <w:r w:rsidRPr="00872293">
        <w:rPr>
          <w:rFonts w:ascii="Times New Roman" w:hAnsi="Times New Roman" w:hint="eastAsia"/>
          <w:spacing w:val="2"/>
        </w:rPr>
        <w:instrText>1 % of the fixed 14C, and 26 % of</w:instrText>
      </w:r>
      <w:r w:rsidRPr="00872293">
        <w:rPr>
          <w:rFonts w:ascii="Times New Roman" w:hAnsi="Times New Roman"/>
          <w:spacing w:val="2"/>
        </w:rPr>
        <w:instrText xml:space="preserve"> this was located in external hyphae. Based on conservative assumptions concerning dry weight of internal mycorrhizal infection and growth yield of the fungus, it was estimated that mycorrhizal events consumed 20 % of photoassimilated 14C. The specific incorporation of C by the external mycelium in the hyphal compartment was 41 μg C mg−1 dry wt. d−1. The importance of external VA mycorrhizal hyphae for the distribution of plant</w:instrText>
      </w:r>
      <w:r w:rsidRPr="00872293">
        <w:rPr>
          <w:rFonts w:ascii="Times New Roman" w:hAnsi="Times New Roman" w:hint="eastAsia"/>
          <w:spacing w:val="2"/>
        </w:rPr>
        <w:instrText>‐</w:instrText>
      </w:r>
      <w:r w:rsidRPr="00872293">
        <w:rPr>
          <w:rFonts w:ascii="Times New Roman" w:hAnsi="Times New Roman"/>
          <w:spacing w:val="2"/>
        </w:rPr>
        <w:instrText>derived C in the soil volume and as a substrate source for the soil biota is discussed. Copyright © 1990, Wiley Blackwell. All rights reserved","author":[{"dropping-particle":"","family":"Jakobsen","given":"I.","non-dropping-particle":"","parse-names":false,"suffix":""},{"dropping-particle":"","family":"Rosendahl","given":"L.","non-dropping-particle":"","parse-names":false,"suffix":""}],"container-title":"New Phytologist","id":"ITEM-1","issue":"1","issued":{"date-parts":[["1990"]]},"page":"77-83","title":"Carbon flow into soil and external hyphae from roots of mycorrhizal cucumber plants","type":"article-journal","volume":"115"},"uris":["http://www.mendeley.com/documents/?uuid=7ee7e5b1-f3d2-48c2-be7c-6deffe5a9c86"]}],"mendeley":{"formattedCitation":"(Jakobsen &amp; Rosendahl, 1990)","plainTextFormattedCitation":"(Jakobsen &amp; Rosendahl, 1990)","previouslyFormattedCitation":"(Jakobsen &amp; Rosendahl, 1990)"},"properties":{"noteIndex":0},"schema":"https://github.com/citation-style-language/schema/raw/master/csl-citation.json"}</w:instrText>
      </w:r>
      <w:r w:rsidRPr="00872293">
        <w:rPr>
          <w:rFonts w:ascii="Times New Roman" w:hAnsi="Times New Roman"/>
          <w:spacing w:val="2"/>
        </w:rPr>
        <w:fldChar w:fldCharType="separate"/>
      </w:r>
      <w:r w:rsidRPr="00872293">
        <w:rPr>
          <w:rFonts w:ascii="Times New Roman" w:hAnsi="Times New Roman"/>
          <w:noProof/>
          <w:spacing w:val="2"/>
        </w:rPr>
        <w:t>(Jakobsen &amp; Rosendahl, 1990)</w:t>
      </w:r>
      <w:r w:rsidRPr="00872293">
        <w:rPr>
          <w:rFonts w:ascii="Times New Roman" w:hAnsi="Times New Roman"/>
          <w:spacing w:val="2"/>
        </w:rPr>
        <w:fldChar w:fldCharType="end"/>
      </w:r>
      <w:r w:rsidRPr="00872293">
        <w:rPr>
          <w:rFonts w:ascii="Times New Roman" w:hAnsi="Times New Roman"/>
          <w:spacing w:val="2"/>
        </w:rPr>
        <w:t xml:space="preserve">. Although there is some evidence of a positive relationship between mycorrhizal colonization rate and root diameter </w:t>
      </w:r>
      <w:r w:rsidRPr="00872293">
        <w:rPr>
          <w:rFonts w:ascii="Times New Roman" w:hAnsi="Times New Roman"/>
          <w:spacing w:val="2"/>
        </w:rPr>
        <w:fldChar w:fldCharType="begin" w:fldLock="1"/>
      </w:r>
      <w:r w:rsidRPr="00872293">
        <w:rPr>
          <w:rFonts w:ascii="Times New Roman" w:hAnsi="Times New Roman"/>
          <w:spacing w:val="2"/>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Advances","id":"ITEM-2","issued":{"date-parts":[["2020"]]},"page":"27","title":"The fungal collaboration gradient dominates the root economics space in plants","type":"article-journal","volume":"6"},"uris":["http://www.mendeley.com/documents/?uuid=32db0a51-ef0e-4152-943b-b2fefc84c374"]}],"mendeley":{"formattedCitation":"(Kong &lt;i&gt;et al.&lt;/i&gt;, 2014; Bergmann &lt;i&gt;et al.&lt;/i&gt;, 2020)","plainTextFormattedCitation":"(Kong et al., 2014; Bergmann et al., 2020)","previouslyFormattedCitation":"(Kong &lt;i&gt;et al.&lt;/i&gt;, 2014; Bergmann &lt;i&gt;et al.&lt;/i&gt;, 2020)"},"properties":{"noteIndex":0},"schema":"https://github.com/citation-style-language/schema/raw/master/csl-citation.json"}</w:instrText>
      </w:r>
      <w:r w:rsidRPr="00872293">
        <w:rPr>
          <w:rFonts w:ascii="Times New Roman" w:hAnsi="Times New Roman"/>
          <w:spacing w:val="2"/>
        </w:rPr>
        <w:fldChar w:fldCharType="separate"/>
      </w:r>
      <w:r w:rsidRPr="00872293">
        <w:rPr>
          <w:rFonts w:ascii="Times New Roman" w:hAnsi="Times New Roman"/>
          <w:noProof/>
          <w:spacing w:val="2"/>
        </w:rPr>
        <w:t xml:space="preserve">(Kong </w:t>
      </w:r>
      <w:r w:rsidRPr="00872293">
        <w:rPr>
          <w:rFonts w:ascii="Times New Roman" w:hAnsi="Times New Roman"/>
          <w:i/>
          <w:noProof/>
          <w:spacing w:val="2"/>
        </w:rPr>
        <w:t>et al.</w:t>
      </w:r>
      <w:r w:rsidRPr="00872293">
        <w:rPr>
          <w:rFonts w:ascii="Times New Roman" w:hAnsi="Times New Roman"/>
          <w:noProof/>
          <w:spacing w:val="2"/>
        </w:rPr>
        <w:t xml:space="preserve">, 2014; Bergmann </w:t>
      </w:r>
      <w:r w:rsidRPr="00872293">
        <w:rPr>
          <w:rFonts w:ascii="Times New Roman" w:hAnsi="Times New Roman"/>
          <w:i/>
          <w:noProof/>
          <w:spacing w:val="2"/>
        </w:rPr>
        <w:t>et al.</w:t>
      </w:r>
      <w:r w:rsidRPr="00872293">
        <w:rPr>
          <w:rFonts w:ascii="Times New Roman" w:hAnsi="Times New Roman"/>
          <w:noProof/>
          <w:spacing w:val="2"/>
        </w:rPr>
        <w:t>, 2020)</w:t>
      </w:r>
      <w:r w:rsidRPr="00872293">
        <w:rPr>
          <w:rFonts w:ascii="Times New Roman" w:hAnsi="Times New Roman"/>
          <w:spacing w:val="2"/>
        </w:rPr>
        <w:fldChar w:fldCharType="end"/>
      </w:r>
      <w:r w:rsidRPr="00872293">
        <w:rPr>
          <w:rFonts w:ascii="Times New Roman" w:hAnsi="Times New Roman"/>
          <w:spacing w:val="2"/>
        </w:rPr>
        <w:t xml:space="preserve">, the commonly used method to measure colonization rates are not expressed in root area or volume </w:t>
      </w:r>
      <w:r w:rsidRPr="00872293">
        <w:rPr>
          <w:rFonts w:ascii="Times New Roman" w:hAnsi="Times New Roman"/>
          <w:spacing w:val="2"/>
        </w:rPr>
        <w:fldChar w:fldCharType="begin" w:fldLock="1"/>
      </w:r>
      <w:r w:rsidRPr="00872293">
        <w:rPr>
          <w:rFonts w:ascii="Times New Roman" w:hAnsi="Times New Roman" w:hint="eastAsia"/>
          <w:spacing w:val="2"/>
        </w:rPr>
        <w:instrText>ADDIN CSL_CITATION {"citationItems":[{"id":"ITEM-1","itemData":{"DOI":"10.1111/j.1469-8137.1990.tb00476.x","ISSN":"14698137","abstract":"Previously described methods to quantify the proportion of root length colonized by vesicular</w:instrText>
      </w:r>
      <w:r w:rsidRPr="00872293">
        <w:rPr>
          <w:rFonts w:ascii="Times New Roman" w:hAnsi="Times New Roman" w:hint="eastAsia"/>
          <w:spacing w:val="2"/>
        </w:rPr>
        <w:instrText>‐</w:instrText>
      </w:r>
      <w:r w:rsidRPr="00872293">
        <w:rPr>
          <w:rFonts w:ascii="Times New Roman" w:hAnsi="Times New Roman" w:hint="eastAsia"/>
          <w:spacing w:val="2"/>
        </w:rPr>
        <w:instrText>arbuscular (VA) mycorrhizal fungi are reviewed. It is argued that these methods give observer</w:instrText>
      </w:r>
      <w:r w:rsidRPr="00872293">
        <w:rPr>
          <w:rFonts w:ascii="Times New Roman" w:hAnsi="Times New Roman" w:hint="eastAsia"/>
          <w:spacing w:val="2"/>
        </w:rPr>
        <w:instrText>‐</w:instrText>
      </w:r>
      <w:r w:rsidRPr="00872293">
        <w:rPr>
          <w:rFonts w:ascii="Times New Roman" w:hAnsi="Times New Roman" w:hint="eastAsia"/>
          <w:spacing w:val="2"/>
        </w:rPr>
        <w:instrText>dependent measures of colonization which cannot be used to compare, quantitatively, roots examined by different researchers. A modified method is described here to estimate VA mycorrhiz</w:instrText>
      </w:r>
      <w:r w:rsidRPr="00872293">
        <w:rPr>
          <w:rFonts w:ascii="Times New Roman" w:hAnsi="Times New Roman"/>
          <w:spacing w:val="2"/>
        </w:rPr>
        <w:instrText>al colonization on an objective scale of measurement, involving inspection of intersections between the microscope eyepiece crosshair and roots at magnification × 200; it is referred to as the magnified intersections method. Whether the vertical eyepiece crosshair crosses one or more arbuscules is noted at each intersection. The estimate of colonization is the proportion of root length containing arbuscules, called the arbuscular colonization (AC). The magnified intersections method also determines the proportion of root length containing vesicles, the vesicular colonization (VC), and the proportion of root length containing hyphae, the hyphal colonization (HC). However, VC and HC should be interpreted with caution because vesicles and hyphae, unlike arbu</w:instrText>
      </w:r>
      <w:r w:rsidRPr="00872293">
        <w:rPr>
          <w:rFonts w:ascii="Times New Roman" w:hAnsi="Times New Roman" w:hint="eastAsia"/>
          <w:spacing w:val="2"/>
        </w:rPr>
        <w:instrText>scules, can be produced in roots by non</w:instrText>
      </w:r>
      <w:r w:rsidRPr="00872293">
        <w:rPr>
          <w:rFonts w:ascii="Times New Roman" w:hAnsi="Times New Roman" w:hint="eastAsia"/>
          <w:spacing w:val="2"/>
        </w:rPr>
        <w:instrText>‐</w:instrText>
      </w:r>
      <w:r w:rsidRPr="00872293">
        <w:rPr>
          <w:rFonts w:ascii="Times New Roman" w:hAnsi="Times New Roman" w:hint="eastAsia"/>
          <w:spacing w:val="2"/>
        </w:rPr>
        <w:instrText>mycorrhizal fungi. Copyright © 1990, Wiley Blackwell. All rights reserved","author":[{"dropping-particle":"","family":"McGonigle","given":"T. P.","non-dropping-particle":"","parse-names":false,"suffix":""},{"droppin</w:instrText>
      </w:r>
      <w:r w:rsidRPr="00872293">
        <w:rPr>
          <w:rFonts w:ascii="Times New Roman" w:hAnsi="Times New Roman"/>
          <w:spacing w:val="2"/>
        </w:rPr>
        <w:instrText>g-particle":"","family":"Miller","given":"M. H.","non-dropping-particle":"","parse-names":false,"suffix":""},{"dropping-particle":"","family":"Evans","given":"D. G.","non-dropping-particle":"","parse-names":false,"suffix":""},{"dropping-particle":"","family":"Fairchild","given":"G. L.","non-dropping-particle":"","parse-names":false,"suffix":""},{"dropping-particle":"","family":"Swan","given":"J. A.","non-dropping-particle":"","parse-names":false,"suffix":""}],"container-title":"New Phytologist","id":"ITEM-1","issue":"3","issued":{"date-parts":[["1990"]]},"page":"495-501","title":"A new method which gives an objective measure of colonization of roots by vesicular—arbuscular mycorrhizal fungi","type":"article-journal","volume":"115"},"uris":["http://www.mendeley.com/documents/?uuid=cb2fa9cd-ab86-4a17-8640-38ec67d5791b"]}],"mendeley":{"formattedCitation":"(McGonigle &lt;i&gt;et al.&lt;/i&gt;, 1990)","plainTextFormattedCitation":"(McGonigle et al., 1990)","previouslyFormattedCitation":"(McGonigle &lt;i&gt;et al.&lt;/i&gt;, 1990)"},"properties":{"noteIndex":0},"schema":"https://github.com/citation-style-language/schema/raw/master/csl-citation.json"}</w:instrText>
      </w:r>
      <w:r w:rsidRPr="00872293">
        <w:rPr>
          <w:rFonts w:ascii="Times New Roman" w:hAnsi="Times New Roman"/>
          <w:spacing w:val="2"/>
        </w:rPr>
        <w:fldChar w:fldCharType="separate"/>
      </w:r>
      <w:r w:rsidRPr="00872293">
        <w:rPr>
          <w:rFonts w:ascii="Times New Roman" w:hAnsi="Times New Roman"/>
          <w:noProof/>
          <w:spacing w:val="2"/>
        </w:rPr>
        <w:t xml:space="preserve">(McGonigle </w:t>
      </w:r>
      <w:r w:rsidRPr="00872293">
        <w:rPr>
          <w:rFonts w:ascii="Times New Roman" w:hAnsi="Times New Roman"/>
          <w:i/>
          <w:noProof/>
          <w:spacing w:val="2"/>
        </w:rPr>
        <w:t>et al.</w:t>
      </w:r>
      <w:r w:rsidRPr="00872293">
        <w:rPr>
          <w:rFonts w:ascii="Times New Roman" w:hAnsi="Times New Roman"/>
          <w:noProof/>
          <w:spacing w:val="2"/>
        </w:rPr>
        <w:t>, 1990)</w:t>
      </w:r>
      <w:r w:rsidRPr="00872293">
        <w:rPr>
          <w:rFonts w:ascii="Times New Roman" w:hAnsi="Times New Roman"/>
          <w:spacing w:val="2"/>
        </w:rPr>
        <w:fldChar w:fldCharType="end"/>
      </w:r>
      <w:r w:rsidRPr="00872293">
        <w:rPr>
          <w:rFonts w:ascii="Times New Roman" w:hAnsi="Times New Roman"/>
          <w:spacing w:val="2"/>
        </w:rPr>
        <w:t>, which would lead to an overestimation of mycorrhizal presence based on root area. In this study, we will replace root diameter by root mycorrhizal colonization percent in the collaboration gradient (Figure 17).</w:t>
      </w:r>
    </w:p>
    <w:p w14:paraId="652EFB4E" w14:textId="77777777" w:rsidR="00284E10" w:rsidRPr="00872293" w:rsidRDefault="00284E10" w:rsidP="00284E10">
      <w:pPr>
        <w:autoSpaceDE w:val="0"/>
        <w:autoSpaceDN w:val="0"/>
        <w:adjustRightInd w:val="0"/>
        <w:spacing w:line="360" w:lineRule="auto"/>
        <w:rPr>
          <w:rFonts w:ascii="Times New Roman" w:hAnsi="Times New Roman"/>
          <w:spacing w:val="2"/>
        </w:rPr>
      </w:pPr>
    </w:p>
    <w:p w14:paraId="566BC743" w14:textId="46A8D970" w:rsidR="00284E10" w:rsidRPr="00872293" w:rsidRDefault="00284E10" w:rsidP="00284E10">
      <w:pPr>
        <w:autoSpaceDE w:val="0"/>
        <w:autoSpaceDN w:val="0"/>
        <w:adjustRightInd w:val="0"/>
        <w:spacing w:line="360" w:lineRule="auto"/>
        <w:rPr>
          <w:rFonts w:ascii="Times New Roman" w:hAnsi="Times New Roman"/>
        </w:rPr>
      </w:pPr>
      <w:r w:rsidRPr="00872293">
        <w:rPr>
          <w:rFonts w:ascii="Times New Roman" w:hAnsi="Times New Roman"/>
          <w:shd w:val="clear" w:color="auto" w:fill="FFFFFF"/>
        </w:rPr>
        <w:t xml:space="preserve">Although root branching, which is a structural trait, is not as competitive as fungal hyphae in obtaining nutrients, they are still sensitive to patchy and </w:t>
      </w:r>
      <w:r w:rsidRPr="00872293">
        <w:rPr>
          <w:rFonts w:ascii="Times New Roman" w:eastAsiaTheme="minorHAnsi" w:hAnsi="Times New Roman"/>
        </w:rPr>
        <w:t xml:space="preserve">pulsed nutrient supply, and at a lower C cost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species","type":"article-journal","volume":"203"},"uris":["http://www.mendeley.com/documents/?uuid=a7e2c871-4bd8-41c2-9249-3fc27422af67"]},{"id":"ITEM-2","itemData":{"DOI":"10.1186/s12870-020-02347-x","ISSN":"14712229","PMID":"32272878","abstract":"Background: Phosphate is an essential plant macronutrient required to achieve maximum crop yield. Roots are able to uptake soil phosphate from the immediate root area, thus creating a nutrient depletion zone. Many plants are able to exploit phosphate from beyond this root nutrient depletion zone through symbiotic association with Arbuscular Mycorrhizal Fungi (AMF). Here we characterise the relationship between root architecture, AMF association and low phosphate tolerance in strawberries. The contrasting root architecture in the parental strawberry cultivars 'Redgauntlet' and 'Hapil' was studied through a mapping population of 168 progeny. Low phosphate tolerance and AMF association was quantified for each genotype to allow assessment of the phenotypic and genotypic relationships between traits. Results: A \"phosphate scavenging\" root phenotype where individuals exhibit a high proportion of surface lateral roots was associated with a reduction in root system size across genotypes. A genetic correlation between \"root system size\" traits was observed with a network of pleiotropic QTL found to represent five \"root system size\" traits. By contrast, average root diameter and the distribution of roots appeared to be under two discrete methods of genetic control. A total of 18 QTL were associated with plant traits, 4 of which were associated with solidity that explained 46% of the observed variation. Investigations into the relationship between AMF association and root architecture found that a higher root density was associated with greater AMF colonisation across genotypes. However, no phenotypic correlation or genotypic association was found between low phosphate tolerance and the propensity for AMF association, nor root architectural traits when plants are grown under optimal nutrient conditions. Conclusions: Understanding the genetic relationships underpinning phosphate capture can inform the breeding of strawberry varieties with better nutrient use efficiency. Solid root systems were associated with greater AMF colonisation. However, low P-tolerance was not phenotypically or genotypically associated with root architecture traits in strawberry plants. Furthermore, a trade-off was observed between root system size and root architecture type, highlighting the energetic costs associated with a \"phosphate scavenging\" root architecture.","author":[{"dropping-particle":"","family":"Cockerton","given":"Helen Maria","non-dropping-particle":"","parse-names":false,"suffix":""},{"dropping-particle":"","family":"Li","given":"Bo","non-dropping-particle":"","parse-names":false,"suffix":""},{"dropping-particle":"","family":"Stavridou","given":"Eleftheria","non-dropping-particle":"","parse-names":false,"suffix":""},{"dropping-particle":"","family":"Johnson","given":"Abigail","non-dropping-particle":"","parse-names":false,"suffix":""},{"dropping-particle":"","family":"Karlström","given":"Amanda","non-dropping-particle":"","parse-names":false,"suffix":""},{"dropping-particle":"","family":"Armitage","given":"Andrew Douglas","non-dropping-particle":"","parse-names":false,"suffix":""},{"dropping-particle":"","family":"Martinez-Crucis","given":"Ana","non-dropping-particle":"","parse-names":false,"suffix":""},{"dropping-particle":"","family":"Galiano-Arjona","given":"Lorena","non-dropping-particle":"","parse-names":false,"suffix":""},{"dropping-particle":"","family":"Harrison","given":"Nicola","non-dropping-particle":"","parse-names":false,"suffix":""},{"dropping-particle":"","family":"Barber-Pérez","given":"Nuria","non-dropping-particle":"","parse-names":false,"suffix":""},{"dropping-particle":"","family":"Cobo-Medina","given":"Magdalena","non-dropping-particle":"","parse-names":false,"suffix":""},{"dropping-particle":"","family":"Harrison","given":"Richard Jonathan","non-dropping-particle":"","parse-names":false,"suffix":""}],"container-title":"BMC Plant Biology","id":"ITEM-2","issued":{"date-parts":[["2020"]]},"page":"1-14","title":"Genetic and phenotypic associations between root architecture, arbuscular mycorrhizal fungi colonisation and low phosphate tolerance in strawberry (Fragaria × ananassa)","type":"article-journal","volume":"20"},"uris":["http://www.mendeley.com/documents/?uuid=0bf1b04d-239f-4cc6-93f0-371b9ec5af43"]},{"id":"ITEM-3","itemData":{"DOI":"10.1111/j.1469-8137.2004.01015.x","ISSN":"0028646X","abstract":"When roots encounter a nutrient-rich zone or patch they often proliferate within it. Roots experiencing nutrient-rich patches can also enhance their physiological ion-uptake capacities compared with roots of the same plant outside the patch zone. These plastic responses by the root system have been proposed as the major mechanism by which plants cope with the naturally occurring heterogeneous supplies of nutrients in soil. Various attempts to predict how contrasting species will respond to patches have been made based on specific root length (SRL), root demography and biomass allocation within the patch zone. No one criterion has proved definitive. Actually demonstrating that root proliferation is beneficial to the plant, especially in terms of nitrogen capture from patches, has also proved troublesome. Yet by growing plants under more realistic conditions, such as in interspecific plant competition, and with a complex organic patch, a direct benefit can be demonstrated. Thus, as highlighted in this review, the environmental context in which the root response is expressed is as important as the magnitude of the response itself. © New Phytologist (2004).","author":[{"dropping-particle":"","family":"Hodge","given":"Angela","non-dropping-particle":"","parse-names":false,"suffix":""}],"container-title":"New Phytologist","id":"ITEM-3","issue":"1","issued":{"date-parts":[["2004"]]},"page":"9-24","title":"The plastic plant: Root responses to heterogeneous supplies of nutrients","type":"article-journal","volume":"162"},"uris":["http://www.mendeley.com/documents/?uuid=ec2a65b9-403a-4663-bedc-8c00028c6bf4"]},{"id":"ITEM-4","itemData":{"DOI":"10.1111/nph.13434","ISSN":"14698137","abstract":"In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Phytologist","id":"ITEM-4","issue":"1","issued":{"date-parts":[["2015"]]},"page":"125-136","title":"Complementarity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species","type":"article-journal","volume":"208"},"uris":["http://www.mendeley.com/documents/?uuid=181e3a6c-c0c7-4de1-a35f-83b486441b89"]}],"mendeley":{"formattedCitation":"(Hodge, 2004; Kong &lt;i&gt;et al.&lt;/i&gt;, 2014; Liu &lt;i&gt;et al.&lt;/i&gt;, 2015; Cockerton &lt;i&gt;et al.&lt;/i&gt;, 2020)","plainTextFormattedCitation":"(Hodge, 2004; Kong et al., 2014; Liu et al., 2015; Cockerton et al., 2020)","previouslyFormattedCitation":"(Hodge, 2004; Kong &lt;i&gt;et al.&lt;/i&gt;, 2014; Liu &lt;i&gt;et al.&lt;/i&gt;, 2015; Cockerton &lt;i&gt;et al.&lt;/i&gt;, 2020)"},"properties":{"noteIndex":0},"schema":"https://github.com/citation-style-language/schema/raw/master/csl-citation.json"}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(Hodge, 2004; Kong </w:t>
      </w:r>
      <w:r w:rsidRPr="00872293">
        <w:rPr>
          <w:rFonts w:ascii="Times New Roman" w:eastAsiaTheme="minorHAnsi" w:hAnsi="Times New Roman"/>
          <w:i/>
          <w:noProof/>
        </w:rPr>
        <w:t>et al.</w:t>
      </w:r>
      <w:r w:rsidRPr="00872293">
        <w:rPr>
          <w:rFonts w:ascii="Times New Roman" w:eastAsiaTheme="minorHAnsi" w:hAnsi="Times New Roman"/>
          <w:noProof/>
        </w:rPr>
        <w:t xml:space="preserve">, 2014; Liu </w:t>
      </w:r>
      <w:r w:rsidRPr="00872293">
        <w:rPr>
          <w:rFonts w:ascii="Times New Roman" w:eastAsiaTheme="minorHAnsi" w:hAnsi="Times New Roman"/>
          <w:i/>
          <w:noProof/>
        </w:rPr>
        <w:t>et al.</w:t>
      </w:r>
      <w:r w:rsidRPr="00872293">
        <w:rPr>
          <w:rFonts w:ascii="Times New Roman" w:eastAsiaTheme="minorHAnsi" w:hAnsi="Times New Roman"/>
          <w:noProof/>
        </w:rPr>
        <w:t xml:space="preserve">, 2015; Cockerton </w:t>
      </w:r>
      <w:r w:rsidRPr="00872293">
        <w:rPr>
          <w:rFonts w:ascii="Times New Roman" w:eastAsiaTheme="minorHAnsi" w:hAnsi="Times New Roman"/>
          <w:i/>
          <w:noProof/>
        </w:rPr>
        <w:t>et al.</w:t>
      </w:r>
      <w:r w:rsidRPr="00872293">
        <w:rPr>
          <w:rFonts w:ascii="Times New Roman" w:eastAsiaTheme="minorHAnsi" w:hAnsi="Times New Roman"/>
          <w:noProof/>
        </w:rPr>
        <w:t>, 2020)</w:t>
      </w:r>
      <w:r w:rsidRPr="00872293">
        <w:rPr>
          <w:rFonts w:ascii="Times New Roman" w:eastAsiaTheme="minorHAnsi" w:hAnsi="Times New Roman"/>
        </w:rPr>
        <w:fldChar w:fldCharType="end"/>
      </w:r>
      <w:r w:rsidRPr="00872293">
        <w:rPr>
          <w:rFonts w:ascii="Times New Roman" w:eastAsiaTheme="minorHAnsi" w:hAnsi="Times New Roman"/>
        </w:rPr>
        <w:t>.</w:t>
      </w:r>
      <w:r w:rsidRPr="00872293">
        <w:rPr>
          <w:rFonts w:ascii="Times New Roman" w:hAnsi="Times New Roman"/>
        </w:rPr>
        <w:t xml:space="preserve"> </w:t>
      </w:r>
      <w:r w:rsidRPr="00872293">
        <w:rPr>
          <w:rFonts w:ascii="Times New Roman" w:eastAsiaTheme="minorHAnsi" w:hAnsi="Times New Roman"/>
        </w:rPr>
        <w:t xml:space="preserve">The relationship between </w:t>
      </w:r>
      <w:r w:rsidRPr="00872293">
        <w:rPr>
          <w:rFonts w:ascii="Times New Roman" w:hAnsi="Times New Roman"/>
        </w:rPr>
        <w:t>root branching ratio</w:t>
      </w:r>
      <w:r w:rsidRPr="00872293">
        <w:rPr>
          <w:rFonts w:ascii="Times New Roman" w:eastAsiaTheme="minorHAnsi" w:hAnsi="Times New Roman"/>
        </w:rPr>
        <w:t xml:space="preserve"> (or SRL) and AMF colonization is still inconsistent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Phytologist","id":"ITEM-1","issue":"1","issued":{"date-parts":[["2015"]]},"page":"125-136","title":"Complementarity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species","type":"article-journal","volume":"208"},"uris":["http://www.mendeley.com/documents/?uuid=181e3a6c-c0c7-4de1-a35f-83b486441b89"]},{"id":"ITEM-2","itemData":{"DOI":"10.1111/nph.12842","ISBN":"1469-8137","ISSN":"14698137","PMID":"24824672","abstract":"Absorptive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Phytologist","id":"ITEM-2","issue":"3","issued":{"date-parts":[["2014"]]},"page":"863-872","title":"Leading dimensions in absorptive root trait variation across 96 subtropical forest species","type":"article-journal","volume":"203"},"uris":["http://www.mendeley.com/documents/?uuid=a7e2c871-4bd8-41c2-9249-3fc27422af67"]},{"id":"ITEM-3","itemData":{"DOI":"10.1007/s11104-019-03963-9","ISSN":"15735036","abstract":"Background and aims: Ancient Amazon soils are characterised by low concentrations of soil phosphorus (P). Therefore, it is hypothesised that plants may invest a substantial proportion of their resources belowground to adjust their P-uptake strategies, including root morphological, physiological (phosphatase enzyme activities) and biotic (arbuscular mycorrhizal (AM) associations) adaptations. Since these strategies are energy demanding, we hypothesise that trade-offs between morphological traits and root phosphatase exudation and symbiotic associations would occur. Specifically, we expected that plants which invest in finer roots, and therefore have greater ability to explore large soil volumes, would have a high investment in physiological adaptations such as enhanced phosphatase production. In contrast, we expected that plants with predominantly thicker roots would invest more in symbiotic associations, in which carbon is traded for P acquired from AM fungal communities. Methods: We collected absorptive roots (&lt;2 mm diameter) from a lowland Central Amazon forest near Manaus, Brazil. We measured fine root diameter, specific root length (SRL), specific root area (SRA), root tissue density (RTD), root phosphatase activity (APase) and arbuscular mycorrhizal (AM) fungi colonisation. Results: Root morphological traits were related to APase activity, with higher APase activity in roots with higher SRL and SRA but lower RTD. However, the degree of AM colonisation was not related to any measured root morphological trait. Conclusions: Fine absorptive roots likely benefit from having low RTD, high SRL, SRA and APase exudation to acquire P efficiently. However, because AM colonisation was not related to root morphology, we suggest that investment in multiple P-uptake strategies is required for maintaining productivity in Central Amazon forests.","author":[{"dropping-particle":"","family":"Lugli","given":"Laynara F.","non-dropping-particle":"","parse-names":false,"suffix":""},{"dropping-particle":"","family":"Andersen","given":"Kelly M.","non-dropping-particle":"","parse-names":false,"suffix":""},{"dropping-particle":"","family":"Aragão","given":"Luiz E.O.C.","non-dropping-particle":"","parse-names":false,"suffix":""},{"dropping-particle":"","family":"Cordeiro","given":"Amanda L.","non-dropping-particle":"","parse-names":false,"suffix":""},{"dropping-particle":"","family":"Cunha","given":"Hellen F.V.","non-dropping-particle":"","parse-names":false,"suffix":""},{"dropping-particle":"","family":"Fuchslueger","given":"Lucia","non-dropping-particle":"","parse-names":false,"suffix":""},{"dropping-particle":"","family":"Meir","given":"Patrick","non-dropping-particle":"","parse-names":false,"suffix":""},{"dropping-particle":"","family":"Mercado","given":"Lina M.","non-dropping-particle":"","parse-names":false,"suffix":""},{"dropping-particle":"","family":"Oblitas","given":"Erick","non-dropping-particle":"","parse-names":false,"suffix":""},{"dropping-particle":"","family":"Quesada","given":"Carlos A.","non-dropping-particle":"","parse-names":false,"suffix":""},{"dropping-particle":"","family":"Rosa","given":"Jessica S.","non-dropping-particle":"","parse-names":false,"suffix":""},{"dropping-particle":"","family":"Schaap","given":"Karst J.","non-dropping-particle":"","parse-names":false,"suffix":""},{"dropping-particle":"","family":"Valverde-Barrantes","given":"Oscar","non-dropping-particle":"","parse-names":false,"suffix":""},{"dropping-particle":"","family":"Hartley","given":"Iain P.","non-dropping-particle":"","parse-names":false,"suffix":""}],"container-title":"Plant and Soil","id":"ITEM-3","issued":{"date-parts":[["2019"]]},"page":"49-63","title":"Multiple phosphorus acquisition strategies adopted by fine roots in low-fertility soils in Central Amazonia","type":"article-journal","volume":"450"},"uris":["http://www.mendeley.com/documents/?uuid=24f71e62-5efe-40f8-9fce-b1db36822b98"]}],"mendeley":{"formattedCitation":"(Kong &lt;i&gt;et al.&lt;/i&gt;, 2014; Liu &lt;i&gt;et al.&lt;/i&gt;, 2015; Lugli &lt;i&gt;et al.&lt;/i&gt;, 2019)","plainTextFormattedCitation":"(Kong et al., 2014; Liu et al., 2015; Lugli et al., 2019)","previouslyFormattedCitation":"(Kong &lt;i&gt;et al.&lt;/i&gt;, 2014; Liu &lt;i&gt;et al.&lt;/i&gt;, 2015; Lugli &lt;i&gt;et al.&lt;/i&gt;, 2019)"},"properties":{"noteIndex":0},"schema":"https://github.com/citation-style-language/schema/raw/master/csl-citation.json"}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(Kong </w:t>
      </w:r>
      <w:r w:rsidRPr="00872293">
        <w:rPr>
          <w:rFonts w:ascii="Times New Roman" w:eastAsiaTheme="minorHAnsi" w:hAnsi="Times New Roman"/>
          <w:i/>
          <w:noProof/>
        </w:rPr>
        <w:t>et al.</w:t>
      </w:r>
      <w:r w:rsidRPr="00872293">
        <w:rPr>
          <w:rFonts w:ascii="Times New Roman" w:eastAsiaTheme="minorHAnsi" w:hAnsi="Times New Roman"/>
          <w:noProof/>
        </w:rPr>
        <w:t xml:space="preserve">, 2014; Liu </w:t>
      </w:r>
      <w:r w:rsidRPr="00872293">
        <w:rPr>
          <w:rFonts w:ascii="Times New Roman" w:eastAsiaTheme="minorHAnsi" w:hAnsi="Times New Roman"/>
          <w:i/>
          <w:noProof/>
        </w:rPr>
        <w:t>et al.</w:t>
      </w:r>
      <w:r w:rsidRPr="00872293">
        <w:rPr>
          <w:rFonts w:ascii="Times New Roman" w:eastAsiaTheme="minorHAnsi" w:hAnsi="Times New Roman"/>
          <w:noProof/>
        </w:rPr>
        <w:t xml:space="preserve">, 2015; Lugli </w:t>
      </w:r>
      <w:r w:rsidRPr="00872293">
        <w:rPr>
          <w:rFonts w:ascii="Times New Roman" w:eastAsiaTheme="minorHAnsi" w:hAnsi="Times New Roman"/>
          <w:i/>
          <w:noProof/>
        </w:rPr>
        <w:t>et al.</w:t>
      </w:r>
      <w:r w:rsidRPr="00872293">
        <w:rPr>
          <w:rFonts w:ascii="Times New Roman" w:eastAsiaTheme="minorHAnsi" w:hAnsi="Times New Roman"/>
          <w:noProof/>
        </w:rPr>
        <w:t>, 2019)</w:t>
      </w:r>
      <w:r w:rsidRPr="00872293">
        <w:rPr>
          <w:rFonts w:ascii="Times New Roman" w:eastAsiaTheme="minorHAnsi" w:hAnsi="Times New Roman"/>
        </w:rPr>
        <w:fldChar w:fldCharType="end"/>
      </w:r>
      <w:r w:rsidRPr="00872293">
        <w:rPr>
          <w:rFonts w:ascii="Times New Roman" w:eastAsiaTheme="minorHAnsi" w:hAnsi="Times New Roman"/>
        </w:rPr>
        <w:t xml:space="preserve">. Furthermore, the trade-offs between investing in P </w:t>
      </w:r>
      <w:r w:rsidRPr="00872293">
        <w:rPr>
          <w:rFonts w:ascii="Times New Roman" w:eastAsiaTheme="minorHAnsi" w:hAnsi="Times New Roman"/>
        </w:rPr>
        <w:lastRenderedPageBreak/>
        <w:t xml:space="preserve">mineralizing enzymes versus mycorrhizal fungi partners, or in more branched roots to acquire soil P is debatable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{"citationItems":[{"id":"ITEM-1","itemData":{"DOI":"10.1111/nph.14494","ISSN":"14698137","abstract":"We hypothesized that dinitrogen (N2)- and non-N2-fixing tropical trees would have distinct phosphorus (P) acquisition strategies allowing them to exploit different P sources, reducing competition. We measured root phosphatase activity and arbuscular mycorrhizal (AM) colonization among two N2- and two non-N2-fixing seedlings, and grew them alone and in competition with different inorganic and organic P forms to assess potential P partitioning. We found an inverse relationship between root phosphatase activity and AM colonization in field-collected seedlings, indicative of a trade-off in P acquisition strategies. This correlated with the predominantly exploited P sources in the seedling experiment: the N2 fixer with high N2 fixation and root phosphatase activity grew best on organic P, whereas the poor N2 fixer and the two non-N2 fixers with high AM colonization grew best on inorganic P. When grown in competition, however, AM colonization, root phosphatase activity and N2 fixation increased in the N2 fixers, allowing them to outcompete the non-N2 fixers regardless of P source. Our results indicate that some tropical trees have the capacity to partition soil P, but this does not eliminate interspecific competition. Rather, enhanced P and N acquisition strategies may increase the competitive ability of N2 fixers relative to non-N2 fixers.","author":[{"dropping-particle":"","family":"Nasto","given":"Megan K.","non-dropping-particle":"","parse-names":false,"suffix":""},{"dropping-particle":"","family":"Osborne","given":"Brooke B.","non-dropping-particle":"","parse-names":false,"suffix":""},{"dropping-particle":"","family":"Lekberg","given":"Ylva","non-dropping-particle":"","parse-names":false,"suffix":""},{"dropping-particle":"","family":"Asner","given":"Gregory P.","non-dropping-particle":"","parse-names":false,"suffix":""},{"dropping-particle":"","family":"Balzotti","given":"Christopher S.","non-dropping-particle":"","parse-names":false,"suffix":""},{"dropping-particle":"","family":"Porder","given":"Stephen","non-dropping-particle":"","parse-names":false,"suffix":""},{"dropping-particle":"","family":"Taylor","given":"Philip G.","non-dropping-particle":"","parse-names":false,"suffix":""},{"dropping-particle":"","family":"Townsend","given":"Alan R.","non-dropping-particle":"","parse-names":false,"suffix":""},{"dropping-particle":"","family":"Cleveland","given":"Cory C.","non-dropping-particle":"","parse-names":false,"suffix":""}],"container-title":"New Phytologist","id":"ITEM-1","issue":"4","issued":{"date-parts":[["2017"]]},"page":"1506-1517","title":"Nutrient acquisition, soil phosphorus partitioning and competition among trees in a lowland tropical rain forest","type":"article-journal","volume":"214"},"uris":["http://www.mendeley.com/documents/?uuid=fd87861e-a444-4343-8222-00089aa3ed27"]},{"id":"ITEM-2","itemData":{"DOI":"10.1002/ecy.2646","ISSN":"00129658","abstract":"Tropical forests play a dominant role in the global carbon (C) cycle, and models predict increases in tropical net primary productivity (NPP) and C storage in response to rising atmospheric carbon dioxide (CO2) concentrations. The extent to which increasing CO2 will enhance NPP depends in part on the availability of nitrogen (N) and phosphorus (P) to support growth. Some tropical trees can potentially overcome nutrient limitation by acquiring N via symbiotic dinitrogen (N2) fixation, which may provide a benefit in acquiring P via investment in N-rich phosphatase enzymes or arbuscular mycorrhizal (AM) fungi. We conducted a seedling experiment to investigate the effects of elevated CO2 and soil nutrient availability on the growth of two N2-fixing and two non-N2-fixing tropical tree species. We hypothesized that under elevated CO2 and at low nutrient availability (i.e., low N and P), N2 fixers would have higher growth rates than non-N2 fixers because N2 fixers have a greater capacity to acquire both N and P. We also hypothesized that differences in growth rates between N2 fixers and non-N2 fixers would decline as nutrient availability increases because N2 fixers no longer have an advantage in nutrient acquisition. We found that the N2 fixers had higher growth rates than the non-N2 fixers under elevated CO2 and at low nutrient availability, and that the difference in growth rates between the N2 and non-N2 fixers declined as nutrient availability increased, irrespective of CO2. Overall, N2 fixation, root phosphatase activity, and AM colonization decreased with increasing nutrient availability, and increased under elevated CO2 at low nutrient availability. Further, AM colonization was positively related to the growth of the non-N2 fixers, whereas both N2 fixation and root phosphatase activity were positively related to the growth of the N2 fixers. Though our results indicate all four tree species have the capacity to up- or down-regulate nutrient acquisition to meet their stoichiometric demands, the greater capacity for the N2 fixers to acquire both N and P may enable them to overcome nutritional constraints to NPP under elevated CO2, with implications for the response of tropical forests to future environmental change.","author":[{"dropping-particle":"","family":"Nasto","given":"Megan K.","non-dropping-particle":"","parse-names":false,"suffix":""},{"dropping-particle":"","family":"Winter","given":"Klaus","non-dropping-particle":"","parse-names":false,"suffix":""},{"dropping-particle":"","family":"Turner","given":"Benjamin L.","non-dropping-particle":"","parse-names":false,"suffix":""},{"dropping-particle":"","family":"Cleveland","given":"Cory C.","non-dropping-particle":"","parse-names":false,"suffix":""}],"container-title":"Ecology","id":"ITEM-2","issue":"4","issued":{"date-parts":[["2019"]]},"title":"Nutrient acquisition strategies augment growth in tropical N2-fixing trees in nutrient-poor soil and under elevated CO2","type":"article-journal","volume":"100"},"uris":["http://www.mendeley.com/documents/?uuid=0607305b-1382-416a-990c-538079ec0cef"]},{"id":"ITEM-3","itemData":{"DOI":"10.1890/0012-9658(2001)082[0946:EOSNAO]2.0.CO;2","ISSN":"00129658","abstract":"We determined the influence of nutrient availability on the mechanisms used by plants to acquire nitrogen and phosphorus from the soil. Extracellular acid phosphatase production, mycorrhizal colonization, and N and P uptake capacities were measured in control, N-, and P-fertilized forests in three sites that varied in nutrient status from N limited to relatively fertile to P limited. Nitrogen fertilization increased extracellular phosphatase activity in all sites. Phosphorus additions consistently reduced phosphatase activity, mycorrhizal colonization, and P uptake capacity across sites. Our results indicate that these plants efficiently allocate resources to nutrient acquisition as suggested by an economic model. Investment in acquisition of a nutrient was greatest when that nutrient was limiting to growth, and plants appeared to allocate excess N to construction of extracellular phosphatases to acquire P. This increase in phosphatase production with N fertilization implies that even P-limited systems might respond to N deposition with greater productivity.","author":[{"dropping-particle":"","family":"Treseder","given":"K. K.","non-dropping-particle":"","parse-names":false,"suffix":""},{"dropping-particle":"","family":"Vitousek","given":"P. M.","non-dropping-particle":"","parse-names":false,"suffix":""}],"container-title":"Ecology","id":"ITEM-3","issue":"4","issued":{"date-parts":[["2001"]]},"page":"946-954","title":"Effects of soil nutrient availability on investment in acquisition of N and P in Hawaiian rain forests","type":"article-journal","volume":"82"},"uris":["http://www.mendeley.com/documents/?uuid=01c793f5-37ef-4942-b1ca-a9164a08a144"]}],"mendeley":{"formattedCitation":"(Treseder &amp; Vitousek, 2001; Nasto &lt;i&gt;et al.&lt;/i&gt;, 2017, 2019)","plainTextFormattedCitation":"(Treseder &amp; Vitousek, 2001; Nasto et al., 2017, 2019)","previouslyFormattedCitation":"(Treseder &amp; Vitousek, 2001; Nasto &lt;i&gt;et al.&lt;/i&gt;, 2017, 2019)"},"properties":{"noteIndex":0},"schema":"https://github.com/citation-style-language/schema/raw/master/csl-citation.json"}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(Treseder &amp; Vitousek, 2001; Nasto </w:t>
      </w:r>
      <w:r w:rsidRPr="00872293">
        <w:rPr>
          <w:rFonts w:ascii="Times New Roman" w:eastAsiaTheme="minorHAnsi" w:hAnsi="Times New Roman"/>
          <w:i/>
          <w:noProof/>
        </w:rPr>
        <w:t>et al.</w:t>
      </w:r>
      <w:r w:rsidRPr="00872293">
        <w:rPr>
          <w:rFonts w:ascii="Times New Roman" w:eastAsiaTheme="minorHAnsi" w:hAnsi="Times New Roman"/>
          <w:noProof/>
        </w:rPr>
        <w:t>, 2017, 2019)</w:t>
      </w:r>
      <w:r w:rsidRPr="00872293">
        <w:rPr>
          <w:rFonts w:ascii="Times New Roman" w:eastAsiaTheme="minorHAnsi" w:hAnsi="Times New Roman"/>
        </w:rPr>
        <w:fldChar w:fldCharType="end"/>
      </w:r>
      <w:r w:rsidRPr="00872293">
        <w:rPr>
          <w:rFonts w:ascii="Times New Roman" w:eastAsiaTheme="minorHAnsi" w:hAnsi="Times New Roman"/>
        </w:rPr>
        <w:t>.</w:t>
      </w:r>
    </w:p>
    <w:p w14:paraId="7FC82CB4" w14:textId="77777777" w:rsidR="00284E10" w:rsidRPr="00872293" w:rsidRDefault="00284E10" w:rsidP="00284E10">
      <w:pPr>
        <w:autoSpaceDE w:val="0"/>
        <w:autoSpaceDN w:val="0"/>
        <w:adjustRightInd w:val="0"/>
        <w:spacing w:line="360" w:lineRule="auto"/>
        <w:rPr>
          <w:rFonts w:ascii="Times New Roman" w:hAnsi="Times New Roman"/>
          <w:spacing w:val="2"/>
        </w:rPr>
      </w:pPr>
    </w:p>
    <w:p w14:paraId="3D67EDA7" w14:textId="069BBB0E" w:rsidR="00284E10" w:rsidRPr="00872293" w:rsidRDefault="00284E10" w:rsidP="00284E10">
      <w:pPr>
        <w:autoSpaceDE w:val="0"/>
        <w:autoSpaceDN w:val="0"/>
        <w:adjustRightInd w:val="0"/>
        <w:spacing w:line="360" w:lineRule="auto"/>
        <w:rPr>
          <w:rFonts w:ascii="Times New Roman" w:hAnsi="Times New Roman"/>
        </w:rPr>
      </w:pPr>
      <w:r w:rsidRPr="00872293">
        <w:rPr>
          <w:rFonts w:ascii="Times New Roman" w:eastAsia="AdvP45996F" w:hAnsi="Times New Roman"/>
        </w:rPr>
        <w:t xml:space="preserve">Root phosphatase activity is also a root trait related to P acquisition, and it directly represents root function. Phosphatase enzymes are released to the rhizosphere by both microbes and plant roots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{"citationItems":[{"id":"ITEM-1","itemData":{"DOI":"10.1016/B978-0-12-370526-6.X5001-6","ISBN":"9780123705266","abstract":"The roots of most plants are colonized by symbiotic fungi to form mycorrhiza, which play a critical role in the capture of nutrients from the soil and therefore in plant nutrition. Mycorrhizal Symbiosis is recognized as the definitive work in this area. Since the last edition was published there have been major advances in the field, particularly in the area of molecular biology, and the new edition has been fully revised and updated to incorporate these exciting new developments. . Over 50% new material . Includes expanded color plate section . Covers all aspects of mycorrhiza . Presents new taxonomy . Discusses the impact of proteomics and genomics on research in this area. © 2008 Elsevier Ltd All rights reserved.","author":[{"dropping-particle":"","family":"Smith","given":"Sally","non-dropping-particle":"","parse-names":false,"suffix":""},{"dropping-particle":"","family":"Read","given":"David","non-dropping-particle":"","parse-names":false,"suffix":""}],"container-title":"Mycorrhizal Symbiosis","id":"ITEM-1","issued":{"date-parts":[["2008"]]},"title":"Mycorrhizal Symbiosis","type":"book"},"uris":["http://www.mendeley.com/documents/?uuid=96d3272d-36f1-4d27-b6d6-4e1b782eb375"]},{"id":"ITEM-2","itemData":{"DOI":"10.1890/0012-9658(2001)082[0946:EOSNAO]2.0.CO;2","ISSN":"00129658","abstract":"We determined the influence of nutrient availability on the mechanisms used by plants to acquire nitrogen and phosphorus from the soil. Extracellular acid phosphatase production, mycorrhizal colonization, and N and P uptake capacities were measured in control, N-, and P-fertilized forests in three sites that varied in nutrient status from N limited to relatively fertile to P limited. Nitrogen fertilization increased extracellular phosphatase activity in all sites. Phosphorus additions consistently reduced phosphatase activity, mycorrhizal colonization, and P uptake capacity across sites. Our results indicate that these plants efficiently allocate resources to nutrient acquisition as suggested by an economic model. Investment in acquisition of a nutrient was greatest when that nutrient was limiting to growth, and plants appeared to allocate excess N to construction of extracellular phosphatases to acquire P. This increase in phosphatase production with N fertilization implies that even P-limited systems might respond to N deposition with greater productivity.","author":[{"dropping-particle":"","family":"Treseder","given":"K. K.","non-dropping-particle":"","parse-names":false,"suffix":""},{"dropping-particle":"","family":"Vitousek","given":"P. M.","non-dropping-particle":"","parse-names":false,"suffix":""}],"container-title":"Ecology","id":"ITEM-2","issue":"4","issued":{"date-parts":[["2001"]]},"page":"946-954","title":"Effects of soil nutrient availability on investment in acquisition of N and P in Hawaiian rain forests","type":"article-journal","volume":"82"},"uris":["http://www.mendeley.com/documents/?uuid=01c793f5-37ef-4942-b1ca-a9164a08a144"]}],"mendeley":{"formattedCitation":"(Treseder &amp; Vitousek, 2001; Smith &amp; Read, 2008)","plainTextFormattedCitation":"(Treseder &amp; Vitousek, 2001; Smith &amp; Read, 2008)","previouslyFormattedCitation":"(Treseder &amp; Vitousek, 2001; Smith &amp; Read, 2008)"},"properties":{"noteIndex":0},"schema":"https://github.com/citation-style-language/schema/raw/master/csl-citation.json"}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(Treseder &amp; Vitousek, 2001; Smith &amp; Read, 2008)</w:t>
      </w:r>
      <w:r w:rsidRPr="00872293">
        <w:rPr>
          <w:rFonts w:ascii="Times New Roman" w:eastAsia="AdvP45996F" w:hAnsi="Times New Roman"/>
        </w:rPr>
        <w:fldChar w:fldCharType="end"/>
      </w:r>
      <w:r w:rsidRPr="00872293">
        <w:rPr>
          <w:rFonts w:ascii="Times New Roman" w:eastAsia="AdvP45996F" w:hAnsi="Times New Roman"/>
        </w:rPr>
        <w:t xml:space="preserve">. These enzymes, </w:t>
      </w:r>
      <w:r w:rsidRPr="00872293">
        <w:rPr>
          <w:rFonts w:ascii="Times New Roman" w:eastAsiaTheme="minorHAnsi" w:hAnsi="Times New Roman"/>
        </w:rPr>
        <w:t xml:space="preserve">phosphodiesterase (PDE) and </w:t>
      </w:r>
      <w:proofErr w:type="spellStart"/>
      <w:r w:rsidRPr="00872293">
        <w:rPr>
          <w:rFonts w:ascii="Times New Roman" w:eastAsiaTheme="minorHAnsi" w:hAnsi="Times New Roman"/>
        </w:rPr>
        <w:t>phosphomonoesterase</w:t>
      </w:r>
      <w:proofErr w:type="spellEnd"/>
      <w:r w:rsidRPr="00872293">
        <w:rPr>
          <w:rFonts w:ascii="Times New Roman" w:eastAsiaTheme="minorHAnsi" w:hAnsi="Times New Roman"/>
        </w:rPr>
        <w:t xml:space="preserve"> (PME), hydrolyze organic P compounds and then mineralize them into orthophosphates which are directly absorbed by either microbes or plant roots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{"citationItems":[{"id":"ITEM-1","itemData":{"DOI":"10.1111/j.1469-8137.2011.03652.x","ISSN":"0028646X","abstract":"Phosphorus (P)-limited plants produce higher amounts of root phosphatases, but research has mostly focused on phosphomonoesterases (PMEs). Because phosphate diesters can form a significant proportion of organic P in wetlands, we aimed to determine whether wetland plants produce both root PMEs and root phosphodiesterases (PDEs), and, if so, what factors influence activities of these enzymes. We measured the activities of root PMEs and PDEs colorimetrically in a wide range of macrophytes from natural and P-enriched wetlands. Hydrolyzable P in sediments was analyzed using commercially available PMEs and PDEs. In all species, both root PMEs and PDEs were always present, and their activities were closely correlated. Sedges and broadleaved emergents had the highest activity of both enzymes, while those of floating-leaved plants were the lowest. Redundancy analysis revealed close association between root enzymes and the proportion of monoesterase- and diesterase-hydrolyzable dissolved unreactive P. Both enzymes were positively correlated with root tissue N:P ratio. Both plant and sediment traits were important when explaining differences in enzyme activities. Although the activities are related to ambient P regime, the relationship was not close enough to use root enzymes as reliable predictors of dissolved unreactive P that is hydrolyzed by sediment phosphomono- and diesterases. © 2011 The Authors. New Phytologist © 2011 New Phytologist Trust.","author":[{"dropping-particle":"","family":"Rejmánková","given":"Eliška","non-dropping-particle":"","parse-names":false,"suffix":""},{"dropping-particle":"","family":"Sirová","given":"Dagmara","non-dropping-particle":"","parse-names":false,"suffix":""},{"dropping-particle":"","family":"Carlson","given":"Emily","non-dropping-particle":"","parse-names":false,"suffix":""}],"container-title":"New Phytologist","id":"ITEM-1","issue":"4","issued":{"date-parts":[["2011"]]},"page":"968-976","title":"Patterns of activities of root phosphomonoesterase and phosphodiesterase in wetland plants as a function of macrophyte species and ambient phosphorus regime","type":"article-journal","volume":"190"},"uris":["http://www.mendeley.com/documents/?uuid=8741604a-1039-44ca-919c-6b2eaf6cf97b"]},{"id":"ITEM-2","itemData":{"DOI":"10.1016/j.soilbio.2014.04.017","ISBN":"0038-0717","ISSN":"00380717","abstract":"Extracellular enzymes in soils mediate the decomposition of organic matter and catalyze key transformations in carbon, nitrogen and phosphorus cycling. However, most studies of extracellular enzyme activity have focused exclusively on relatively carbon and nutrient-rich surface soils. In tropical forests, several centimeters of nutrient-rich surface soil can overlay meters of resource-poor subsoil, of which the microbial ecology is poorly characterized. The goal of this study was to determine how extracellular enzyme activity changes as a function of depth across two soil orders (Oxisols and Inceptisols) and two forest types that occur at different elevations (Tabonuco, lower elevation; Colorado, higher elevation) at the Luquillo Critical Zone Observatory in northeast Puerto Rico. We excavated three soil pits to 140cm at four different sites representing the four soil??forest combinations, and measured potential activities of four carbon-acquiring enzymes (??-glucosidase, ??-glucosidase, ??-xylosidase, cellobiohydrolase), one nitrogen-acquiring enzyme (N-acetyl glucosaminidase) and one organic phosphorus-acquiring enzyme (acid phosphatase) at six discrete depth intervals. We used phospholipid fatty acid (PLFA) analysis to assess viable microbial biomass and community structure. Overall, microbial biomass, specific enzyme activities and community structure were similar across the two soil and forest types, in spite of higher carbon concentrations and C:N ratios in the Colorado forest soil. Soil nutrients, microbial biomass and potential enzyme activities all declined exponentially with depth. However, when normalized to microbial biomass, specific enzyme activities either did not change with depth (??-glucosidase, ??-xylosidase, cellobiohydrolase and N-acetyl glucosaminidase) or increased significantly with depth (??-glucosidase and acid phosphatase, P&lt;0.05). Principal components analysis of PLFA biomarkers revealed shifts in community structure with depth (P&lt;0.01), driven largely by a decline in fungal:bacterial ratios, an increase in gram positive and actinobacteria biomarkers, and a decrease in gram negative biomarkers. Shifts in community structure, upregulation of enzyme production in response to resource scarcity and decreased enzyme turnover rates may all contribute to high specific enzyme activities in subsoils. Our study indicates that low-carbon tropical subsoils contain small but metabolically active microbial communities, and that specific en…","author":[{"dropping-particle":"","family":"Stone","given":"M. M.","non-dropping-particle":"","parse-names":false,"suffix":""},{"dropping-particle":"","family":"DeForest","given":"J. L.","non-dropping-particle":"","parse-names":false,"suffix":""},{"dropping-particle":"","family":"Plante","given":"A. F.","non-dropping-particle":"","parse-names":false,"suffix":""}],"container-title":"Soil Biology and Biochemistry","id":"ITEM-2","issued":{"date-parts":[["2014"]]},"page":"237-247","publisher":"Elsevier Ltd","title":"Changes in extracellular enzyme activity and microbial community structure with soil depth at the Luquillo Critical Zone Observatory","type":"article-journal","volume":"75"},"uris":["http://www.mendeley.com/documents/?uuid=c044a1f9-ca3a-4a46-823c-3c8e3e44a2a7"]}],"mendeley":{"formattedCitation":"(Rejmánková &lt;i&gt;et al.&lt;/i&gt;, 2011; Stone &lt;i&gt;et al.&lt;/i&gt;, 2014)","plainTextFormattedCitation":"(Rejmánková et al., 2011; Stone et al., 2014)","previouslyFormattedCitation":"(Rejmánková &lt;i&gt;et al.&lt;/i&gt;, 2011; Stone &lt;i&gt;et al.&lt;/i&gt;, 2014)"},"properties":{"noteIndex":0},"schema":"https://github.com/citation-style-language/schema/raw/master/csl-citation.json"}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(Rejmánková </w:t>
      </w:r>
      <w:r w:rsidRPr="00872293">
        <w:rPr>
          <w:rFonts w:ascii="Times New Roman" w:eastAsiaTheme="minorHAnsi" w:hAnsi="Times New Roman"/>
          <w:i/>
          <w:noProof/>
        </w:rPr>
        <w:t>et al.</w:t>
      </w:r>
      <w:r w:rsidRPr="00872293">
        <w:rPr>
          <w:rFonts w:ascii="Times New Roman" w:eastAsiaTheme="minorHAnsi" w:hAnsi="Times New Roman"/>
          <w:noProof/>
        </w:rPr>
        <w:t xml:space="preserve">, 2011; Stone </w:t>
      </w:r>
      <w:r w:rsidRPr="00872293">
        <w:rPr>
          <w:rFonts w:ascii="Times New Roman" w:eastAsiaTheme="minorHAnsi" w:hAnsi="Times New Roman"/>
          <w:i/>
          <w:noProof/>
        </w:rPr>
        <w:t>et al.</w:t>
      </w:r>
      <w:r w:rsidRPr="00872293">
        <w:rPr>
          <w:rFonts w:ascii="Times New Roman" w:eastAsiaTheme="minorHAnsi" w:hAnsi="Times New Roman"/>
          <w:noProof/>
        </w:rPr>
        <w:t>, 2014)</w:t>
      </w:r>
      <w:r w:rsidRPr="00872293">
        <w:rPr>
          <w:rFonts w:ascii="Times New Roman" w:eastAsiaTheme="minorHAnsi" w:hAnsi="Times New Roman"/>
        </w:rPr>
        <w:fldChar w:fldCharType="end"/>
      </w:r>
      <w:r w:rsidRPr="00872293">
        <w:rPr>
          <w:rFonts w:ascii="Times New Roman" w:eastAsiaTheme="minorHAnsi" w:hAnsi="Times New Roman"/>
        </w:rPr>
        <w:t xml:space="preserve">.  </w:t>
      </w:r>
      <w:r w:rsidRPr="00872293">
        <w:rPr>
          <w:rFonts w:ascii="Times New Roman" w:eastAsia="AdvP45996F" w:hAnsi="Times New Roman"/>
        </w:rPr>
        <w:t xml:space="preserve">Theoretically, root phosphatase activity in the rhizoplane should mostly be a function of enzymes exuded from the roots, but it is not clear what fraction of these enzymes originates from the mycorrhizal fungi partners, especially AMF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{"citationItems":[{"id":"ITEM-1","itemData":{"DOI":"10.1016/B978-0-12-370526-6.X5001-6","ISBN":"9780123705266","abstract":"The roots of most plants are colonized by symbiotic fungi to form mycorrhiza, which play a critical role in the capture of nutrients from the soil and therefore in plant nutrition. Mycorrhizal Symbiosis is recognized as the definitive work in this area. Since the last edition was published there have been major advances in the field, particularly in the area of molecular biology, and the new edition has been fully revised and updated to incorporate these exciting new developments. . Over 50% new material . Includes expanded color plate section . Covers all aspects of mycorrhiza . Presents new taxonomy . Discusses the impact of proteomics and genomics on research in this area. © 2008 Elsevier Ltd All rights reserved.","author":[{"dropping-particle":"","family":"Smith","given":"Sally","non-dropping-particle":"","parse-names":false,"suffix":""},{"dropping-particle":"","family":"Read","given":"David","non-dropping-particle":"","parse-names":false,"suffix":""}],"container-title":"Mycorrhizal Symbiosis","id":"ITEM-1","issued":{"date-parts":[["2008"]]},"title":"Mycorrhizal Symbiosis","type":"book"},"uris":["http://www.mendeley.com/documents/?uuid=96d3272d-36f1-4d27-b6d6-4e1b782eb375"]},{"id":"ITEM-2","itemData":{"DOI":"10.1016/0038-0717(73)90008-4","ISSN":"00380717","abstract":"Mycorrhizal roots of beech possess active surface acid phosphatases catalysing hydrolysis of p-nitrophenyl phosphate, glucose-6-phosphate, β-glycerophosphate, inositol hexaphosphate, inositol triphosphate and inorganic pyrophosphate. The products of hydrolysis of inositol hexaphosphate include free inositol, orthophosphate and intermediate esters. These observations are discussed in relation to the utilization of complex phosphates by mycorrhizas in general and to their capacity to exploit marginal habitats. © 1973.","author":[{"dropping-particle":"","family":"Bartlett","given":"Eleanor M.","non-dropping-particle":"","parse-names":false,"suffix":""},{"dropping-particle":"","family":"Lewis","given":"D. H.","non-dropping-particle":"","parse-names":false,"suffix":""}],"container-title":"Soil Biology and Biochemistry","id":"ITEM-2","issue":"2","issued":{"date-parts":[["1973"]]},"page":"249-257","title":"Surface phosphatase activity of mycorrhizal roots of beech","type":"article-journal","volume":"5"},"uris":["http://www.mendeley.com/documents/?uuid=ecd63b92-d5af-4bbd-9978-2a6afaefb9a4"]},{"id":"ITEM-3","itemData":{"DOI":"10.1111/j.1469-8137.1979.tb07566.x","ISSN":"14698137","abstract":"The ultrastructural distribution of acid and alkaline phosphatase in 6‐week‐old onion roots infected by Glomus mosseae has been investigated cytochemically. Significant acid phosphatase activity was only observed in the little vacuolated, immature terminal arbuscule branches of the mycorrhizal fungus whilst strong alkaline α‐naphthyl phosphatase and β‐glycerophosphatase activities were localized within the vacuoles of the mature arbuscular and intercellular hyphae. In the host cells neither acid nor alkaline phosphatase distribution was modified with vesicular‐arbuscular mycorrhiza formation. These results are discussed in relation to previously reported mycorrhiza‐specific alkaline phosphatase (Gianinazzi‐Pearson and Gianinazzi, 1976, 1978) and the metabolism of phosphorus in vesicular‐arbuscular mycorrhizal systems. Copyright © 1979, Wiley Blackwell. All rights reserved","author":[{"dropping-particle":"","family":"Gianinazzi","given":"S.","non-dropping-particle":"","parse-names":false,"suffix":""},{"dropping-particle":"","family":"Gianinazzi-Pearson","given":"V.","non-dropping-particle":"","parse-names":false,"suffix":""},{"dropping-particle":"","family":"Dexheimer","given":"J.","non-dropping-particle":"","parse-names":false,"suffix":""}],"container-title":"New Phytologist","id":"ITEM-3","issue":"1","issued":{"date-parts":[["1979"]]},"page":"127-132","title":"Enzymatic studies on the metabolism of vesicular‐arbuscular mycorrhiza. iii. ultrastructural localization of acid and alkaline phosphatase in onion roots infected by glomus mosseae (nicol. &amp; gerd.)","type":"article-journal","volume":"82"},"uris":["http://www.mendeley.com/documents/?uuid=23c2e939-c9eb-461d-b888-55baa86d58e0"]},{"id":"ITEM-4","itemData":{"DOI":"10.1111/j.1469-8137.1987.tb04890.x","ISSN":"14698137","abstract":"Acid phosphatase activity associated with the root and in the rhizosphere of rape Brassica napus L., wheat (Triticum aestivum L.) and onion (Alliutn cepa L.) plants was investigated in the presence or absence of vesicular‐arbuscular mycorrhizal fungi. The plants were inoculated singly with three different species of Glomus, or were left uninfected, and were grown in sand with little available phosphorus. Root and rhizosphere levels of phosphatase activity were higher for plants infected with G. geosporum (Nicol. &amp; Gerd.) Gerd. &amp; Trappe and G. mosseae (Nicol &amp; Gerd.) Gerd. &amp; Trappe compared with control plants. Infection with G. monosporum Gerd. &amp; Trappe did not result in a similar increase in phosphatase activity but significant increases in plant growth nevertheless occurred. Further experiments, using wheat only, showed that increases in phosphatase activity induced by infection by G. geosporum or G. mosseae became apparent between 25 and 51 d after sowing. Copyright © 1987, Wiley Blackwell. All rights reserved","author":[{"dropping-particle":"","family":"Dodd","given":"J. C.","non-dropping-particle":"","parse-names":false,"suffix":""},{"dropping-particle":"","family":"Burton","given":"C. C.","non-dropping-particle":"","parse-names":false,"suffix":""},{"dropping-particle":"","family":"Burns","given":"R. G.","non-dropping-particle":"","parse-names":false,"suffix":""},{"dropping-particle":"","family":"Jeffries","given":"P.","non-dropping-particle":"","parse-names":false,"suffix":""}],"container-title":"New Phytologist","id":"ITEM-4","issue":"1","issued":{"date-parts":[["1987"]]},"page":"163-172","title":"Phosphatase activity associated with the roots and the rhizosphere of plants infected with vesicular‐arbuscular mycorrhizal fungi","type":"article-journal","volume":"107"},"uris":["http://www.mendeley.com/documents/?uuid=1a29b5c8-3450-41b5-8b17-19b5bc7e0e65"]}],"mendeley":{"formattedCitation":"(Bartlett &amp; Lewis, 1973; Gianinazzi &lt;i&gt;et al.&lt;/i&gt;, 1979; Dodd &lt;i&gt;et al.&lt;/i&gt;, 1987; Smith &amp; Read, 2008)","plainTextFormattedCitation":"(Bartlett &amp; Lewis, 1973; Gianinazzi et al., 1979; Dodd et al., 1987; Smith &amp; Read, 2008)","previouslyFormattedCitation":"(Bartlett &amp; Lewis, 1973; Gianinazzi &lt;i&gt;et al.&lt;/i&gt;, 1979; Dodd &lt;i&gt;et al.&lt;/i&gt;, 1987; Smith &amp; Read, 2008)"},"properties":{"noteIndex":0},"schema":"https://github.com/citation-style-language/schema/raw/master/csl-citation.json"}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 xml:space="preserve">(Bartlett &amp; Lewis, 1973; Gianinazzi </w:t>
      </w:r>
      <w:r w:rsidRPr="00872293">
        <w:rPr>
          <w:rFonts w:ascii="Times New Roman" w:eastAsia="AdvP45996F" w:hAnsi="Times New Roman"/>
          <w:i/>
          <w:noProof/>
        </w:rPr>
        <w:t>et al.</w:t>
      </w:r>
      <w:r w:rsidRPr="00872293">
        <w:rPr>
          <w:rFonts w:ascii="Times New Roman" w:eastAsia="AdvP45996F" w:hAnsi="Times New Roman"/>
          <w:noProof/>
        </w:rPr>
        <w:t xml:space="preserve">, 1979; Dodd </w:t>
      </w:r>
      <w:r w:rsidRPr="00872293">
        <w:rPr>
          <w:rFonts w:ascii="Times New Roman" w:eastAsia="AdvP45996F" w:hAnsi="Times New Roman"/>
          <w:i/>
          <w:noProof/>
        </w:rPr>
        <w:t>et al.</w:t>
      </w:r>
      <w:r w:rsidRPr="00872293">
        <w:rPr>
          <w:rFonts w:ascii="Times New Roman" w:eastAsia="AdvP45996F" w:hAnsi="Times New Roman"/>
          <w:noProof/>
        </w:rPr>
        <w:t>, 1987; Smith &amp; Read, 2008)</w:t>
      </w:r>
      <w:r w:rsidRPr="00872293">
        <w:rPr>
          <w:rFonts w:ascii="Times New Roman" w:eastAsia="AdvP45996F" w:hAnsi="Times New Roman"/>
        </w:rPr>
        <w:fldChar w:fldCharType="end"/>
      </w:r>
      <w:r w:rsidRPr="00872293">
        <w:rPr>
          <w:rFonts w:ascii="Times New Roman" w:eastAsia="AdvP45996F" w:hAnsi="Times New Roman"/>
        </w:rPr>
        <w:t>. Thus, the relationships of these root traits and the strategies plants have to optimize P acquisition, in terms of C investment versus the nutrient output, have not been fully explored (</w:t>
      </w:r>
      <w:r w:rsidRPr="00872293">
        <w:rPr>
          <w:rFonts w:ascii="Times New Roman" w:eastAsia="AdvP45996F" w:hAnsi="Times New Roman"/>
          <w:noProof/>
        </w:rPr>
        <w:t>Smith &amp; Read, 2008</w:t>
      </w:r>
      <w:r w:rsidRPr="00872293">
        <w:rPr>
          <w:rFonts w:ascii="Times New Roman" w:eastAsia="AdvP45996F" w:hAnsi="Times New Roman"/>
        </w:rPr>
        <w:t>), especially in tropical ecosystems.</w:t>
      </w:r>
      <w:r w:rsidRPr="00872293" w:rsidDel="00CC2F92">
        <w:rPr>
          <w:rFonts w:ascii="Times New Roman" w:eastAsiaTheme="minorHAnsi" w:hAnsi="Times New Roman"/>
        </w:rPr>
        <w:t xml:space="preserve"> </w:t>
      </w:r>
      <w:r w:rsidRPr="00872293">
        <w:rPr>
          <w:rFonts w:ascii="Times New Roman" w:eastAsiaTheme="minorHAnsi" w:hAnsi="Times New Roman"/>
        </w:rPr>
        <w:t>F</w:t>
      </w:r>
      <w:r w:rsidRPr="00872293">
        <w:rPr>
          <w:rFonts w:ascii="Times New Roman" w:hAnsi="Times New Roman"/>
        </w:rPr>
        <w:t>inally, the responsiveness of these root traits to major disturbances that can alter soil P concentrations within the same trees have also been poorly explored.</w:t>
      </w:r>
    </w:p>
    <w:p w14:paraId="5714E7AC" w14:textId="77777777" w:rsidR="00284E10" w:rsidRPr="00872293" w:rsidRDefault="00284E10" w:rsidP="00284E10">
      <w:pPr>
        <w:autoSpaceDE w:val="0"/>
        <w:autoSpaceDN w:val="0"/>
        <w:adjustRightInd w:val="0"/>
        <w:spacing w:line="360" w:lineRule="auto"/>
        <w:rPr>
          <w:rFonts w:ascii="Times New Roman" w:hAnsi="Times New Roman"/>
        </w:rPr>
      </w:pPr>
    </w:p>
    <w:p w14:paraId="5808A0AD" w14:textId="74E5D59C" w:rsidR="00284E10" w:rsidRPr="00872293" w:rsidRDefault="00284E10" w:rsidP="00284E10">
      <w:pPr>
        <w:autoSpaceDE w:val="0"/>
        <w:autoSpaceDN w:val="0"/>
        <w:adjustRightInd w:val="0"/>
        <w:spacing w:line="360" w:lineRule="auto"/>
        <w:rPr>
          <w:rFonts w:ascii="Times New Roman" w:hAnsi="Times New Roman"/>
        </w:rPr>
      </w:pPr>
      <w:r w:rsidRPr="00872293">
        <w:rPr>
          <w:rFonts w:ascii="Times New Roman" w:hAnsi="Times New Roman"/>
        </w:rPr>
        <w:t xml:space="preserve">In this study we aimed to describe morphological, chemical, and nutrient acquisitive root traits from common tree species in the Luquillo Experimental Forest (LEF) in Puerto Rico. We accounted for species and site variation while exploring possible patterns in root traits from the resource collaboration gradient dimension across species and sites. Specifically, we </w:t>
      </w:r>
      <w:r w:rsidR="007B367B" w:rsidRPr="00872293">
        <w:rPr>
          <w:rFonts w:ascii="Times New Roman" w:hAnsi="Times New Roman"/>
        </w:rPr>
        <w:t>measured</w:t>
      </w:r>
      <w:r w:rsidRPr="00872293">
        <w:rPr>
          <w:rFonts w:ascii="Times New Roman" w:hAnsi="Times New Roman"/>
        </w:rPr>
        <w:t xml:space="preserve"> root morphology (SRL and diameter), architecture (root branching intensity and root branching ratio), root PME, mycorrhizal colonization, and root P concentration from eight of the most common species in three wet tropical forest sites of LEF. Additionally, after two consecutive hurricanes (</w:t>
      </w:r>
      <w:r w:rsidRPr="00872293">
        <w:rPr>
          <w:rFonts w:ascii="Times New Roman" w:hAnsi="Times New Roman"/>
          <w:u w:val="single"/>
        </w:rPr>
        <w:t>&gt;</w:t>
      </w:r>
      <w:r w:rsidRPr="00872293">
        <w:rPr>
          <w:rFonts w:ascii="Times New Roman" w:hAnsi="Times New Roman"/>
        </w:rPr>
        <w:t xml:space="preserve">category 4) passed by the island, we tested the responsiveness of these root traits from three species before and after these major disturbances. </w:t>
      </w:r>
    </w:p>
    <w:p w14:paraId="5E08FBF7" w14:textId="77777777" w:rsidR="00284E10" w:rsidRPr="00872293" w:rsidRDefault="00284E10" w:rsidP="00284E10">
      <w:pPr>
        <w:autoSpaceDE w:val="0"/>
        <w:autoSpaceDN w:val="0"/>
        <w:adjustRightInd w:val="0"/>
        <w:spacing w:line="360" w:lineRule="auto"/>
        <w:rPr>
          <w:rFonts w:ascii="Times New Roman" w:hAnsi="Times New Roman"/>
        </w:rPr>
      </w:pPr>
    </w:p>
    <w:p w14:paraId="0F56A99F" w14:textId="4C101B23" w:rsidR="00A20952" w:rsidRPr="00872293" w:rsidRDefault="00284E10" w:rsidP="00A20952">
      <w:pPr>
        <w:autoSpaceDE w:val="0"/>
        <w:autoSpaceDN w:val="0"/>
        <w:adjustRightInd w:val="0"/>
        <w:spacing w:line="360" w:lineRule="auto"/>
        <w:rPr>
          <w:rFonts w:ascii="Times New Roman" w:hAnsi="Times New Roman"/>
        </w:rPr>
      </w:pPr>
      <w:r w:rsidRPr="00872293">
        <w:rPr>
          <w:rFonts w:ascii="Times New Roman" w:hAnsi="Times New Roman"/>
        </w:rPr>
        <w:t xml:space="preserve">We hypothesized that </w:t>
      </w:r>
      <w:bookmarkStart w:id="127" w:name="_Hlk48729618"/>
      <w:r w:rsidRPr="00872293">
        <w:rPr>
          <w:rFonts w:ascii="Times New Roman" w:hAnsi="Times New Roman"/>
        </w:rPr>
        <w:t xml:space="preserve">higher root PME and higher root branching ratio would be associated with the “do it yourself” end of the collaboration gradient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Phytologist","id":"ITEM-1","issue":"1","issued":{"date-parts":[["2015"]]},"page":"125-136","title":"Complementarity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species","type":"article-journal","volume":"208"},"uris":["http://www.mendeley.com/documents/?uuid=181e3a6c-c0c7-4de1-a35f-83b486441b89"]},{"id":"ITEM-2","itemData":{"DOI":"10.1007/s11104-019-03963-9","ISSN":"15735036","abstract":"Background and aims: Ancient Amazon soils are characterised by low concentrations of soil phosphorus (P). Therefore, it is hypothesised that plants may invest a substantial proportion of their resources belowground to adjust their P-uptake strategies, including root morphological, physiological (phosphatase enzyme activities) and biotic (arbuscular mycorrhizal (AM) associations) adaptations. Since these strategies are energy demanding, we hypothesise that trade-offs between morphological traits and root phosphatase exudation and symbiotic associations would occur. Specifically, we expected that plants which invest in finer roots, and therefore have greater ability to explore large soil volumes, would have a high investment in physiological adaptations such as enhanced phosphatase production. In contrast, we expected that plants with predominantly thicker roots would invest more in symbiotic associations, in which carbon is traded for P acquired from AM fungal communities. Methods: We collected absorptive roots (&lt;2 mm diameter) from a lowland Central Amazon forest near Manaus, Brazil. We measured fine root diameter, specific root length (SRL), specific root area (SRA), root tissue density (RTD), root phosphatase activity (APase) and arbuscular mycorrhizal (AM) fungi colonisation. Results: Root morphological traits were related to APase activity, with higher APase activity in roots with higher SRL and SRA but lower RTD. However, the degree of AM colonisation was not related to any measured root morphological trait. Conclusions: Fine absorptive roots likely benefit from having low RTD, high SRL, SRA and APase exudation to acquire P efficiently. However, because AM colonisation was not related to root morphology, we suggest that investment in multiple P-uptake strategies is required for maintaining productivity in Central Amazon forests.","author":[{"dropping-particle":"","family":"Lugli","given":"Laynara F.","non-dropping-particle":"","parse-names":false,"suffix":""},{"dropping-particle":"","family":"Andersen","given":"Kelly M.","non-dropping-particle":"","parse-names":false,"suffix":""},{"dropping-particle":"","family":"Aragão","given":"Luiz E.O.C.","non-dropping-particle":"","parse-names":false,"suffix":""},{"dropping-particle":"","family":"Cordeiro","given":"Amanda L.","non-dropping-particle":"","parse-names":false,"suffix":""},{"dropping-particle":"","family":"Cunha","given":"Hellen F.V.","non-dropping-particle":"","parse-names":false,"suffix":""},{"dropping-particle":"","family":"Fuchslueger","given":"Lucia","non-dropping-particle":"","parse-names":false,"suffix":""},{"dropping-particle":"","family":"Meir","given":"Patrick","non-dropping-particle":"","parse-names":false,"suffix":""},{"dropping-particle":"","family":"Mercado","given":"Lina M.","non-dropping-particle":"","parse-names":false,"suffix":""},{"dropping-particle":"","family":"Oblitas","given":"Erick","non-dropping-particle":"","parse-names":false,"suffix":""},{"dropping-particle":"","family":"Quesada","given":"Carlos A.","non-dropping-particle":"","parse-names":false,"suffix":""},{"dropping-particle":"","family":"Rosa","given":"Jessica S.","non-dropping-particle":"","parse-names":false,"suffix":""},{"dropping-particle":"","family":"Schaap","given":"Karst J.","non-dropping-particle":"","parse-names":false,"suffix":""},{"dropping-particle":"","family":"Valverde-Barrantes","given":"Oscar","non-dropping-particle":"","parse-names":false,"suffix":""},{"dropping-particle":"","family":"Hartley","given":"Iain P.","non-dropping-particle":"","parse-names":false,"suffix":""}],"container-title":"Plant and Soil","id":"ITEM-2","issued":{"date-parts":[["2019"]]},"page":"49-63","title":"Multiple phosphorus acquisition strategies adopted by fine roots in low-fertility soils in Central Amazonia","type":"article-journal","volume":"450"},"uris":["http://www.mendeley.com/documents/?uuid=24f71e62-5efe-40f8-9fce-b1db36822b98"]},{"id":"ITEM-3","itemData":{"DOI":"10.1046/j.1469-8137.2002.00397.x","ISSN":"0028646X","abstract":"Here, the coevolution of mycorrhizal fungi and roots is assessed in the light of evidence now available, from palaeobotanical and morphological studies and the analysis of DNA-based phylogenies. The first bryophyte-like land plants, in the early Devonian (400 million years ago), had endophytic associations resembling vesicular-arbuscular mycorrhizas (VAM) even before roots evolved. Mycorrhizal evolution would have progressed from endophytic hyphae towards balanced associations where partners were interdependent due to the exchange of limiting energy and nutrient resources. Most mycorrhizas are mutualistic, but in some cases the trend for increasing plant control of fungi culminates in the exploitative mycorrhizas of achlorophyllous, mycoheterotrophic plants. Ectomycorrhizal, ericoid and orchid mycorrhizas, as well as nonmycorrhizal roots, evolved during the period of rapid angiosperm radiation in the Cretaceous. It is hypothesised that roots gradually evolved from rhizomes to provide more suitable habitats for mycorrhizal fungi and provide plants with complex branching and leaves with water and nutrients. Selection pressures have caused the morphological divergence of roots with different types of mycorrizas. Root cortex thickness and exodermis suberization are greatest in obllgately mycorrhizal plants, while nonmycorrhizal plants tend to have fine roots, with more roots hairs and relatively advanced chemical defences. Major coevolutionary trends and the relative success of plants with different root types are discussed.","author":[{"dropping-particle":"","family":"Brundrett","given":"Mark C.","non-dropping-particle":"","parse-names":false,"suffix":""}],"container-title":"New Phytologist","id":"ITEM-3","issue":"2","issued":{"date-parts":[["2002"]]},"page":"275-304","title":"Coevolution of roots and mycorrhizas of land plants","type":"article-journal","volume":"154"},"uris":["http://www.mendeley.com/documents/?uuid=b8746c92-a8f8-418f-8495-221b99ed5b57"]},{"id":"ITEM-4","itemData":{"DOI":"10.1111/j.0269-8463.2004.00835.x","ISSN":"02698463","abstract":"1. There is limited understanding of patterns of variation that exist among root traits of different species, especially under field conditions. We contrasted 11 fast- and slow-growing species paired within five evolutionary lineages to investigate whether root traits associated with soil resource acquisition were related to species' potential growth rate. 2. Measurements of root morphology, architecture, nitrogen and phenolic concentration, respiration and phosphorus uptake were taken on fine, non-woody roots sampled from forest stands in central Pennsylvania, USA. 3. Across all five contrasts, roots of fast-growing species generally had higher specific root length, smaller diameters, greater degree of branching, and lower phenolic concentrations than those of slow-growing species. This suggests differences in potential soil exploration and root defences among species differing in potential growth rate. 4. There were no significant differences between fast- and slow-growing species in root tissue density, respiration or P uptake. Lack of root physiological differences between species differing in growth rate contrasted with previous research on chamber-grown seedlings. 5. These results imply that, while roots of fast-growing species may be constructed for more rapid soil exploration and shorter life span than those of slow-growing species, root physiology is either more closely tied to overall plant physiology, which is more similar among mature trees, or masked by variation in soil microsites, root age or interactions with mycorrhizal fungi.","author":[{"dropping-particle":"","family":"Comas","given":"L. H.","non-dropping-particle":"","parse-names":false,"suffix":""},{"dropping-particle":"","family":"Eissenstat","given":"D. M.","non-dropping-particle":"","parse-names":false,"suffix":""}],"container-title":"Functional Ecology","id":"ITEM-4","issued":{"date-parts":[["2004"]]},"page":"388-397","title":"Linking fine root traits to maximum potential growth rate among 11 mature temperate tree species","type":"article-journal","volume":"18"},"uris":["http://www.mendeley.com/documents/?uuid=d8224213-3d47-44ea-8da2-990b1175de5a"]},{"id":"ITEM-5","itemData":{"DOI":"10.1111/nph.14003","ISSN":"14698137","abstract":"Contents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phytologist","id":"ITEM-5","issue":"4","issued":{"date-parts":[["2016"]]},"page":"1159-1169","title":"Towards a multidimensional root trait framework: a tree root review","type":"article-journal","volume":"211"},"uris":["http://www.mendeley.com/documents/?uuid=d741bfb7-9707-4b75-9f0b-92e93dafa19e"]}],"mendeley":{"formattedCitation":"(Brundrett, 2002; Comas &amp; Eissenstat, 2004; Liu &lt;i&gt;et al.&lt;/i&gt;, 2015; Weemstra &lt;i&gt;et al.&lt;/i&gt;, 2016; Lugli &lt;i&gt;et al.&lt;/i&gt;, 2019)","manualFormatting":"(Brundrett, 2002; Comas &amp; Eissenstat, 2004; Liu et al., 2015a; Weemstra et al., 2016; Lugli et al., 2019; Cabugao et al., in review)","plainTextFormattedCitation":"(Brundrett, 2002; Comas &amp; Eissenstat, 2004; Liu et al., 2015; Weemstra et al., 2016; Lugli et al., 2019)","previouslyFormattedCitation":"(Brundrett, 2002; Comas &amp; Eissenstat, 2004; Liu &lt;i&gt;et al.&lt;/i&gt;, 2015; Weemstra &lt;i&gt;et al.&lt;/i&gt;, 2016; Lugli &lt;i&gt;et al.&lt;/i&gt;, 2019)"},"properties":{"noteIndex":0},"schema":"https://github.com/citation-style-language/schema/raw/master/csl-citation.json"}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(Brundrett, 2002; Comas &amp; Eissenstat, 2004; Liu </w:t>
      </w:r>
      <w:r w:rsidRPr="00872293">
        <w:rPr>
          <w:rFonts w:ascii="Times New Roman" w:hAnsi="Times New Roman"/>
          <w:i/>
          <w:noProof/>
        </w:rPr>
        <w:t>et al.</w:t>
      </w:r>
      <w:r w:rsidRPr="00872293">
        <w:rPr>
          <w:rFonts w:ascii="Times New Roman" w:hAnsi="Times New Roman"/>
          <w:noProof/>
        </w:rPr>
        <w:t xml:space="preserve">, 2015a; Weemstra </w:t>
      </w:r>
      <w:r w:rsidRPr="00872293">
        <w:rPr>
          <w:rFonts w:ascii="Times New Roman" w:hAnsi="Times New Roman"/>
          <w:i/>
          <w:noProof/>
        </w:rPr>
        <w:t>et al.</w:t>
      </w:r>
      <w:r w:rsidRPr="00872293">
        <w:rPr>
          <w:rFonts w:ascii="Times New Roman" w:hAnsi="Times New Roman"/>
          <w:noProof/>
        </w:rPr>
        <w:t xml:space="preserve">, 2016; Lugli </w:t>
      </w:r>
      <w:r w:rsidRPr="00872293">
        <w:rPr>
          <w:rFonts w:ascii="Times New Roman" w:hAnsi="Times New Roman"/>
          <w:i/>
          <w:noProof/>
        </w:rPr>
        <w:t>et al.</w:t>
      </w:r>
      <w:r w:rsidRPr="00872293">
        <w:rPr>
          <w:rFonts w:ascii="Times New Roman" w:hAnsi="Times New Roman"/>
          <w:noProof/>
        </w:rPr>
        <w:t xml:space="preserve">, 2019; Cabugao </w:t>
      </w:r>
      <w:r w:rsidRPr="00872293">
        <w:rPr>
          <w:rFonts w:ascii="Times New Roman" w:hAnsi="Times New Roman"/>
          <w:i/>
          <w:noProof/>
        </w:rPr>
        <w:t>et al.</w:t>
      </w:r>
      <w:r w:rsidRPr="00872293">
        <w:rPr>
          <w:rFonts w:ascii="Times New Roman" w:hAnsi="Times New Roman"/>
          <w:noProof/>
        </w:rPr>
        <w:t xml:space="preserve">, </w:t>
      </w:r>
      <w:r w:rsidRPr="00872293">
        <w:rPr>
          <w:rFonts w:ascii="Times New Roman" w:hAnsi="Times New Roman"/>
          <w:i/>
          <w:iCs/>
          <w:noProof/>
        </w:rPr>
        <w:t xml:space="preserve">in </w:t>
      </w:r>
      <w:r w:rsidR="00E8468B">
        <w:rPr>
          <w:rFonts w:ascii="Times New Roman" w:hAnsi="Times New Roman"/>
          <w:i/>
          <w:iCs/>
          <w:noProof/>
        </w:rPr>
        <w:t>press</w:t>
      </w:r>
      <w:r w:rsidRPr="00872293">
        <w:rPr>
          <w:rFonts w:ascii="Times New Roman" w:hAnsi="Times New Roman"/>
          <w:noProof/>
        </w:rPr>
        <w:t>)</w:t>
      </w:r>
      <w:r w:rsidRPr="00872293">
        <w:rPr>
          <w:rFonts w:ascii="Times New Roman" w:hAnsi="Times New Roman"/>
        </w:rPr>
        <w:fldChar w:fldCharType="end"/>
      </w:r>
      <w:r w:rsidRPr="00872293">
        <w:rPr>
          <w:rFonts w:ascii="Times New Roman" w:hAnsi="Times New Roman"/>
        </w:rPr>
        <w:t xml:space="preserve">, while </w:t>
      </w:r>
      <w:r w:rsidRPr="00872293">
        <w:rPr>
          <w:rFonts w:ascii="Times New Roman" w:hAnsi="Times New Roman"/>
        </w:rPr>
        <w:lastRenderedPageBreak/>
        <w:t xml:space="preserve">higher mycorrhizal colonization would be on the “outsourcing” end of the gradient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{"citationItems":[{"id":"ITEM-1","itemData":{"DOI":"10.1111/nph.14494","ISSN":"14698137","abstract":"We hypothesized that dinitrogen (N2)- and non-N2-fixing tropical trees would have distinct phosphorus (P) acquisition strategies allowing them to exploit different P sources, reducing competition. We measured root phosphatase activity and arbuscular mycorrhizal (AM) colonization among two N2- and two non-N2-fixing seedlings, and grew them alone and in competition with different inorganic and organic P forms to assess potential P partitioning. We found an inverse relationship between root phosphatase activity and AM colonization in field-collected seedlings, indicative of a trade-off in P acquisition strategies. This correlated with the predominantly exploited P sources in the seedling experiment: the N2 fixer with high N2 fixation and root phosphatase activity grew best on organic P, whereas the poor N2 fixer and the two non-N2 fixers with high AM colonization grew best on inorganic P. When grown in competition, however, AM colonization, root phosphatase activity and N2 fixation increased in the N2 fixers, allowing them to outcompete the non-N2 fixers regardless of P source. Our results indicate that some tropical trees have the capacity to partition soil P, but this does not eliminate interspecific competition. Rather, enhanced P and N acquisition strategies may increase the competitive ability of N2 fixers relative to non-N2 fixers.","author":[{"dropping-particle":"","family":"Nasto","given":"Megan K.","non-dropping-particle":"","parse-names":false,"suffix":""},{"dropping-particle":"","family":"Osborne","given":"Brooke B.","non-dropping-particle":"","parse-names":false,"suffix":""},{"dropping-particle":"","family":"Lekberg","given":"Ylva","non-dropping-particle":"","parse-names":false,"suffix":""},{"dropping-particle":"","family":"Asner","given":"Gregory P.","non-dropping-particle":"","parse-names":false,"suffix":""},{"dropping-particle":"","family":"Balzotti","given":"Christopher S.","non-dropping-particle":"","parse-names":false,"suffix":""},{"dropping-particle":"","family":"Porder","given":"Stephen","non-dropping-particle":"","parse-names":false,"suffix":""},{"dropping-particle":"","family":"Taylor","given":"Philip G.","non-dropping-particle":"","parse-names":false,"suffix":""},{"dropping-particle":"","family":"Townsend","given":"Alan R.","non-dropping-particle":"","parse-names":false,"suffix":""},{"dropping-particle":"","family":"Cleveland","given":"Cory C.","non-dropping-particle":"","parse-names":false,"suffix":""}],"container-title":"New Phytologist","id":"ITEM-1","issue":"4","issued":{"date-parts":[["2017"]]},"page":"1506-1517","title":"Nutrient acquisition, soil phosphorus partitioning and competition among trees in a lowland tropical rain forest","type":"article-journal","volume":"214"},"uris":["http://www.mendeley.com/documents/?uuid=fd87861e-a444-4343-8222-00089aa3ed27"]},{"id":"ITEM-2","itemData":{"DOI":"10.1890/0012-9658(2001)082[0946:EOSNAO]2.0.CO;2","ISSN":"00129658","abstract":"We determined the influence of nutrient availability on the mechanisms used by plants to acquire nitrogen and phosphorus from the soil. Extracellular acid phosphatase production, mycorrhizal colonization, and N and P uptake capacities were measured in control, N-, and P-fertilized forests in three sites that varied in nutrient status from N limited to relatively fertile to P limited. Nitrogen fertilization increased extracellular phosphatase activity in all sites. Phosphorus additions consistently reduced phosphatase activity, mycorrhizal colonization, and P uptake capacity across sites. Our results indicate that these plants efficiently allocate resources to nutrient acquisition as suggested by an economic model. Investment in acquisition of a nutrient was greatest when that nutrient was limiting to growth, and plants appeared to allocate excess N to construction of extracellular phosphatases to acquire P. This increase in phosphatase production with N fertilization implies that even P-limited systems might respond to N deposition with greater productivity.","author":[{"dropping-particle":"","family":"Treseder","given":"K. K.","non-dropping-particle":"","parse-names":false,"suffix":""},{"dropping-particle":"","family":"Vitousek","given":"P. M.","non-dropping-particle":"","parse-names":false,"suffix":""}],"container-title":"Ecology","id":"ITEM-2","issue":"4","issued":{"date-parts":[["2001"]]},"page":"946-954","title":"Effects of soil nutrient availability on investment in acquisition of N and P in Hawaiian rain forests","type":"article-journal","volume":"82"},"uris":["http://www.mendeley.com/documents/?uuid=01c793f5-37ef-4942-b1ca-a9164a08a144"]}],"mendeley":{"formattedCitation":"(Treseder &amp; Vitousek, 2001; Nasto &lt;i&gt;et al.&lt;/i&gt;, 2017)","manualFormatting":"(Treseder &amp; Vitousek, 2001; Nasto et al., 2017","plainTextFormattedCitation":"(Treseder &amp; Vitousek, 2001; Nasto et al., 2017)","previouslyFormattedCitation":"(Treseder &amp; Vitousek, 2001; Nasto &lt;i&gt;et al.&lt;/i&gt;, 2017)"},"properties":{"noteIndex":0},"schema":"https://github.com/citation-style-language/schema/raw/master/csl-citation.json"}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(Treseder &amp; Vitousek, 2001; Nasto </w:t>
      </w:r>
      <w:r w:rsidRPr="00872293">
        <w:rPr>
          <w:rFonts w:ascii="Times New Roman" w:hAnsi="Times New Roman"/>
          <w:i/>
          <w:noProof/>
        </w:rPr>
        <w:t>et al.</w:t>
      </w:r>
      <w:r w:rsidRPr="00872293">
        <w:rPr>
          <w:rFonts w:ascii="Times New Roman" w:hAnsi="Times New Roman"/>
          <w:noProof/>
        </w:rPr>
        <w:t>, 2017</w:t>
      </w:r>
      <w:r w:rsidRPr="00872293">
        <w:rPr>
          <w:rFonts w:ascii="Times New Roman" w:hAnsi="Times New Roman"/>
        </w:rPr>
        <w:fldChar w:fldCharType="end"/>
      </w:r>
      <w:r w:rsidRPr="00872293">
        <w:rPr>
          <w:rFonts w:ascii="Times New Roman" w:hAnsi="Times New Roman"/>
        </w:rPr>
        <w:t xml:space="preserve">; </w:t>
      </w:r>
      <w:bookmarkEnd w:id="127"/>
      <w:r w:rsidRPr="00872293">
        <w:rPr>
          <w:rFonts w:ascii="Times New Roman" w:hAnsi="Times New Roman"/>
        </w:rPr>
        <w:fldChar w:fldCharType="begin" w:fldLock="1"/>
      </w:r>
      <w:r w:rsidRPr="00872293">
        <w:rPr>
          <w:rFonts w:ascii="Times New Roman" w:hAnsi="Times New Roman"/>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plants","type":"article-journal","volume":"6"},"uris":["http://www.mendeley.com/documents/?uuid=32db0a51-ef0e-4152-943b-b2fefc84c374"]}],"mendeley":{"formattedCitation":"(Bergmann &lt;i&gt;et al.&lt;/i&gt;, 2020)","manualFormatting":"Bergmann et al., 2020; Fig. 1)","plainTextFormattedCitation":"(Bergmann et al., 2020)","previouslyFormattedCitation":"(Bergmann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Bergmann </w:t>
      </w:r>
      <w:r w:rsidRPr="00872293">
        <w:rPr>
          <w:rFonts w:ascii="Times New Roman" w:hAnsi="Times New Roman"/>
          <w:i/>
          <w:noProof/>
        </w:rPr>
        <w:t>et al.</w:t>
      </w:r>
      <w:r w:rsidRPr="00872293">
        <w:rPr>
          <w:rFonts w:ascii="Times New Roman" w:hAnsi="Times New Roman"/>
          <w:noProof/>
        </w:rPr>
        <w:t>, 2020; Fig. 1)</w:t>
      </w:r>
      <w:r w:rsidRPr="00872293">
        <w:rPr>
          <w:rFonts w:ascii="Times New Roman" w:hAnsi="Times New Roman"/>
        </w:rPr>
        <w:fldChar w:fldCharType="end"/>
      </w:r>
      <w:r w:rsidRPr="00872293">
        <w:rPr>
          <w:rFonts w:ascii="Times New Roman" w:hAnsi="Times New Roman"/>
        </w:rPr>
        <w:t xml:space="preserve">. Further, we hypothesized that the hurricane disturbance would change root branching ratio, root PME, and mycorrhizal colonization due </w:t>
      </w:r>
      <w:r w:rsidR="007B367B" w:rsidRPr="00872293">
        <w:rPr>
          <w:rFonts w:ascii="Times New Roman" w:hAnsi="Times New Roman"/>
        </w:rPr>
        <w:t>some environmental changes</w:t>
      </w:r>
      <w:r w:rsidRPr="00872293">
        <w:rPr>
          <w:rFonts w:ascii="Times New Roman" w:hAnsi="Times New Roman"/>
        </w:rPr>
        <w:t xml:space="preserve">, including changes in soil P concentration. </w:t>
      </w:r>
    </w:p>
    <w:p w14:paraId="2A097E1A" w14:textId="77777777" w:rsidR="00D26D27" w:rsidRPr="00872293" w:rsidRDefault="00D26D27" w:rsidP="00A20952">
      <w:pPr>
        <w:autoSpaceDE w:val="0"/>
        <w:autoSpaceDN w:val="0"/>
        <w:adjustRightInd w:val="0"/>
        <w:spacing w:line="360" w:lineRule="auto"/>
        <w:rPr>
          <w:rFonts w:ascii="Times New Roman" w:hAnsi="Times New Roman"/>
        </w:rPr>
      </w:pPr>
    </w:p>
    <w:p w14:paraId="0AB6045E" w14:textId="77777777" w:rsidR="00A20952" w:rsidRPr="00872293" w:rsidRDefault="00A20952" w:rsidP="00DE08AB">
      <w:pPr>
        <w:pStyle w:val="Heading2"/>
        <w:spacing w:before="0" w:after="0" w:line="360" w:lineRule="auto"/>
        <w:rPr>
          <w:rFonts w:cs="Times New Roman"/>
        </w:rPr>
      </w:pPr>
      <w:bookmarkStart w:id="128" w:name="_Toc53689096"/>
      <w:r w:rsidRPr="00872293">
        <w:rPr>
          <w:rFonts w:cs="Times New Roman"/>
        </w:rPr>
        <w:t>Methods</w:t>
      </w:r>
      <w:bookmarkEnd w:id="128"/>
    </w:p>
    <w:p w14:paraId="03D24831" w14:textId="77777777" w:rsidR="00A20952" w:rsidRPr="00872293" w:rsidRDefault="00A20952" w:rsidP="00DE08AB">
      <w:pPr>
        <w:pStyle w:val="Heading3"/>
        <w:spacing w:before="0" w:after="0" w:line="360" w:lineRule="auto"/>
        <w:rPr>
          <w:rFonts w:cs="Times New Roman"/>
        </w:rPr>
      </w:pPr>
      <w:bookmarkStart w:id="129" w:name="_Toc53689097"/>
      <w:r w:rsidRPr="00872293">
        <w:rPr>
          <w:rFonts w:cs="Times New Roman"/>
        </w:rPr>
        <w:t>Study site</w:t>
      </w:r>
      <w:bookmarkEnd w:id="129"/>
      <w:r w:rsidRPr="00872293">
        <w:rPr>
          <w:rFonts w:cs="Times New Roman"/>
        </w:rPr>
        <w:t xml:space="preserve"> </w:t>
      </w:r>
    </w:p>
    <w:p w14:paraId="5984ECC6" w14:textId="48DC5A4C" w:rsidR="00617657" w:rsidRPr="00872293" w:rsidRDefault="00617657" w:rsidP="00DE08AB">
      <w:pPr>
        <w:spacing w:before="240" w:line="360" w:lineRule="auto"/>
        <w:rPr>
          <w:rFonts w:ascii="Times New Roman" w:hAnsi="Times New Roman"/>
        </w:rPr>
      </w:pPr>
      <w:r w:rsidRPr="00872293">
        <w:rPr>
          <w:rFonts w:ascii="Times New Roman" w:hAnsi="Times New Roman"/>
        </w:rPr>
        <w:t>Our three forests sites were located at the Luquillo Experimental Forest</w:t>
      </w:r>
      <w:r w:rsidR="00B94F44" w:rsidRPr="00872293">
        <w:rPr>
          <w:rFonts w:ascii="Times New Roman" w:hAnsi="Times New Roman"/>
        </w:rPr>
        <w:t xml:space="preserve"> (LEF)</w:t>
      </w:r>
      <w:r w:rsidRPr="00872293">
        <w:rPr>
          <w:rFonts w:ascii="Times New Roman" w:hAnsi="Times New Roman"/>
        </w:rPr>
        <w:t xml:space="preserve"> in the northeast of Puerto Rico </w:t>
      </w:r>
      <w:r w:rsidRPr="00872293">
        <w:rPr>
          <w:rFonts w:ascii="Times New Roman" w:eastAsiaTheme="minorHAnsi" w:hAnsi="Times New Roman"/>
        </w:rPr>
        <w:t>(18°18' N; 65</w:t>
      </w:r>
      <w:r w:rsidR="008D4AB4" w:rsidRPr="00872293">
        <w:rPr>
          <w:rFonts w:ascii="Times New Roman" w:eastAsiaTheme="minorHAnsi" w:hAnsi="Times New Roman"/>
        </w:rPr>
        <w:t>°</w:t>
      </w:r>
      <w:r w:rsidRPr="00872293">
        <w:rPr>
          <w:rFonts w:ascii="Times New Roman" w:eastAsiaTheme="minorHAnsi" w:hAnsi="Times New Roman"/>
        </w:rPr>
        <w:t>49’W). The LEF ranges in elevation from</w:t>
      </w:r>
      <w:r w:rsidRPr="00872293">
        <w:rPr>
          <w:rFonts w:ascii="Times New Roman" w:hAnsi="Times New Roman"/>
        </w:rPr>
        <w:t xml:space="preserve"> </w:t>
      </w:r>
      <w:r w:rsidRPr="00872293">
        <w:rPr>
          <w:rFonts w:ascii="Times New Roman" w:eastAsiaTheme="minorHAnsi" w:hAnsi="Times New Roman"/>
        </w:rPr>
        <w:t xml:space="preserve">150 to 400 m asl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{"citationItems":[{"id":"ITEM-1","itemData":{"DOI":"10.3390/f7110264","ISSN":"19994907","abstract":"Decaying coarse woody debris can affect the underlying soil either by augmenting nutrients that can be exploited by tree roots, or by diminishing nutrient availability through stimulation of microbial nutrient immobilization. We analyzed C, N, microbial biomass C and root length in closely paired soil samples taken under versus 20-50 cm away from large trunks of two species felled by Hugo (1989) and Georges (1998) three times during wet and dry seasons over the two years following the study conducted by Georges. Soil microbial biomass, % C and % N were significantly higher under than away from logs felled by both hurricanes (i.e., 1989 and 1998), at all sampling times and at both depths (0-10 and 10-20 cm). Frass from wood boring beetles may contribute to early effects. Root length was greater away from logs during the dry season, and under logs in the wet season. Root length was correlated with microbial biomass C, soil N and soil moisture (R = 0.36, 0.18, and 0.27, respectively; all p values &lt; 0.05). Microbial biomass C varied significantly among seasons but differences between positions (under vs. away) were only suggestive. Microbial C was correlated with soil N (R = 0.35). Surface soil on the upslope side of the logs had significantly more N and microbial biomass, likely from accumulation of leaf litter above the logs on steep slopes. We conclude that decaying wood can provide ephemeral resources that are exploited by tree roots during some seasons.","author":[{"dropping-particle":"","family":"Lodge","given":"D. Jean","non-dropping-particle":"","parse-names":false,"suffix":""},{"dropping-particle":"","family":"Winter","given":"Dirk","non-dropping-particle":"","parse-names":false,"suffix":""},{"dropping-particle":"","family":"González","given":"Grizelle","non-dropping-particle":"","parse-names":false,"suffix":""},{"dropping-particle":"","family":"Clum","given":"Naomi","non-dropping-particle":"","parse-names":false,"suffix":""}],"container-title":"Forests","id":"ITEM-1","issue":"11","issued":{"date-parts":[["2016"]]},"page":"264","title":"Effects of hurricane-felled tree trunks on soil carbon, nitrogen, microbial biomass, and root length in a wet tropical forest","type":"article-journal","volume":"7"},"uris":["http://www.mendeley.com/documents/?uuid=a2946479-c971-4ad8-8868-c5a0c55703e0"]}],"mendeley":{"formattedCitation":"(Lodge &lt;i&gt;et al.&lt;/i&gt;, 2016)","plainTextFormattedCitation":"(Lodge et al., 2016)","previouslyFormattedCitation":"(Lodge &lt;i&gt;et al.&lt;/i&gt;, 2016)"},"properties":{"noteIndex":0},"schema":"https://github.com/citation-style-language/schema/raw/master/csl-citation.json"}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(Lodge </w:t>
      </w:r>
      <w:r w:rsidRPr="00872293">
        <w:rPr>
          <w:rFonts w:ascii="Times New Roman" w:eastAsiaTheme="minorHAnsi" w:hAnsi="Times New Roman"/>
          <w:i/>
          <w:noProof/>
        </w:rPr>
        <w:t>et al.</w:t>
      </w:r>
      <w:r w:rsidRPr="00872293">
        <w:rPr>
          <w:rFonts w:ascii="Times New Roman" w:eastAsiaTheme="minorHAnsi" w:hAnsi="Times New Roman"/>
          <w:noProof/>
        </w:rPr>
        <w:t>, 2016)</w:t>
      </w:r>
      <w:r w:rsidRPr="00872293">
        <w:rPr>
          <w:rFonts w:ascii="Times New Roman" w:eastAsiaTheme="minorHAnsi" w:hAnsi="Times New Roman"/>
        </w:rPr>
        <w:fldChar w:fldCharType="end"/>
      </w:r>
      <w:r w:rsidRPr="00872293">
        <w:rPr>
          <w:rFonts w:ascii="Times New Roman" w:hAnsi="Times New Roman"/>
        </w:rPr>
        <w:t xml:space="preserve">. </w:t>
      </w:r>
      <w:r w:rsidRPr="00872293">
        <w:rPr>
          <w:rFonts w:ascii="Times New Roman" w:eastAsiaTheme="minorHAnsi" w:hAnsi="Times New Roman"/>
        </w:rPr>
        <w:t xml:space="preserve">The mean annual rainfall is 3500 mm, and the mean </w:t>
      </w:r>
      <w:r w:rsidR="00B94F44" w:rsidRPr="00872293">
        <w:rPr>
          <w:rFonts w:ascii="Times New Roman" w:eastAsiaTheme="minorHAnsi" w:hAnsi="Times New Roman"/>
        </w:rPr>
        <w:t xml:space="preserve">annual </w:t>
      </w:r>
      <w:r w:rsidRPr="00872293">
        <w:rPr>
          <w:rFonts w:ascii="Times New Roman" w:eastAsiaTheme="minorHAnsi" w:hAnsi="Times New Roman"/>
        </w:rPr>
        <w:t>temperature is 24</w:t>
      </w:r>
      <w:r w:rsidRPr="00872293">
        <w:rPr>
          <w:rFonts w:ascii="Times New Roman" w:eastAsiaTheme="minorHAnsi" w:hAnsi="Times New Roman"/>
          <w:vertAlign w:val="superscript"/>
        </w:rPr>
        <w:t>o</w:t>
      </w:r>
      <w:r w:rsidRPr="00872293">
        <w:rPr>
          <w:rFonts w:ascii="Times New Roman" w:eastAsiaTheme="minorHAnsi" w:hAnsi="Times New Roman"/>
        </w:rPr>
        <w:t xml:space="preserve">C. </w:t>
      </w:r>
      <w:r w:rsidRPr="00872293">
        <w:rPr>
          <w:rFonts w:ascii="Times New Roman" w:hAnsi="Times New Roman"/>
        </w:rPr>
        <w:t xml:space="preserve">Two of the studied sites (EVS and EV1) occur at El Verde, at around 550 m asl. El Verde soils are </w:t>
      </w:r>
      <w:proofErr w:type="spellStart"/>
      <w:r w:rsidRPr="00872293">
        <w:rPr>
          <w:rFonts w:ascii="Times New Roman" w:hAnsi="Times New Roman"/>
        </w:rPr>
        <w:t>Oxisols</w:t>
      </w:r>
      <w:proofErr w:type="spellEnd"/>
      <w:r w:rsidRPr="00872293">
        <w:rPr>
          <w:rFonts w:ascii="Times New Roman" w:hAnsi="Times New Roman"/>
        </w:rPr>
        <w:t xml:space="preserve">, with lower-Cretaceous volcaniclastic parent material </w:t>
      </w:r>
      <w:r w:rsidRPr="00872293">
        <w:rPr>
          <w:rFonts w:ascii="Times New Roman" w:hAnsi="Times New Roman"/>
        </w:rPr>
        <w:fldChar w:fldCharType="begin" w:fldLock="1"/>
      </w:r>
      <w:r w:rsidRPr="00872293">
        <w:rPr>
          <w:rFonts w:ascii="Times New Roman" w:hAnsi="Times New Roman"/>
        </w:rPr>
        <w:instrText>ADDIN CSL_CITATION {"citationItems":[{"id":"ITEM-1","itemData":{"DOI":"10.1016/j.soilbio.2014.04.017","ISBN":"0038-0717","ISSN":"00380717","abstract":"Extracellular enzymes in soils mediate the decomposition of organic matter and catalyze key transformations in carbon, nitrogen and phosphorus cycling. However, most studies of extracellular enzyme activity have focused exclusively on relatively carbon and nutrient-rich surface soils. In tropical forests, several centimeters of nutrient-rich surface soil can overlay meters of resource-poor subsoil, of which the microbial ecology is poorly characterized. The goal of this study was to determine how extracellular enzyme activity changes as a function of depth across two soil orders (Oxisols and Inceptisols) and two forest types that occur at different elevations (Tabonuco, lower elevation; Colorado, higher elevation) at the Luquillo Critical Zone Observatory in northeast Puerto Rico. We excavated three soil pits to 140cm at four different sites representing the four soil??forest combinations, and measured potential activities of four carbon-acquiring enzymes (??-glucosidase, ??-glucosidase, ??-xylosidase, cellobiohydrolase), one nitrogen-acquiring enzyme (N-acetyl glucosaminidase) and one organic phosphorus-acquiring enzyme (acid phosphatase) at six discrete depth intervals. We used phospholipid fatty acid (PLFA) analysis to assess viable microbial biomass and community structure. Overall, microbial biomass, specific enzyme activities and community structure were similar across the two soil and forest types, in spite of higher carbon concentrations and C:N ratios in the Colorado forest soil. Soil nutrients, microbial biomass and potential enzyme activities all declined exponentially with depth. However, when normalized to microbial biomass, specific enzyme activities either did not change with depth (??-glucosidase, ??-xylosidase, cellobiohydrolase and N-acetyl glucosaminidase) or increased significantly with depth (??-glucosidase and acid phosphatase, P&lt;0.05). Principal components analysis of PLFA biomarkers revealed shifts in community structure with depth (P&lt;0.01), driven largely by a decline in fungal:bacterial ratios, an increase in gram positive and actinobacteria biomarkers, and a decrease in gram negative biomarkers. Shifts in community structure, upregulation of enzyme production in response to resource scarcity and decreased enzyme turnover rates may all contribute to high specific enzyme activities in subsoils. Our study indicates that low-carbon tropical subsoils contain small but metabolically active microbial communities, and that specific en…","author":[{"dropping-particle":"","family":"Stone","given":"M. M.","non-dropping-particle":"","parse-names":false,"suffix":""},{"dropping-particle":"","family":"DeForest","given":"J. L.","non-dropping-particle":"","parse-names":false,"suffix":""},{"dropping-particle":"","family":"Plante","given":"A. F.","non-dropping-particle":"","parse-names":false,"suffix":""}],"container-title":"Soil Biology and Biochemistry","id":"ITEM-1","issued":{"date-parts":[["2014"]]},"page":"237-247","publisher":"Elsevier Ltd","title":"Changes in extracellular enzyme activity and microbial community structure with soil depth at the Luquillo Critical Zone Observatory","type":"article-journal","volume":"75"},"uris":["http://www.mendeley.com/documents/?uuid=c044a1f9-ca3a-4a46-823c-3c8e3e44a2a7"]}],"mendeley":{"formattedCitation":"(Stone &lt;i&gt;et al.&lt;/i&gt;, 2014)","plainTextFormattedCitation":"(Stone et al., 2014)","previouslyFormattedCitation":"(Stone &lt;i&gt;et al.&lt;/i&gt;, 2014)"},"properties":{"noteIndex":0},"schema":"https://github.com/citation-style-language/schema/raw/master/csl-citation.json"}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(Stone </w:t>
      </w:r>
      <w:r w:rsidRPr="00872293">
        <w:rPr>
          <w:rFonts w:ascii="Times New Roman" w:hAnsi="Times New Roman"/>
          <w:i/>
          <w:noProof/>
        </w:rPr>
        <w:t>et al.</w:t>
      </w:r>
      <w:r w:rsidRPr="00872293">
        <w:rPr>
          <w:rFonts w:ascii="Times New Roman" w:hAnsi="Times New Roman"/>
          <w:noProof/>
        </w:rPr>
        <w:t>, 2014)</w:t>
      </w:r>
      <w:r w:rsidRPr="00872293">
        <w:rPr>
          <w:rFonts w:ascii="Times New Roman" w:hAnsi="Times New Roman"/>
        </w:rPr>
        <w:fldChar w:fldCharType="end"/>
      </w:r>
      <w:r w:rsidRPr="00872293">
        <w:rPr>
          <w:rFonts w:ascii="Times New Roman" w:hAnsi="Times New Roman"/>
        </w:rPr>
        <w:t xml:space="preserve">. The most common species of EVS is </w:t>
      </w:r>
      <w:proofErr w:type="spellStart"/>
      <w:r w:rsidRPr="00872293">
        <w:rPr>
          <w:rFonts w:ascii="Times New Roman" w:hAnsi="Times New Roman"/>
          <w:i/>
          <w:iCs/>
        </w:rPr>
        <w:t>Dacryodes</w:t>
      </w:r>
      <w:proofErr w:type="spellEnd"/>
      <w:r w:rsidRPr="00872293">
        <w:rPr>
          <w:rFonts w:ascii="Times New Roman" w:hAnsi="Times New Roman"/>
          <w:i/>
          <w:iCs/>
        </w:rPr>
        <w:t xml:space="preserve"> </w:t>
      </w:r>
      <w:proofErr w:type="spellStart"/>
      <w:r w:rsidRPr="00872293">
        <w:rPr>
          <w:rFonts w:ascii="Times New Roman" w:hAnsi="Times New Roman"/>
          <w:i/>
          <w:iCs/>
        </w:rPr>
        <w:t>excelsa</w:t>
      </w:r>
      <w:proofErr w:type="spellEnd"/>
      <w:r w:rsidRPr="00872293">
        <w:rPr>
          <w:rFonts w:ascii="Times New Roman" w:hAnsi="Times New Roman"/>
        </w:rPr>
        <w:t xml:space="preserve"> (Brown </w:t>
      </w:r>
      <w:r w:rsidRPr="00872293">
        <w:rPr>
          <w:rFonts w:ascii="Times New Roman" w:hAnsi="Times New Roman"/>
          <w:i/>
          <w:iCs/>
        </w:rPr>
        <w:t>et al.,</w:t>
      </w:r>
      <w:r w:rsidRPr="00872293">
        <w:rPr>
          <w:rFonts w:ascii="Times New Roman" w:hAnsi="Times New Roman"/>
        </w:rPr>
        <w:t xml:space="preserve"> 1983; Stone </w:t>
      </w:r>
      <w:r w:rsidRPr="00872293">
        <w:rPr>
          <w:rFonts w:ascii="Times New Roman" w:hAnsi="Times New Roman"/>
          <w:i/>
          <w:iCs/>
        </w:rPr>
        <w:t>et al.,</w:t>
      </w:r>
      <w:r w:rsidRPr="00872293">
        <w:rPr>
          <w:rFonts w:ascii="Times New Roman" w:hAnsi="Times New Roman"/>
        </w:rPr>
        <w:t xml:space="preserve"> 2014); whereas the most common species of EV1 is</w:t>
      </w:r>
      <w:r w:rsidRPr="00872293">
        <w:rPr>
          <w:rFonts w:ascii="Times New Roman" w:hAnsi="Times New Roman"/>
          <w:i/>
          <w:iCs/>
        </w:rPr>
        <w:t xml:space="preserve"> </w:t>
      </w:r>
      <w:proofErr w:type="spellStart"/>
      <w:r w:rsidRPr="00872293">
        <w:rPr>
          <w:rFonts w:ascii="Times New Roman" w:hAnsi="Times New Roman"/>
          <w:i/>
          <w:iCs/>
        </w:rPr>
        <w:t>Prestoea</w:t>
      </w:r>
      <w:proofErr w:type="spellEnd"/>
      <w:r w:rsidRPr="00872293">
        <w:rPr>
          <w:rFonts w:ascii="Times New Roman" w:hAnsi="Times New Roman"/>
          <w:i/>
          <w:iCs/>
        </w:rPr>
        <w:t xml:space="preserve"> </w:t>
      </w:r>
      <w:proofErr w:type="spellStart"/>
      <w:r w:rsidRPr="00872293">
        <w:rPr>
          <w:rFonts w:ascii="Times New Roman" w:hAnsi="Times New Roman"/>
          <w:i/>
          <w:iCs/>
        </w:rPr>
        <w:t>montana</w:t>
      </w:r>
      <w:proofErr w:type="spellEnd"/>
      <w:r w:rsidRPr="00872293">
        <w:rPr>
          <w:rFonts w:ascii="Times New Roman" w:hAnsi="Times New Roman"/>
        </w:rPr>
        <w:t xml:space="preserve"> (</w:t>
      </w:r>
      <w:proofErr w:type="spellStart"/>
      <w:r w:rsidRPr="00872293">
        <w:rPr>
          <w:rFonts w:ascii="Times New Roman" w:hAnsi="Times New Roman"/>
        </w:rPr>
        <w:t>Uriarte</w:t>
      </w:r>
      <w:proofErr w:type="spellEnd"/>
      <w:r w:rsidRPr="00872293">
        <w:rPr>
          <w:rFonts w:ascii="Times New Roman" w:hAnsi="Times New Roman"/>
        </w:rPr>
        <w:t xml:space="preserve"> &amp; Zimmerman, 2016; </w:t>
      </w:r>
      <w:proofErr w:type="spellStart"/>
      <w:r w:rsidRPr="00872293">
        <w:rPr>
          <w:rFonts w:ascii="Times New Roman" w:hAnsi="Times New Roman"/>
        </w:rPr>
        <w:t>Picón</w:t>
      </w:r>
      <w:proofErr w:type="spellEnd"/>
      <w:r w:rsidRPr="00872293">
        <w:rPr>
          <w:rFonts w:ascii="Times New Roman" w:hAnsi="Times New Roman"/>
        </w:rPr>
        <w:t xml:space="preserve"> Ruiz, 2019). The difference between the two El Verde sites is the forest age. EV1 is a secondary forest of 62&lt;76 years old and EVS is a mature forest of ~100 years old (</w:t>
      </w:r>
      <w:proofErr w:type="spellStart"/>
      <w:r w:rsidRPr="00872293">
        <w:rPr>
          <w:rFonts w:ascii="Times New Roman" w:hAnsi="Times New Roman"/>
        </w:rPr>
        <w:t>Uriarte</w:t>
      </w:r>
      <w:proofErr w:type="spellEnd"/>
      <w:r w:rsidRPr="00872293">
        <w:rPr>
          <w:rFonts w:ascii="Times New Roman" w:hAnsi="Times New Roman"/>
        </w:rPr>
        <w:t xml:space="preserve"> &amp; Zimmerman, 2016). The </w:t>
      </w:r>
      <w:proofErr w:type="spellStart"/>
      <w:r w:rsidRPr="00872293">
        <w:rPr>
          <w:rFonts w:ascii="Times New Roman" w:hAnsi="Times New Roman"/>
        </w:rPr>
        <w:t>Sabana</w:t>
      </w:r>
      <w:proofErr w:type="spellEnd"/>
      <w:r w:rsidRPr="00872293">
        <w:rPr>
          <w:rFonts w:ascii="Times New Roman" w:hAnsi="Times New Roman"/>
        </w:rPr>
        <w:t xml:space="preserve"> site (SB2) is </w:t>
      </w:r>
      <w:r w:rsidRPr="00872293">
        <w:rPr>
          <w:rFonts w:ascii="Times New Roman" w:eastAsia="Times New Roman" w:hAnsi="Times New Roman"/>
        </w:rPr>
        <w:t xml:space="preserve">in a secondary forest of 35&lt;62 years old trees with an elevation of </w:t>
      </w:r>
      <w:r w:rsidRPr="00872293">
        <w:rPr>
          <w:rFonts w:ascii="Times New Roman" w:hAnsi="Times New Roman"/>
        </w:rPr>
        <w:t xml:space="preserve">approximately 150 m asl. Soils at </w:t>
      </w:r>
      <w:proofErr w:type="spellStart"/>
      <w:r w:rsidRPr="00872293">
        <w:rPr>
          <w:rFonts w:ascii="Times New Roman" w:hAnsi="Times New Roman"/>
        </w:rPr>
        <w:t>Sabana</w:t>
      </w:r>
      <w:proofErr w:type="spellEnd"/>
      <w:r w:rsidRPr="00872293">
        <w:rPr>
          <w:rFonts w:ascii="Times New Roman" w:hAnsi="Times New Roman"/>
        </w:rPr>
        <w:t xml:space="preserve"> sites are</w:t>
      </w:r>
      <w:r w:rsidRPr="00872293">
        <w:rPr>
          <w:rFonts w:ascii="Times New Roman" w:eastAsia="Times New Roman" w:hAnsi="Times New Roman"/>
        </w:rPr>
        <w:t xml:space="preserve"> </w:t>
      </w:r>
      <w:proofErr w:type="spellStart"/>
      <w:r w:rsidRPr="00872293">
        <w:rPr>
          <w:rFonts w:ascii="Times New Roman" w:eastAsia="Times New Roman" w:hAnsi="Times New Roman"/>
        </w:rPr>
        <w:t>Ultisols</w:t>
      </w:r>
      <w:proofErr w:type="spellEnd"/>
      <w:r w:rsidRPr="00872293">
        <w:rPr>
          <w:rFonts w:ascii="Times New Roman" w:eastAsia="Times New Roman" w:hAnsi="Times New Roman"/>
        </w:rPr>
        <w:t xml:space="preserve">, clay-rich, and high in aluminum and iron content, also with </w:t>
      </w:r>
      <w:r w:rsidRPr="00872293">
        <w:rPr>
          <w:rFonts w:ascii="Times New Roman" w:hAnsi="Times New Roman"/>
        </w:rPr>
        <w:t>lower-Cretaceous volcaniclastic parent material</w:t>
      </w:r>
      <w:r w:rsidRPr="00872293">
        <w:rPr>
          <w:rFonts w:ascii="Times New Roman" w:eastAsia="Times New Roman" w:hAnsi="Times New Roman"/>
        </w:rPr>
        <w:t xml:space="preserve"> </w:t>
      </w:r>
      <w:r w:rsidRPr="00872293">
        <w:rPr>
          <w:rFonts w:ascii="Times New Roman" w:eastAsia="Times New Roman" w:hAnsi="Times New Roman"/>
        </w:rPr>
        <w:fldChar w:fldCharType="begin" w:fldLock="1"/>
      </w:r>
      <w:r w:rsidRPr="00872293">
        <w:rPr>
          <w:rFonts w:ascii="Times New Roman" w:eastAsia="Times New Roman" w:hAnsi="Times New Roman"/>
        </w:rPr>
        <w:instrText>ADDIN CSL_CITATION {"citationItems":[{"id":"ITEM-1","itemData":{"abstract":"This paper summerizes the physiographic setting and historical uses of the Bisley experimental watersheds. These watersheds are the site of long-term watershed studies in the Luquillo Experimental Forest of Puerto Rico. Each of these watersheds drains deep, clayey soils that overlie a highly dissected terrain underlain by volcanoclastic sandstones. The drainages are covered by secundary Tabonuco type forets and recieve about 3,500 mm/yr of rainfall. Since European settlement, about 490 year ago, the study area has been explored for precious ores, cultivated and selectively logged. The major obstacle to the exploration of the resources of the watersheds has been inaccessibility. High rainfall, steeply sloping terrain, and slippery clay soils combine to make transportation in the area real difficult. The most rapid change to the Bisley landscape occured at the end of the 19th century and the beginning of the 20th century. During this time, local agricultural activity was at a maximum, timber was being exported from the region, and copper mines wre active in thr Rio Blanco area. In addition to human activity, major hurricanes occurred in 1892 and 1932. Human-induced disturbance in the watersheds has been selective in both space and time. The pattern of disturbance is contrary to that described in other temperate and tropical forests. Antropogenic disturbance in these watersheds has apparently increased the spatial hetrogenity of the forest. The success of both natural and induced regeneration in the area suggests that the impact of human disturbance was greater on forest structure than its long-term productivity. NOTES\\ - Landslide in LEF associated with metamorphic contact zone.\\ -","author":[{"dropping-particle":"","family":"Scatena","given":"F N","non-dropping-particle":"","parse-names":false,"suffix":""}],"container-title":"Forest Service- Southern Forest Experiment Station; General Technical Report SO-72","id":"ITEM-1","issued":{"date-parts":[["1989"]]},"page":"22","title":"An Introduction to the Physiography and History of the Bisley Experimental Watersheds in the Luquillo Mountains of Puerto Rico","type":"article-journal","volume":"72"},"uris":["http://www.mendeley.com/documents/?uuid=fe29dec6-1cd6-40ab-ae4f-fd681315211f"]}],"mendeley":{"formattedCitation":"(Scatena, 1989)","manualFormatting":"(Scatena, 1989; ","plainTextFormattedCitation":"(Scatena, 1989)","previouslyFormattedCitation":"(Scatena, 1989)"},"properties":{"noteIndex":0},"schema":"https://github.com/citation-style-language/schema/raw/master/csl-citation.json"}</w:instrText>
      </w:r>
      <w:r w:rsidRPr="00872293">
        <w:rPr>
          <w:rFonts w:ascii="Times New Roman" w:eastAsia="Times New Roman" w:hAnsi="Times New Roman"/>
        </w:rPr>
        <w:fldChar w:fldCharType="separate"/>
      </w:r>
      <w:r w:rsidRPr="00872293">
        <w:rPr>
          <w:rFonts w:ascii="Times New Roman" w:eastAsia="Times New Roman" w:hAnsi="Times New Roman"/>
          <w:noProof/>
        </w:rPr>
        <w:t xml:space="preserve">(Scatena, 1989; </w:t>
      </w:r>
      <w:r w:rsidRPr="00872293">
        <w:rPr>
          <w:rFonts w:ascii="Times New Roman" w:eastAsia="Times New Roman" w:hAnsi="Times New Roman"/>
        </w:rPr>
        <w:fldChar w:fldCharType="end"/>
      </w:r>
      <w:r w:rsidRPr="00872293">
        <w:rPr>
          <w:rFonts w:ascii="Times New Roman" w:eastAsia="Times New Roman" w:hAnsi="Times New Roman"/>
        </w:rPr>
        <w:t xml:space="preserve">Brown </w:t>
      </w:r>
      <w:r w:rsidRPr="00872293">
        <w:rPr>
          <w:rFonts w:ascii="Times New Roman" w:eastAsia="Times New Roman" w:hAnsi="Times New Roman"/>
          <w:i/>
          <w:iCs/>
        </w:rPr>
        <w:t>et al.</w:t>
      </w:r>
      <w:r w:rsidRPr="00872293">
        <w:rPr>
          <w:rFonts w:ascii="Times New Roman" w:eastAsia="Times New Roman" w:hAnsi="Times New Roman"/>
        </w:rPr>
        <w:t xml:space="preserve">, 1983). </w:t>
      </w:r>
      <w:r w:rsidRPr="00872293">
        <w:rPr>
          <w:rFonts w:ascii="Times New Roman" w:hAnsi="Times New Roman"/>
        </w:rPr>
        <w:t xml:space="preserve">Some of the most common species at the </w:t>
      </w:r>
      <w:proofErr w:type="spellStart"/>
      <w:r w:rsidRPr="00872293">
        <w:rPr>
          <w:rFonts w:ascii="Times New Roman" w:hAnsi="Times New Roman"/>
        </w:rPr>
        <w:t>Sabana</w:t>
      </w:r>
      <w:proofErr w:type="spellEnd"/>
      <w:r w:rsidRPr="00872293">
        <w:rPr>
          <w:rFonts w:ascii="Times New Roman" w:hAnsi="Times New Roman"/>
        </w:rPr>
        <w:t xml:space="preserve"> site are </w:t>
      </w:r>
      <w:proofErr w:type="spellStart"/>
      <w:r w:rsidRPr="00872293">
        <w:rPr>
          <w:rFonts w:ascii="Times New Roman" w:eastAsia="Times New Roman" w:hAnsi="Times New Roman"/>
          <w:i/>
        </w:rPr>
        <w:t>Psychotria</w:t>
      </w:r>
      <w:proofErr w:type="spellEnd"/>
      <w:r w:rsidRPr="00872293">
        <w:rPr>
          <w:rFonts w:ascii="Times New Roman" w:eastAsia="Times New Roman" w:hAnsi="Times New Roman"/>
          <w:i/>
        </w:rPr>
        <w:t xml:space="preserve"> </w:t>
      </w:r>
      <w:proofErr w:type="spellStart"/>
      <w:r w:rsidRPr="00872293">
        <w:rPr>
          <w:rFonts w:ascii="Times New Roman" w:eastAsia="Times New Roman" w:hAnsi="Times New Roman"/>
          <w:i/>
        </w:rPr>
        <w:t>brachiata</w:t>
      </w:r>
      <w:proofErr w:type="spellEnd"/>
      <w:r w:rsidRPr="00872293">
        <w:rPr>
          <w:rFonts w:ascii="Times New Roman" w:eastAsia="Times New Roman" w:hAnsi="Times New Roman"/>
          <w:i/>
        </w:rPr>
        <w:t>,</w:t>
      </w:r>
      <w:r w:rsidRPr="00872293">
        <w:rPr>
          <w:rFonts w:ascii="Times New Roman" w:eastAsia="Times New Roman" w:hAnsi="Times New Roman"/>
          <w:iCs/>
        </w:rPr>
        <w:t xml:space="preserve"> </w:t>
      </w:r>
      <w:proofErr w:type="spellStart"/>
      <w:r w:rsidRPr="00872293">
        <w:rPr>
          <w:rFonts w:ascii="Times New Roman" w:eastAsia="Times New Roman" w:hAnsi="Times New Roman"/>
          <w:i/>
        </w:rPr>
        <w:t>Syzygium</w:t>
      </w:r>
      <w:proofErr w:type="spellEnd"/>
      <w:r w:rsidRPr="00872293">
        <w:rPr>
          <w:rFonts w:ascii="Times New Roman" w:eastAsia="Times New Roman" w:hAnsi="Times New Roman"/>
          <w:i/>
        </w:rPr>
        <w:t xml:space="preserve"> </w:t>
      </w:r>
      <w:proofErr w:type="spellStart"/>
      <w:r w:rsidRPr="00872293">
        <w:rPr>
          <w:rFonts w:ascii="Times New Roman" w:eastAsia="Times New Roman" w:hAnsi="Times New Roman"/>
          <w:i/>
        </w:rPr>
        <w:t>jambos</w:t>
      </w:r>
      <w:proofErr w:type="spellEnd"/>
      <w:r w:rsidRPr="00872293">
        <w:rPr>
          <w:rFonts w:ascii="Times New Roman" w:eastAsia="Times New Roman" w:hAnsi="Times New Roman"/>
          <w:i/>
        </w:rPr>
        <w:t xml:space="preserve">, and P. </w:t>
      </w:r>
      <w:proofErr w:type="spellStart"/>
      <w:r w:rsidRPr="00872293">
        <w:rPr>
          <w:rFonts w:ascii="Times New Roman" w:eastAsia="Times New Roman" w:hAnsi="Times New Roman"/>
          <w:i/>
        </w:rPr>
        <w:t>montana</w:t>
      </w:r>
      <w:proofErr w:type="spellEnd"/>
      <w:r w:rsidRPr="00872293">
        <w:rPr>
          <w:rFonts w:ascii="Times New Roman" w:eastAsia="Times New Roman" w:hAnsi="Times New Roman"/>
          <w:i/>
        </w:rPr>
        <w:t xml:space="preserve"> </w:t>
      </w:r>
      <w:r w:rsidRPr="00872293">
        <w:rPr>
          <w:rFonts w:ascii="Times New Roman" w:hAnsi="Times New Roman"/>
        </w:rPr>
        <w:t>(</w:t>
      </w:r>
      <w:proofErr w:type="spellStart"/>
      <w:r w:rsidRPr="00872293">
        <w:rPr>
          <w:rFonts w:ascii="Times New Roman" w:hAnsi="Times New Roman"/>
        </w:rPr>
        <w:t>Uriarte</w:t>
      </w:r>
      <w:proofErr w:type="spellEnd"/>
      <w:r w:rsidRPr="00872293">
        <w:rPr>
          <w:rFonts w:ascii="Times New Roman" w:hAnsi="Times New Roman"/>
        </w:rPr>
        <w:t xml:space="preserve"> &amp; Zimmerman, 2016; </w:t>
      </w:r>
      <w:proofErr w:type="spellStart"/>
      <w:r w:rsidRPr="00872293">
        <w:rPr>
          <w:rFonts w:ascii="Times New Roman" w:hAnsi="Times New Roman"/>
        </w:rPr>
        <w:t>Picón</w:t>
      </w:r>
      <w:proofErr w:type="spellEnd"/>
      <w:r w:rsidRPr="00872293">
        <w:rPr>
          <w:rFonts w:ascii="Times New Roman" w:hAnsi="Times New Roman"/>
        </w:rPr>
        <w:t xml:space="preserve"> Ruiz, 2019). </w:t>
      </w:r>
      <w:r w:rsidR="006257BE">
        <w:rPr>
          <w:rFonts w:ascii="Times New Roman" w:hAnsi="Times New Roman"/>
        </w:rPr>
        <w:t xml:space="preserve">Both, </w:t>
      </w:r>
      <w:r w:rsidR="005B3298">
        <w:rPr>
          <w:rFonts w:ascii="Times New Roman" w:hAnsi="Times New Roman"/>
        </w:rPr>
        <w:t xml:space="preserve">weathered </w:t>
      </w:r>
      <w:proofErr w:type="spellStart"/>
      <w:r w:rsidR="006257BE">
        <w:rPr>
          <w:rFonts w:ascii="Times New Roman" w:hAnsi="Times New Roman"/>
        </w:rPr>
        <w:t>Oxisols</w:t>
      </w:r>
      <w:proofErr w:type="spellEnd"/>
      <w:r w:rsidR="006257BE">
        <w:rPr>
          <w:rFonts w:ascii="Times New Roman" w:hAnsi="Times New Roman"/>
        </w:rPr>
        <w:t xml:space="preserve"> and </w:t>
      </w:r>
      <w:proofErr w:type="spellStart"/>
      <w:r w:rsidR="006257BE" w:rsidRPr="00B20646">
        <w:rPr>
          <w:rFonts w:ascii="Times New Roman" w:hAnsi="Times New Roman"/>
        </w:rPr>
        <w:t>Ultisol</w:t>
      </w:r>
      <w:proofErr w:type="spellEnd"/>
      <w:r w:rsidR="006257BE" w:rsidRPr="00B20646">
        <w:rPr>
          <w:rFonts w:ascii="Times New Roman" w:hAnsi="Times New Roman"/>
        </w:rPr>
        <w:t xml:space="preserve"> soils are </w:t>
      </w:r>
      <w:r w:rsidR="00DF070F" w:rsidRPr="00B20646">
        <w:rPr>
          <w:rFonts w:ascii="Times New Roman" w:hAnsi="Times New Roman"/>
        </w:rPr>
        <w:t>mostly P</w:t>
      </w:r>
      <w:r w:rsidR="005B3298" w:rsidRPr="00B20646">
        <w:rPr>
          <w:rFonts w:ascii="Times New Roman" w:hAnsi="Times New Roman"/>
        </w:rPr>
        <w:t>-poor (</w:t>
      </w:r>
      <w:r w:rsidR="005B3298">
        <w:rPr>
          <w:rFonts w:ascii="Times New Roman" w:hAnsi="Times New Roman"/>
        </w:rPr>
        <w:t xml:space="preserve">Yang </w:t>
      </w:r>
      <w:r w:rsidR="005B3298" w:rsidRPr="005B3298">
        <w:rPr>
          <w:rFonts w:ascii="Times New Roman" w:hAnsi="Times New Roman"/>
          <w:i/>
          <w:iCs/>
        </w:rPr>
        <w:t>et al.,</w:t>
      </w:r>
      <w:r w:rsidR="005B3298">
        <w:rPr>
          <w:rFonts w:ascii="Times New Roman" w:hAnsi="Times New Roman"/>
        </w:rPr>
        <w:t xml:space="preserve"> 2013).</w:t>
      </w:r>
    </w:p>
    <w:p w14:paraId="43A6263C" w14:textId="77777777" w:rsidR="002708DB" w:rsidRPr="00872293" w:rsidRDefault="002708DB" w:rsidP="00B74554">
      <w:pPr>
        <w:spacing w:line="360" w:lineRule="auto"/>
        <w:rPr>
          <w:rFonts w:ascii="Times New Roman" w:hAnsi="Times New Roman"/>
        </w:rPr>
      </w:pPr>
    </w:p>
    <w:p w14:paraId="648E6215" w14:textId="77777777" w:rsidR="00A20952" w:rsidRPr="00872293" w:rsidRDefault="00A20952" w:rsidP="002708DB">
      <w:pPr>
        <w:pStyle w:val="Heading3"/>
        <w:spacing w:before="0" w:after="0" w:line="360" w:lineRule="auto"/>
        <w:rPr>
          <w:rFonts w:cs="Times New Roman"/>
        </w:rPr>
      </w:pPr>
      <w:bookmarkStart w:id="130" w:name="_Toc53689098"/>
      <w:r w:rsidRPr="00872293">
        <w:rPr>
          <w:rFonts w:cs="Times New Roman"/>
        </w:rPr>
        <w:t>Hurricane events</w:t>
      </w:r>
      <w:bookmarkEnd w:id="130"/>
    </w:p>
    <w:p w14:paraId="4113950A" w14:textId="16AE891F" w:rsidR="00617657" w:rsidRPr="00872293" w:rsidRDefault="00617657" w:rsidP="00DE08AB">
      <w:pPr>
        <w:spacing w:before="240" w:line="360" w:lineRule="auto"/>
        <w:rPr>
          <w:rFonts w:ascii="Times New Roman" w:eastAsia="Times New Roman" w:hAnsi="Times New Roman"/>
        </w:rPr>
      </w:pPr>
      <w:r w:rsidRPr="00872293">
        <w:rPr>
          <w:rFonts w:ascii="Times New Roman" w:eastAsia="Times New Roman" w:hAnsi="Times New Roman"/>
        </w:rPr>
        <w:t xml:space="preserve">Most of the analyses in this study are from root collections made 6 months after two consecutive hurricanes passed through Puerto Rico. However, we also collected roots for root traits analysis 6 months </w:t>
      </w:r>
      <w:r w:rsidR="00C01572" w:rsidRPr="00872293">
        <w:rPr>
          <w:rFonts w:ascii="Times New Roman" w:eastAsia="Times New Roman" w:hAnsi="Times New Roman"/>
        </w:rPr>
        <w:t>prior to</w:t>
      </w:r>
      <w:r w:rsidRPr="00872293">
        <w:rPr>
          <w:rFonts w:ascii="Times New Roman" w:eastAsia="Times New Roman" w:hAnsi="Times New Roman"/>
        </w:rPr>
        <w:t xml:space="preserve"> the hurricanes, which we used to compare root trait responsiveness to the hurricane disturbance. On September 6</w:t>
      </w:r>
      <w:r w:rsidRPr="00872293">
        <w:rPr>
          <w:rFonts w:ascii="Times New Roman" w:eastAsia="Times New Roman" w:hAnsi="Times New Roman"/>
          <w:vertAlign w:val="superscript"/>
        </w:rPr>
        <w:t>th</w:t>
      </w:r>
      <w:r w:rsidRPr="00872293">
        <w:rPr>
          <w:rFonts w:ascii="Times New Roman" w:eastAsia="Times New Roman" w:hAnsi="Times New Roman"/>
        </w:rPr>
        <w:t xml:space="preserve">, 2017 Hurricane Irma passed </w:t>
      </w:r>
      <w:r w:rsidR="00DB3E9B" w:rsidRPr="00872293">
        <w:rPr>
          <w:rFonts w:ascii="Times New Roman" w:eastAsia="Times New Roman" w:hAnsi="Times New Roman"/>
        </w:rPr>
        <w:t>97 Km</w:t>
      </w:r>
      <w:r w:rsidRPr="00872293">
        <w:rPr>
          <w:rFonts w:ascii="Times New Roman" w:eastAsia="Times New Roman" w:hAnsi="Times New Roman"/>
        </w:rPr>
        <w:t xml:space="preserve"> north of Puerto Rico as a Category 5 and Hurricane María passed from southeast to northwest across the island </w:t>
      </w:r>
      <w:r w:rsidRPr="00872293">
        <w:rPr>
          <w:rFonts w:ascii="Times New Roman" w:eastAsia="Times New Roman" w:hAnsi="Times New Roman"/>
        </w:rPr>
        <w:lastRenderedPageBreak/>
        <w:t>on September 20</w:t>
      </w:r>
      <w:r w:rsidRPr="00872293">
        <w:rPr>
          <w:rFonts w:ascii="Times New Roman" w:eastAsia="Times New Roman" w:hAnsi="Times New Roman"/>
          <w:vertAlign w:val="superscript"/>
        </w:rPr>
        <w:t>th</w:t>
      </w:r>
      <w:proofErr w:type="gramStart"/>
      <w:r w:rsidRPr="00872293">
        <w:rPr>
          <w:rFonts w:ascii="Times New Roman" w:eastAsia="Times New Roman" w:hAnsi="Times New Roman"/>
        </w:rPr>
        <w:t xml:space="preserve"> 2017</w:t>
      </w:r>
      <w:proofErr w:type="gramEnd"/>
      <w:r w:rsidRPr="00872293">
        <w:rPr>
          <w:rFonts w:ascii="Times New Roman" w:eastAsia="Times New Roman" w:hAnsi="Times New Roman"/>
        </w:rPr>
        <w:t xml:space="preserve"> as a category 4. Sustained winds reached  250 km hr</w:t>
      </w:r>
      <w:r w:rsidRPr="00872293">
        <w:rPr>
          <w:rFonts w:ascii="Times New Roman" w:eastAsia="Times New Roman" w:hAnsi="Times New Roman"/>
          <w:vertAlign w:val="superscript"/>
        </w:rPr>
        <w:t xml:space="preserve">-1 </w:t>
      </w:r>
      <w:r w:rsidRPr="00872293">
        <w:rPr>
          <w:rFonts w:ascii="Times New Roman" w:hAnsi="Times New Roman"/>
        </w:rPr>
        <w:t>(</w:t>
      </w:r>
      <w:r w:rsidRPr="00872293">
        <w:rPr>
          <w:rFonts w:ascii="Times New Roman" w:eastAsia="Times New Roman" w:hAnsi="Times New Roman"/>
        </w:rPr>
        <w:t xml:space="preserve">among </w:t>
      </w:r>
      <w:r w:rsidRPr="00872293">
        <w:rPr>
          <w:rFonts w:ascii="Times New Roman" w:hAnsi="Times New Roman"/>
        </w:rPr>
        <w:t xml:space="preserve">the strongest on record for the island; </w:t>
      </w:r>
      <w:r w:rsidRPr="00872293">
        <w:rPr>
          <w:rFonts w:ascii="Times New Roman" w:hAnsi="Times New Roman"/>
        </w:rPr>
        <w:fldChar w:fldCharType="begin" w:fldLock="1"/>
      </w:r>
      <w:r w:rsidRPr="00872293">
        <w:rPr>
          <w:rFonts w:ascii="Times New Roman" w:hAnsi="Times New Roman"/>
        </w:rPr>
        <w:instrText>ADDIN CSL_CITATION {"citationItems":[{"id":"ITEM-1","itemData":{"DOI":"10.1007/s10021-020-00491-x","ISSN":"14350629","abstract":"Ecologists addressed the effects of disturbances from the onset of the field by focusing on ecesis, which is the process by which organisms migrate and establish under the environmental conditions created by disturbances. Ecesis is the onset of succession, a self-organizing process whose nature, speed, and outcome depend in part on the outcomes of ecesis and the residual legacies remaining after disturbances. A by-product of succession after a disturbance is the reorganization of species dominance, or novelty. The degree of novelty in the outcome increases with the severity of the disturbance event. Initially, ecologists focused mostly on non-anthropogenic disturbances, but as human activity intensified and became a global force, more attention was given to the effects of anthropogenic disturbances on ecosystems. Today, anthropogenic and non-anthropogenic disturbances and their interactions are increasingly affecting ecosystems, particularly those exposed to extreme disturbance events. Extreme disturbance events are complex and low probability events composed of several disturbance forces that individually and in synergy affect different sectors of ecosystems, including the conditions that drive ecesis. I review the literature on disturbance research including the effects of extreme disturbance events on social–ecological–technological systems (SETSs). A SETS is an ecosystem defined by the flow and accumulation of energy through the medium of organisms, constructed infrastructure, institutions, and their environment. Human intentions, values, and capacities are part of the functioning of SETS, and they can drive ecological processes as do non-anthropogenic forces. Moreover, human-directed activities after an extreme disturbance event affect whole landscapes. The passage of hurricane María over the Puerto Rico SETS established that extreme disturbance events are of such power and complexity that they can influence the level and kind of relationship between humans and the environment, including the structure and species composition of the ecological systems within SETS. However, extreme disturbance events such as hurricanes have not changed the successional trajectory originally impulsed by anthropogenic disturbances. Thus, the species composition and functioning of novel forests in Puerto Rico are tied to economic activity in the social and technological sectors of SETS. It is no longer possible to interpret ecosystem functioning without considering the …","author":[{"dropping-particle":"","family":"Lugo","given":"Ariel E.","non-dropping-particle":"","parse-names":false,"suffix":""}],"container-title":"Ecosystems","id":"ITEM-1","issued":{"date-parts":[["2020"]]},"page":"1-22","title":"Effects of Extreme Disturbance Events: From Ecesis to Social–Ecological–Technological Systems","type":"article-journal"},"uris":["http://www.mendeley.com/documents/?uuid=21adfef3-cb78-42fd-8e3e-759a261fc37a"]}],"mendeley":{"formattedCitation":"(Lugo, 2020)","manualFormatting":"Lugo, 2020)","plainTextFormattedCitation":"(Lugo, 2020)","previouslyFormattedCitation":"(Lugo,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Lugo, 2020)</w:t>
      </w:r>
      <w:r w:rsidRPr="00872293">
        <w:rPr>
          <w:rFonts w:ascii="Times New Roman" w:hAnsi="Times New Roman"/>
        </w:rPr>
        <w:fldChar w:fldCharType="end"/>
      </w:r>
      <w:r w:rsidRPr="00872293">
        <w:rPr>
          <w:rFonts w:ascii="Times New Roman" w:hAnsi="Times New Roman"/>
        </w:rPr>
        <w:t xml:space="preserve"> and precipitation over</w:t>
      </w:r>
      <w:r w:rsidRPr="00872293">
        <w:rPr>
          <w:rFonts w:ascii="Times New Roman" w:eastAsia="Times New Roman" w:hAnsi="Times New Roman"/>
        </w:rPr>
        <w:t xml:space="preserve"> 500 mm in just 24 hours from María </w:t>
      </w:r>
      <w:r w:rsidRPr="00872293">
        <w:rPr>
          <w:rFonts w:ascii="Times New Roman" w:eastAsia="Times New Roman" w:hAnsi="Times New Roman"/>
        </w:rPr>
        <w:fldChar w:fldCharType="begin" w:fldLock="1"/>
      </w:r>
      <w:r w:rsidRPr="00872293">
        <w:rPr>
          <w:rFonts w:ascii="Times New Roman" w:eastAsia="Times New Roman" w:hAnsi="Times New Roman"/>
        </w:rPr>
        <w:instrText>ADDIN CSL_CITATION {"citationItems":[{"id":"ITEM-1","itemData":{"abstract":"Maria was a very severe Cape Verde Hurricane that ravaged the island of Dominica at category 5 (on the Saffir-Simpson Hurricane Wind Scale) intensity, and later devastated Puerto Rico as a high-end category 4 hurricane. It also inflicted serious damage on some of the other islands of the northeastern Caribbean Sea. Maria is the third costliest hurricane in United States history.","author":[{"dropping-particle":"","family":"Pasch","given":"Richard J.","non-dropping-particle":"","parse-names":false,"suffix":""},{"dropping-particle":"","family":"Penny","given":"Andrew B.","non-dropping-particle":"","parse-names":false,"suffix":""},{"dropping-particle":"","family":"Berg","given":"Robbie","non-dropping-particle":"","parse-names":false,"suffix":""}],"container-title":"National Weather Service","id":"ITEM-1","issued":{"date-parts":[["2019"]]},"title":"National Hurricane center tropical cyclone report: Hurricane Maria (AL152017)","type":"article"},"uris":["http://www.mendeley.com/documents/?uuid=353a8f6c-1948-455d-89ac-c5f6402549ba"]}],"mendeley":{"formattedCitation":"(Pasch &lt;i&gt;et al.&lt;/i&gt;, 2019)","plainTextFormattedCitation":"(Pasch et al., 2019)","previouslyFormattedCitation":"(Pasch &lt;i&gt;et al.&lt;/i&gt;, 2019)"},"properties":{"noteIndex":0},"schema":"https://github.com/citation-style-language/schema/raw/master/csl-citation.json"}</w:instrText>
      </w:r>
      <w:r w:rsidRPr="00872293">
        <w:rPr>
          <w:rFonts w:ascii="Times New Roman" w:eastAsia="Times New Roman" w:hAnsi="Times New Roman"/>
        </w:rPr>
        <w:fldChar w:fldCharType="separate"/>
      </w:r>
      <w:r w:rsidRPr="00872293">
        <w:rPr>
          <w:rFonts w:ascii="Times New Roman" w:eastAsia="Times New Roman" w:hAnsi="Times New Roman"/>
          <w:noProof/>
        </w:rPr>
        <w:t xml:space="preserve">(Pasch </w:t>
      </w:r>
      <w:r w:rsidRPr="00872293">
        <w:rPr>
          <w:rFonts w:ascii="Times New Roman" w:eastAsia="Times New Roman" w:hAnsi="Times New Roman"/>
          <w:i/>
          <w:noProof/>
        </w:rPr>
        <w:t>et al.</w:t>
      </w:r>
      <w:r w:rsidRPr="00872293">
        <w:rPr>
          <w:rFonts w:ascii="Times New Roman" w:eastAsia="Times New Roman" w:hAnsi="Times New Roman"/>
          <w:noProof/>
        </w:rPr>
        <w:t>, 2019)</w:t>
      </w:r>
      <w:r w:rsidRPr="00872293">
        <w:rPr>
          <w:rFonts w:ascii="Times New Roman" w:eastAsia="Times New Roman" w:hAnsi="Times New Roman"/>
        </w:rPr>
        <w:fldChar w:fldCharType="end"/>
      </w:r>
      <w:r w:rsidRPr="00872293">
        <w:rPr>
          <w:rFonts w:ascii="Times New Roman" w:eastAsia="Times New Roman" w:hAnsi="Times New Roman"/>
        </w:rPr>
        <w:t>, which had a strong effect on the forest structure as evident when we performed sample collection</w:t>
      </w:r>
      <w:r w:rsidRPr="00872293" w:rsidDel="003453AF">
        <w:rPr>
          <w:rFonts w:ascii="Times New Roman" w:eastAsia="Times New Roman" w:hAnsi="Times New Roman"/>
        </w:rPr>
        <w:t xml:space="preserve"> </w:t>
      </w:r>
      <w:r w:rsidRPr="00872293">
        <w:rPr>
          <w:rFonts w:ascii="Times New Roman" w:eastAsia="Times New Roman" w:hAnsi="Times New Roman"/>
        </w:rPr>
        <w:t xml:space="preserve">6 months following the storm. </w:t>
      </w:r>
      <w:r w:rsidRPr="00872293">
        <w:rPr>
          <w:rFonts w:ascii="Times New Roman" w:hAnsi="Times New Roman"/>
        </w:rPr>
        <w:t xml:space="preserve">Tree mortality as a consequence of the disturbance was twice that of Hurricane Hugo (~15%; </w:t>
      </w:r>
      <w:r w:rsidRPr="00872293">
        <w:rPr>
          <w:rFonts w:ascii="Times New Roman" w:hAnsi="Times New Roman"/>
        </w:rPr>
        <w:fldChar w:fldCharType="begin" w:fldLock="1"/>
      </w:r>
      <w:r w:rsidRPr="00872293">
        <w:rPr>
          <w:rFonts w:ascii="Times New Roman" w:hAnsi="Times New Roman"/>
        </w:rPr>
        <w:instrText>ADDIN CSL_CITATION {"citationItems":[{"id":"ITEM-1","itemData":{"DOI":"10.1038/s41467-019-09319-2","ISSN":"20411723","abstract":"Tropical cyclones are expected to intensify under a warming climate, with uncertain effects on tropical forests. One key challenge to predicting how more intense storms will influence these ecosystems is to attribute impacts specifically to storm meteorology rather than differences in forest characteristics. Here we compare tree damage data collected in the same forest in Puerto Rico after Hurricanes Hugo (1989, category 3), Georges (1998, category 3), and María (2017, category 4). María killed twice as many trees as Hugo, and for all but two species, broke 2- to 12-fold more stems than the other two storms. Species with high density wood were resistant to uprooting, hurricane-induced mortality, and were protected from breakage during Hugo but not María. Tree inventories and a wind exposure model allow us to attribute these differences in impacts to storm meteorology. A better understanding of risk factors associated with tree species susceptibility to severe storms is key to predicting the future of forest ecosystems under climate warming.","author":[{"dropping-particle":"","family":"Uriarte","given":"María","non-dropping-particle":"","parse-names":false,"suffix":""},{"dropping-particle":"","family":"Thompson","given":"Jill","non-dropping-particle":"","parse-names":false,"suffix":""},{"dropping-particle":"","family":"Zimmerman","given":"Jess K.","non-dropping-particle":"","parse-names":false,"suffix":""}],"container-title":"Nature Communications","id":"ITEM-1","issue":"1","issued":{"date-parts":[["2019"]]},"page":"1-7","title":"Hurricane María tripled stem breaks and doubled tree mortality relative to other major storms","type":"article-journal","volume":"10"},"uris":["http://www.mendeley.com/documents/?uuid=0281d088-026a-4a0b-a9d2-74ba703dab29"]}],"mendeley":{"formattedCitation":"(Uriarte &lt;i&gt;et al.&lt;/i&gt;, 2019)","manualFormatting":"Uriarte et al. 2019a)","plainTextFormattedCitation":"(Uriarte et al., 2019)","previouslyFormattedCitation":"(Uriarte &lt;i&gt;et al.&lt;/i&gt;, 2019)"},"properties":{"noteIndex":0},"schema":"https://github.com/citation-style-language/schema/raw/master/csl-citation.json"}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Uriarte </w:t>
      </w:r>
      <w:r w:rsidRPr="00872293">
        <w:rPr>
          <w:rFonts w:ascii="Times New Roman" w:hAnsi="Times New Roman"/>
          <w:i/>
          <w:noProof/>
        </w:rPr>
        <w:t>et al.</w:t>
      </w:r>
      <w:r w:rsidRPr="00872293">
        <w:rPr>
          <w:rFonts w:ascii="Times New Roman" w:hAnsi="Times New Roman"/>
          <w:noProof/>
        </w:rPr>
        <w:t xml:space="preserve"> 2019a)</w:t>
      </w:r>
      <w:r w:rsidRPr="00872293">
        <w:rPr>
          <w:rFonts w:ascii="Times New Roman" w:hAnsi="Times New Roman"/>
        </w:rPr>
        <w:fldChar w:fldCharType="end"/>
      </w:r>
      <w:r w:rsidRPr="00872293">
        <w:rPr>
          <w:rFonts w:ascii="Times New Roman" w:hAnsi="Times New Roman"/>
        </w:rPr>
        <w:t xml:space="preserve">, and it included some of the trees we previously measured. </w:t>
      </w:r>
      <w:r w:rsidRPr="00872293">
        <w:rPr>
          <w:rFonts w:ascii="Times New Roman" w:eastAsia="Times New Roman" w:hAnsi="Times New Roman"/>
        </w:rPr>
        <w:t xml:space="preserve">There was a high canopy cover reduction </w:t>
      </w:r>
      <w:r w:rsidRPr="00872293">
        <w:rPr>
          <w:rFonts w:ascii="Times New Roman" w:hAnsi="Times New Roman"/>
        </w:rPr>
        <w:t xml:space="preserve">(from </w:t>
      </w:r>
      <w:r w:rsidRPr="00872293">
        <w:rPr>
          <w:rFonts w:ascii="Times New Roman" w:eastAsia="Times New Roman" w:hAnsi="Times New Roman"/>
        </w:rPr>
        <w:t xml:space="preserve">~90% to 30%, Chapter 3) and a change in soil nutrient concentration </w:t>
      </w:r>
      <w:r w:rsidRPr="00872293">
        <w:rPr>
          <w:rFonts w:ascii="Times New Roman" w:eastAsia="Times New Roman" w:hAnsi="Times New Roman"/>
        </w:rPr>
        <w:fldChar w:fldCharType="begin" w:fldLock="1"/>
      </w:r>
      <w:r w:rsidRPr="00872293">
        <w:rPr>
          <w:rFonts w:ascii="Times New Roman" w:eastAsia="Times New Roman" w:hAnsi="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2020)","plainTextFormattedCitation":"(Reed et al., 2020)","previouslyFormattedCitation":"(Reed &lt;i&gt;et al.&lt;/i&gt;, 2020)"},"properties":{"noteIndex":0},"schema":"https://github.com/citation-style-language/schema/raw/master/csl-citation.json"}</w:instrText>
      </w:r>
      <w:r w:rsidRPr="00872293">
        <w:rPr>
          <w:rFonts w:ascii="Times New Roman" w:eastAsia="Times New Roman" w:hAnsi="Times New Roman"/>
        </w:rPr>
        <w:fldChar w:fldCharType="separate"/>
      </w:r>
      <w:r w:rsidRPr="00872293">
        <w:rPr>
          <w:rFonts w:ascii="Times New Roman" w:eastAsia="Times New Roman" w:hAnsi="Times New Roman"/>
          <w:noProof/>
        </w:rPr>
        <w:t xml:space="preserve">(Reed </w:t>
      </w:r>
      <w:r w:rsidRPr="00872293">
        <w:rPr>
          <w:rFonts w:ascii="Times New Roman" w:eastAsia="Times New Roman" w:hAnsi="Times New Roman"/>
          <w:i/>
          <w:noProof/>
        </w:rPr>
        <w:t>et al.</w:t>
      </w:r>
      <w:r w:rsidRPr="00872293">
        <w:rPr>
          <w:rFonts w:ascii="Times New Roman" w:eastAsia="Times New Roman" w:hAnsi="Times New Roman"/>
          <w:noProof/>
        </w:rPr>
        <w:t>, 2020)</w:t>
      </w:r>
      <w:r w:rsidRPr="00872293">
        <w:rPr>
          <w:rFonts w:ascii="Times New Roman" w:eastAsia="Times New Roman" w:hAnsi="Times New Roman"/>
        </w:rPr>
        <w:fldChar w:fldCharType="end"/>
      </w:r>
      <w:r w:rsidRPr="00872293">
        <w:rPr>
          <w:rFonts w:ascii="Times New Roman" w:eastAsia="Times New Roman" w:hAnsi="Times New Roman"/>
        </w:rPr>
        <w:t>.</w:t>
      </w:r>
    </w:p>
    <w:p w14:paraId="40CF2109" w14:textId="77777777" w:rsidR="002708DB" w:rsidRPr="00872293" w:rsidRDefault="002708DB" w:rsidP="005D5838">
      <w:pPr>
        <w:spacing w:line="360" w:lineRule="auto"/>
        <w:rPr>
          <w:rFonts w:ascii="Times New Roman" w:hAnsi="Times New Roman"/>
        </w:rPr>
      </w:pPr>
    </w:p>
    <w:p w14:paraId="005A9D5B" w14:textId="77777777" w:rsidR="00A20952" w:rsidRPr="00872293" w:rsidRDefault="00A20952" w:rsidP="005D5838">
      <w:pPr>
        <w:pStyle w:val="Heading3"/>
        <w:spacing w:before="0" w:after="0" w:line="360" w:lineRule="auto"/>
        <w:rPr>
          <w:rFonts w:cs="Times New Roman"/>
        </w:rPr>
      </w:pPr>
      <w:bookmarkStart w:id="131" w:name="_Toc53689099"/>
      <w:r w:rsidRPr="00872293">
        <w:rPr>
          <w:rFonts w:cs="Times New Roman"/>
        </w:rPr>
        <w:t>Species and root voucher collection</w:t>
      </w:r>
      <w:bookmarkEnd w:id="131"/>
    </w:p>
    <w:p w14:paraId="4A6E5C10" w14:textId="77777777" w:rsidR="00617657" w:rsidRPr="00872293" w:rsidRDefault="00617657" w:rsidP="005D5838">
      <w:pPr>
        <w:spacing w:before="240" w:line="360" w:lineRule="auto"/>
        <w:rPr>
          <w:rFonts w:ascii="Times New Roman" w:hAnsi="Times New Roman"/>
          <w:iCs/>
        </w:rPr>
      </w:pPr>
      <w:r w:rsidRPr="00872293">
        <w:rPr>
          <w:rFonts w:ascii="Times New Roman" w:hAnsi="Times New Roman"/>
        </w:rPr>
        <w:t xml:space="preserve">We collected root vouchers from the most common species at El Verde and </w:t>
      </w:r>
      <w:proofErr w:type="spellStart"/>
      <w:r w:rsidRPr="00872293">
        <w:rPr>
          <w:rFonts w:ascii="Times New Roman" w:hAnsi="Times New Roman"/>
        </w:rPr>
        <w:t>Sabana</w:t>
      </w:r>
      <w:proofErr w:type="spellEnd"/>
      <w:r w:rsidRPr="00872293">
        <w:rPr>
          <w:rFonts w:ascii="Times New Roman" w:hAnsi="Times New Roman"/>
        </w:rPr>
        <w:t xml:space="preserve">, including 1) native pioneer species: </w:t>
      </w:r>
      <w:r w:rsidRPr="00872293">
        <w:rPr>
          <w:rFonts w:ascii="Times New Roman" w:hAnsi="Times New Roman"/>
          <w:i/>
        </w:rPr>
        <w:t xml:space="preserve">Cecropia </w:t>
      </w:r>
      <w:proofErr w:type="spellStart"/>
      <w:r w:rsidRPr="00872293">
        <w:rPr>
          <w:rFonts w:ascii="Times New Roman" w:hAnsi="Times New Roman"/>
          <w:i/>
        </w:rPr>
        <w:t>schreberiana</w:t>
      </w:r>
      <w:proofErr w:type="spellEnd"/>
      <w:r w:rsidRPr="00872293">
        <w:rPr>
          <w:rFonts w:ascii="Times New Roman" w:hAnsi="Times New Roman"/>
          <w:i/>
        </w:rPr>
        <w:t xml:space="preserve"> </w:t>
      </w:r>
      <w:proofErr w:type="spellStart"/>
      <w:r w:rsidRPr="00872293">
        <w:rPr>
          <w:rFonts w:ascii="Times New Roman" w:hAnsi="Times New Roman"/>
          <w:i/>
        </w:rPr>
        <w:t>Miq</w:t>
      </w:r>
      <w:proofErr w:type="spellEnd"/>
      <w:r w:rsidRPr="00872293">
        <w:rPr>
          <w:rFonts w:ascii="Times New Roman" w:hAnsi="Times New Roman"/>
          <w:i/>
        </w:rPr>
        <w:t>.</w:t>
      </w:r>
      <w:r w:rsidRPr="00872293">
        <w:rPr>
          <w:rFonts w:ascii="Times New Roman" w:hAnsi="Times New Roman"/>
        </w:rPr>
        <w:t>, 2) native non-pioneer species:</w:t>
      </w:r>
      <w:r w:rsidRPr="00872293">
        <w:rPr>
          <w:rFonts w:ascii="Times New Roman" w:hAnsi="Times New Roman"/>
          <w:i/>
        </w:rPr>
        <w:t xml:space="preserve"> </w:t>
      </w:r>
      <w:proofErr w:type="spellStart"/>
      <w:r w:rsidRPr="00872293">
        <w:rPr>
          <w:rFonts w:ascii="Times New Roman" w:hAnsi="Times New Roman"/>
          <w:i/>
        </w:rPr>
        <w:t>Dacryodes</w:t>
      </w:r>
      <w:proofErr w:type="spellEnd"/>
      <w:r w:rsidRPr="00872293">
        <w:rPr>
          <w:rFonts w:ascii="Times New Roman" w:hAnsi="Times New Roman"/>
          <w:i/>
        </w:rPr>
        <w:t xml:space="preserve"> </w:t>
      </w:r>
      <w:proofErr w:type="spellStart"/>
      <w:r w:rsidRPr="00872293">
        <w:rPr>
          <w:rFonts w:ascii="Times New Roman" w:hAnsi="Times New Roman"/>
          <w:i/>
        </w:rPr>
        <w:t>excelsa</w:t>
      </w:r>
      <w:proofErr w:type="spellEnd"/>
      <w:r w:rsidRPr="00872293">
        <w:rPr>
          <w:rFonts w:ascii="Times New Roman" w:hAnsi="Times New Roman"/>
          <w:i/>
        </w:rPr>
        <w:t xml:space="preserve"> </w:t>
      </w:r>
      <w:proofErr w:type="spellStart"/>
      <w:r w:rsidRPr="00872293">
        <w:rPr>
          <w:rFonts w:ascii="Times New Roman" w:hAnsi="Times New Roman"/>
          <w:i/>
        </w:rPr>
        <w:t>Vahl</w:t>
      </w:r>
      <w:proofErr w:type="spellEnd"/>
      <w:r w:rsidRPr="00872293">
        <w:rPr>
          <w:rFonts w:ascii="Times New Roman" w:hAnsi="Times New Roman"/>
          <w:i/>
        </w:rPr>
        <w:t xml:space="preserve">., </w:t>
      </w:r>
      <w:proofErr w:type="spellStart"/>
      <w:r w:rsidRPr="00872293">
        <w:rPr>
          <w:rFonts w:ascii="Times New Roman" w:hAnsi="Times New Roman"/>
          <w:i/>
        </w:rPr>
        <w:t>Prestoea</w:t>
      </w:r>
      <w:proofErr w:type="spellEnd"/>
      <w:r w:rsidRPr="00872293">
        <w:rPr>
          <w:rFonts w:ascii="Times New Roman" w:hAnsi="Times New Roman"/>
          <w:i/>
        </w:rPr>
        <w:t xml:space="preserve"> acuminata var. </w:t>
      </w:r>
      <w:proofErr w:type="spellStart"/>
      <w:r w:rsidRPr="00872293">
        <w:rPr>
          <w:rFonts w:ascii="Times New Roman" w:hAnsi="Times New Roman"/>
          <w:i/>
        </w:rPr>
        <w:t>montana</w:t>
      </w:r>
      <w:proofErr w:type="spellEnd"/>
      <w:r w:rsidRPr="00872293">
        <w:rPr>
          <w:rFonts w:ascii="Times New Roman" w:hAnsi="Times New Roman"/>
        </w:rPr>
        <w:t xml:space="preserve">, </w:t>
      </w:r>
      <w:r w:rsidRPr="00872293">
        <w:rPr>
          <w:rFonts w:ascii="Times New Roman" w:hAnsi="Times New Roman"/>
          <w:i/>
        </w:rPr>
        <w:t xml:space="preserve">Manilkara bidentata, Ocotea </w:t>
      </w:r>
      <w:proofErr w:type="spellStart"/>
      <w:r w:rsidRPr="00872293">
        <w:rPr>
          <w:rFonts w:ascii="Times New Roman" w:hAnsi="Times New Roman"/>
          <w:i/>
        </w:rPr>
        <w:t>leucoxilon</w:t>
      </w:r>
      <w:proofErr w:type="spellEnd"/>
      <w:r w:rsidRPr="00872293">
        <w:rPr>
          <w:rFonts w:ascii="Times New Roman" w:hAnsi="Times New Roman"/>
          <w:i/>
        </w:rPr>
        <w:t xml:space="preserve"> Allen, </w:t>
      </w:r>
      <w:proofErr w:type="spellStart"/>
      <w:r w:rsidRPr="00872293">
        <w:rPr>
          <w:rFonts w:ascii="Times New Roman" w:hAnsi="Times New Roman"/>
          <w:i/>
        </w:rPr>
        <w:t>Calophylum</w:t>
      </w:r>
      <w:proofErr w:type="spellEnd"/>
      <w:r w:rsidRPr="00872293">
        <w:rPr>
          <w:rFonts w:ascii="Times New Roman" w:hAnsi="Times New Roman"/>
          <w:i/>
        </w:rPr>
        <w:t xml:space="preserve"> </w:t>
      </w:r>
      <w:proofErr w:type="spellStart"/>
      <w:r w:rsidRPr="00872293">
        <w:rPr>
          <w:rFonts w:ascii="Times New Roman" w:hAnsi="Times New Roman"/>
          <w:i/>
        </w:rPr>
        <w:t>calaba</w:t>
      </w:r>
      <w:proofErr w:type="spellEnd"/>
      <w:r w:rsidRPr="00872293">
        <w:rPr>
          <w:rFonts w:ascii="Times New Roman" w:hAnsi="Times New Roman"/>
          <w:i/>
        </w:rPr>
        <w:t xml:space="preserve"> L</w:t>
      </w:r>
      <w:r w:rsidRPr="00872293">
        <w:rPr>
          <w:rFonts w:ascii="Times New Roman" w:hAnsi="Times New Roman"/>
        </w:rPr>
        <w:t xml:space="preserve">, 3) non-native pioneer species: </w:t>
      </w:r>
      <w:proofErr w:type="spellStart"/>
      <w:r w:rsidRPr="00872293">
        <w:rPr>
          <w:rFonts w:ascii="Times New Roman" w:hAnsi="Times New Roman"/>
          <w:i/>
          <w:iCs/>
        </w:rPr>
        <w:t>Spathodea</w:t>
      </w:r>
      <w:proofErr w:type="spellEnd"/>
      <w:r w:rsidRPr="00872293">
        <w:rPr>
          <w:rFonts w:ascii="Times New Roman" w:hAnsi="Times New Roman"/>
          <w:i/>
          <w:iCs/>
        </w:rPr>
        <w:t xml:space="preserve"> </w:t>
      </w:r>
      <w:proofErr w:type="spellStart"/>
      <w:r w:rsidRPr="00872293">
        <w:rPr>
          <w:rFonts w:ascii="Times New Roman" w:hAnsi="Times New Roman"/>
          <w:i/>
          <w:iCs/>
        </w:rPr>
        <w:t>campanulata</w:t>
      </w:r>
      <w:proofErr w:type="spellEnd"/>
      <w:r w:rsidRPr="00872293">
        <w:rPr>
          <w:rFonts w:ascii="Times New Roman" w:hAnsi="Times New Roman"/>
          <w:i/>
          <w:iCs/>
        </w:rPr>
        <w:t xml:space="preserve"> </w:t>
      </w:r>
      <w:proofErr w:type="spellStart"/>
      <w:r w:rsidRPr="00872293">
        <w:rPr>
          <w:rFonts w:ascii="Times New Roman" w:hAnsi="Times New Roman"/>
          <w:i/>
          <w:iCs/>
        </w:rPr>
        <w:t>P.Beauv</w:t>
      </w:r>
      <w:proofErr w:type="spellEnd"/>
      <w:r w:rsidRPr="00872293">
        <w:rPr>
          <w:rFonts w:ascii="Times New Roman" w:hAnsi="Times New Roman"/>
          <w:i/>
          <w:iCs/>
        </w:rPr>
        <w:t>.</w:t>
      </w:r>
      <w:r w:rsidRPr="00872293">
        <w:rPr>
          <w:rFonts w:ascii="Times New Roman" w:hAnsi="Times New Roman"/>
        </w:rPr>
        <w:t xml:space="preserve">, and 4) nitrogen fixer species: </w:t>
      </w:r>
      <w:r w:rsidRPr="00872293">
        <w:rPr>
          <w:rFonts w:ascii="Times New Roman" w:hAnsi="Times New Roman"/>
          <w:i/>
        </w:rPr>
        <w:t xml:space="preserve">Inga </w:t>
      </w:r>
      <w:proofErr w:type="spellStart"/>
      <w:r w:rsidRPr="00872293">
        <w:rPr>
          <w:rFonts w:ascii="Times New Roman" w:hAnsi="Times New Roman"/>
          <w:i/>
        </w:rPr>
        <w:t>laurina</w:t>
      </w:r>
      <w:proofErr w:type="spellEnd"/>
      <w:r w:rsidRPr="00872293">
        <w:rPr>
          <w:rFonts w:ascii="Times New Roman" w:hAnsi="Times New Roman"/>
          <w:i/>
        </w:rPr>
        <w:t xml:space="preserve"> </w:t>
      </w:r>
      <w:proofErr w:type="spellStart"/>
      <w:r w:rsidRPr="00872293">
        <w:rPr>
          <w:rFonts w:ascii="Times New Roman" w:hAnsi="Times New Roman"/>
          <w:i/>
        </w:rPr>
        <w:t>Willd</w:t>
      </w:r>
      <w:proofErr w:type="spellEnd"/>
      <w:r w:rsidRPr="00872293">
        <w:rPr>
          <w:rFonts w:ascii="Times New Roman" w:hAnsi="Times New Roman"/>
          <w:i/>
        </w:rPr>
        <w:t xml:space="preserve">. </w:t>
      </w:r>
      <w:r w:rsidRPr="00872293">
        <w:rPr>
          <w:rFonts w:ascii="Times New Roman" w:hAnsi="Times New Roman"/>
          <w:iCs/>
        </w:rPr>
        <w:t xml:space="preserve">Only </w:t>
      </w:r>
      <w:r w:rsidRPr="00872293">
        <w:rPr>
          <w:rFonts w:ascii="Times New Roman" w:hAnsi="Times New Roman"/>
          <w:i/>
        </w:rPr>
        <w:t xml:space="preserve">P. </w:t>
      </w:r>
      <w:proofErr w:type="spellStart"/>
      <w:r w:rsidRPr="00872293">
        <w:rPr>
          <w:rFonts w:ascii="Times New Roman" w:hAnsi="Times New Roman"/>
          <w:i/>
        </w:rPr>
        <w:t>montana</w:t>
      </w:r>
      <w:proofErr w:type="spellEnd"/>
      <w:r w:rsidRPr="00872293">
        <w:rPr>
          <w:rFonts w:ascii="Times New Roman" w:hAnsi="Times New Roman"/>
          <w:iCs/>
        </w:rPr>
        <w:t xml:space="preserve"> was a common shared species among the three </w:t>
      </w:r>
      <w:proofErr w:type="gramStart"/>
      <w:r w:rsidRPr="00872293">
        <w:rPr>
          <w:rFonts w:ascii="Times New Roman" w:hAnsi="Times New Roman"/>
          <w:iCs/>
        </w:rPr>
        <w:t>sites;</w:t>
      </w:r>
      <w:proofErr w:type="gramEnd"/>
      <w:r w:rsidRPr="00872293">
        <w:rPr>
          <w:rFonts w:ascii="Times New Roman" w:hAnsi="Times New Roman"/>
          <w:iCs/>
        </w:rPr>
        <w:t xml:space="preserve"> whereas </w:t>
      </w:r>
      <w:r w:rsidRPr="00872293">
        <w:rPr>
          <w:rFonts w:ascii="Times New Roman" w:hAnsi="Times New Roman"/>
          <w:i/>
        </w:rPr>
        <w:t xml:space="preserve">C. </w:t>
      </w:r>
      <w:proofErr w:type="spellStart"/>
      <w:r w:rsidRPr="00872293">
        <w:rPr>
          <w:rFonts w:ascii="Times New Roman" w:hAnsi="Times New Roman"/>
          <w:i/>
        </w:rPr>
        <w:t>schreberiana</w:t>
      </w:r>
      <w:proofErr w:type="spellEnd"/>
      <w:r w:rsidRPr="00872293">
        <w:rPr>
          <w:rFonts w:ascii="Times New Roman" w:hAnsi="Times New Roman"/>
          <w:i/>
        </w:rPr>
        <w:t xml:space="preserve">, C. </w:t>
      </w:r>
      <w:proofErr w:type="spellStart"/>
      <w:r w:rsidRPr="00872293">
        <w:rPr>
          <w:rFonts w:ascii="Times New Roman" w:hAnsi="Times New Roman"/>
          <w:i/>
        </w:rPr>
        <w:t>calaba</w:t>
      </w:r>
      <w:proofErr w:type="spellEnd"/>
      <w:r w:rsidRPr="00872293">
        <w:rPr>
          <w:rFonts w:ascii="Times New Roman" w:hAnsi="Times New Roman"/>
          <w:iCs/>
        </w:rPr>
        <w:t xml:space="preserve">, and </w:t>
      </w:r>
      <w:r w:rsidRPr="00872293">
        <w:rPr>
          <w:rFonts w:ascii="Times New Roman" w:hAnsi="Times New Roman"/>
          <w:i/>
        </w:rPr>
        <w:t xml:space="preserve">I. </w:t>
      </w:r>
      <w:proofErr w:type="spellStart"/>
      <w:r w:rsidRPr="00872293">
        <w:rPr>
          <w:rFonts w:ascii="Times New Roman" w:hAnsi="Times New Roman"/>
          <w:i/>
        </w:rPr>
        <w:t>laurina</w:t>
      </w:r>
      <w:proofErr w:type="spellEnd"/>
      <w:r w:rsidRPr="00872293">
        <w:rPr>
          <w:rFonts w:ascii="Times New Roman" w:hAnsi="Times New Roman"/>
          <w:iCs/>
        </w:rPr>
        <w:t xml:space="preserve"> were shared species between SB2 and EV1. </w:t>
      </w:r>
    </w:p>
    <w:p w14:paraId="06CEBBD7" w14:textId="77777777" w:rsidR="00617657" w:rsidRPr="00872293" w:rsidRDefault="00617657" w:rsidP="00617657">
      <w:pPr>
        <w:spacing w:line="360" w:lineRule="auto"/>
        <w:rPr>
          <w:rFonts w:ascii="Times New Roman" w:hAnsi="Times New Roman"/>
          <w:iCs/>
        </w:rPr>
      </w:pPr>
    </w:p>
    <w:p w14:paraId="4408DB68" w14:textId="0A5E34A4" w:rsidR="00617657" w:rsidRPr="00872293" w:rsidRDefault="00617657" w:rsidP="00617657">
      <w:pPr>
        <w:autoSpaceDE w:val="0"/>
        <w:autoSpaceDN w:val="0"/>
        <w:adjustRightInd w:val="0"/>
        <w:spacing w:line="360" w:lineRule="auto"/>
        <w:rPr>
          <w:rFonts w:ascii="Times New Roman" w:eastAsiaTheme="minorHAnsi" w:hAnsi="Times New Roman"/>
        </w:rPr>
      </w:pPr>
      <w:r w:rsidRPr="00872293">
        <w:rPr>
          <w:rFonts w:ascii="Times New Roman" w:hAnsi="Times New Roman"/>
        </w:rPr>
        <w:t xml:space="preserve">Phylogenetically our species are very distant from each other (Fig. </w:t>
      </w:r>
      <w:r w:rsidR="00B920E3" w:rsidRPr="00872293">
        <w:rPr>
          <w:rFonts w:ascii="Times New Roman" w:hAnsi="Times New Roman"/>
        </w:rPr>
        <w:t>18</w:t>
      </w:r>
      <w:r w:rsidRPr="00872293">
        <w:rPr>
          <w:rFonts w:ascii="Times New Roman" w:hAnsi="Times New Roman"/>
        </w:rPr>
        <w:t xml:space="preserve">). All species in this study were from different orders and families.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rPr>
        <w:t xml:space="preserve"> is the only species from the monocot clade considered in this study. </w:t>
      </w:r>
      <w:proofErr w:type="spellStart"/>
      <w:r w:rsidRPr="00872293">
        <w:rPr>
          <w:rFonts w:ascii="Times New Roman" w:hAnsi="Times New Roman"/>
          <w:i/>
          <w:iCs/>
        </w:rPr>
        <w:t>Spathodea</w:t>
      </w:r>
      <w:proofErr w:type="spellEnd"/>
      <w:r w:rsidRPr="00872293">
        <w:rPr>
          <w:rFonts w:ascii="Times New Roman" w:hAnsi="Times New Roman"/>
          <w:i/>
          <w:iCs/>
        </w:rPr>
        <w:t xml:space="preserve"> </w:t>
      </w:r>
      <w:proofErr w:type="spellStart"/>
      <w:r w:rsidRPr="00872293">
        <w:rPr>
          <w:rFonts w:ascii="Times New Roman" w:hAnsi="Times New Roman"/>
          <w:i/>
          <w:iCs/>
        </w:rPr>
        <w:t>campanulata</w:t>
      </w:r>
      <w:proofErr w:type="spellEnd"/>
      <w:r w:rsidRPr="00872293">
        <w:rPr>
          <w:rFonts w:ascii="Times New Roman" w:hAnsi="Times New Roman"/>
        </w:rPr>
        <w:t xml:space="preserve"> and </w:t>
      </w:r>
      <w:r w:rsidRPr="00872293">
        <w:rPr>
          <w:rFonts w:ascii="Times New Roman" w:hAnsi="Times New Roman"/>
          <w:i/>
          <w:iCs/>
        </w:rPr>
        <w:t>M. bidentata</w:t>
      </w:r>
      <w:r w:rsidRPr="00872293">
        <w:rPr>
          <w:rFonts w:ascii="Times New Roman" w:hAnsi="Times New Roman"/>
        </w:rPr>
        <w:t xml:space="preserve"> are from the </w:t>
      </w:r>
      <w:proofErr w:type="spellStart"/>
      <w:r w:rsidRPr="00872293">
        <w:rPr>
          <w:rFonts w:ascii="Times New Roman" w:hAnsi="Times New Roman"/>
        </w:rPr>
        <w:t>asterids</w:t>
      </w:r>
      <w:proofErr w:type="spellEnd"/>
      <w:r w:rsidRPr="00872293">
        <w:rPr>
          <w:rFonts w:ascii="Times New Roman" w:hAnsi="Times New Roman"/>
        </w:rPr>
        <w:t xml:space="preserve"> clade, and the rest belong to the </w:t>
      </w:r>
      <w:proofErr w:type="spellStart"/>
      <w:r w:rsidRPr="00872293">
        <w:rPr>
          <w:rFonts w:ascii="Times New Roman" w:hAnsi="Times New Roman"/>
        </w:rPr>
        <w:t>rosids</w:t>
      </w:r>
      <w:proofErr w:type="spellEnd"/>
      <w:r w:rsidRPr="00872293">
        <w:rPr>
          <w:rFonts w:ascii="Times New Roman" w:hAnsi="Times New Roman"/>
        </w:rPr>
        <w:t xml:space="preserve"> clade. We tested phylogenetic signal and conservatism for root traits from the species presented in this study, but we found no significance due the small number of species and great phylogenetic distance between them.</w:t>
      </w:r>
      <w:r w:rsidR="00D83907" w:rsidRPr="00872293">
        <w:rPr>
          <w:rFonts w:ascii="Times New Roman" w:hAnsi="Times New Roman"/>
        </w:rPr>
        <w:t xml:space="preserve"> Therefore, it was not necessary to account for phylogenetic relatedness in any of the statistical analyses.</w:t>
      </w:r>
    </w:p>
    <w:p w14:paraId="054877CC" w14:textId="77777777" w:rsidR="00617657" w:rsidRPr="00872293" w:rsidRDefault="00617657" w:rsidP="00A20952">
      <w:pPr>
        <w:autoSpaceDE w:val="0"/>
        <w:autoSpaceDN w:val="0"/>
        <w:adjustRightInd w:val="0"/>
        <w:spacing w:line="360" w:lineRule="auto"/>
        <w:rPr>
          <w:rFonts w:ascii="Times New Roman" w:eastAsiaTheme="minorHAnsi" w:hAnsi="Times New Roman" w:cs="Times New Roman"/>
        </w:rPr>
      </w:pPr>
    </w:p>
    <w:p w14:paraId="531C75D7" w14:textId="498A358B" w:rsidR="00A20952" w:rsidRPr="00872293" w:rsidRDefault="00617657" w:rsidP="00A20952">
      <w:pPr>
        <w:spacing w:line="360" w:lineRule="auto"/>
        <w:rPr>
          <w:rFonts w:ascii="Times New Roman" w:hAnsi="Times New Roman" w:cs="Times New Roman"/>
          <w:iCs/>
        </w:rPr>
      </w:pPr>
      <w:r w:rsidRPr="00872293">
        <w:rPr>
          <w:rFonts w:ascii="Times New Roman" w:hAnsi="Times New Roman"/>
        </w:rPr>
        <w:t xml:space="preserve">We sampled three trees from each species, and at least two root clusters from each tree. Root system vouchers were taken by finding individual trees from each species with an above ground identification system, and then tracing roots from the </w:t>
      </w:r>
      <w:proofErr w:type="spellStart"/>
      <w:r w:rsidRPr="00872293">
        <w:rPr>
          <w:rFonts w:ascii="Times New Roman" w:hAnsi="Times New Roman"/>
        </w:rPr>
        <w:t>bole</w:t>
      </w:r>
      <w:proofErr w:type="spellEnd"/>
      <w:r w:rsidRPr="00872293">
        <w:rPr>
          <w:rFonts w:ascii="Times New Roman" w:hAnsi="Times New Roman"/>
        </w:rPr>
        <w:t xml:space="preserve"> until first order roots were found. Only root systems that contained at least 1</w:t>
      </w:r>
      <w:r w:rsidRPr="00872293">
        <w:rPr>
          <w:rFonts w:ascii="Times New Roman" w:hAnsi="Times New Roman"/>
          <w:vertAlign w:val="superscript"/>
        </w:rPr>
        <w:t>st</w:t>
      </w:r>
      <w:r w:rsidRPr="00872293">
        <w:rPr>
          <w:rFonts w:ascii="Times New Roman" w:hAnsi="Times New Roman"/>
        </w:rPr>
        <w:t>, 2</w:t>
      </w:r>
      <w:r w:rsidRPr="00872293">
        <w:rPr>
          <w:rFonts w:ascii="Times New Roman" w:hAnsi="Times New Roman"/>
          <w:vertAlign w:val="superscript"/>
        </w:rPr>
        <w:t>nd</w:t>
      </w:r>
      <w:r w:rsidRPr="00872293">
        <w:rPr>
          <w:rFonts w:ascii="Times New Roman" w:hAnsi="Times New Roman"/>
        </w:rPr>
        <w:t xml:space="preserve"> and 3</w:t>
      </w:r>
      <w:r w:rsidRPr="00872293">
        <w:rPr>
          <w:rFonts w:ascii="Times New Roman" w:hAnsi="Times New Roman"/>
          <w:vertAlign w:val="superscript"/>
        </w:rPr>
        <w:t>rd</w:t>
      </w:r>
      <w:r w:rsidRPr="00872293">
        <w:rPr>
          <w:rFonts w:ascii="Times New Roman" w:hAnsi="Times New Roman"/>
        </w:rPr>
        <w:t xml:space="preserve"> order roots intact were used as root system vouchers. From each voucher taken from the field, we took subsamples of only the 1</w:t>
      </w:r>
      <w:r w:rsidRPr="00872293">
        <w:rPr>
          <w:rFonts w:ascii="Times New Roman" w:hAnsi="Times New Roman"/>
          <w:vertAlign w:val="superscript"/>
        </w:rPr>
        <w:t>st</w:t>
      </w:r>
      <w:r w:rsidRPr="00872293">
        <w:rPr>
          <w:rFonts w:ascii="Times New Roman" w:hAnsi="Times New Roman"/>
        </w:rPr>
        <w:t xml:space="preserve"> </w:t>
      </w:r>
      <w:r w:rsidRPr="00872293">
        <w:rPr>
          <w:rFonts w:ascii="Times New Roman" w:hAnsi="Times New Roman"/>
        </w:rPr>
        <w:lastRenderedPageBreak/>
        <w:t>and 2</w:t>
      </w:r>
      <w:r w:rsidRPr="00872293">
        <w:rPr>
          <w:rFonts w:ascii="Times New Roman" w:hAnsi="Times New Roman"/>
          <w:vertAlign w:val="superscript"/>
        </w:rPr>
        <w:t>nd</w:t>
      </w:r>
      <w:r w:rsidRPr="00872293">
        <w:rPr>
          <w:rFonts w:ascii="Times New Roman" w:hAnsi="Times New Roman"/>
        </w:rPr>
        <w:t xml:space="preserve"> order roots and submerged them in ethanol (75%) for preservation before counting mycorrhizal colonization in the Center of Applied Tropical Ecology and Conservation of the University of Puerto Rico (CATEC, UPR). Another subsample of the first two orders was taken for measuring root phosphatase activity (</w:t>
      </w:r>
      <w:proofErr w:type="spellStart"/>
      <w:r w:rsidRPr="00872293">
        <w:rPr>
          <w:rFonts w:ascii="Times New Roman" w:hAnsi="Times New Roman"/>
        </w:rPr>
        <w:t>phosphomonoesterase</w:t>
      </w:r>
      <w:proofErr w:type="spellEnd"/>
      <w:r w:rsidRPr="00872293">
        <w:rPr>
          <w:rFonts w:ascii="Times New Roman" w:hAnsi="Times New Roman"/>
        </w:rPr>
        <w:t xml:space="preserve">: PME), and was kept cold during transport to Oak Ridge National Laboratory for further analysis </w:t>
      </w:r>
      <w:r w:rsidRPr="00872293">
        <w:rPr>
          <w:rFonts w:ascii="Times New Roman" w:hAnsi="Times New Roman"/>
        </w:rPr>
        <w:fldChar w:fldCharType="begin" w:fldLock="1"/>
      </w:r>
      <w:r w:rsidRPr="00872293">
        <w:rPr>
          <w:rFonts w:ascii="Times New Roman" w:hAnsi="Times New Roman"/>
        </w:rPr>
        <w:instrText>ADDIN CSL_CITATION {"citationItems":[{"id":"ITEM-1","itemData":{"DOI":"10.3389/fpls.2017.01834","ISSN":"1664462X","abstract":"Tropical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Science","id":"ITEM-1","issued":{"date-parts":[["2017"]]},"page":"1834","title":"Root and rhizosphere bacterial phosphatase activity varies with tree species and soil phosphorus availability in puerto rico tropical forest","type":"article-journal","volume":"8"},"uris":["http://www.mendeley.com/documents/?uuid=ee08b569-0c01-4b5f-a00a-3303eaa23e7f"]}],"mendeley":{"formattedCitation":"(Cabugao &lt;i&gt;et al.&lt;/i&gt;, 2017)","manualFormatting":"(ORNL; Cabugao et al., 2017)","plainTextFormattedCitation":"(Cabugao et al., 2017)","previouslyFormattedCitation":"(Cabugao &lt;i&gt;et al.&lt;/i&gt;, 2017)"},"properties":{"noteIndex":0},"schema":"https://github.com/citation-style-language/schema/raw/master/csl-citation.json"}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(ORNL; Cabugao </w:t>
      </w:r>
      <w:r w:rsidRPr="00872293">
        <w:rPr>
          <w:rFonts w:ascii="Times New Roman" w:hAnsi="Times New Roman"/>
          <w:i/>
          <w:noProof/>
        </w:rPr>
        <w:t>et al.</w:t>
      </w:r>
      <w:r w:rsidRPr="00872293">
        <w:rPr>
          <w:rFonts w:ascii="Times New Roman" w:hAnsi="Times New Roman"/>
          <w:noProof/>
        </w:rPr>
        <w:t>, 2017)</w:t>
      </w:r>
      <w:r w:rsidRPr="00872293">
        <w:rPr>
          <w:rFonts w:ascii="Times New Roman" w:hAnsi="Times New Roman"/>
        </w:rPr>
        <w:fldChar w:fldCharType="end"/>
      </w:r>
      <w:r w:rsidRPr="00872293">
        <w:rPr>
          <w:rFonts w:ascii="Times New Roman" w:hAnsi="Times New Roman"/>
        </w:rPr>
        <w:t xml:space="preserve">. The rest of the samples were stored in plastic bags in a refrigerator (for no more than 1 week) before analyzing them for morphology and architecture at the USDA </w:t>
      </w:r>
      <w:r w:rsidR="0028754F" w:rsidRPr="00872293">
        <w:rPr>
          <w:rFonts w:ascii="Times New Roman" w:hAnsi="Times New Roman"/>
        </w:rPr>
        <w:t xml:space="preserve">Forest Service </w:t>
      </w:r>
      <w:proofErr w:type="spellStart"/>
      <w:r w:rsidRPr="00872293">
        <w:rPr>
          <w:rFonts w:ascii="Times New Roman" w:hAnsi="Times New Roman"/>
        </w:rPr>
        <w:t>Sabana</w:t>
      </w:r>
      <w:proofErr w:type="spellEnd"/>
      <w:r w:rsidRPr="00872293">
        <w:rPr>
          <w:rFonts w:ascii="Times New Roman" w:hAnsi="Times New Roman"/>
        </w:rPr>
        <w:t xml:space="preserve"> Field </w:t>
      </w:r>
      <w:r w:rsidR="0028754F" w:rsidRPr="00872293">
        <w:rPr>
          <w:rFonts w:ascii="Times New Roman" w:hAnsi="Times New Roman"/>
        </w:rPr>
        <w:t xml:space="preserve">Research </w:t>
      </w:r>
      <w:r w:rsidRPr="00872293">
        <w:rPr>
          <w:rFonts w:ascii="Times New Roman" w:hAnsi="Times New Roman"/>
        </w:rPr>
        <w:t xml:space="preserve">Station Puerto Rico. </w:t>
      </w:r>
      <w:r w:rsidRPr="00872293">
        <w:rPr>
          <w:rFonts w:ascii="Times New Roman" w:hAnsi="Times New Roman"/>
          <w:iCs/>
        </w:rPr>
        <w:t xml:space="preserve">Due to collection restrictions, we were only able to measure mycorrhizal colonization from six species and </w:t>
      </w:r>
      <w:r w:rsidRPr="00872293">
        <w:rPr>
          <w:rFonts w:ascii="Times New Roman" w:hAnsi="Times New Roman"/>
        </w:rPr>
        <w:t>root PME</w:t>
      </w:r>
      <w:r w:rsidRPr="00872293">
        <w:rPr>
          <w:rFonts w:ascii="Times New Roman" w:hAnsi="Times New Roman"/>
          <w:iCs/>
        </w:rPr>
        <w:t xml:space="preserve"> from four species.</w:t>
      </w:r>
      <w:r w:rsidR="00A20952" w:rsidRPr="00872293">
        <w:rPr>
          <w:rFonts w:ascii="Times New Roman" w:hAnsi="Times New Roman" w:cs="Times New Roman"/>
          <w:iCs/>
        </w:rPr>
        <w:t xml:space="preserve"> </w:t>
      </w:r>
    </w:p>
    <w:p w14:paraId="5635018B" w14:textId="77777777" w:rsidR="002708DB" w:rsidRPr="00872293" w:rsidRDefault="002708DB" w:rsidP="00A20952">
      <w:pPr>
        <w:spacing w:line="360" w:lineRule="auto"/>
        <w:rPr>
          <w:rFonts w:ascii="Times New Roman" w:hAnsi="Times New Roman" w:cs="Times New Roman"/>
        </w:rPr>
      </w:pPr>
    </w:p>
    <w:p w14:paraId="05E19E56" w14:textId="77777777" w:rsidR="00A20952" w:rsidRPr="00872293" w:rsidRDefault="00A20952" w:rsidP="005D5838">
      <w:pPr>
        <w:pStyle w:val="Heading3"/>
        <w:spacing w:before="0" w:after="0" w:line="360" w:lineRule="auto"/>
        <w:rPr>
          <w:rFonts w:cs="Times New Roman"/>
        </w:rPr>
      </w:pPr>
      <w:bookmarkStart w:id="132" w:name="_Toc53689100"/>
      <w:r w:rsidRPr="00872293">
        <w:rPr>
          <w:rFonts w:cs="Times New Roman"/>
        </w:rPr>
        <w:t>Root morphological trait measurements</w:t>
      </w:r>
      <w:bookmarkEnd w:id="132"/>
    </w:p>
    <w:p w14:paraId="3B840BEE" w14:textId="73047DC6" w:rsidR="00A20952" w:rsidRPr="00872293" w:rsidRDefault="006242EF" w:rsidP="005D5838">
      <w:pPr>
        <w:spacing w:before="240" w:line="360" w:lineRule="auto"/>
        <w:rPr>
          <w:rFonts w:ascii="Times New Roman" w:hAnsi="Times New Roman"/>
        </w:rPr>
      </w:pPr>
      <w:r w:rsidRPr="00872293">
        <w:rPr>
          <w:rFonts w:ascii="Times New Roman" w:hAnsi="Times New Roman"/>
        </w:rPr>
        <w:t xml:space="preserve">We measured root architecture by counting root branching ratio (the number of first order roots for each second order root) and root branching intensity (the number of first order roots for every 1 cm of second order root). Once roots were separated by order, we scanned them separately using </w:t>
      </w:r>
      <w:proofErr w:type="spellStart"/>
      <w:r w:rsidRPr="00872293">
        <w:rPr>
          <w:rFonts w:ascii="Times New Roman" w:hAnsi="Times New Roman"/>
        </w:rPr>
        <w:t>WinRhizo</w:t>
      </w:r>
      <w:proofErr w:type="spellEnd"/>
      <w:r w:rsidRPr="00872293">
        <w:rPr>
          <w:rFonts w:ascii="Times New Roman" w:hAnsi="Times New Roman"/>
        </w:rPr>
        <w:t xml:space="preserve"> software (</w:t>
      </w:r>
      <w:r w:rsidRPr="00872293">
        <w:rPr>
          <w:rFonts w:ascii="Times New Roman" w:hAnsi="Times New Roman"/>
          <w:bCs/>
        </w:rPr>
        <w:t>Version 12</w:t>
      </w:r>
      <w:r w:rsidRPr="00872293">
        <w:rPr>
          <w:rFonts w:ascii="Times New Roman" w:hAnsi="Times New Roman"/>
        </w:rPr>
        <w:t>) to obtain root length and diameter. We then dried all samples in an oven at 65</w:t>
      </w:r>
      <w:r w:rsidRPr="00872293">
        <w:rPr>
          <w:rFonts w:ascii="Times New Roman" w:hAnsi="Times New Roman"/>
          <w:vertAlign w:val="superscript"/>
        </w:rPr>
        <w:t>o</w:t>
      </w:r>
      <w:r w:rsidRPr="00872293">
        <w:rPr>
          <w:rFonts w:ascii="Times New Roman" w:hAnsi="Times New Roman"/>
        </w:rPr>
        <w:t>C for 48 hours. Once dried, we weighed the samples separately. Specific root length (SRL) was calculated by dividing root length by dry root weight.</w:t>
      </w:r>
    </w:p>
    <w:p w14:paraId="0E59FA63" w14:textId="77777777" w:rsidR="002708DB" w:rsidRPr="00872293" w:rsidRDefault="002708DB" w:rsidP="00327163">
      <w:pPr>
        <w:spacing w:line="360" w:lineRule="auto"/>
        <w:rPr>
          <w:rFonts w:ascii="Times New Roman" w:hAnsi="Times New Roman" w:cs="Times New Roman"/>
        </w:rPr>
      </w:pPr>
    </w:p>
    <w:p w14:paraId="53CA7643" w14:textId="77777777" w:rsidR="00A20952" w:rsidRPr="00872293" w:rsidRDefault="00A20952" w:rsidP="005D5838">
      <w:pPr>
        <w:pStyle w:val="Heading3"/>
        <w:spacing w:before="0" w:after="0" w:line="360" w:lineRule="auto"/>
        <w:rPr>
          <w:rFonts w:cs="Times New Roman"/>
        </w:rPr>
      </w:pPr>
      <w:bookmarkStart w:id="133" w:name="_Toc53689101"/>
      <w:r w:rsidRPr="00872293">
        <w:rPr>
          <w:rFonts w:cs="Times New Roman"/>
        </w:rPr>
        <w:t>Root P concentration</w:t>
      </w:r>
      <w:bookmarkEnd w:id="133"/>
    </w:p>
    <w:p w14:paraId="1AA01E7C" w14:textId="5AEA0E4D" w:rsidR="006242EF" w:rsidRPr="00872293" w:rsidRDefault="006242EF" w:rsidP="005D5838">
      <w:pPr>
        <w:spacing w:before="240" w:line="360" w:lineRule="auto"/>
        <w:rPr>
          <w:rFonts w:ascii="Times New Roman" w:hAnsi="Times New Roman"/>
          <w:bCs/>
        </w:rPr>
      </w:pPr>
      <w:r w:rsidRPr="00872293">
        <w:rPr>
          <w:rFonts w:ascii="Times New Roman" w:hAnsi="Times New Roman"/>
        </w:rPr>
        <w:t>Dried samples used for morphological and architectural traits were shipped to ORNL where we used them to measure phosphorus (P) concentration of the first three orders of each species separately. When there was not enough first order roots to perform a P digestion, we combined 1</w:t>
      </w:r>
      <w:r w:rsidRPr="00872293">
        <w:rPr>
          <w:rFonts w:ascii="Times New Roman" w:hAnsi="Times New Roman"/>
          <w:vertAlign w:val="superscript"/>
        </w:rPr>
        <w:t>st</w:t>
      </w:r>
      <w:r w:rsidRPr="00872293">
        <w:rPr>
          <w:rFonts w:ascii="Times New Roman" w:hAnsi="Times New Roman"/>
        </w:rPr>
        <w:t xml:space="preserve"> and 2</w:t>
      </w:r>
      <w:r w:rsidRPr="00872293">
        <w:rPr>
          <w:rFonts w:ascii="Times New Roman" w:hAnsi="Times New Roman"/>
          <w:vertAlign w:val="superscript"/>
        </w:rPr>
        <w:t>nd</w:t>
      </w:r>
      <w:r w:rsidRPr="00872293">
        <w:rPr>
          <w:rFonts w:ascii="Times New Roman" w:hAnsi="Times New Roman"/>
        </w:rPr>
        <w:t xml:space="preserve"> orders, since we have tested that these root orders do not present significant different P concentration and are classified as “absorptive” roots (Yaffar &amp; Norby, dataset). We only report concentrations of the first two orders. We</w:t>
      </w:r>
      <w:r w:rsidRPr="00872293">
        <w:rPr>
          <w:rFonts w:ascii="Times New Roman" w:hAnsi="Times New Roman"/>
          <w:bCs/>
        </w:rPr>
        <w:t xml:space="preserve"> ground the samples in </w:t>
      </w:r>
      <w:r w:rsidRPr="00872293">
        <w:rPr>
          <w:rFonts w:ascii="Times New Roman" w:hAnsi="Times New Roman"/>
        </w:rPr>
        <w:t>50 mL falcon tubes using a Geno/Grinder 2010 (</w:t>
      </w:r>
      <w:proofErr w:type="spellStart"/>
      <w:r w:rsidRPr="00872293">
        <w:rPr>
          <w:rFonts w:ascii="Times New Roman" w:hAnsi="Times New Roman"/>
        </w:rPr>
        <w:t>Spex</w:t>
      </w:r>
      <w:proofErr w:type="spellEnd"/>
      <w:r w:rsidRPr="00872293">
        <w:rPr>
          <w:rFonts w:ascii="Times New Roman" w:hAnsi="Times New Roman"/>
        </w:rPr>
        <w:t xml:space="preserve"> Sampler Prep, Metuchen, New Jersey, USA) and we weighed 100 mg of ground root samples (some cases tissue sample was less, and we used the same weight for the standard to verify the results). We analyzed total root P using a </w:t>
      </w:r>
      <w:proofErr w:type="spellStart"/>
      <w:r w:rsidRPr="00872293">
        <w:rPr>
          <w:rFonts w:ascii="Times New Roman" w:hAnsi="Times New Roman"/>
        </w:rPr>
        <w:t>Lachat</w:t>
      </w:r>
      <w:proofErr w:type="spellEnd"/>
      <w:r w:rsidRPr="00872293">
        <w:rPr>
          <w:rFonts w:ascii="Times New Roman" w:hAnsi="Times New Roman"/>
        </w:rPr>
        <w:t xml:space="preserve"> BD40 block digestor for the high temperature digestion</w:t>
      </w:r>
      <w:r w:rsidR="0028754F" w:rsidRPr="00872293">
        <w:rPr>
          <w:rFonts w:ascii="Times New Roman" w:hAnsi="Times New Roman"/>
        </w:rPr>
        <w:t xml:space="preserve">, followed by </w:t>
      </w:r>
      <w:proofErr w:type="spellStart"/>
      <w:r w:rsidR="0028754F" w:rsidRPr="00872293">
        <w:rPr>
          <w:rFonts w:ascii="Times New Roman" w:hAnsi="Times New Roman"/>
        </w:rPr>
        <w:t>colometric</w:t>
      </w:r>
      <w:proofErr w:type="spellEnd"/>
      <w:r w:rsidR="0028754F" w:rsidRPr="00872293">
        <w:rPr>
          <w:rFonts w:ascii="Times New Roman" w:hAnsi="Times New Roman"/>
        </w:rPr>
        <w:t xml:space="preserve"> analysis on </w:t>
      </w:r>
      <w:r w:rsidRPr="00872293">
        <w:rPr>
          <w:rFonts w:ascii="Times New Roman" w:hAnsi="Times New Roman"/>
        </w:rPr>
        <w:t xml:space="preserve">a </w:t>
      </w:r>
      <w:proofErr w:type="spellStart"/>
      <w:r w:rsidRPr="00872293">
        <w:rPr>
          <w:rFonts w:ascii="Times New Roman" w:hAnsi="Times New Roman"/>
        </w:rPr>
        <w:t>Lachat</w:t>
      </w:r>
      <w:proofErr w:type="spellEnd"/>
      <w:r w:rsidRPr="00872293">
        <w:rPr>
          <w:rFonts w:ascii="Times New Roman" w:hAnsi="Times New Roman"/>
        </w:rPr>
        <w:t xml:space="preserve"> </w:t>
      </w:r>
      <w:proofErr w:type="spellStart"/>
      <w:r w:rsidRPr="00872293">
        <w:rPr>
          <w:rFonts w:ascii="Times New Roman" w:hAnsi="Times New Roman"/>
        </w:rPr>
        <w:t>QuikChem</w:t>
      </w:r>
      <w:proofErr w:type="spellEnd"/>
      <w:r w:rsidRPr="00872293">
        <w:rPr>
          <w:rFonts w:ascii="Times New Roman" w:hAnsi="Times New Roman"/>
        </w:rPr>
        <w:t xml:space="preserve"> 8000 </w:t>
      </w:r>
      <w:r w:rsidRPr="00872293">
        <w:rPr>
          <w:rFonts w:ascii="Times New Roman" w:hAnsi="Times New Roman"/>
        </w:rPr>
        <w:lastRenderedPageBreak/>
        <w:t>series for the flow injection analysis (</w:t>
      </w:r>
      <w:proofErr w:type="spellStart"/>
      <w:r w:rsidRPr="00872293">
        <w:rPr>
          <w:rFonts w:ascii="Times New Roman" w:hAnsi="Times New Roman"/>
        </w:rPr>
        <w:t>Lachat</w:t>
      </w:r>
      <w:proofErr w:type="spellEnd"/>
      <w:r w:rsidRPr="00872293">
        <w:rPr>
          <w:rFonts w:ascii="Times New Roman" w:hAnsi="Times New Roman"/>
        </w:rPr>
        <w:t xml:space="preserve"> instruments, 2005). </w:t>
      </w:r>
      <w:r w:rsidRPr="00872293">
        <w:rPr>
          <w:rFonts w:ascii="Times New Roman" w:hAnsi="Times New Roman"/>
          <w:bCs/>
        </w:rPr>
        <w:t xml:space="preserve">We follow the protocol described in </w:t>
      </w:r>
      <w:proofErr w:type="spellStart"/>
      <w:r w:rsidRPr="00872293">
        <w:rPr>
          <w:rFonts w:ascii="Times New Roman" w:hAnsi="Times New Roman"/>
          <w:bCs/>
        </w:rPr>
        <w:t>Cabugao</w:t>
      </w:r>
      <w:proofErr w:type="spellEnd"/>
      <w:r w:rsidRPr="00872293">
        <w:rPr>
          <w:rFonts w:ascii="Times New Roman" w:hAnsi="Times New Roman"/>
          <w:bCs/>
        </w:rPr>
        <w:t xml:space="preserve"> </w:t>
      </w:r>
      <w:r w:rsidRPr="00872293">
        <w:rPr>
          <w:rFonts w:ascii="Times New Roman" w:hAnsi="Times New Roman"/>
          <w:bCs/>
          <w:i/>
          <w:iCs/>
        </w:rPr>
        <w:t>et al.</w:t>
      </w:r>
      <w:r w:rsidRPr="00872293">
        <w:rPr>
          <w:rFonts w:ascii="Times New Roman" w:hAnsi="Times New Roman"/>
          <w:bCs/>
        </w:rPr>
        <w:t xml:space="preserve"> (</w:t>
      </w:r>
      <w:r w:rsidRPr="00872293">
        <w:rPr>
          <w:rFonts w:ascii="Times New Roman" w:hAnsi="Times New Roman"/>
          <w:bCs/>
          <w:i/>
          <w:iCs/>
        </w:rPr>
        <w:t xml:space="preserve">in </w:t>
      </w:r>
      <w:r w:rsidR="00D83907" w:rsidRPr="00872293">
        <w:rPr>
          <w:rFonts w:ascii="Times New Roman" w:hAnsi="Times New Roman"/>
          <w:bCs/>
          <w:i/>
          <w:iCs/>
        </w:rPr>
        <w:t>press</w:t>
      </w:r>
      <w:r w:rsidRPr="00872293">
        <w:rPr>
          <w:rFonts w:ascii="Times New Roman" w:hAnsi="Times New Roman"/>
          <w:bCs/>
        </w:rPr>
        <w:t>).</w:t>
      </w:r>
    </w:p>
    <w:p w14:paraId="60338CB1" w14:textId="77777777" w:rsidR="00154E89" w:rsidRPr="00872293" w:rsidRDefault="00154E89" w:rsidP="00327163">
      <w:pPr>
        <w:spacing w:line="360" w:lineRule="auto"/>
        <w:rPr>
          <w:rFonts w:ascii="Times New Roman" w:hAnsi="Times New Roman"/>
          <w:bCs/>
        </w:rPr>
      </w:pPr>
    </w:p>
    <w:p w14:paraId="265C845B" w14:textId="77777777" w:rsidR="00A20952" w:rsidRPr="00872293" w:rsidRDefault="00A20952" w:rsidP="005D5838">
      <w:pPr>
        <w:pStyle w:val="Heading3"/>
        <w:spacing w:before="0" w:after="0" w:line="360" w:lineRule="auto"/>
        <w:rPr>
          <w:rFonts w:cs="Times New Roman"/>
        </w:rPr>
      </w:pPr>
      <w:bookmarkStart w:id="134" w:name="_Toc53689102"/>
      <w:r w:rsidRPr="00872293">
        <w:rPr>
          <w:rFonts w:cs="Times New Roman"/>
        </w:rPr>
        <w:t>Mycorrhizal colonization analysis</w:t>
      </w:r>
      <w:bookmarkEnd w:id="134"/>
    </w:p>
    <w:p w14:paraId="25B768C8" w14:textId="6BE1970A" w:rsidR="00F5314A" w:rsidRPr="00872293" w:rsidRDefault="00F5314A" w:rsidP="005D5838">
      <w:pPr>
        <w:spacing w:before="240" w:line="360" w:lineRule="auto"/>
        <w:rPr>
          <w:rFonts w:ascii="Times New Roman" w:hAnsi="Times New Roman"/>
        </w:rPr>
      </w:pPr>
      <w:r w:rsidRPr="00872293">
        <w:rPr>
          <w:rFonts w:ascii="Times New Roman" w:eastAsia="Times New Roman" w:hAnsi="Times New Roman"/>
          <w:shd w:val="clear" w:color="auto" w:fill="FFFFFF"/>
        </w:rPr>
        <w:t>Samples</w:t>
      </w:r>
      <w:r w:rsidRPr="00872293">
        <w:rPr>
          <w:rFonts w:ascii="Times New Roman" w:hAnsi="Times New Roman"/>
        </w:rPr>
        <w:t xml:space="preserve"> previously submerged in ethanol (75%) were cleared, stained and de-stained following the protocol from </w:t>
      </w:r>
      <w:proofErr w:type="spellStart"/>
      <w:r w:rsidRPr="00872293">
        <w:rPr>
          <w:rFonts w:ascii="Times New Roman" w:hAnsi="Times New Roman"/>
        </w:rPr>
        <w:t>Kormanik</w:t>
      </w:r>
      <w:proofErr w:type="spellEnd"/>
      <w:r w:rsidRPr="00872293">
        <w:rPr>
          <w:rFonts w:ascii="Times New Roman" w:hAnsi="Times New Roman"/>
        </w:rPr>
        <w:t xml:space="preserve"> and McGraw (1982) to measure the percentage of mycorrhizal fungal colonization. This process consisted of first clearing root cytoplasm and nuclei with potassium hydroxide (KOH) to allow staining penetration. To allow faster clearing, we placed the KOH container with the samples to a water bath at 40</w:t>
      </w:r>
      <w:r w:rsidRPr="00872293">
        <w:rPr>
          <w:rFonts w:ascii="Times New Roman" w:hAnsi="Times New Roman"/>
          <w:vertAlign w:val="superscript"/>
        </w:rPr>
        <w:t>o</w:t>
      </w:r>
      <w:r w:rsidRPr="00872293">
        <w:rPr>
          <w:rFonts w:ascii="Times New Roman" w:hAnsi="Times New Roman"/>
        </w:rPr>
        <w:t xml:space="preserve">C. We then stained the roots with acid fuchsin and de-stained them in glycerol, so fungi could be observed in the roots. We transferred the samples to a slide placed lengthwise parallel to the long side of the slide. There was at least three slide-lengths of roots per slide to reach roughly 100 counts per slide. We scored mycorrhizae with a compound microscope set to 200X magnification following the </w:t>
      </w:r>
      <w:r w:rsidRPr="00872293">
        <w:rPr>
          <w:rFonts w:ascii="Times New Roman" w:hAnsi="Times New Roman"/>
        </w:rPr>
        <w:fldChar w:fldCharType="begin" w:fldLock="1"/>
      </w:r>
      <w:r w:rsidRPr="00872293">
        <w:rPr>
          <w:rFonts w:ascii="Times New Roman" w:hAnsi="Times New Roman"/>
        </w:rPr>
        <w:instrText>ADDIN CSL_CITATION {"citationItems":[{"id":"ITEM-1","itemData":{"DOI":"10.1111/j.1469-8137.1990.tb00476.x","ISSN":"14698137","abstract":"Previously described methods to quantify the proportion of root length colonized by vesicular‐arbuscular (VA) mycorrhizal fungi are reviewed. It is argued that these methods give observer‐dependent measures of colonization which cannot be used to compare, quantitatively, roots examined by different researchers. A modified method is described here to estimate VA mycorrhizal colonization on an objective scale of measurement, involving inspection of intersections between the microscope eyepiece crosshair and roots at magnification × 200; it is referred to as the magnified intersections method. Whether the vertical eyepiece crosshair crosses one or more arbuscules is noted at each intersection. The estimate of colonization is the proportion of root length containing arbuscules, called the arbuscular colonization (AC). The magnified intersections method also determines the proportion of root length containing vesicles, the vesicular colonization (VC), and the proportion of root length containing hyphae, the hyphal colonization (HC). However, VC and HC should be interpreted with caution because vesicles and hyphae, unlike arbuscules, can be produced in roots by non‐mycorrhizal fungi. Copyright © 1990, Wiley Blackwell. All rights reserved","author":[{"dropping-particle":"","family":"McGonigle","given":"T. P.","non-dropping-particle":"","parse-names":false,"suffix":""},{"dropping-particle":"","family":"Miller","given":"M. H.","non-dropping-particle":"","parse-names":false,"suffix":""},{"dropping-particle":"","family":"Evans","given":"D. G.","non-dropping-particle":"","parse-names":false,"suffix":""},{"dropping-particle":"","family":"Fairchild","given":"G. L.","non-dropping-particle":"","parse-names":false,"suffix":""},{"dropping-particle":"","family":"Swan","given":"J. A.","non-dropping-particle":"","parse-names":false,"suffix":""}],"container-title":"New Phytologist","id":"ITEM-1","issue":"3","issued":{"date-parts":[["1990"]]},"page":"495-501","title":"A new method which gives an objective measure of colonization of roots by vesicular—arbuscular mycorrhizal fungi","type":"article-journal","volume":"115"},"uris":["http://www.mendeley.com/documents/?uuid=cb2fa9cd-ab86-4a17-8640-38ec67d5791b"]}],"mendeley":{"formattedCitation":"(McGonigle &lt;i&gt;et al.&lt;/i&gt;, 1990)","manualFormatting":"McGonigle et al. (1990)","plainTextFormattedCitation":"(McGonigle et al., 1990)","previouslyFormattedCitation":"(McGonigle &lt;i&gt;et al.&lt;/i&gt;, 1990)"},"properties":{"noteIndex":0},"schema":"https://github.com/citation-style-language/schema/raw/master/csl-citation.json"}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McGonigle </w:t>
      </w:r>
      <w:r w:rsidRPr="00872293">
        <w:rPr>
          <w:rFonts w:ascii="Times New Roman" w:hAnsi="Times New Roman"/>
          <w:i/>
          <w:noProof/>
        </w:rPr>
        <w:t>et al.</w:t>
      </w:r>
      <w:r w:rsidRPr="00872293">
        <w:rPr>
          <w:rFonts w:ascii="Times New Roman" w:hAnsi="Times New Roman"/>
          <w:noProof/>
        </w:rPr>
        <w:t xml:space="preserve"> (1990)</w:t>
      </w:r>
      <w:r w:rsidRPr="00872293">
        <w:rPr>
          <w:rFonts w:ascii="Times New Roman" w:hAnsi="Times New Roman"/>
        </w:rPr>
        <w:fldChar w:fldCharType="end"/>
      </w:r>
      <w:r w:rsidRPr="00872293">
        <w:rPr>
          <w:rFonts w:ascii="Times New Roman" w:hAnsi="Times New Roman"/>
        </w:rPr>
        <w:t xml:space="preserve"> protocol. We did not differentiate mycorrhizal structures (e.g. hyphae, </w:t>
      </w:r>
      <w:proofErr w:type="spellStart"/>
      <w:r w:rsidRPr="00872293">
        <w:rPr>
          <w:rFonts w:ascii="Times New Roman" w:hAnsi="Times New Roman"/>
        </w:rPr>
        <w:t>arbuscle</w:t>
      </w:r>
      <w:proofErr w:type="spellEnd"/>
      <w:r w:rsidRPr="00872293">
        <w:rPr>
          <w:rFonts w:ascii="Times New Roman" w:hAnsi="Times New Roman"/>
        </w:rPr>
        <w:t>, vesicle), and we counted all structures only as “presence”. We reported logit transformed percent of proportion of non-negative intercepts and total intercepts.</w:t>
      </w:r>
    </w:p>
    <w:p w14:paraId="486C4EB2" w14:textId="77777777" w:rsidR="00154E89" w:rsidRPr="00872293" w:rsidRDefault="00154E89" w:rsidP="005D5838">
      <w:pPr>
        <w:spacing w:line="360" w:lineRule="auto"/>
        <w:rPr>
          <w:rFonts w:ascii="Times New Roman" w:hAnsi="Times New Roman"/>
        </w:rPr>
      </w:pPr>
    </w:p>
    <w:p w14:paraId="4A4B195B" w14:textId="77777777" w:rsidR="00A20952" w:rsidRPr="00872293" w:rsidRDefault="00A20952" w:rsidP="005D5838">
      <w:pPr>
        <w:pStyle w:val="Heading3"/>
        <w:spacing w:before="0" w:after="0" w:line="360" w:lineRule="auto"/>
        <w:rPr>
          <w:rFonts w:cs="Times New Roman"/>
        </w:rPr>
      </w:pPr>
      <w:bookmarkStart w:id="135" w:name="_Toc53689103"/>
      <w:r w:rsidRPr="00872293">
        <w:rPr>
          <w:rFonts w:cs="Times New Roman"/>
        </w:rPr>
        <w:t>Root phosphatase activity</w:t>
      </w:r>
      <w:bookmarkEnd w:id="135"/>
    </w:p>
    <w:p w14:paraId="1EAB7C94" w14:textId="77777777" w:rsidR="00F5314A" w:rsidRPr="00872293" w:rsidRDefault="00F5314A" w:rsidP="005D5838">
      <w:pPr>
        <w:spacing w:before="240" w:line="360" w:lineRule="auto"/>
        <w:rPr>
          <w:rFonts w:ascii="Times New Roman" w:hAnsi="Times New Roman"/>
        </w:rPr>
      </w:pPr>
      <w:r w:rsidRPr="00872293">
        <w:rPr>
          <w:rFonts w:ascii="Times New Roman" w:hAnsi="Times New Roman"/>
        </w:rPr>
        <w:t>Subsamples of 1</w:t>
      </w:r>
      <w:r w:rsidRPr="00872293">
        <w:rPr>
          <w:rFonts w:ascii="Times New Roman" w:hAnsi="Times New Roman"/>
          <w:vertAlign w:val="superscript"/>
        </w:rPr>
        <w:t>st</w:t>
      </w:r>
      <w:r w:rsidRPr="00872293">
        <w:rPr>
          <w:rFonts w:ascii="Times New Roman" w:hAnsi="Times New Roman"/>
        </w:rPr>
        <w:t xml:space="preserve"> and 2</w:t>
      </w:r>
      <w:r w:rsidRPr="00872293">
        <w:rPr>
          <w:rFonts w:ascii="Times New Roman" w:hAnsi="Times New Roman"/>
          <w:vertAlign w:val="superscript"/>
        </w:rPr>
        <w:t>nd</w:t>
      </w:r>
      <w:r w:rsidRPr="00872293">
        <w:rPr>
          <w:rFonts w:ascii="Times New Roman" w:hAnsi="Times New Roman"/>
        </w:rPr>
        <w:t xml:space="preserve"> orders (absorptive) roots were analyzed for </w:t>
      </w:r>
      <w:proofErr w:type="spellStart"/>
      <w:r w:rsidRPr="00872293">
        <w:rPr>
          <w:rFonts w:ascii="Times New Roman" w:hAnsi="Times New Roman"/>
        </w:rPr>
        <w:t>phosphomonoesterase</w:t>
      </w:r>
      <w:proofErr w:type="spellEnd"/>
      <w:r w:rsidRPr="00872293">
        <w:rPr>
          <w:rFonts w:ascii="Times New Roman" w:hAnsi="Times New Roman"/>
        </w:rPr>
        <w:t xml:space="preserve"> (PME) activities using a modified version of the colorimetric para-nitrophenyl phosphate (</w:t>
      </w:r>
      <w:proofErr w:type="spellStart"/>
      <w:r w:rsidRPr="00872293">
        <w:rPr>
          <w:rFonts w:ascii="Times New Roman" w:hAnsi="Times New Roman"/>
        </w:rPr>
        <w:t>pNPP</w:t>
      </w:r>
      <w:proofErr w:type="spellEnd"/>
      <w:r w:rsidRPr="00872293">
        <w:rPr>
          <w:rFonts w:ascii="Times New Roman" w:hAnsi="Times New Roman"/>
        </w:rPr>
        <w:t>) assay</w:t>
      </w:r>
      <w:r w:rsidRPr="00872293">
        <w:rPr>
          <w:rFonts w:ascii="Times New Roman" w:hAnsi="Times New Roman"/>
        </w:rPr>
        <w:fldChar w:fldCharType="begin" w:fldLock="1"/>
      </w:r>
      <w:r w:rsidRPr="00872293">
        <w:rPr>
          <w:rFonts w:ascii="Times New Roman" w:hAnsi="Times New Roman"/>
        </w:rPr>
        <w:instrText>ADDIN CSL_CITATION {"citationItems":[{"id":"ITEM-1","itemData":{"DOI":"10.1016/0038-0717(69)90012-1","ISSN":"00380717","abstract":"A simple method of assaying soil phosphatase activity is described. It involves colorimetric estimation of the p-nitrophenol released by phosphatase activity when soil is incubated with buffered (pH 6·5) sodium p-nitrophenyl phosphate solution and toluene at 37° C for 1 hr. The method is rapid and precise, and it has significant advantages over methods previously proposed for assay of soil phosphatase activity. © 1969.","author":[{"dropping-particle":"","family":"Tabatabai","given":"M. A.","non-dropping-particle":"","parse-names":false,"suffix":""},{"dropping-particle":"","family":"Bremner","given":"J. M.","non-dropping-particle":"","parse-names":false,"suffix":""}],"container-title":"Soil Biology and Biochemistry","id":"ITEM-1","issue":"4","issued":{"date-parts":[["1969"]]},"page":"301-307","title":"Use of p-nitrophenyl phosphate for assay of soil phosphatase activity","type":"article-journal","volume":"1"},"uris":["http://www.mendeley.com/documents/?uuid=b881f763-4e2e-4c53-8c35-fc0845caf041"]}],"mendeley":{"formattedCitation":"(Tabatabai &amp; Bremner, 1969)","manualFormatting":" (Tabatabai &amp; Bremner, 1969; Cabugao et al., 2017; Png et al., 2017)","plainTextFormattedCitation":"(Tabatabai &amp; Bremner, 1969)","previouslyFormattedCitation":"(Tabatabai &amp; Bremner, 1969)"},"properties":{"noteIndex":0},"schema":"https://github.com/citation-style-language/schema/raw/master/csl-citation.json"}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 </w:t>
      </w:r>
      <w:r w:rsidRPr="00872293">
        <w:rPr>
          <w:rFonts w:ascii="Times New Roman" w:hAnsi="Times New Roman"/>
          <w:noProof/>
        </w:rPr>
        <w:fldChar w:fldCharType="begin" w:fldLock="1"/>
      </w:r>
      <w:r w:rsidRPr="00872293">
        <w:rPr>
          <w:rFonts w:ascii="Times New Roman" w:hAnsi="Times New Roman"/>
          <w:noProof/>
        </w:rPr>
        <w:instrText>ADDIN CSL_CITATION {"citationItems":[{"id":"ITEM-1","itemData":{"DOI":"10.3389/fpls.2017.01834","ISSN":"1664462X","abstract":"Tropical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Science","id":"ITEM-1","issued":{"date-parts":[["2017"]]},"page":"1834","title":"Root and rhizosphere bacterial phosphatase activity varies with tree species and soil phosphorus availability in puerto rico tropical forest","type":"article-journal","volume":"8"},"uris":["http://www.mendeley.com/documents/?uuid=ee08b569-0c01-4b5f-a00a-3303eaa23e7f"]},{"id":"ITEM-2","itemData":{"DOI":"10.1016/0038-0717(69)90012-1","ISSN":"00380717","abstract":"A simple method of assaying soil phosphatase activity is described. It involves colorimetric estimation of the p-nitrophenol released by phosphatase activity when soil is incubated with buffered (pH 6·5) sodium p-nitrophenyl phosphate solution and toluene at 37° C for 1 hr. The method is rapid and precise, and it has significant advantages over methods previously proposed for assay of soil phosphatase activity. © 1969.","author":[{"dropping-particle":"","family":"Tabatabai","given":"M. A.","non-dropping-particle":"","parse-names":false,"suffix":""},{"dropping-particle":"","family":"Bremner","given":"J. M.","non-dropping-particle":"","parse-names":false,"suffix":""}],"container-title":"Soil Biology and Biochemistry","id":"ITEM-2","issue":"4","issued":{"date-parts":[["1969"]]},"page":"301-307","title":"Use of p-nitrophenyl phosphate for assay of soil phosphatase activity","type":"article-journal","volume":"1"},"uris":["http://www.mendeley.com/documents/?uuid=b881f763-4e2e-4c53-8c35-fc0845caf041"]},{"id":"ITEM-3","itemData":{"DOI":"10.1111/1365-2745.12758","ISSN":"13652745","abstract":"The abundance of nitrogen (N)-fixing plants in ecosystems where phosphorus (P) limits plant productivity poses a paradox because N fixation entails a high P cost. One explanation for this paradox is that the N-fixing strategy allows greater root phosphatase activity to enhance P acquisition from organic sources, but evidence to support this contention is limited. We measured root phosphomonoesterase (PME) activity of 10 N-fixing species, including rhizobial legumes and actinorhizal Allocasuarina species, and eight non-N-fixing species across a retrogressive soil chronosequence showing a clear shift from N to P limitation of plant growth and representing a strong natural gradient in P availability. Legumes showed greater root PME activity than non-legumes, with the difference between these two groups increasing markedly as soil P availability declined. By contrast, root PME activity of actinorhizal species was always lower than that of co-occurring legumes and not different from non-N-fixing plants. The difference in root PME activity between legumes and actinorhizal plants was not reflected in a greater or similar reliance on N fixation for N acquisition by actinorhizal species compared to co-occurring legumes. Synthesis. Our results support the idea that N-fixing legumes show high root phosphatase activity, especially at low soil P availability, but suggest that this is a phylogenetically conserved trait rather than one directly linked to their N-fixation capacity.","author":[{"dropping-particle":"","family":"Png","given":"Guochen K.","non-dropping-particle":"","parse-names":false,"suffix":""},{"dropping-particle":"","family":"Turner","given":"Benjamin L.","non-dropping-particle":"","parse-names":false,"suffix":""},{"dropping-particle":"","family":"Albornoz","given":"Felipe E.","non-dropping-particle":"","parse-names":false,"suffix":""},{"dropping-particle":"","family":"Hayes","given":"Patrick E.","non-dropping-particle":"","parse-names":false,"suffix":""},{"dropping-particle":"","family":"Lambers","given":"Hans","non-dropping-particle":"","parse-names":false,"suffix":""},{"dropping-particle":"","family":"Laliberté","given":"Etienne","non-dropping-particle":"","parse-names":false,"suffix":""}],"container-title":"Journal of Ecology","id":"ITEM-3","issue":"5","issued":{"date-parts":[["2017"]]},"page":"1246-1255","title":"Greater root phosphatase activity in nitrogen-fixing rhizobial but not actinorhizal plants with declining phosphorus availability","type":"article-journal","volume":"105"},"uris":["http://www.mendeley.com/documents/?uuid=d740f6ca-fdae-4373-a635-ccec26804fa4"]}],"mendeley":{"formattedCitation":"(Tabatabai &amp; Bremner, 1969; Cabugao &lt;i&gt;et al.&lt;/i&gt;, 2017; Png &lt;i&gt;et al.&lt;/i&gt;, 2017)","plainTextFormattedCitation":"(Tabatabai &amp; Bremner, 1969; Cabugao et al., 2017; Png et al., 2017)","previouslyFormattedCitation":"(Tabatabai &amp; Bremner, 1969; Cabugao &lt;i&gt;et al.&lt;/i&gt;, 2017; Png &lt;i&gt;et al.&lt;/i&gt;, 2017)"},"properties":{"noteIndex":0},"schema":"https://github.com/citation-style-language/schema/raw/master/csl-citation.json"}</w:instrText>
      </w:r>
      <w:r w:rsidRPr="00872293">
        <w:rPr>
          <w:rFonts w:ascii="Times New Roman" w:hAnsi="Times New Roman"/>
          <w:noProof/>
        </w:rPr>
        <w:fldChar w:fldCharType="separate"/>
      </w:r>
      <w:r w:rsidRPr="00872293">
        <w:rPr>
          <w:rFonts w:ascii="Times New Roman" w:hAnsi="Times New Roman"/>
          <w:noProof/>
        </w:rPr>
        <w:t xml:space="preserve">(Tabatabai &amp; Bremner, 1969; Cabugao </w:t>
      </w:r>
      <w:r w:rsidRPr="00872293">
        <w:rPr>
          <w:rFonts w:ascii="Times New Roman" w:hAnsi="Times New Roman"/>
          <w:i/>
          <w:noProof/>
        </w:rPr>
        <w:t>et al.</w:t>
      </w:r>
      <w:r w:rsidRPr="00872293">
        <w:rPr>
          <w:rFonts w:ascii="Times New Roman" w:hAnsi="Times New Roman"/>
          <w:noProof/>
        </w:rPr>
        <w:t xml:space="preserve">, 2017; Png </w:t>
      </w:r>
      <w:r w:rsidRPr="00872293">
        <w:rPr>
          <w:rFonts w:ascii="Times New Roman" w:hAnsi="Times New Roman"/>
          <w:i/>
          <w:noProof/>
        </w:rPr>
        <w:t>et al.</w:t>
      </w:r>
      <w:r w:rsidRPr="00872293">
        <w:rPr>
          <w:rFonts w:ascii="Times New Roman" w:hAnsi="Times New Roman"/>
          <w:noProof/>
        </w:rPr>
        <w:t>, 2017)</w:t>
      </w:r>
      <w:r w:rsidRPr="00872293">
        <w:rPr>
          <w:rFonts w:ascii="Times New Roman" w:hAnsi="Times New Roman"/>
          <w:noProof/>
        </w:rPr>
        <w:fldChar w:fldCharType="end"/>
      </w:r>
      <w:r w:rsidRPr="00872293">
        <w:rPr>
          <w:rFonts w:ascii="Times New Roman" w:hAnsi="Times New Roman"/>
        </w:rPr>
        <w:fldChar w:fldCharType="end"/>
      </w:r>
      <w:r w:rsidRPr="00872293">
        <w:rPr>
          <w:rFonts w:ascii="Times New Roman" w:hAnsi="Times New Roman"/>
        </w:rPr>
        <w:t xml:space="preserve">. This assay focused on capturing the enzyme activity from exuded PME enzymes bound to the root surface (rhizoplane) as a response to the presence of organic P substrate (para-nitrophenyl phosphate). However, some of this activity might come from microbial cells due the difficulty of removing the microbial component completely.  </w:t>
      </w:r>
    </w:p>
    <w:p w14:paraId="33D702D2" w14:textId="77777777" w:rsidR="00F5314A" w:rsidRPr="00872293" w:rsidRDefault="00F5314A" w:rsidP="00F5314A">
      <w:pPr>
        <w:spacing w:line="360" w:lineRule="auto"/>
        <w:rPr>
          <w:rFonts w:ascii="Times New Roman" w:hAnsi="Times New Roman"/>
        </w:rPr>
      </w:pPr>
    </w:p>
    <w:p w14:paraId="2EEA2D1B" w14:textId="529BBACB" w:rsidR="00A20952" w:rsidRPr="00872293" w:rsidRDefault="00F5314A" w:rsidP="00A20952">
      <w:pPr>
        <w:spacing w:line="360" w:lineRule="auto"/>
        <w:rPr>
          <w:rFonts w:ascii="Times New Roman" w:hAnsi="Times New Roman"/>
        </w:rPr>
      </w:pPr>
      <w:r w:rsidRPr="00872293">
        <w:rPr>
          <w:rFonts w:ascii="Times New Roman" w:hAnsi="Times New Roman"/>
        </w:rPr>
        <w:t>For this essay we took a fine-root (</w:t>
      </w:r>
      <w:r w:rsidRPr="00872293">
        <w:rPr>
          <w:rFonts w:ascii="Times New Roman" w:hAnsi="Times New Roman"/>
          <w:bCs/>
        </w:rPr>
        <w:sym w:font="Symbol" w:char="F0A3"/>
      </w:r>
      <w:r w:rsidRPr="00872293">
        <w:rPr>
          <w:rFonts w:ascii="Times New Roman" w:hAnsi="Times New Roman"/>
          <w:bCs/>
        </w:rPr>
        <w:t xml:space="preserve"> </w:t>
      </w:r>
      <w:r w:rsidRPr="00872293">
        <w:rPr>
          <w:rFonts w:ascii="Times New Roman" w:hAnsi="Times New Roman"/>
        </w:rPr>
        <w:t xml:space="preserve">1 mm) sample (~1g) and washed it in </w:t>
      </w:r>
      <w:proofErr w:type="spellStart"/>
      <w:r w:rsidRPr="00872293">
        <w:rPr>
          <w:rFonts w:ascii="Times New Roman" w:hAnsi="Times New Roman"/>
        </w:rPr>
        <w:t>milliQ</w:t>
      </w:r>
      <w:proofErr w:type="spellEnd"/>
      <w:r w:rsidRPr="00872293">
        <w:rPr>
          <w:rFonts w:ascii="Times New Roman" w:hAnsi="Times New Roman"/>
        </w:rPr>
        <w:t xml:space="preserve"> water multiple times to remove as much soil as possible. We added this root sample to 9 mL of 50 mM sodium acetate-acetic acid (for 1 L: 2.88 g sodium acetate; pH = 5.0 using acetic acid). Next, we added 1 mL of the substrate, 50 mM </w:t>
      </w:r>
      <w:proofErr w:type="spellStart"/>
      <w:r w:rsidRPr="00872293">
        <w:rPr>
          <w:rFonts w:ascii="Times New Roman" w:hAnsi="Times New Roman"/>
        </w:rPr>
        <w:t>pNPP</w:t>
      </w:r>
      <w:proofErr w:type="spellEnd"/>
      <w:r w:rsidRPr="00872293">
        <w:rPr>
          <w:rFonts w:ascii="Times New Roman" w:hAnsi="Times New Roman"/>
        </w:rPr>
        <w:t xml:space="preserve"> (1.856 g </w:t>
      </w:r>
      <w:proofErr w:type="spellStart"/>
      <w:r w:rsidRPr="00872293">
        <w:rPr>
          <w:rFonts w:ascii="Times New Roman" w:hAnsi="Times New Roman"/>
        </w:rPr>
        <w:t>pNPP</w:t>
      </w:r>
      <w:proofErr w:type="spellEnd"/>
      <w:r w:rsidRPr="00872293">
        <w:rPr>
          <w:rFonts w:ascii="Times New Roman" w:hAnsi="Times New Roman"/>
        </w:rPr>
        <w:t xml:space="preserve"> in 100 mL sodium acetate buffer), before </w:t>
      </w:r>
      <w:r w:rsidRPr="00872293">
        <w:rPr>
          <w:rFonts w:ascii="Times New Roman" w:hAnsi="Times New Roman"/>
        </w:rPr>
        <w:lastRenderedPageBreak/>
        <w:t xml:space="preserve">incubating the samples in a shaker at 27 °C for 1 hour. We terminated the reaction by taking 0.5 mL and adding it to 4.5 mL of 0.11 M NaOH. The concentration of the </w:t>
      </w:r>
      <w:proofErr w:type="gramStart"/>
      <w:r w:rsidRPr="00872293">
        <w:rPr>
          <w:rFonts w:ascii="Times New Roman" w:hAnsi="Times New Roman"/>
        </w:rPr>
        <w:t>end product</w:t>
      </w:r>
      <w:proofErr w:type="gramEnd"/>
      <w:r w:rsidRPr="00872293">
        <w:rPr>
          <w:rFonts w:ascii="Times New Roman" w:hAnsi="Times New Roman"/>
        </w:rPr>
        <w:t xml:space="preserve">, para-nitrophenol, was measured through its absorbance at 405 nm on a Spectrophotometer 1100 (Cole Parmer, East Banker Court Vernon Hills, Illinois). We made a standard curve using 0, 100, 200, 400, 1000 µM </w:t>
      </w:r>
      <w:proofErr w:type="spellStart"/>
      <w:r w:rsidRPr="00872293">
        <w:rPr>
          <w:rFonts w:ascii="Times New Roman" w:hAnsi="Times New Roman"/>
        </w:rPr>
        <w:t>pNP</w:t>
      </w:r>
      <w:proofErr w:type="spellEnd"/>
      <w:r w:rsidRPr="00872293">
        <w:rPr>
          <w:rFonts w:ascii="Times New Roman" w:hAnsi="Times New Roman"/>
        </w:rPr>
        <w:t xml:space="preserve"> concentrations. </w:t>
      </w:r>
    </w:p>
    <w:p w14:paraId="3B59D590" w14:textId="77777777" w:rsidR="0053165F" w:rsidRPr="00872293" w:rsidRDefault="0053165F" w:rsidP="005D5838">
      <w:pPr>
        <w:spacing w:line="360" w:lineRule="auto"/>
        <w:rPr>
          <w:rFonts w:ascii="Times New Roman" w:hAnsi="Times New Roman"/>
          <w:b/>
          <w:bCs/>
        </w:rPr>
      </w:pPr>
    </w:p>
    <w:p w14:paraId="68D11F07" w14:textId="77777777" w:rsidR="00A20952" w:rsidRPr="00872293" w:rsidRDefault="00A20952" w:rsidP="0053165F">
      <w:pPr>
        <w:pStyle w:val="Heading3"/>
        <w:spacing w:before="0" w:after="0" w:line="360" w:lineRule="auto"/>
        <w:rPr>
          <w:rFonts w:cs="Times New Roman"/>
        </w:rPr>
      </w:pPr>
      <w:bookmarkStart w:id="136" w:name="_Toc53689104"/>
      <w:r w:rsidRPr="00872293">
        <w:rPr>
          <w:rFonts w:cs="Times New Roman"/>
        </w:rPr>
        <w:t>Soil measurements</w:t>
      </w:r>
      <w:bookmarkEnd w:id="136"/>
    </w:p>
    <w:p w14:paraId="1A7AC624" w14:textId="2702865D" w:rsidR="001642B0" w:rsidRPr="00872293" w:rsidRDefault="001642B0" w:rsidP="001642B0">
      <w:pPr>
        <w:spacing w:before="240" w:line="360" w:lineRule="auto"/>
        <w:rPr>
          <w:rFonts w:ascii="Times New Roman" w:hAnsi="Times New Roman"/>
        </w:rPr>
      </w:pPr>
      <w:bookmarkStart w:id="137" w:name="_Hlk53663183"/>
      <w:r w:rsidRPr="00872293">
        <w:rPr>
          <w:rFonts w:ascii="Times New Roman" w:hAnsi="Times New Roman"/>
        </w:rPr>
        <w:t>We collected 5 cm di</w:t>
      </w:r>
      <w:r w:rsidR="007C54BF" w:rsidRPr="00872293">
        <w:rPr>
          <w:rFonts w:ascii="Times New Roman" w:hAnsi="Times New Roman"/>
        </w:rPr>
        <w:t>a</w:t>
      </w:r>
      <w:r w:rsidRPr="00872293">
        <w:rPr>
          <w:rFonts w:ascii="Times New Roman" w:hAnsi="Times New Roman"/>
        </w:rPr>
        <w:t>meter soil cores up to 5 cm depth, adjacent to every tree we sampled</w:t>
      </w:r>
      <w:r w:rsidR="007C54BF" w:rsidRPr="00872293">
        <w:rPr>
          <w:rFonts w:ascii="Times New Roman" w:hAnsi="Times New Roman"/>
        </w:rPr>
        <w:t xml:space="preserve"> (within 1 m from the trunk)</w:t>
      </w:r>
      <w:r w:rsidRPr="00872293">
        <w:rPr>
          <w:rFonts w:ascii="Times New Roman" w:hAnsi="Times New Roman"/>
        </w:rPr>
        <w:t>. We measured gravimetric water content (GWC) for each sample to express soil available P on a per unit soil dry mass basis.</w:t>
      </w:r>
      <w:r w:rsidRPr="00872293">
        <w:rPr>
          <w:rFonts w:ascii="Times New Roman" w:hAnsi="Times New Roman"/>
          <w:b/>
          <w:bCs/>
        </w:rPr>
        <w:t xml:space="preserve"> </w:t>
      </w:r>
      <w:r w:rsidRPr="00872293">
        <w:rPr>
          <w:rFonts w:ascii="Times New Roman" w:hAnsi="Times New Roman"/>
        </w:rPr>
        <w:t xml:space="preserve">We measured orthophosphate available in the soils using resin strips and followed the method described in </w:t>
      </w:r>
      <w:r w:rsidRPr="00872293">
        <w:rPr>
          <w:rFonts w:ascii="Times New Roman" w:hAnsi="Times New Roman"/>
        </w:rPr>
        <w:fldChar w:fldCharType="begin" w:fldLock="1"/>
      </w:r>
      <w:r w:rsidRPr="00872293">
        <w:rPr>
          <w:rFonts w:ascii="Times New Roman" w:hAnsi="Times New Roman"/>
        </w:rPr>
        <w:instrText>ADDIN CSL_CITATION {"citationItems":[{"id":"ITEM-1","itemData":{"DOI":"10.3389/fpls.2017.01834","ISSN":"1664462X","abstract":"Tropical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Science","id":"ITEM-1","issued":{"date-parts":[["2017"]]},"page":"1834","title":"Root and rhizosphere bacterial phosphatase activity varies with tree species and soil phosphorus availability in puerto rico tropical forest","type":"article-journal","volume":"8"},"uris":["http://www.mendeley.com/documents/?uuid=ee08b569-0c01-4b5f-a00a-3303eaa23e7f"]}],"mendeley":{"formattedCitation":"(Cabugao &lt;i&gt;et al.&lt;/i&gt;, 2017)","manualFormatting":"Cabugao et al. (2017)","plainTextFormattedCitation":"(Cabugao et al., 2017)","previouslyFormattedCitation":"(Cabugao &lt;i&gt;et al.&lt;/i&gt;, 2017)"},"properties":{"noteIndex":0},"schema":"https://github.com/citation-style-language/schema/raw/master/csl-citation.json"}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Cabugao </w:t>
      </w:r>
      <w:r w:rsidRPr="00872293">
        <w:rPr>
          <w:rFonts w:ascii="Times New Roman" w:hAnsi="Times New Roman"/>
          <w:i/>
          <w:noProof/>
        </w:rPr>
        <w:t>et al.</w:t>
      </w:r>
      <w:r w:rsidRPr="00872293">
        <w:rPr>
          <w:rFonts w:ascii="Times New Roman" w:hAnsi="Times New Roman"/>
          <w:noProof/>
        </w:rPr>
        <w:t xml:space="preserve"> (2017)</w:t>
      </w:r>
      <w:r w:rsidRPr="00872293">
        <w:rPr>
          <w:rFonts w:ascii="Times New Roman" w:hAnsi="Times New Roman"/>
        </w:rPr>
        <w:fldChar w:fldCharType="end"/>
      </w:r>
      <w:r w:rsidRPr="00872293">
        <w:rPr>
          <w:rFonts w:ascii="Times New Roman" w:hAnsi="Times New Roman"/>
        </w:rPr>
        <w:t>. We incubated 5 g of root-free fresh soil subsamples with distilled H</w:t>
      </w:r>
      <w:r w:rsidRPr="00872293">
        <w:rPr>
          <w:rFonts w:ascii="Times New Roman" w:hAnsi="Times New Roman"/>
          <w:vertAlign w:val="subscript"/>
        </w:rPr>
        <w:t>2</w:t>
      </w:r>
      <w:r w:rsidRPr="00872293">
        <w:rPr>
          <w:rFonts w:ascii="Times New Roman" w:hAnsi="Times New Roman"/>
        </w:rPr>
        <w:t xml:space="preserve">O and resin strips for 24 hours on a shaker at the </w:t>
      </w:r>
      <w:r w:rsidR="002D2DF3" w:rsidRPr="00872293">
        <w:rPr>
          <w:rFonts w:ascii="Times New Roman" w:hAnsi="Times New Roman"/>
        </w:rPr>
        <w:t xml:space="preserve">USDA Forest Service </w:t>
      </w:r>
      <w:proofErr w:type="spellStart"/>
      <w:r w:rsidRPr="00872293">
        <w:rPr>
          <w:rFonts w:ascii="Times New Roman" w:hAnsi="Times New Roman"/>
        </w:rPr>
        <w:t>Sabana</w:t>
      </w:r>
      <w:proofErr w:type="spellEnd"/>
      <w:r w:rsidRPr="00872293">
        <w:rPr>
          <w:rFonts w:ascii="Times New Roman" w:hAnsi="Times New Roman"/>
        </w:rPr>
        <w:t xml:space="preserve"> </w:t>
      </w:r>
      <w:r w:rsidR="002D2DF3" w:rsidRPr="00872293">
        <w:rPr>
          <w:rFonts w:ascii="Times New Roman" w:hAnsi="Times New Roman"/>
        </w:rPr>
        <w:t>Fi</w:t>
      </w:r>
      <w:r w:rsidRPr="00872293">
        <w:rPr>
          <w:rFonts w:ascii="Times New Roman" w:hAnsi="Times New Roman"/>
        </w:rPr>
        <w:t xml:space="preserve">eld </w:t>
      </w:r>
      <w:r w:rsidR="002D2DF3" w:rsidRPr="00872293">
        <w:rPr>
          <w:rFonts w:ascii="Times New Roman" w:hAnsi="Times New Roman"/>
        </w:rPr>
        <w:t>Research S</w:t>
      </w:r>
      <w:r w:rsidRPr="00872293">
        <w:rPr>
          <w:rFonts w:ascii="Times New Roman" w:hAnsi="Times New Roman"/>
        </w:rPr>
        <w:t>tation. We then removed the resin strips, rinsed them free of soil, and shipped them in plastic bags to ORNL for further analysis. We removed phosphate ions adsorbed on the resin strips by shaking resin strips in 50 mL of 0.25 M H</w:t>
      </w:r>
      <w:r w:rsidRPr="00872293">
        <w:rPr>
          <w:rFonts w:ascii="Times New Roman" w:hAnsi="Times New Roman"/>
          <w:vertAlign w:val="subscript"/>
        </w:rPr>
        <w:t>2</w:t>
      </w:r>
      <w:r w:rsidRPr="00872293">
        <w:rPr>
          <w:rFonts w:ascii="Times New Roman" w:hAnsi="Times New Roman"/>
        </w:rPr>
        <w:t>SO</w:t>
      </w:r>
      <w:r w:rsidRPr="00872293">
        <w:rPr>
          <w:rFonts w:ascii="Times New Roman" w:hAnsi="Times New Roman"/>
          <w:vertAlign w:val="subscript"/>
        </w:rPr>
        <w:t>4</w:t>
      </w:r>
      <w:r w:rsidRPr="00872293">
        <w:rPr>
          <w:rFonts w:ascii="Times New Roman" w:hAnsi="Times New Roman"/>
        </w:rPr>
        <w:t xml:space="preserve"> for 1 </w:t>
      </w:r>
      <w:proofErr w:type="spellStart"/>
      <w:r w:rsidRPr="00872293">
        <w:rPr>
          <w:rFonts w:ascii="Times New Roman" w:hAnsi="Times New Roman"/>
        </w:rPr>
        <w:t>hr</w:t>
      </w:r>
      <w:proofErr w:type="spellEnd"/>
      <w:r w:rsidRPr="00872293">
        <w:rPr>
          <w:rFonts w:ascii="Times New Roman" w:hAnsi="Times New Roman"/>
        </w:rPr>
        <w:t xml:space="preserve"> and quantified the concentration using a </w:t>
      </w:r>
      <w:proofErr w:type="spellStart"/>
      <w:r w:rsidRPr="00872293">
        <w:rPr>
          <w:rFonts w:ascii="Times New Roman" w:hAnsi="Times New Roman"/>
        </w:rPr>
        <w:t>Lachat</w:t>
      </w:r>
      <w:proofErr w:type="spellEnd"/>
      <w:r w:rsidRPr="00872293">
        <w:rPr>
          <w:rFonts w:ascii="Times New Roman" w:hAnsi="Times New Roman"/>
        </w:rPr>
        <w:t xml:space="preserve"> </w:t>
      </w:r>
      <w:proofErr w:type="spellStart"/>
      <w:r w:rsidRPr="00872293">
        <w:rPr>
          <w:rFonts w:ascii="Times New Roman" w:hAnsi="Times New Roman"/>
        </w:rPr>
        <w:t>QuikChem</w:t>
      </w:r>
      <w:proofErr w:type="spellEnd"/>
      <w:r w:rsidRPr="00872293">
        <w:rPr>
          <w:rFonts w:ascii="Times New Roman" w:hAnsi="Times New Roman"/>
        </w:rPr>
        <w:t xml:space="preserve"> 8500 (Hach, Loveland, Colorado, USA, see </w:t>
      </w:r>
      <w:r w:rsidRPr="00872293">
        <w:rPr>
          <w:rFonts w:ascii="Times New Roman" w:hAnsi="Times New Roman"/>
        </w:rPr>
        <w:fldChar w:fldCharType="begin" w:fldLock="1"/>
      </w:r>
      <w:r w:rsidRPr="00872293">
        <w:rPr>
          <w:rFonts w:ascii="Times New Roman" w:hAnsi="Times New Roman"/>
        </w:rPr>
        <w:instrText>ADDIN CSL_CITATION {"citationItems":[{"id":"ITEM-1","itemData":{"DOI":"10.3389/fpls.2017.01834","ISSN":"1664462X","abstract":"Tropical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Science","id":"ITEM-1","issued":{"date-parts":[["2017"]]},"page":"1834","title":"Root and rhizosphere bacterial phosphatase activity varies with tree species and soil phosphorus availability in puerto rico tropical forest","type":"article-journal","volume":"8"},"uris":["http://www.mendeley.com/documents/?uuid=ee08b569-0c01-4b5f-a00a-3303eaa23e7f"]}],"mendeley":{"formattedCitation":"(Cabugao &lt;i&gt;et al.&lt;/i&gt;, 2017)","manualFormatting":"Cabugao et al., 2017)","plainTextFormattedCitation":"(Cabugao et al., 2017)","previouslyFormattedCitation":"(Cabugao &lt;i&gt;et al.&lt;/i&gt;, 2017)"},"properties":{"noteIndex":0},"schema":"https://github.com/citation-style-language/schema/raw/master/csl-citation.json"}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Cabugao </w:t>
      </w:r>
      <w:r w:rsidRPr="00872293">
        <w:rPr>
          <w:rFonts w:ascii="Times New Roman" w:hAnsi="Times New Roman"/>
          <w:i/>
          <w:noProof/>
        </w:rPr>
        <w:t>et al.</w:t>
      </w:r>
      <w:r w:rsidRPr="00872293">
        <w:rPr>
          <w:rFonts w:ascii="Times New Roman" w:hAnsi="Times New Roman"/>
          <w:noProof/>
        </w:rPr>
        <w:t>, 2017)</w:t>
      </w:r>
      <w:r w:rsidRPr="00872293">
        <w:rPr>
          <w:rFonts w:ascii="Times New Roman" w:hAnsi="Times New Roman"/>
        </w:rPr>
        <w:fldChar w:fldCharType="end"/>
      </w:r>
      <w:r w:rsidRPr="00872293">
        <w:rPr>
          <w:rFonts w:ascii="Times New Roman" w:hAnsi="Times New Roman"/>
        </w:rPr>
        <w:t xml:space="preserve">. </w:t>
      </w:r>
    </w:p>
    <w:p w14:paraId="73100D25" w14:textId="77777777" w:rsidR="001642B0" w:rsidRPr="00872293" w:rsidRDefault="001642B0" w:rsidP="001642B0">
      <w:pPr>
        <w:spacing w:line="360" w:lineRule="auto"/>
        <w:rPr>
          <w:rFonts w:ascii="Times New Roman" w:hAnsi="Times New Roman"/>
        </w:rPr>
      </w:pPr>
    </w:p>
    <w:p w14:paraId="39A02E8E" w14:textId="3B201703" w:rsidR="00A20952" w:rsidRPr="00872293" w:rsidRDefault="001642B0" w:rsidP="001642B0">
      <w:pPr>
        <w:spacing w:line="360" w:lineRule="auto"/>
        <w:rPr>
          <w:rFonts w:ascii="Times New Roman" w:hAnsi="Times New Roman" w:cs="Times New Roman"/>
        </w:rPr>
      </w:pPr>
      <w:r w:rsidRPr="00872293">
        <w:rPr>
          <w:rFonts w:ascii="Times New Roman" w:hAnsi="Times New Roman" w:cs="Times New Roman"/>
        </w:rPr>
        <w:t xml:space="preserve">We measured organic P in soil subsamples from each core as the sum of acid and alkali extractions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{"citationItems":[{"id":"ITEM-1","itemData":{"DOI":"10.2136/sssaj1989.03615995005300020008x","abstract":"A total soil organic P (TPo) method that retains the relative ease of the dry combustion method and still preserves essentially all organic P in the extract would be desirable. A sequential extraction procedure for TPo with concentrated sulfuric acid and dilute base was therefore developed to meet these objectives. The method was based on the high efficiency of Po extracted from soils by the heat of solution created by addition of water to concentrated H2SO4. In this step of the procedure, 79% of the total Po was extracted. The acidic soil residue was next treated with NaOH to complete the extraction of Po. The sum of the acid- and base-extractable Po gave a measure of the total soil Po. The method did not hydrolyze or only minimally hydrolyzed Po substrates added to test soils. The proposed procedure was compared with the Mehta extraction method, and with an ignition method developed by Saunders and Williams. In a test of 12 different soils (prairie to highly weathered) the proposed procedure extracted an average of 4% more Po than did the Mehta, and 17% less Po than the Saunders and Williams procedures. The proposed procedure is more rapid than either of the other procedures, and is equally precise. The ease with which the proposed method can be performed as stated, or performed in combination with the high temperature base extraction of the Mehta procedure, makes it ideal for routine laboratory use, especially when the nature of the Po compounds also is being investigated.","author":[{"dropping-particle":"","family":"Bowman","given":"R. A.","non-dropping-particle":"","parse-names":false,"suffix":""}],"container-title":"Soil Science Society of America Journal","id":"ITEM-1","issue":"2","issued":{"date-parts":[["1989"]]},"page":"362-366","title":"A Sequential Extraction Procedure with Concentrated Sulfuric Acid and Dilute Base for Soil Organic Phosphorus","type":"article-journal","volume":"53"},"uris":["http://www.mendeley.com/documents/?uuid=a3c19349-a2bb-46ce-9524-67992b198225"]},{"id":"ITEM-2","itemData":{"DOI":"10.2136/sssaj1990.03615995005400050010x","ISSN":"0361-5995","abstract":"Reviewed the application of several methods for total organic phosphorus (TOP) determination to soils from different zones of the world and evaluated the applicability of one ignition and two extraction methods to tropical soils from Brazil and Ghana. 2 extraction methods produced results similar to each other, while the ignition method generally gave higher TOP contents. Unusually low C to organic P ratios indicate that the ignition method overestimated TOP in several soils. The Bowman extraction method appeared suitable for a variety of tropical soils. -from Authors","author":[{"dropping-particle":"","family":"Condron","given":"L. M.","non-dropping-particle":"","parse-names":false,"suffix":""},{"dropping-particle":"","family":"Moir","given":"J. O.","non-dropping-particle":"","parse-names":false,"suffix":""},{"dropping-particle":"","family":"Tiessen","given":"H.","non-dropping-particle":"","parse-names":false,"suffix":""},{"dropping-particle":"","family":"Stewart","given":"J. W. B.","non-dropping-particle":"","parse-names":false,"suffix":""}],"container-title":"Soil Science Society of America Journal","id":"ITEM-2","issue":"5","issued":{"date-parts":[["1990"]]},"page":"1261-1266","title":"Critical Evaluation of Methods for Determining Total Organic Phosphorus in Tropical Soils","type":"article-journal","volume":"54"},"uris":["http://www.mendeley.com/documents/?uuid=4cc98548-5a2a-454d-b60e-07f32f6662d5"]}],"mendeley":{"formattedCitation":"(Bowman, 1989; Condron &lt;i&gt;et al.&lt;/i&gt;, 1990)","manualFormatting":"(Bowman, 1989; Condron et al., 1990; Cabugao et al., in press)","plainTextFormattedCitation":"(Bowman, 1989; Condron et al., 1990)","previouslyFormattedCitation":"(Bowman, 1989; Condron &lt;i&gt;et al.&lt;/i&gt;, 1990)"},"properties":{"noteIndex":0},"schema":"https://github.com/citation-style-language/schema/raw/master/csl-citation.json"}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(Bowman, 1989; Condron </w:t>
      </w:r>
      <w:r w:rsidRPr="00872293">
        <w:rPr>
          <w:rFonts w:ascii="Times New Roman" w:hAnsi="Times New Roman" w:cs="Times New Roman"/>
          <w:i/>
          <w:noProof/>
        </w:rPr>
        <w:t>et al.</w:t>
      </w:r>
      <w:r w:rsidRPr="00872293">
        <w:rPr>
          <w:rFonts w:ascii="Times New Roman" w:hAnsi="Times New Roman" w:cs="Times New Roman"/>
          <w:noProof/>
        </w:rPr>
        <w:t xml:space="preserve">, 1990; Cabugao </w:t>
      </w:r>
      <w:r w:rsidRPr="00872293">
        <w:rPr>
          <w:rFonts w:ascii="Times New Roman" w:hAnsi="Times New Roman" w:cs="Times New Roman"/>
          <w:i/>
          <w:iCs/>
          <w:noProof/>
        </w:rPr>
        <w:t>et al., in press</w:t>
      </w:r>
      <w:r w:rsidRPr="00872293">
        <w:rPr>
          <w:rFonts w:ascii="Times New Roman" w:hAnsi="Times New Roman" w:cs="Times New Roman"/>
          <w:noProof/>
        </w:rPr>
        <w:t>)</w:t>
      </w:r>
      <w:r w:rsidRPr="00872293">
        <w:rPr>
          <w:rFonts w:ascii="Times New Roman" w:hAnsi="Times New Roman" w:cs="Times New Roman"/>
        </w:rPr>
        <w:fldChar w:fldCharType="end"/>
      </w:r>
      <w:r w:rsidRPr="00872293">
        <w:rPr>
          <w:rFonts w:ascii="Times New Roman" w:hAnsi="Times New Roman" w:cs="Times New Roman"/>
        </w:rPr>
        <w:t>. We added 2 g of wet soil, 3 mL of 18 M H</w:t>
      </w:r>
      <w:r w:rsidRPr="00872293">
        <w:rPr>
          <w:rFonts w:ascii="Times New Roman" w:hAnsi="Times New Roman" w:cs="Times New Roman"/>
          <w:vertAlign w:val="subscript"/>
        </w:rPr>
        <w:t>2</w:t>
      </w:r>
      <w:r w:rsidRPr="00872293">
        <w:rPr>
          <w:rFonts w:ascii="Times New Roman" w:hAnsi="Times New Roman" w:cs="Times New Roman"/>
        </w:rPr>
        <w:t>SO</w:t>
      </w:r>
      <w:r w:rsidRPr="00872293">
        <w:rPr>
          <w:rFonts w:ascii="Times New Roman" w:hAnsi="Times New Roman" w:cs="Times New Roman"/>
          <w:vertAlign w:val="subscript"/>
        </w:rPr>
        <w:t>4</w:t>
      </w:r>
      <w:r w:rsidRPr="00872293">
        <w:rPr>
          <w:rFonts w:ascii="Times New Roman" w:hAnsi="Times New Roman" w:cs="Times New Roman"/>
        </w:rPr>
        <w:t xml:space="preserve">, and 4 mL of deionized water in a 50 mL falcon tube, </w:t>
      </w:r>
      <w:proofErr w:type="spellStart"/>
      <w:r w:rsidRPr="00872293">
        <w:rPr>
          <w:rFonts w:ascii="Times New Roman" w:hAnsi="Times New Roman" w:cs="Times New Roman"/>
        </w:rPr>
        <w:t>vortexing</w:t>
      </w:r>
      <w:proofErr w:type="spellEnd"/>
      <w:r w:rsidRPr="00872293">
        <w:rPr>
          <w:rFonts w:ascii="Times New Roman" w:hAnsi="Times New Roman" w:cs="Times New Roman"/>
        </w:rPr>
        <w:t xml:space="preserve"> constantly to mix the sample. We then added deionized water for a total solution volume of 48 mL and centrifuged the sample at 2500 rpm for 10 minutes. Using a Whatman No. 1 filter paper, we separated the supernatant and saved the filtered solution as the acid extract. Next, we cleaned the remaining soil by washing it with deionized water and centrifuging the slurry. We then added the filtered paper (from the acid extraction) to the soil and shook this mixture on a shaker with 98 ml of 0.5 M NaOH at room temperature for 2 hours. We obtained the alkali extract by centrifuging and filtering the sample. The acid and the alkali extracts were analyzed by a </w:t>
      </w:r>
      <w:proofErr w:type="spellStart"/>
      <w:r w:rsidRPr="00872293">
        <w:rPr>
          <w:rFonts w:ascii="Times New Roman" w:hAnsi="Times New Roman" w:cs="Times New Roman"/>
        </w:rPr>
        <w:t>Lachat</w:t>
      </w:r>
      <w:proofErr w:type="spellEnd"/>
      <w:r w:rsidRPr="00872293">
        <w:rPr>
          <w:rFonts w:ascii="Times New Roman" w:hAnsi="Times New Roman" w:cs="Times New Roman"/>
        </w:rPr>
        <w:t xml:space="preserve"> </w:t>
      </w:r>
      <w:proofErr w:type="spellStart"/>
      <w:r w:rsidRPr="00872293">
        <w:rPr>
          <w:rFonts w:ascii="Times New Roman" w:hAnsi="Times New Roman" w:cs="Times New Roman"/>
        </w:rPr>
        <w:t>QuikChem</w:t>
      </w:r>
      <w:proofErr w:type="spellEnd"/>
      <w:r w:rsidRPr="00872293">
        <w:rPr>
          <w:rFonts w:ascii="Times New Roman" w:hAnsi="Times New Roman" w:cs="Times New Roman"/>
        </w:rPr>
        <w:t xml:space="preserve"> 8500. </w:t>
      </w:r>
      <w:bookmarkEnd w:id="137"/>
    </w:p>
    <w:p w14:paraId="591FAF92" w14:textId="77777777" w:rsidR="00974FBD" w:rsidRPr="00872293" w:rsidRDefault="00974FBD" w:rsidP="00C32203">
      <w:pPr>
        <w:spacing w:line="360" w:lineRule="auto"/>
        <w:rPr>
          <w:rFonts w:ascii="Times New Roman" w:hAnsi="Times New Roman" w:cs="Times New Roman"/>
        </w:rPr>
      </w:pPr>
    </w:p>
    <w:p w14:paraId="2DFA3882" w14:textId="78F0CB77" w:rsidR="00A20952" w:rsidRPr="00872293" w:rsidRDefault="00A20952" w:rsidP="00C32203">
      <w:pPr>
        <w:pStyle w:val="Heading3"/>
        <w:spacing w:before="0" w:after="0" w:line="360" w:lineRule="auto"/>
        <w:rPr>
          <w:rFonts w:cs="Times New Roman"/>
        </w:rPr>
      </w:pPr>
      <w:bookmarkStart w:id="138" w:name="_Toc53689105"/>
      <w:r w:rsidRPr="00872293">
        <w:rPr>
          <w:rFonts w:cs="Times New Roman"/>
        </w:rPr>
        <w:lastRenderedPageBreak/>
        <w:t>Statistical analysis</w:t>
      </w:r>
      <w:bookmarkEnd w:id="138"/>
    </w:p>
    <w:p w14:paraId="5B324546" w14:textId="4A205E29" w:rsidR="00A20952" w:rsidRPr="00872293" w:rsidRDefault="00170A88" w:rsidP="00C32203">
      <w:pPr>
        <w:spacing w:before="240" w:line="360" w:lineRule="auto"/>
        <w:rPr>
          <w:rFonts w:ascii="Times New Roman" w:hAnsi="Times New Roman"/>
        </w:rPr>
      </w:pPr>
      <w:r w:rsidRPr="00872293">
        <w:rPr>
          <w:rFonts w:ascii="Times New Roman" w:hAnsi="Times New Roman"/>
        </w:rPr>
        <w:t xml:space="preserve">We used R studio 3.3.4 for all analyses </w:t>
      </w:r>
      <w:r w:rsidRPr="00872293">
        <w:rPr>
          <w:rFonts w:ascii="Times New Roman" w:eastAsia="Times New Roman" w:hAnsi="Times New Roman"/>
        </w:rPr>
        <w:t>(</w:t>
      </w:r>
      <w:r w:rsidRPr="00872293">
        <w:rPr>
          <w:rFonts w:ascii="Times New Roman" w:hAnsi="Times New Roman"/>
          <w:shd w:val="clear" w:color="auto" w:fill="FFFFFF"/>
        </w:rPr>
        <w:t>R Core Team and contributors worldwide)</w:t>
      </w:r>
      <w:r w:rsidRPr="00872293">
        <w:rPr>
          <w:rFonts w:ascii="Times New Roman" w:hAnsi="Times New Roman"/>
        </w:rPr>
        <w:t xml:space="preserve">. </w:t>
      </w:r>
      <w:bookmarkStart w:id="139" w:name="_Hlk53820599"/>
      <w:r w:rsidRPr="00872293">
        <w:rPr>
          <w:rFonts w:ascii="Times New Roman" w:hAnsi="Times New Roman"/>
        </w:rPr>
        <w:t xml:space="preserve">We compared soil </w:t>
      </w:r>
      <w:r w:rsidR="007D6FF0" w:rsidRPr="00872293">
        <w:rPr>
          <w:rFonts w:ascii="Times New Roman" w:hAnsi="Times New Roman"/>
        </w:rPr>
        <w:t>P</w:t>
      </w:r>
      <w:r w:rsidRPr="00872293">
        <w:rPr>
          <w:rFonts w:ascii="Times New Roman" w:hAnsi="Times New Roman"/>
        </w:rPr>
        <w:t xml:space="preserve"> concentrations (organic and available P) by site using an analysis of variance (ANOVA) </w:t>
      </w:r>
      <w:proofErr w:type="spellStart"/>
      <w:r w:rsidRPr="00872293">
        <w:rPr>
          <w:rFonts w:ascii="Times New Roman" w:hAnsi="Times New Roman"/>
        </w:rPr>
        <w:t>aov</w:t>
      </w:r>
      <w:proofErr w:type="spellEnd"/>
      <w:r w:rsidRPr="00872293">
        <w:rPr>
          <w:rFonts w:ascii="Times New Roman" w:hAnsi="Times New Roman"/>
        </w:rPr>
        <w:t xml:space="preserve">() function </w:t>
      </w:r>
      <w:r w:rsidRPr="00872293">
        <w:rPr>
          <w:rFonts w:ascii="Times New Roman" w:eastAsia="Times New Roman" w:hAnsi="Times New Roman"/>
        </w:rPr>
        <w:t xml:space="preserve">and a post hoc HSD Tukey’s test via </w:t>
      </w:r>
      <w:proofErr w:type="spellStart"/>
      <w:r w:rsidRPr="00872293">
        <w:rPr>
          <w:rFonts w:ascii="Times New Roman" w:eastAsia="Times New Roman" w:hAnsi="Times New Roman"/>
        </w:rPr>
        <w:t>tukeyHSD</w:t>
      </w:r>
      <w:proofErr w:type="spellEnd"/>
      <w:r w:rsidRPr="00872293">
        <w:rPr>
          <w:rFonts w:ascii="Times New Roman" w:eastAsia="Times New Roman" w:hAnsi="Times New Roman"/>
        </w:rPr>
        <w:t>()</w:t>
      </w:r>
      <w:r w:rsidRPr="00872293">
        <w:rPr>
          <w:rFonts w:ascii="Times New Roman" w:hAnsi="Times New Roman"/>
        </w:rPr>
        <w:t xml:space="preserve"> (</w:t>
      </w:r>
      <w:r w:rsidRPr="00872293">
        <w:rPr>
          <w:rFonts w:ascii="Times New Roman" w:hAnsi="Times New Roman"/>
        </w:rPr>
        <w:fldChar w:fldCharType="begin" w:fldLock="1"/>
      </w:r>
      <w:r w:rsidRPr="00872293">
        <w:rPr>
          <w:rFonts w:ascii="Times New Roman" w:hAnsi="Times New Roman"/>
        </w:rPr>
        <w:instrText>ADDIN CSL_CITATION {"citationItems":[{"id":"ITEM-1","itemData":{"DOI":"10.1201/9780203738535","ISBN":"9781351414234","abstract":"This chapter provides for the modeling of numeric variables by factors, variables that take on one of a specified set of levels. Such data are often the result of a designed experiment, in which observations of one or more responses are made for changing values of several factors. The variation in the response is then studied, in the hope of understanding how it depends on the underlying phenomena that the levels of the factors represent. One of the most important contributions in the history of statistics was R. A. Fisher’s notion that choosing the factors according to a suitable experimental design could provide more information on such dependencies than varying only a single factor at a time. Techniques for choosing such designs and for analyzing the results, particularly the analysis of variance, have become an important part of scientific studies in agriculture, biology, social sciences and, increasingly, in manufacturing and other applications of engineering and the physical sciences.","author":[{"dropping-particle":"","family":"Chambers","given":"John M.","non-dropping-particle":"","parse-names":false,"suffix":""},{"dropping-particle":"","family":"Freeny","given":"Anne E.","non-dropping-particle":"","parse-names":false,"suffix":""},{"dropping-particle":"","family":"Heiberger","given":"Richard M.","non-dropping-particle":"","parse-names":false,"suffix":""}],"container-title":"Statistical Models in S","id":"ITEM-1","issued":{"date-parts":[["2017"]]},"title":"Analysis of variance; designed experiments","type":"chapter"},"uris":["http://www.mendeley.com/documents/?uuid=783017f2-d398-4250-8af8-a6cd3f67090f"]}],"mendeley":{"formattedCitation":"(Chambers &lt;i&gt;et al.&lt;/i&gt;, 2017)","manualFormatting":"Chambers et al., 2017; R Core Team and contributors worldwide)","plainTextFormattedCitation":"(Chambers et al., 2017)","previouslyFormattedCitation":"(Chambers &lt;i&gt;et al.&lt;/i&gt;, 2017)"},"properties":{"noteIndex":0},"schema":"https://github.com/citation-style-language/schema/raw/master/csl-citation.json"}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Chambers </w:t>
      </w:r>
      <w:r w:rsidRPr="00872293">
        <w:rPr>
          <w:rFonts w:ascii="Times New Roman" w:hAnsi="Times New Roman"/>
          <w:i/>
          <w:noProof/>
        </w:rPr>
        <w:t>et al.</w:t>
      </w:r>
      <w:r w:rsidRPr="00872293">
        <w:rPr>
          <w:rFonts w:ascii="Times New Roman" w:hAnsi="Times New Roman"/>
          <w:noProof/>
        </w:rPr>
        <w:t>, 2017;</w:t>
      </w:r>
      <w:r w:rsidRPr="00872293">
        <w:rPr>
          <w:rFonts w:ascii="Times New Roman" w:eastAsia="Times New Roman" w:hAnsi="Times New Roman"/>
          <w:noProof/>
        </w:rPr>
        <w:t xml:space="preserve"> </w:t>
      </w:r>
      <w:r w:rsidRPr="00872293">
        <w:rPr>
          <w:rFonts w:ascii="Times New Roman" w:hAnsi="Times New Roman"/>
          <w:noProof/>
          <w:shd w:val="clear" w:color="auto" w:fill="FFFFFF"/>
        </w:rPr>
        <w:t>R Core Team and contributors worldwide</w:t>
      </w:r>
      <w:r w:rsidRPr="00872293">
        <w:rPr>
          <w:rFonts w:ascii="Times New Roman" w:hAnsi="Times New Roman"/>
          <w:noProof/>
        </w:rPr>
        <w:t>)</w:t>
      </w:r>
      <w:r w:rsidRPr="00872293">
        <w:rPr>
          <w:rFonts w:ascii="Times New Roman" w:hAnsi="Times New Roman"/>
        </w:rPr>
        <w:fldChar w:fldCharType="end"/>
      </w:r>
      <w:r w:rsidRPr="00872293">
        <w:rPr>
          <w:rFonts w:ascii="Times New Roman" w:hAnsi="Times New Roman"/>
        </w:rPr>
        <w:t xml:space="preserve">. We also performed an ANOVA for each species to test root trait differences by site, as well as root trait differences between species in each site. For all multiple testing, we corrected the P value with the Bonferroni correction </w:t>
      </w:r>
      <w:bookmarkEnd w:id="139"/>
      <w:r w:rsidRPr="00872293">
        <w:rPr>
          <w:rFonts w:ascii="Times New Roman" w:hAnsi="Times New Roman"/>
        </w:rPr>
        <w:fldChar w:fldCharType="begin" w:fldLock="1"/>
      </w:r>
      <w:r w:rsidRPr="00872293">
        <w:rPr>
          <w:rFonts w:ascii="Times New Roman" w:hAnsi="Times New Roman"/>
        </w:rPr>
        <w:instrText>ADDIN CSL_CITATION {"citationItems":[{"id":"ITEM-1","itemData":{"abstract":"When you perform a large number of statistical tests, some will have P values less than 0.05 purely by chance, even if all your null hypotheses are really true. The Bonferroni correction is one simple way to take this into account; adjusting the false discovery rate using the Benjamini-Hochberg procedure is a more powerful method.","author":[{"dropping-particle":"","family":"McDonald","given":"Jhon H.","non-dropping-particle":"","parse-names":false,"suffix":""}],"container-title":"Sparky House Publishing, Baltimore, Maryland","id":"ITEM-1","issued":{"date-parts":[["2014"]]},"publisher-place":"Baltimore","title":"Multiple comparisons - Handbook of Biological Statistics","type":"book"},"uris":["http://www.mendeley.com/documents/?uuid=282740af-a3b9-41e5-b2e1-7dfdeaa9c662"]}],"mendeley":{"formattedCitation":"(McDonald, 2014)","plainTextFormattedCitation":"(McDonald, 2014)","previouslyFormattedCitation":"(McDonald, 2014)"},"properties":{"noteIndex":0},"schema":"https://github.com/citation-style-language/schema/raw/master/csl-citation.json"}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(McDonald, 2014)</w:t>
      </w:r>
      <w:r w:rsidRPr="00872293">
        <w:rPr>
          <w:rFonts w:ascii="Times New Roman" w:hAnsi="Times New Roman"/>
        </w:rPr>
        <w:fldChar w:fldCharType="end"/>
      </w:r>
      <w:r w:rsidRPr="00872293">
        <w:rPr>
          <w:rFonts w:ascii="Times New Roman" w:hAnsi="Times New Roman"/>
        </w:rPr>
        <w:t xml:space="preserve">. </w:t>
      </w:r>
      <w:bookmarkStart w:id="140" w:name="_Hlk53820627"/>
      <w:r w:rsidRPr="00872293">
        <w:rPr>
          <w:rFonts w:ascii="Times New Roman" w:hAnsi="Times New Roman"/>
        </w:rPr>
        <w:t xml:space="preserve">We used </w:t>
      </w:r>
      <w:r w:rsidRPr="00872293">
        <w:rPr>
          <w:rFonts w:ascii="Times New Roman" w:hAnsi="Times New Roman"/>
          <w:shd w:val="clear" w:color="auto" w:fill="FFFFFF"/>
        </w:rPr>
        <w:t xml:space="preserve">Non-metric Multi-dimensional Scaling (NMDS) to visually represent the traits that explain the variation between species and sites </w:t>
      </w:r>
      <w:r w:rsidRPr="00872293">
        <w:rPr>
          <w:rFonts w:ascii="Times New Roman" w:hAnsi="Times New Roman"/>
          <w:shd w:val="clear" w:color="auto" w:fill="FFFFFF"/>
        </w:rPr>
        <w:fldChar w:fldCharType="begin" w:fldLock="1"/>
      </w:r>
      <w:r w:rsidRPr="00872293">
        <w:rPr>
          <w:rFonts w:ascii="Times New Roman" w:hAnsi="Times New Roman"/>
          <w:shd w:val="clear" w:color="auto" w:fill="FFFFFF"/>
        </w:rPr>
        <w:instrText>ADDIN CSL_CITATION {"citationItems":[{"id":"ITEM-1","itemData":{"DOI":"10.1007/BF02289565","ISSN":"00333123","abstract":"Multidimensional scaling is the problem of representing n objects geometrically by n points, so that the interpoint distances correspond in some sense to experimental dissimilarities between objects. In just what sense distances and dissimilarities should correspond has been left rather vague in most approaches, thus leaving these approaches logically incomplete. Our fundamental hypothesis is that dissimilarities and distances are monotonically related. We define a quantitative, intuitively satisfying measure of goodness of fit to this hypothesis. Our technique of multidimensional scaling is to compute that configuration of points which optimizes the goodness of fit. A practical computer program for doing the calculations is described in a companion paper. © 1964 Psychometric Society.","author":[{"dropping-particle":"","family":"Kruskal","given":"J. B.","non-dropping-particle":"","parse-names":false,"suffix":""}],"container-title":"Psychometrika","id":"ITEM-1","issue":"1","issued":{"date-parts":[["1964"]]},"page":"1-27","title":"Multidimensional scaling by optimizing goodness of fit to a nonmetric hypothesis","type":"article-journal","volume":"29"},"uris":["http://www.mendeley.com/documents/?uuid=07ffe52e-9666-405a-bb6a-9c02c2a5b172"]}],"mendeley":{"formattedCitation":"(Kruskal, 1964)","plainTextFormattedCitation":"(Kruskal, 1964)","previouslyFormattedCitation":"(Kruskal, 1964)"},"properties":{"noteIndex":0},"schema":"https://github.com/citation-style-language/schema/raw/master/csl-citation.json"}</w:instrText>
      </w:r>
      <w:r w:rsidRPr="00872293">
        <w:rPr>
          <w:rFonts w:ascii="Times New Roman" w:hAnsi="Times New Roman"/>
          <w:shd w:val="clear" w:color="auto" w:fill="FFFFFF"/>
        </w:rPr>
        <w:fldChar w:fldCharType="separate"/>
      </w:r>
      <w:r w:rsidRPr="00872293">
        <w:rPr>
          <w:rFonts w:ascii="Times New Roman" w:hAnsi="Times New Roman"/>
          <w:noProof/>
          <w:shd w:val="clear" w:color="auto" w:fill="FFFFFF"/>
        </w:rPr>
        <w:t>(Kruskal, 1964)</w:t>
      </w:r>
      <w:r w:rsidRPr="00872293">
        <w:rPr>
          <w:rFonts w:ascii="Times New Roman" w:hAnsi="Times New Roman"/>
          <w:shd w:val="clear" w:color="auto" w:fill="FFFFFF"/>
        </w:rPr>
        <w:fldChar w:fldCharType="end"/>
      </w:r>
      <w:r w:rsidRPr="00872293">
        <w:rPr>
          <w:rFonts w:ascii="Times New Roman" w:hAnsi="Times New Roman"/>
          <w:shd w:val="clear" w:color="auto" w:fill="FFFFFF"/>
        </w:rPr>
        <w:t xml:space="preserve">. </w:t>
      </w:r>
      <w:r w:rsidRPr="00872293">
        <w:rPr>
          <w:rFonts w:ascii="Times New Roman" w:hAnsi="Times New Roman"/>
        </w:rPr>
        <w:t>We tested t</w:t>
      </w:r>
      <w:r w:rsidRPr="00872293">
        <w:rPr>
          <w:rFonts w:ascii="Times New Roman" w:eastAsia="Times New Roman" w:hAnsi="Times New Roman"/>
        </w:rPr>
        <w:t xml:space="preserve">he </w:t>
      </w:r>
      <w:r w:rsidRPr="00872293">
        <w:rPr>
          <w:rFonts w:ascii="Times New Roman" w:hAnsi="Times New Roman"/>
        </w:rPr>
        <w:t xml:space="preserve">effect of root branching ratio, root mycorrhizal colonization, and </w:t>
      </w:r>
      <w:r w:rsidR="00DA6E29" w:rsidRPr="00872293">
        <w:rPr>
          <w:rFonts w:ascii="Times New Roman" w:hAnsi="Times New Roman"/>
        </w:rPr>
        <w:t>SRL</w:t>
      </w:r>
      <w:r w:rsidRPr="00872293">
        <w:rPr>
          <w:rFonts w:ascii="Times New Roman" w:hAnsi="Times New Roman"/>
        </w:rPr>
        <w:t>, on root PME separately. We also tested the effect of root PME, root branching ratio, and root mycorrhizal colonization on root P percent, and the relationship of root branching ratio and root mycorrhizal colonization</w:t>
      </w:r>
      <w:r w:rsidR="004869A7" w:rsidRPr="00872293">
        <w:rPr>
          <w:rFonts w:ascii="Times New Roman" w:hAnsi="Times New Roman"/>
        </w:rPr>
        <w:t xml:space="preserve"> between each other and </w:t>
      </w:r>
      <w:r w:rsidR="00DA6E29" w:rsidRPr="00872293">
        <w:rPr>
          <w:rFonts w:ascii="Times New Roman" w:hAnsi="Times New Roman"/>
        </w:rPr>
        <w:t>to SRL</w:t>
      </w:r>
      <w:r w:rsidRPr="00872293">
        <w:rPr>
          <w:rFonts w:ascii="Times New Roman" w:hAnsi="Times New Roman"/>
        </w:rPr>
        <w:t xml:space="preserve">. We used two mixed effect regression models for each of the pairwise root trait mentioned above. One of the models considered site as the random effect, and the other considered species within site as the random effect. We used the </w:t>
      </w:r>
      <w:proofErr w:type="spellStart"/>
      <w:r w:rsidRPr="00872293">
        <w:rPr>
          <w:rFonts w:ascii="Times New Roman" w:eastAsia="Times New Roman" w:hAnsi="Times New Roman"/>
        </w:rPr>
        <w:t>lmer</w:t>
      </w:r>
      <w:proofErr w:type="spellEnd"/>
      <w:r w:rsidRPr="00872293">
        <w:rPr>
          <w:rFonts w:ascii="Times New Roman" w:eastAsia="Times New Roman" w:hAnsi="Times New Roman"/>
        </w:rPr>
        <w:t xml:space="preserve">() function from the lme4 package </w:t>
      </w:r>
      <w:r w:rsidRPr="00872293">
        <w:rPr>
          <w:rFonts w:ascii="Times New Roman" w:eastAsia="Times New Roman" w:hAnsi="Times New Roman"/>
        </w:rPr>
        <w:fldChar w:fldCharType="begin" w:fldLock="1"/>
      </w:r>
      <w:r w:rsidRPr="00872293">
        <w:rPr>
          <w:rFonts w:ascii="Times New Roman" w:eastAsia="Times New Roman" w:hAnsi="Times New Roman"/>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Software","id":"ITEM-1","issued":{"date-parts":[["2015"]]},"title":"Fitting linear mixed-effects models using lme4","type":"article-journal"},"uris":["http://www.mendeley.com/documents/?uuid=ec025df6-aa0f-4c70-9a43-ab0b806cd73a"]}],"mendeley":{"formattedCitation":"(Bates &lt;i&gt;et al.&lt;/i&gt;, 2015)","plainTextFormattedCitation":"(Bates et al., 2015)","previouslyFormattedCitation":"(Bates &lt;i&gt;et al.&lt;/i&gt;, 2015)"},"properties":{"noteIndex":0},"schema":"https://github.com/citation-style-language/schema/raw/master/csl-citation.json"}</w:instrText>
      </w:r>
      <w:r w:rsidRPr="00872293">
        <w:rPr>
          <w:rFonts w:ascii="Times New Roman" w:eastAsia="Times New Roman" w:hAnsi="Times New Roman"/>
        </w:rPr>
        <w:fldChar w:fldCharType="separate"/>
      </w:r>
      <w:r w:rsidRPr="00872293">
        <w:rPr>
          <w:rFonts w:ascii="Times New Roman" w:eastAsia="Times New Roman" w:hAnsi="Times New Roman"/>
          <w:noProof/>
        </w:rPr>
        <w:t xml:space="preserve">(Bates </w:t>
      </w:r>
      <w:r w:rsidRPr="00872293">
        <w:rPr>
          <w:rFonts w:ascii="Times New Roman" w:eastAsia="Times New Roman" w:hAnsi="Times New Roman"/>
          <w:i/>
          <w:noProof/>
        </w:rPr>
        <w:t>et al.</w:t>
      </w:r>
      <w:r w:rsidRPr="00872293">
        <w:rPr>
          <w:rFonts w:ascii="Times New Roman" w:eastAsia="Times New Roman" w:hAnsi="Times New Roman"/>
          <w:noProof/>
        </w:rPr>
        <w:t>, 2015)</w:t>
      </w:r>
      <w:r w:rsidRPr="00872293">
        <w:rPr>
          <w:rFonts w:ascii="Times New Roman" w:eastAsia="Times New Roman" w:hAnsi="Times New Roman"/>
        </w:rPr>
        <w:fldChar w:fldCharType="end"/>
      </w:r>
      <w:r w:rsidRPr="00872293">
        <w:rPr>
          <w:rFonts w:ascii="Times New Roman" w:hAnsi="Times New Roman"/>
        </w:rPr>
        <w:t xml:space="preserve">. We also used a mixed model ANOVA to test for differences in root traits and soil P concentrations before and after the hurricane considering tree within species within site as the nested random effect. We use the </w:t>
      </w:r>
      <w:proofErr w:type="spellStart"/>
      <w:r w:rsidRPr="00872293">
        <w:rPr>
          <w:rFonts w:ascii="Times New Roman" w:hAnsi="Times New Roman"/>
        </w:rPr>
        <w:t>lme</w:t>
      </w:r>
      <w:proofErr w:type="spellEnd"/>
      <w:r w:rsidRPr="00872293">
        <w:rPr>
          <w:rFonts w:ascii="Times New Roman" w:hAnsi="Times New Roman"/>
        </w:rPr>
        <w:t xml:space="preserve">() function from the </w:t>
      </w:r>
      <w:proofErr w:type="spellStart"/>
      <w:r w:rsidRPr="00872293">
        <w:rPr>
          <w:rFonts w:ascii="Times New Roman" w:hAnsi="Times New Roman"/>
        </w:rPr>
        <w:t>nlme</w:t>
      </w:r>
      <w:proofErr w:type="spellEnd"/>
      <w:r w:rsidRPr="00872293">
        <w:rPr>
          <w:rFonts w:ascii="Times New Roman" w:hAnsi="Times New Roman"/>
        </w:rPr>
        <w:t xml:space="preserve"> package </w:t>
      </w:r>
      <w:r w:rsidRPr="00872293">
        <w:rPr>
          <w:rFonts w:ascii="Times New Roman" w:hAnsi="Times New Roman"/>
        </w:rPr>
        <w:fldChar w:fldCharType="begin" w:fldLock="1"/>
      </w:r>
      <w:r w:rsidRPr="00872293">
        <w:rPr>
          <w:rFonts w:ascii="Times New Roman" w:hAnsi="Times New Roman"/>
        </w:rPr>
        <w:instrText>ADDIN CSL_CITATION {"citationItems":[{"id":"ITEM-1","itemData":{"author":[{"dropping-particle":"","family":"Pinheiro","given":"J","non-dropping-particle":"","parse-names":false,"suffix":""},{"dropping-particle":"","family":"Bates","given":"D","non-dropping-particle":"","parse-names":false,"suffix":""}],"id":"ITEM-1","issued":{"date-parts":[["2020"]]},"number":"3.1-149","title":"nlme: Linear and Nonlinear Mixed Effects Models","type":"article"},"uris":["http://www.mendeley.com/documents/?uuid=b5d3a6ac-0ef2-44da-a7d1-b58dda806534"]}],"mendeley":{"formattedCitation":"(Pinheiro &amp; Bates, 2020)","plainTextFormattedCitation":"(Pinheiro &amp; Bates, 2020)","previouslyFormattedCitation":"(Pinheiro &amp; Bates,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(Pinheiro &amp; Bates, 2020)</w:t>
      </w:r>
      <w:r w:rsidRPr="00872293">
        <w:rPr>
          <w:rFonts w:ascii="Times New Roman" w:hAnsi="Times New Roman"/>
        </w:rPr>
        <w:fldChar w:fldCharType="end"/>
      </w:r>
      <w:r w:rsidRPr="00872293">
        <w:rPr>
          <w:rFonts w:ascii="Times New Roman" w:hAnsi="Times New Roman"/>
        </w:rPr>
        <w:t xml:space="preserve">, and added an autoregressive order 1 (ar1) covariance structure to improve the fit of the model </w:t>
      </w:r>
      <w:r w:rsidRPr="00872293">
        <w:rPr>
          <w:rFonts w:ascii="Times New Roman" w:hAnsi="Times New Roman"/>
        </w:rPr>
        <w:fldChar w:fldCharType="begin" w:fldLock="1"/>
      </w:r>
      <w:r w:rsidRPr="00872293">
        <w:rPr>
          <w:rFonts w:ascii="Times New Roman" w:hAnsi="Times New Roman"/>
        </w:rPr>
        <w:instrText>ADDIN CSL_CITATION {"citationItems":[{"id":"ITEM-1","itemData":{"DOI":"10.1002/1097-0258(20000715)19:13&lt;1793::AID-SIM482&gt;3.0.CO;2-Q","ISSN":"02776715","PMID":"10861779","abstract":"The term 'repeated measures' refers to data with multiple observations on the same sampling unit. In most cases, the multiple observations are taken over time, but they could be over space. It is usually plausible to assume that observations on the same unit are correlated. Hence, statistical analysis of repeated measures data must address the issue of covariation between measures on the same unit. Until recently, analysis techniques available in computer software only offered the user limited and inadequate choices. One choice was to ignore covariance structure and make invalid assumptions. Another was to avoid the covariance structure issue by analysing transformed data or making adjustments to otherwise inadequate analyses. Ignoring covariance structure may result in erroneous inference, and avoiding it may result in inefficient inference. Recently available mixed model methodology permits the covariance structure to be incorporated into the statistical model. The MIXED procedure of the SAS® System provides a rich selection of covariance structures through the RANDOM and REPEATED statements. Modelling the covariance structure is a major hurdle in the use of PROC MIXED. However, once the covariance structure is modelled, inference about fixed effects proceeds essentially as when using PROC GLM. An example from the pharmaceutical industry is used to illustrate how to choose a covariance structure. The example also illustrates the effects of choice of covariance structure on tests and estimates of fixed effects. In many situations, estimates of linear combinations are invariant with respect to covariance structure, yet standard errors of the estimates may still depend on the covariance structure. (C) 2000 John Wiley and Sons, Ltd.","author":[{"dropping-particle":"","family":"Littell","given":"Ramon C.","non-dropping-particle":"","parse-names":false,"suffix":""},{"dropping-particle":"","family":"Pendergast","given":"Jane","non-dropping-particle":"","parse-names":false,"suffix":""},{"dropping-particle":"","family":"Natarajan","given":"Ranjini","non-dropping-particle":"","parse-names":false,"suffix":""}],"container-title":"Statistics in Medicine","id":"ITEM-1","issued":{"date-parts":[["2000"]]},"page":"1793-1819","title":"Modelling covariance structure in the analysis of repeated measures data","type":"article-journal","volume":"19"},"uris":["http://www.mendeley.com/documents/?uuid=3d630a97-9b99-49d9-8250-3aa164d76404"]}],"mendeley":{"formattedCitation":"(Littell &lt;i&gt;et al.&lt;/i&gt;, 2000)","plainTextFormattedCitation":"(Littell et al., 2000)","previouslyFormattedCitation":"(Littell &lt;i&gt;et al.&lt;/i&gt;, 2000)"},"properties":{"noteIndex":0},"schema":"https://github.com/citation-style-language/schema/raw/master/csl-citation.json"}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(Littell </w:t>
      </w:r>
      <w:r w:rsidRPr="00872293">
        <w:rPr>
          <w:rFonts w:ascii="Times New Roman" w:hAnsi="Times New Roman"/>
          <w:i/>
          <w:noProof/>
        </w:rPr>
        <w:t>et al.</w:t>
      </w:r>
      <w:r w:rsidRPr="00872293">
        <w:rPr>
          <w:rFonts w:ascii="Times New Roman" w:hAnsi="Times New Roman"/>
          <w:noProof/>
        </w:rPr>
        <w:t>, 2000)</w:t>
      </w:r>
      <w:r w:rsidRPr="00872293">
        <w:rPr>
          <w:rFonts w:ascii="Times New Roman" w:hAnsi="Times New Roman"/>
        </w:rPr>
        <w:fldChar w:fldCharType="end"/>
      </w:r>
      <w:r w:rsidRPr="00872293">
        <w:rPr>
          <w:rFonts w:ascii="Times New Roman" w:hAnsi="Times New Roman"/>
        </w:rPr>
        <w:t xml:space="preserve">. We did not consider soil organic P or root mycorrhizal colonization in this analysis due the low number of samples with these measurements before the hurricanes. We used the estimated marginal means with the </w:t>
      </w:r>
      <w:proofErr w:type="spellStart"/>
      <w:r w:rsidRPr="00872293">
        <w:rPr>
          <w:rFonts w:ascii="Times New Roman" w:hAnsi="Times New Roman"/>
        </w:rPr>
        <w:t>emmeans</w:t>
      </w:r>
      <w:proofErr w:type="spellEnd"/>
      <w:r w:rsidRPr="00872293">
        <w:rPr>
          <w:rFonts w:ascii="Times New Roman" w:hAnsi="Times New Roman"/>
        </w:rPr>
        <w:t xml:space="preserve">() function from the </w:t>
      </w:r>
      <w:proofErr w:type="spellStart"/>
      <w:r w:rsidRPr="00872293">
        <w:rPr>
          <w:rFonts w:ascii="Times New Roman" w:hAnsi="Times New Roman"/>
        </w:rPr>
        <w:t>emmeans</w:t>
      </w:r>
      <w:proofErr w:type="spellEnd"/>
      <w:r w:rsidRPr="00872293">
        <w:rPr>
          <w:rFonts w:ascii="Times New Roman" w:hAnsi="Times New Roman"/>
        </w:rPr>
        <w:t xml:space="preserve"> package for comparing and graphing the traits differences before and after the hurricane </w:t>
      </w:r>
      <w:r w:rsidRPr="00872293">
        <w:rPr>
          <w:rFonts w:ascii="Times New Roman" w:hAnsi="Times New Roman"/>
        </w:rPr>
        <w:fldChar w:fldCharType="begin" w:fldLock="1"/>
      </w:r>
      <w:r w:rsidRPr="00872293">
        <w:rPr>
          <w:rFonts w:ascii="Times New Roman" w:hAnsi="Times New Roman"/>
        </w:rPr>
        <w:instrText>ADDIN CSL_CITATION {"citationItems":[{"id":"ITEM-1","itemData":{"ISBN":"9780792305866","abstract":"Description Obtain estimated marginal means (EMMs) for many linear, generalized linear, and mixed models. Compute contrasts or linear functions of EMMs, trends, and comparisons of slopes. Plots and compact letter displays. Least-squares means are discussed, and the term ``estimated marginal means'' is suggested, in Searle, Speed, and Milliken (1980) Population marginal means in the linear model: An alternative to least squares means, The American Statistician 34(4), 216-221 &lt;doi:10.1080/00031305.1980.10483031&gt;","author":[{"dropping-particle":"","family":"Lenth","given":"Russell","non-dropping-particle":"","parse-names":false,"suffix":""},{"dropping-particle":"","family":"Singmann","given":"Henrik","non-dropping-particle":"","parse-names":false,"suffix":""},{"dropping-particle":"","family":"Love","given":"Jonathon","non-dropping-particle":"","parse-names":false,"suffix":""},{"dropping-particle":"","family":"Buerkner","given":"Paul","non-dropping-particle":"","parse-names":false,"suffix":""},{"dropping-particle":"","family":"Herve","given":"Maxime","non-dropping-particle":"","parse-names":false,"suffix":""}],"container-title":"R package version 1.5.0","id":"ITEM-1","issued":{"date-parts":[["2020"]]},"title":"Estimated marginal means, aka least-squares means","type":"article"},"uris":["http://www.mendeley.com/documents/?uuid=44557511-db04-4eea-a0bc-7f4c11b51475"]}],"mendeley":{"formattedCitation":"(Lenth &lt;i&gt;et al.&lt;/i&gt;, 2020)","plainTextFormattedCitation":"(Lenth et al., 2020)","previouslyFormattedCitation":"(Lenth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(Lenth </w:t>
      </w:r>
      <w:r w:rsidRPr="00872293">
        <w:rPr>
          <w:rFonts w:ascii="Times New Roman" w:hAnsi="Times New Roman"/>
          <w:i/>
          <w:noProof/>
        </w:rPr>
        <w:t>et al.</w:t>
      </w:r>
      <w:r w:rsidRPr="00872293">
        <w:rPr>
          <w:rFonts w:ascii="Times New Roman" w:hAnsi="Times New Roman"/>
          <w:noProof/>
        </w:rPr>
        <w:t>, 2020)</w:t>
      </w:r>
      <w:r w:rsidRPr="00872293">
        <w:rPr>
          <w:rFonts w:ascii="Times New Roman" w:hAnsi="Times New Roman"/>
        </w:rPr>
        <w:fldChar w:fldCharType="end"/>
      </w:r>
      <w:r w:rsidRPr="00872293">
        <w:rPr>
          <w:rFonts w:ascii="Times New Roman" w:hAnsi="Times New Roman"/>
        </w:rPr>
        <w:t>.</w:t>
      </w:r>
    </w:p>
    <w:p w14:paraId="56C918EE" w14:textId="77777777" w:rsidR="0053165F" w:rsidRPr="00872293" w:rsidRDefault="0053165F" w:rsidP="00C32203">
      <w:pPr>
        <w:spacing w:line="360" w:lineRule="auto"/>
        <w:rPr>
          <w:rFonts w:ascii="Times New Roman" w:eastAsia="Times New Roman" w:hAnsi="Times New Roman"/>
        </w:rPr>
      </w:pPr>
    </w:p>
    <w:p w14:paraId="1F154C03" w14:textId="77777777" w:rsidR="00A20952" w:rsidRPr="00872293" w:rsidRDefault="00A20952" w:rsidP="00C32203">
      <w:pPr>
        <w:pStyle w:val="Heading2"/>
        <w:spacing w:before="0" w:after="0" w:line="360" w:lineRule="auto"/>
        <w:rPr>
          <w:rFonts w:cs="Times New Roman"/>
        </w:rPr>
      </w:pPr>
      <w:bookmarkStart w:id="141" w:name="_Toc53689106"/>
      <w:bookmarkEnd w:id="140"/>
      <w:r w:rsidRPr="00872293">
        <w:rPr>
          <w:rFonts w:cs="Times New Roman"/>
        </w:rPr>
        <w:t>Results</w:t>
      </w:r>
      <w:bookmarkEnd w:id="141"/>
    </w:p>
    <w:p w14:paraId="0F11D500" w14:textId="77777777" w:rsidR="00A20952" w:rsidRPr="00872293" w:rsidRDefault="00A20952" w:rsidP="00C32203">
      <w:pPr>
        <w:pStyle w:val="Heading3"/>
        <w:spacing w:before="0" w:after="0" w:line="360" w:lineRule="auto"/>
        <w:rPr>
          <w:rFonts w:cs="Times New Roman"/>
        </w:rPr>
      </w:pPr>
      <w:bookmarkStart w:id="142" w:name="_Toc53689107"/>
      <w:r w:rsidRPr="00872293">
        <w:rPr>
          <w:rFonts w:cs="Times New Roman"/>
        </w:rPr>
        <w:t>Soil phosphorus concentrations between sites</w:t>
      </w:r>
      <w:bookmarkEnd w:id="142"/>
    </w:p>
    <w:p w14:paraId="6308F39B" w14:textId="051F4FB7" w:rsidR="00F11859" w:rsidRPr="00872293" w:rsidRDefault="00F11859" w:rsidP="00C32203">
      <w:pPr>
        <w:spacing w:before="240" w:line="360" w:lineRule="auto"/>
        <w:rPr>
          <w:rFonts w:ascii="Times New Roman" w:hAnsi="Times New Roman"/>
        </w:rPr>
      </w:pPr>
      <w:bookmarkStart w:id="143" w:name="_Hlk53821356"/>
      <w:r w:rsidRPr="00872293">
        <w:rPr>
          <w:rFonts w:ascii="Times New Roman" w:hAnsi="Times New Roman"/>
        </w:rPr>
        <w:t>The three studied sites varied in soil P (organic and available; Figure 19). Soil</w:t>
      </w:r>
      <w:r w:rsidR="00BA440B" w:rsidRPr="00872293">
        <w:rPr>
          <w:rFonts w:ascii="Times New Roman" w:hAnsi="Times New Roman"/>
        </w:rPr>
        <w:t xml:space="preserve"> organic P was greater in</w:t>
      </w:r>
      <w:r w:rsidRPr="00872293">
        <w:rPr>
          <w:rFonts w:ascii="Times New Roman" w:hAnsi="Times New Roman"/>
        </w:rPr>
        <w:t xml:space="preserve"> EVS</w:t>
      </w:r>
      <w:r w:rsidR="00100237" w:rsidRPr="00872293">
        <w:rPr>
          <w:rFonts w:ascii="Times New Roman" w:hAnsi="Times New Roman"/>
        </w:rPr>
        <w:t xml:space="preserve"> </w:t>
      </w:r>
      <w:r w:rsidR="00BA440B" w:rsidRPr="00872293">
        <w:rPr>
          <w:rFonts w:ascii="Times New Roman" w:hAnsi="Times New Roman"/>
        </w:rPr>
        <w:t>(0.19 mg g</w:t>
      </w:r>
      <w:r w:rsidR="00BA440B" w:rsidRPr="00872293">
        <w:rPr>
          <w:rFonts w:ascii="Times New Roman" w:hAnsi="Times New Roman"/>
          <w:vertAlign w:val="superscript"/>
        </w:rPr>
        <w:t>-1</w:t>
      </w:r>
      <w:r w:rsidR="00BA440B" w:rsidRPr="00872293">
        <w:rPr>
          <w:rFonts w:ascii="Times New Roman" w:hAnsi="Times New Roman"/>
        </w:rPr>
        <w:t>)</w:t>
      </w:r>
      <w:r w:rsidRPr="00872293">
        <w:rPr>
          <w:rFonts w:ascii="Times New Roman" w:hAnsi="Times New Roman"/>
        </w:rPr>
        <w:t xml:space="preserve"> than both EV1 </w:t>
      </w:r>
      <w:r w:rsidR="00E41D8C" w:rsidRPr="00872293">
        <w:rPr>
          <w:rFonts w:ascii="Times New Roman" w:hAnsi="Times New Roman"/>
        </w:rPr>
        <w:t>(0.12 mg g</w:t>
      </w:r>
      <w:r w:rsidR="00E41D8C" w:rsidRPr="00872293">
        <w:rPr>
          <w:rFonts w:ascii="Times New Roman" w:hAnsi="Times New Roman"/>
          <w:vertAlign w:val="superscript"/>
        </w:rPr>
        <w:t>-1</w:t>
      </w:r>
      <w:r w:rsidR="00E41D8C" w:rsidRPr="00872293">
        <w:rPr>
          <w:rFonts w:ascii="Times New Roman" w:hAnsi="Times New Roman"/>
        </w:rPr>
        <w:t>) a</w:t>
      </w:r>
      <w:r w:rsidRPr="00872293">
        <w:rPr>
          <w:rFonts w:ascii="Times New Roman" w:hAnsi="Times New Roman"/>
        </w:rPr>
        <w:t>nd SB2 (</w:t>
      </w:r>
      <w:r w:rsidR="00E41D8C" w:rsidRPr="00872293">
        <w:rPr>
          <w:rFonts w:ascii="Times New Roman" w:hAnsi="Times New Roman"/>
        </w:rPr>
        <w:t>0.14 mg g</w:t>
      </w:r>
      <w:r w:rsidR="00E41D8C" w:rsidRPr="00872293">
        <w:rPr>
          <w:rFonts w:ascii="Times New Roman" w:hAnsi="Times New Roman"/>
          <w:vertAlign w:val="superscript"/>
        </w:rPr>
        <w:t>-1</w:t>
      </w:r>
      <w:r w:rsidR="00E41D8C" w:rsidRPr="00872293">
        <w:rPr>
          <w:rFonts w:ascii="Times New Roman" w:hAnsi="Times New Roman"/>
        </w:rPr>
        <w:t xml:space="preserve">; </w:t>
      </w:r>
      <w:r w:rsidRPr="00872293">
        <w:rPr>
          <w:rFonts w:ascii="Times New Roman" w:hAnsi="Times New Roman"/>
        </w:rPr>
        <w:t xml:space="preserve">Figure 19a; </w:t>
      </w:r>
      <w:r w:rsidRPr="00872293">
        <w:rPr>
          <w:rFonts w:ascii="Times New Roman" w:hAnsi="Times New Roman"/>
        </w:rPr>
        <w:lastRenderedPageBreak/>
        <w:t>F=10.2, P&lt;0.01)</w:t>
      </w:r>
      <w:r w:rsidR="0080776C" w:rsidRPr="00872293">
        <w:rPr>
          <w:rFonts w:ascii="Times New Roman" w:hAnsi="Times New Roman"/>
        </w:rPr>
        <w:t>. Soil</w:t>
      </w:r>
      <w:r w:rsidRPr="00872293">
        <w:rPr>
          <w:rFonts w:ascii="Times New Roman" w:hAnsi="Times New Roman"/>
        </w:rPr>
        <w:t xml:space="preserve"> available P</w:t>
      </w:r>
      <w:r w:rsidR="0080776C" w:rsidRPr="00872293">
        <w:rPr>
          <w:rFonts w:ascii="Times New Roman" w:hAnsi="Times New Roman"/>
        </w:rPr>
        <w:t xml:space="preserve"> was greater in SB2 </w:t>
      </w:r>
      <w:r w:rsidR="00B11097" w:rsidRPr="00872293">
        <w:rPr>
          <w:rFonts w:ascii="Times New Roman" w:hAnsi="Times New Roman"/>
        </w:rPr>
        <w:t xml:space="preserve">(0.36 </w:t>
      </w:r>
      <w:r w:rsidR="00CD64CD" w:rsidRPr="00872293">
        <w:rPr>
          <w:rFonts w:ascii="Times New Roman" w:hAnsi="Times New Roman" w:cs="Times New Roman"/>
        </w:rPr>
        <w:t>µ</w:t>
      </w:r>
      <w:r w:rsidR="00CD64CD" w:rsidRPr="00872293">
        <w:rPr>
          <w:rFonts w:ascii="Times New Roman" w:hAnsi="Times New Roman"/>
        </w:rPr>
        <w:t>g g</w:t>
      </w:r>
      <w:r w:rsidR="00CD64CD" w:rsidRPr="00872293">
        <w:rPr>
          <w:rFonts w:ascii="Times New Roman" w:hAnsi="Times New Roman"/>
          <w:vertAlign w:val="superscript"/>
        </w:rPr>
        <w:t>-1</w:t>
      </w:r>
      <w:r w:rsidR="00B11097" w:rsidRPr="00872293">
        <w:rPr>
          <w:rFonts w:ascii="Times New Roman" w:hAnsi="Times New Roman"/>
        </w:rPr>
        <w:t xml:space="preserve">) </w:t>
      </w:r>
      <w:r w:rsidRPr="00872293">
        <w:rPr>
          <w:rFonts w:ascii="Times New Roman" w:hAnsi="Times New Roman"/>
        </w:rPr>
        <w:t>than EV1 (</w:t>
      </w:r>
      <w:r w:rsidR="00B11097" w:rsidRPr="00872293">
        <w:rPr>
          <w:rFonts w:ascii="Times New Roman" w:hAnsi="Times New Roman"/>
        </w:rPr>
        <w:t>0.10</w:t>
      </w:r>
      <w:r w:rsidR="00CD64CD" w:rsidRPr="00872293">
        <w:rPr>
          <w:rFonts w:ascii="Times New Roman" w:hAnsi="Times New Roman"/>
        </w:rPr>
        <w:t xml:space="preserve"> </w:t>
      </w:r>
      <w:r w:rsidR="00CD64CD" w:rsidRPr="00872293">
        <w:rPr>
          <w:rFonts w:ascii="Times New Roman" w:hAnsi="Times New Roman" w:cs="Times New Roman"/>
        </w:rPr>
        <w:t>µ</w:t>
      </w:r>
      <w:r w:rsidR="00CD64CD" w:rsidRPr="00872293">
        <w:rPr>
          <w:rFonts w:ascii="Times New Roman" w:hAnsi="Times New Roman"/>
        </w:rPr>
        <w:t>g g</w:t>
      </w:r>
      <w:r w:rsidR="00CD64CD" w:rsidRPr="00872293">
        <w:rPr>
          <w:rFonts w:ascii="Times New Roman" w:hAnsi="Times New Roman"/>
          <w:vertAlign w:val="superscript"/>
        </w:rPr>
        <w:t>-1</w:t>
      </w:r>
      <w:r w:rsidR="00B11097" w:rsidRPr="00872293">
        <w:rPr>
          <w:rFonts w:ascii="Times New Roman" w:hAnsi="Times New Roman"/>
        </w:rPr>
        <w:t xml:space="preserve">; </w:t>
      </w:r>
      <w:r w:rsidRPr="00872293">
        <w:rPr>
          <w:rFonts w:ascii="Times New Roman" w:hAnsi="Times New Roman"/>
        </w:rPr>
        <w:t>Figure 19b; F=3.82, P=0.06).</w:t>
      </w:r>
    </w:p>
    <w:p w14:paraId="1D41C758" w14:textId="77777777" w:rsidR="00124498" w:rsidRPr="00872293" w:rsidRDefault="00124498" w:rsidP="00C32203">
      <w:pPr>
        <w:spacing w:line="360" w:lineRule="auto"/>
        <w:rPr>
          <w:rFonts w:ascii="Times New Roman" w:hAnsi="Times New Roman"/>
        </w:rPr>
      </w:pPr>
    </w:p>
    <w:p w14:paraId="3E441ED3" w14:textId="77777777" w:rsidR="00A20952" w:rsidRPr="00872293" w:rsidRDefault="00A20952" w:rsidP="00C32203">
      <w:pPr>
        <w:pStyle w:val="Heading3"/>
        <w:spacing w:before="0" w:after="0" w:line="360" w:lineRule="auto"/>
        <w:rPr>
          <w:rFonts w:cs="Times New Roman"/>
        </w:rPr>
      </w:pPr>
      <w:bookmarkStart w:id="144" w:name="_Toc53689108"/>
      <w:bookmarkEnd w:id="143"/>
      <w:r w:rsidRPr="00872293">
        <w:rPr>
          <w:rFonts w:cs="Times New Roman"/>
        </w:rPr>
        <w:t>Root traits by species and sites</w:t>
      </w:r>
      <w:bookmarkEnd w:id="144"/>
    </w:p>
    <w:p w14:paraId="2AD2FD7E" w14:textId="1A9B0B23" w:rsidR="00591076" w:rsidRPr="00872293" w:rsidRDefault="00B673B4" w:rsidP="00C32203">
      <w:pPr>
        <w:spacing w:before="240" w:line="360" w:lineRule="auto"/>
        <w:rPr>
          <w:rFonts w:ascii="Times New Roman" w:hAnsi="Times New Roman"/>
        </w:rPr>
      </w:pPr>
      <w:bookmarkStart w:id="145" w:name="_Hlk53821558"/>
      <w:r w:rsidRPr="00872293">
        <w:rPr>
          <w:rFonts w:ascii="Times New Roman" w:hAnsi="Times New Roman"/>
        </w:rPr>
        <w:t>For</w:t>
      </w:r>
      <w:r w:rsidR="00591076" w:rsidRPr="00872293">
        <w:rPr>
          <w:rFonts w:ascii="Times New Roman" w:hAnsi="Times New Roman"/>
        </w:rPr>
        <w:t xml:space="preserve"> most root traits from first order roots, there was more difference </w:t>
      </w:r>
      <w:r w:rsidRPr="00872293">
        <w:rPr>
          <w:rFonts w:ascii="Times New Roman" w:hAnsi="Times New Roman"/>
        </w:rPr>
        <w:t>among</w:t>
      </w:r>
      <w:r w:rsidR="00591076" w:rsidRPr="00872293">
        <w:rPr>
          <w:rFonts w:ascii="Times New Roman" w:hAnsi="Times New Roman"/>
        </w:rPr>
        <w:t xml:space="preserve"> species within </w:t>
      </w:r>
      <w:r w:rsidRPr="00872293">
        <w:rPr>
          <w:rFonts w:ascii="Times New Roman" w:hAnsi="Times New Roman"/>
        </w:rPr>
        <w:t xml:space="preserve">a given </w:t>
      </w:r>
      <w:r w:rsidR="00591076" w:rsidRPr="00872293">
        <w:rPr>
          <w:rFonts w:ascii="Times New Roman" w:hAnsi="Times New Roman"/>
        </w:rPr>
        <w:t xml:space="preserve">site than within the same species </w:t>
      </w:r>
      <w:r w:rsidR="001A6A9B" w:rsidRPr="00872293">
        <w:rPr>
          <w:rFonts w:ascii="Times New Roman" w:hAnsi="Times New Roman"/>
        </w:rPr>
        <w:t>across</w:t>
      </w:r>
      <w:r w:rsidR="00591076" w:rsidRPr="00872293">
        <w:rPr>
          <w:rFonts w:ascii="Times New Roman" w:hAnsi="Times New Roman"/>
        </w:rPr>
        <w:t xml:space="preserve"> sites (Table </w:t>
      </w:r>
      <w:r w:rsidR="00571804" w:rsidRPr="00872293">
        <w:rPr>
          <w:rFonts w:ascii="Times New Roman" w:hAnsi="Times New Roman"/>
        </w:rPr>
        <w:t>8</w:t>
      </w:r>
      <w:r w:rsidR="00591076" w:rsidRPr="00872293">
        <w:rPr>
          <w:rFonts w:ascii="Times New Roman" w:hAnsi="Times New Roman"/>
        </w:rPr>
        <w:t xml:space="preserve">). Exceptions for this </w:t>
      </w:r>
      <w:r w:rsidR="001A6A9B" w:rsidRPr="00872293">
        <w:rPr>
          <w:rFonts w:ascii="Times New Roman" w:hAnsi="Times New Roman"/>
        </w:rPr>
        <w:t>were</w:t>
      </w:r>
      <w:r w:rsidR="00591076" w:rsidRPr="00872293">
        <w:rPr>
          <w:rFonts w:ascii="Times New Roman" w:hAnsi="Times New Roman"/>
        </w:rPr>
        <w:t xml:space="preserve"> root PME and root branching ratio, for which some species had significant differences by site, and root P concentration, which did not differ </w:t>
      </w:r>
      <w:r w:rsidR="001D78EF" w:rsidRPr="00872293">
        <w:rPr>
          <w:rFonts w:ascii="Times New Roman" w:hAnsi="Times New Roman"/>
        </w:rPr>
        <w:t>among</w:t>
      </w:r>
      <w:r w:rsidR="00591076" w:rsidRPr="00872293">
        <w:rPr>
          <w:rFonts w:ascii="Times New Roman" w:hAnsi="Times New Roman"/>
        </w:rPr>
        <w:t xml:space="preserve"> species (Table </w:t>
      </w:r>
      <w:r w:rsidR="00571804" w:rsidRPr="00872293">
        <w:rPr>
          <w:rFonts w:ascii="Times New Roman" w:hAnsi="Times New Roman"/>
        </w:rPr>
        <w:t>8</w:t>
      </w:r>
      <w:r w:rsidR="00591076" w:rsidRPr="00872293">
        <w:rPr>
          <w:rFonts w:ascii="Times New Roman" w:hAnsi="Times New Roman"/>
        </w:rPr>
        <w:t>).</w:t>
      </w:r>
      <w:bookmarkEnd w:id="145"/>
      <w:r w:rsidR="00591076" w:rsidRPr="00872293">
        <w:rPr>
          <w:rFonts w:ascii="Times New Roman" w:hAnsi="Times New Roman"/>
        </w:rPr>
        <w:t xml:space="preserve"> The differences in root traits by species is also visible in the non-metric multi-dimensional scaling (NDMS; Fig</w:t>
      </w:r>
      <w:r w:rsidR="00D2389E" w:rsidRPr="00872293">
        <w:rPr>
          <w:rFonts w:ascii="Times New Roman" w:hAnsi="Times New Roman"/>
        </w:rPr>
        <w:t>ure 20</w:t>
      </w:r>
      <w:r w:rsidR="00FD4E86" w:rsidRPr="00872293">
        <w:rPr>
          <w:rFonts w:ascii="Times New Roman" w:hAnsi="Times New Roman"/>
        </w:rPr>
        <w:t>b</w:t>
      </w:r>
      <w:r w:rsidR="00591076" w:rsidRPr="00872293">
        <w:rPr>
          <w:rFonts w:ascii="Times New Roman" w:hAnsi="Times New Roman"/>
        </w:rPr>
        <w:t xml:space="preserve">), in which </w:t>
      </w:r>
      <w:bookmarkStart w:id="146" w:name="_Hlk53821853"/>
      <w:r w:rsidR="00591076" w:rsidRPr="00872293">
        <w:rPr>
          <w:rFonts w:ascii="Times New Roman" w:hAnsi="Times New Roman"/>
        </w:rPr>
        <w:t>separation is mostly between species rather than sites (Fig</w:t>
      </w:r>
      <w:r w:rsidR="00D2389E" w:rsidRPr="00872293">
        <w:rPr>
          <w:rFonts w:ascii="Times New Roman" w:hAnsi="Times New Roman"/>
        </w:rPr>
        <w:t>ure 20</w:t>
      </w:r>
      <w:r w:rsidR="00FD4E86" w:rsidRPr="00872293">
        <w:rPr>
          <w:rFonts w:ascii="Times New Roman" w:hAnsi="Times New Roman"/>
        </w:rPr>
        <w:t>a</w:t>
      </w:r>
      <w:r w:rsidR="00591076" w:rsidRPr="00872293">
        <w:rPr>
          <w:rFonts w:ascii="Times New Roman" w:hAnsi="Times New Roman"/>
        </w:rPr>
        <w:t xml:space="preserve">). Root branching ratio, root PME, and mycorrhizal colonization </w:t>
      </w:r>
      <w:r w:rsidR="00375B1C" w:rsidRPr="00872293">
        <w:rPr>
          <w:rFonts w:ascii="Times New Roman" w:hAnsi="Times New Roman"/>
        </w:rPr>
        <w:t>were</w:t>
      </w:r>
      <w:r w:rsidR="00591076" w:rsidRPr="00872293">
        <w:rPr>
          <w:rFonts w:ascii="Times New Roman" w:hAnsi="Times New Roman"/>
        </w:rPr>
        <w:t xml:space="preserve"> the traits that explain most of the species variation </w:t>
      </w:r>
      <w:bookmarkEnd w:id="146"/>
      <w:r w:rsidR="00375B1C" w:rsidRPr="00872293">
        <w:rPr>
          <w:rFonts w:ascii="Times New Roman" w:hAnsi="Times New Roman"/>
        </w:rPr>
        <w:t xml:space="preserve">in the NMDS </w:t>
      </w:r>
      <w:r w:rsidR="00591076" w:rsidRPr="00872293">
        <w:rPr>
          <w:rFonts w:ascii="Times New Roman" w:hAnsi="Times New Roman"/>
        </w:rPr>
        <w:t>(Fig</w:t>
      </w:r>
      <w:r w:rsidR="00FD4E86" w:rsidRPr="00872293">
        <w:rPr>
          <w:rFonts w:ascii="Times New Roman" w:hAnsi="Times New Roman"/>
        </w:rPr>
        <w:t>ure 20b</w:t>
      </w:r>
      <w:r w:rsidR="00591076" w:rsidRPr="00872293">
        <w:rPr>
          <w:rFonts w:ascii="Times New Roman" w:hAnsi="Times New Roman"/>
        </w:rPr>
        <w:t>).</w:t>
      </w:r>
    </w:p>
    <w:p w14:paraId="244B72DA" w14:textId="77777777" w:rsidR="00A20952" w:rsidRPr="00872293" w:rsidRDefault="00A20952" w:rsidP="003F1FD5">
      <w:pPr>
        <w:spacing w:line="360" w:lineRule="auto"/>
        <w:rPr>
          <w:rFonts w:ascii="Times New Roman" w:hAnsi="Times New Roman" w:cs="Times New Roman"/>
        </w:rPr>
      </w:pPr>
    </w:p>
    <w:p w14:paraId="41EABB11" w14:textId="5FF9CDC3" w:rsidR="003178DF" w:rsidRDefault="00946400" w:rsidP="00946400">
      <w:pPr>
        <w:spacing w:line="360" w:lineRule="auto"/>
        <w:rPr>
          <w:rFonts w:ascii="Times New Roman" w:hAnsi="Times New Roman"/>
        </w:rPr>
      </w:pPr>
      <w:bookmarkStart w:id="147" w:name="_Hlk52023029"/>
      <w:r w:rsidRPr="00872293">
        <w:rPr>
          <w:rFonts w:ascii="Times New Roman" w:hAnsi="Times New Roman"/>
        </w:rPr>
        <w:t xml:space="preserve">Overall, </w:t>
      </w:r>
      <w:r w:rsidR="007154FC" w:rsidRPr="00872293">
        <w:rPr>
          <w:rFonts w:ascii="Times New Roman" w:hAnsi="Times New Roman"/>
        </w:rPr>
        <w:t xml:space="preserve">mean </w:t>
      </w:r>
      <w:r w:rsidRPr="00872293">
        <w:rPr>
          <w:rFonts w:ascii="Times New Roman" w:hAnsi="Times New Roman"/>
        </w:rPr>
        <w:t xml:space="preserve">root diameter was greatest in </w:t>
      </w:r>
      <w:r w:rsidRPr="00872293">
        <w:rPr>
          <w:rFonts w:ascii="Times New Roman" w:hAnsi="Times New Roman"/>
          <w:i/>
          <w:iCs/>
        </w:rPr>
        <w:t xml:space="preserve">O. </w:t>
      </w:r>
      <w:proofErr w:type="spellStart"/>
      <w:r w:rsidRPr="00872293">
        <w:rPr>
          <w:rFonts w:ascii="Times New Roman" w:hAnsi="Times New Roman"/>
          <w:i/>
          <w:iCs/>
        </w:rPr>
        <w:t>leucoxylon</w:t>
      </w:r>
      <w:proofErr w:type="spellEnd"/>
      <w:r w:rsidRPr="00872293">
        <w:rPr>
          <w:rFonts w:ascii="Times New Roman" w:hAnsi="Times New Roman"/>
          <w:i/>
          <w:iCs/>
        </w:rPr>
        <w:t xml:space="preserve"> </w:t>
      </w:r>
      <w:r w:rsidR="007154FC" w:rsidRPr="00872293">
        <w:rPr>
          <w:rFonts w:ascii="Times New Roman" w:hAnsi="Times New Roman"/>
        </w:rPr>
        <w:t>(0.75 mm) f</w:t>
      </w:r>
      <w:r w:rsidRPr="00872293">
        <w:rPr>
          <w:rFonts w:ascii="Times New Roman" w:hAnsi="Times New Roman"/>
        </w:rPr>
        <w:t>ollowed by</w:t>
      </w:r>
      <w:r w:rsidRPr="00872293">
        <w:rPr>
          <w:rFonts w:ascii="Times New Roman" w:hAnsi="Times New Roman"/>
          <w:i/>
          <w:iCs/>
        </w:rPr>
        <w:t xml:space="preserve"> C. </w:t>
      </w:r>
      <w:proofErr w:type="spellStart"/>
      <w:r w:rsidRPr="00872293">
        <w:rPr>
          <w:rFonts w:ascii="Times New Roman" w:hAnsi="Times New Roman"/>
          <w:i/>
          <w:iCs/>
        </w:rPr>
        <w:t>calaba</w:t>
      </w:r>
      <w:proofErr w:type="spellEnd"/>
      <w:r w:rsidRPr="00872293">
        <w:rPr>
          <w:rFonts w:ascii="Times New Roman" w:hAnsi="Times New Roman"/>
          <w:i/>
          <w:iCs/>
        </w:rPr>
        <w:t xml:space="preserve"> </w:t>
      </w:r>
      <w:r w:rsidR="007154FC" w:rsidRPr="00872293">
        <w:rPr>
          <w:rFonts w:ascii="Times New Roman" w:hAnsi="Times New Roman"/>
        </w:rPr>
        <w:t>(0.46 mm) a</w:t>
      </w:r>
      <w:r w:rsidRPr="00872293">
        <w:rPr>
          <w:rFonts w:ascii="Times New Roman" w:hAnsi="Times New Roman"/>
        </w:rPr>
        <w:t>nd the thinnest first order roots were from</w:t>
      </w:r>
      <w:r w:rsidRPr="00872293">
        <w:rPr>
          <w:rFonts w:ascii="Times New Roman" w:hAnsi="Times New Roman"/>
          <w:i/>
          <w:iCs/>
        </w:rPr>
        <w:t xml:space="preserve"> P. </w:t>
      </w:r>
      <w:proofErr w:type="spellStart"/>
      <w:r w:rsidRPr="00872293">
        <w:rPr>
          <w:rFonts w:ascii="Times New Roman" w:hAnsi="Times New Roman"/>
          <w:i/>
          <w:iCs/>
        </w:rPr>
        <w:t>montana</w:t>
      </w:r>
      <w:proofErr w:type="spellEnd"/>
      <w:r w:rsidRPr="00872293">
        <w:rPr>
          <w:rFonts w:ascii="Times New Roman" w:hAnsi="Times New Roman"/>
          <w:i/>
          <w:iCs/>
        </w:rPr>
        <w:t xml:space="preserve"> </w:t>
      </w:r>
      <w:r w:rsidRPr="00872293">
        <w:rPr>
          <w:rFonts w:ascii="Times New Roman" w:hAnsi="Times New Roman"/>
        </w:rPr>
        <w:t>(</w:t>
      </w:r>
      <w:r w:rsidR="00162C86" w:rsidRPr="00872293">
        <w:rPr>
          <w:rFonts w:ascii="Times New Roman" w:hAnsi="Times New Roman"/>
        </w:rPr>
        <w:t xml:space="preserve">0.23 mm; </w:t>
      </w:r>
      <w:r w:rsidRPr="00872293">
        <w:rPr>
          <w:rFonts w:ascii="Times New Roman" w:hAnsi="Times New Roman"/>
        </w:rPr>
        <w:t>Figure 21)</w:t>
      </w:r>
      <w:r w:rsidRPr="00872293">
        <w:rPr>
          <w:rFonts w:ascii="Times New Roman" w:hAnsi="Times New Roman"/>
          <w:i/>
          <w:iCs/>
        </w:rPr>
        <w:t xml:space="preserve">. </w:t>
      </w:r>
      <w:r w:rsidRPr="00872293">
        <w:rPr>
          <w:rFonts w:ascii="Times New Roman" w:hAnsi="Times New Roman"/>
        </w:rPr>
        <w:t xml:space="preserve">Pioneer species </w:t>
      </w:r>
      <w:r w:rsidRPr="00872293">
        <w:rPr>
          <w:rFonts w:ascii="Times New Roman" w:hAnsi="Times New Roman"/>
          <w:i/>
          <w:iCs/>
        </w:rPr>
        <w:t xml:space="preserve">C. </w:t>
      </w:r>
      <w:proofErr w:type="spellStart"/>
      <w:r w:rsidRPr="00872293">
        <w:rPr>
          <w:rFonts w:ascii="Times New Roman" w:hAnsi="Times New Roman"/>
          <w:i/>
          <w:iCs/>
        </w:rPr>
        <w:t>schreberiana</w:t>
      </w:r>
      <w:proofErr w:type="spellEnd"/>
      <w:r w:rsidRPr="00872293">
        <w:rPr>
          <w:rFonts w:ascii="Times New Roman" w:hAnsi="Times New Roman"/>
        </w:rPr>
        <w:t xml:space="preserve"> and </w:t>
      </w:r>
      <w:r w:rsidRPr="00872293">
        <w:rPr>
          <w:rFonts w:ascii="Times New Roman" w:hAnsi="Times New Roman"/>
          <w:i/>
          <w:iCs/>
        </w:rPr>
        <w:t xml:space="preserve">S. </w:t>
      </w:r>
      <w:proofErr w:type="spellStart"/>
      <w:r w:rsidRPr="00872293">
        <w:rPr>
          <w:rFonts w:ascii="Times New Roman" w:hAnsi="Times New Roman"/>
          <w:i/>
          <w:iCs/>
        </w:rPr>
        <w:t>campanulata</w:t>
      </w:r>
      <w:proofErr w:type="spellEnd"/>
      <w:r w:rsidRPr="00872293">
        <w:rPr>
          <w:rFonts w:ascii="Times New Roman" w:hAnsi="Times New Roman"/>
        </w:rPr>
        <w:t xml:space="preserve"> had the greatest SRL</w:t>
      </w:r>
      <w:r w:rsidR="00C3409B" w:rsidRPr="00872293">
        <w:rPr>
          <w:rFonts w:ascii="Times New Roman" w:hAnsi="Times New Roman"/>
        </w:rPr>
        <w:t xml:space="preserve"> (10.31 cm mg</w:t>
      </w:r>
      <w:r w:rsidR="00C3409B" w:rsidRPr="00872293">
        <w:rPr>
          <w:rFonts w:ascii="Times New Roman" w:hAnsi="Times New Roman"/>
          <w:vertAlign w:val="superscript"/>
        </w:rPr>
        <w:t>-1</w:t>
      </w:r>
      <w:r w:rsidR="00C3409B" w:rsidRPr="00872293">
        <w:rPr>
          <w:rFonts w:ascii="Times New Roman" w:hAnsi="Times New Roman"/>
        </w:rPr>
        <w:t>, 10.64 cm mg</w:t>
      </w:r>
      <w:r w:rsidR="00C3409B" w:rsidRPr="00872293">
        <w:rPr>
          <w:rFonts w:ascii="Times New Roman" w:hAnsi="Times New Roman"/>
          <w:vertAlign w:val="superscript"/>
        </w:rPr>
        <w:t>-1</w:t>
      </w:r>
      <w:r w:rsidR="00C3409B" w:rsidRPr="00872293">
        <w:rPr>
          <w:rFonts w:ascii="Times New Roman" w:hAnsi="Times New Roman"/>
        </w:rPr>
        <w:t>)</w:t>
      </w:r>
      <w:r w:rsidRPr="00872293">
        <w:rPr>
          <w:rFonts w:ascii="Times New Roman" w:hAnsi="Times New Roman"/>
        </w:rPr>
        <w:t xml:space="preserve">, and </w:t>
      </w:r>
      <w:r w:rsidRPr="00872293">
        <w:rPr>
          <w:rFonts w:ascii="Times New Roman" w:hAnsi="Times New Roman"/>
          <w:i/>
          <w:iCs/>
        </w:rPr>
        <w:t xml:space="preserve">C. </w:t>
      </w:r>
      <w:proofErr w:type="spellStart"/>
      <w:r w:rsidRPr="00872293">
        <w:rPr>
          <w:rFonts w:ascii="Times New Roman" w:hAnsi="Times New Roman"/>
          <w:i/>
          <w:iCs/>
        </w:rPr>
        <w:t>calaba</w:t>
      </w:r>
      <w:proofErr w:type="spellEnd"/>
      <w:r w:rsidRPr="00872293">
        <w:rPr>
          <w:rFonts w:ascii="Times New Roman" w:hAnsi="Times New Roman"/>
        </w:rPr>
        <w:t xml:space="preserve"> had the lowest values (</w:t>
      </w:r>
      <w:r w:rsidR="00536C35" w:rsidRPr="00872293">
        <w:rPr>
          <w:rFonts w:ascii="Times New Roman" w:hAnsi="Times New Roman"/>
        </w:rPr>
        <w:t>0.79 cm mg</w:t>
      </w:r>
      <w:r w:rsidR="00536C35" w:rsidRPr="00872293">
        <w:rPr>
          <w:rFonts w:ascii="Times New Roman" w:hAnsi="Times New Roman"/>
          <w:vertAlign w:val="superscript"/>
        </w:rPr>
        <w:t>-1</w:t>
      </w:r>
      <w:r w:rsidR="00536C35" w:rsidRPr="00872293">
        <w:rPr>
          <w:rFonts w:ascii="Times New Roman" w:hAnsi="Times New Roman"/>
        </w:rPr>
        <w:t>; F</w:t>
      </w:r>
      <w:r w:rsidRPr="00872293">
        <w:rPr>
          <w:rFonts w:ascii="Times New Roman" w:hAnsi="Times New Roman"/>
        </w:rPr>
        <w:t>ig</w:t>
      </w:r>
      <w:r w:rsidR="00886F84" w:rsidRPr="00872293">
        <w:rPr>
          <w:rFonts w:ascii="Times New Roman" w:hAnsi="Times New Roman"/>
        </w:rPr>
        <w:t>ure 21</w:t>
      </w:r>
      <w:r w:rsidRPr="00872293">
        <w:rPr>
          <w:rFonts w:ascii="Times New Roman" w:hAnsi="Times New Roman"/>
        </w:rPr>
        <w:t xml:space="preserve">).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rPr>
        <w:t xml:space="preserve"> had the greatest root branching ratio</w:t>
      </w:r>
      <w:r w:rsidR="00B61A60" w:rsidRPr="00872293">
        <w:rPr>
          <w:rFonts w:ascii="Times New Roman" w:hAnsi="Times New Roman"/>
        </w:rPr>
        <w:t xml:space="preserve"> (5.91)</w:t>
      </w:r>
      <w:r w:rsidRPr="00872293">
        <w:rPr>
          <w:rFonts w:ascii="Times New Roman" w:hAnsi="Times New Roman"/>
        </w:rPr>
        <w:t xml:space="preserve">, and together with </w:t>
      </w:r>
      <w:r w:rsidRPr="00872293">
        <w:rPr>
          <w:rFonts w:ascii="Times New Roman" w:hAnsi="Times New Roman"/>
          <w:i/>
          <w:iCs/>
        </w:rPr>
        <w:t xml:space="preserve">D. </w:t>
      </w:r>
      <w:proofErr w:type="spellStart"/>
      <w:r w:rsidRPr="00872293">
        <w:rPr>
          <w:rFonts w:ascii="Times New Roman" w:hAnsi="Times New Roman"/>
          <w:i/>
          <w:iCs/>
        </w:rPr>
        <w:t>excelsa</w:t>
      </w:r>
      <w:proofErr w:type="spellEnd"/>
      <w:r w:rsidRPr="00872293">
        <w:rPr>
          <w:rFonts w:ascii="Times New Roman" w:hAnsi="Times New Roman"/>
        </w:rPr>
        <w:t>, had one of the greatest root branching intensities (</w:t>
      </w:r>
      <w:r w:rsidR="00B61A60" w:rsidRPr="00872293">
        <w:rPr>
          <w:rFonts w:ascii="Times New Roman" w:hAnsi="Times New Roman"/>
        </w:rPr>
        <w:t xml:space="preserve">2.80 and 4.28, respectively; </w:t>
      </w:r>
      <w:r w:rsidRPr="00872293">
        <w:rPr>
          <w:rFonts w:ascii="Times New Roman" w:hAnsi="Times New Roman"/>
        </w:rPr>
        <w:t>Fig</w:t>
      </w:r>
      <w:r w:rsidR="00886F84" w:rsidRPr="00872293">
        <w:rPr>
          <w:rFonts w:ascii="Times New Roman" w:hAnsi="Times New Roman"/>
        </w:rPr>
        <w:t>ure 21</w:t>
      </w:r>
      <w:r w:rsidRPr="00872293">
        <w:rPr>
          <w:rFonts w:ascii="Times New Roman" w:hAnsi="Times New Roman"/>
        </w:rPr>
        <w:t>). However</w:t>
      </w:r>
      <w:r w:rsidRPr="00872293">
        <w:rPr>
          <w:rFonts w:ascii="Times New Roman" w:hAnsi="Times New Roman"/>
          <w:i/>
          <w:iCs/>
        </w:rPr>
        <w:t xml:space="preserve">, P. </w:t>
      </w:r>
      <w:proofErr w:type="spellStart"/>
      <w:r w:rsidRPr="00872293">
        <w:rPr>
          <w:rFonts w:ascii="Times New Roman" w:hAnsi="Times New Roman"/>
          <w:i/>
          <w:iCs/>
        </w:rPr>
        <w:t>montana</w:t>
      </w:r>
      <w:proofErr w:type="spellEnd"/>
      <w:r w:rsidRPr="00872293">
        <w:rPr>
          <w:rFonts w:ascii="Times New Roman" w:hAnsi="Times New Roman"/>
        </w:rPr>
        <w:t xml:space="preserve"> together with </w:t>
      </w:r>
      <w:r w:rsidRPr="00872293">
        <w:rPr>
          <w:rFonts w:ascii="Times New Roman" w:hAnsi="Times New Roman"/>
          <w:i/>
          <w:iCs/>
        </w:rPr>
        <w:t xml:space="preserve">I. </w:t>
      </w:r>
      <w:proofErr w:type="spellStart"/>
      <w:r w:rsidRPr="00872293">
        <w:rPr>
          <w:rFonts w:ascii="Times New Roman" w:hAnsi="Times New Roman"/>
          <w:i/>
          <w:iCs/>
        </w:rPr>
        <w:t>laurina</w:t>
      </w:r>
      <w:proofErr w:type="spellEnd"/>
      <w:r w:rsidRPr="00872293">
        <w:rPr>
          <w:rFonts w:ascii="Times New Roman" w:hAnsi="Times New Roman"/>
        </w:rPr>
        <w:t xml:space="preserve"> had the lowest mycorrhizal colonization</w:t>
      </w:r>
      <w:r w:rsidR="001954CF" w:rsidRPr="00872293">
        <w:rPr>
          <w:rFonts w:ascii="Times New Roman" w:hAnsi="Times New Roman"/>
        </w:rPr>
        <w:t xml:space="preserve"> (12.1% and 0.91%, respectively)</w:t>
      </w:r>
      <w:r w:rsidRPr="00872293">
        <w:rPr>
          <w:rFonts w:ascii="Times New Roman" w:hAnsi="Times New Roman"/>
        </w:rPr>
        <w:t>, and the two pioneer species</w:t>
      </w:r>
      <w:r w:rsidR="00C677A3" w:rsidRPr="00872293">
        <w:rPr>
          <w:rFonts w:ascii="Times New Roman" w:hAnsi="Times New Roman"/>
        </w:rPr>
        <w:t xml:space="preserve">, </w:t>
      </w:r>
      <w:r w:rsidR="00C677A3" w:rsidRPr="00872293">
        <w:rPr>
          <w:rFonts w:ascii="Times New Roman" w:hAnsi="Times New Roman"/>
          <w:i/>
          <w:iCs/>
        </w:rPr>
        <w:t xml:space="preserve">C. </w:t>
      </w:r>
      <w:proofErr w:type="spellStart"/>
      <w:r w:rsidR="00C677A3" w:rsidRPr="00872293">
        <w:rPr>
          <w:rFonts w:ascii="Times New Roman" w:hAnsi="Times New Roman"/>
          <w:i/>
          <w:iCs/>
        </w:rPr>
        <w:t>schreberiana</w:t>
      </w:r>
      <w:proofErr w:type="spellEnd"/>
      <w:r w:rsidR="00C677A3" w:rsidRPr="00872293">
        <w:rPr>
          <w:rFonts w:ascii="Times New Roman" w:hAnsi="Times New Roman"/>
          <w:i/>
          <w:iCs/>
        </w:rPr>
        <w:t xml:space="preserve"> </w:t>
      </w:r>
      <w:r w:rsidR="00C677A3" w:rsidRPr="00872293">
        <w:rPr>
          <w:rFonts w:ascii="Times New Roman" w:hAnsi="Times New Roman"/>
        </w:rPr>
        <w:t xml:space="preserve">and </w:t>
      </w:r>
      <w:r w:rsidR="00C677A3" w:rsidRPr="00872293">
        <w:rPr>
          <w:rFonts w:ascii="Times New Roman" w:hAnsi="Times New Roman"/>
          <w:i/>
          <w:iCs/>
        </w:rPr>
        <w:t xml:space="preserve">S. </w:t>
      </w:r>
      <w:proofErr w:type="spellStart"/>
      <w:r w:rsidR="00C677A3" w:rsidRPr="00872293">
        <w:rPr>
          <w:rFonts w:ascii="Times New Roman" w:hAnsi="Times New Roman"/>
          <w:i/>
          <w:iCs/>
        </w:rPr>
        <w:t>campanulat</w:t>
      </w:r>
      <w:r w:rsidR="00A63B6B" w:rsidRPr="00872293">
        <w:rPr>
          <w:rFonts w:ascii="Times New Roman" w:hAnsi="Times New Roman"/>
          <w:i/>
          <w:iCs/>
        </w:rPr>
        <w:t>a</w:t>
      </w:r>
      <w:proofErr w:type="spellEnd"/>
      <w:r w:rsidR="00C677A3" w:rsidRPr="00872293">
        <w:rPr>
          <w:rFonts w:ascii="Times New Roman" w:hAnsi="Times New Roman"/>
        </w:rPr>
        <w:t xml:space="preserve">, </w:t>
      </w:r>
      <w:r w:rsidRPr="00872293">
        <w:rPr>
          <w:rFonts w:ascii="Times New Roman" w:hAnsi="Times New Roman"/>
        </w:rPr>
        <w:t>had the greatest values of colonization (</w:t>
      </w:r>
      <w:r w:rsidR="00C677A3" w:rsidRPr="00872293">
        <w:rPr>
          <w:rFonts w:ascii="Times New Roman" w:hAnsi="Times New Roman"/>
        </w:rPr>
        <w:t xml:space="preserve">70% and 75%, respectively; </w:t>
      </w:r>
      <w:r w:rsidRPr="00872293">
        <w:rPr>
          <w:rFonts w:ascii="Times New Roman" w:hAnsi="Times New Roman"/>
        </w:rPr>
        <w:t>Fig</w:t>
      </w:r>
      <w:r w:rsidR="009C6C5E" w:rsidRPr="00872293">
        <w:rPr>
          <w:rFonts w:ascii="Times New Roman" w:hAnsi="Times New Roman"/>
        </w:rPr>
        <w:t>ure 21</w:t>
      </w:r>
      <w:r w:rsidRPr="00872293">
        <w:rPr>
          <w:rFonts w:ascii="Times New Roman" w:hAnsi="Times New Roman"/>
        </w:rPr>
        <w:t xml:space="preserve">). The pioneer species </w:t>
      </w:r>
      <w:r w:rsidRPr="00872293">
        <w:rPr>
          <w:rFonts w:ascii="Times New Roman" w:hAnsi="Times New Roman"/>
          <w:i/>
          <w:iCs/>
        </w:rPr>
        <w:t xml:space="preserve">C. </w:t>
      </w:r>
      <w:proofErr w:type="spellStart"/>
      <w:r w:rsidRPr="00872293">
        <w:rPr>
          <w:rFonts w:ascii="Times New Roman" w:hAnsi="Times New Roman"/>
          <w:i/>
          <w:iCs/>
        </w:rPr>
        <w:t>schreberiana</w:t>
      </w:r>
      <w:proofErr w:type="spellEnd"/>
      <w:r w:rsidRPr="00872293">
        <w:rPr>
          <w:rFonts w:ascii="Times New Roman" w:hAnsi="Times New Roman"/>
        </w:rPr>
        <w:t xml:space="preserve"> </w:t>
      </w:r>
      <w:r w:rsidR="000313E6" w:rsidRPr="00872293">
        <w:rPr>
          <w:rFonts w:ascii="Times New Roman" w:hAnsi="Times New Roman"/>
        </w:rPr>
        <w:t xml:space="preserve">also </w:t>
      </w:r>
      <w:r w:rsidRPr="00872293">
        <w:rPr>
          <w:rFonts w:ascii="Times New Roman" w:hAnsi="Times New Roman"/>
        </w:rPr>
        <w:t xml:space="preserve">had the highest root PME, and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i/>
          <w:iCs/>
        </w:rPr>
        <w:t xml:space="preserve"> </w:t>
      </w:r>
      <w:r w:rsidRPr="00872293">
        <w:rPr>
          <w:rFonts w:ascii="Times New Roman" w:hAnsi="Times New Roman"/>
        </w:rPr>
        <w:t>had the lowest values for root PME (</w:t>
      </w:r>
      <w:r w:rsidR="00440A50" w:rsidRPr="00872293">
        <w:rPr>
          <w:rFonts w:ascii="Times New Roman" w:hAnsi="Times New Roman"/>
        </w:rPr>
        <w:t>272.90</w:t>
      </w:r>
      <w:r w:rsidR="00602A9D" w:rsidRPr="00872293">
        <w:rPr>
          <w:rFonts w:ascii="Times New Roman" w:hAnsi="Times New Roman"/>
        </w:rPr>
        <w:t xml:space="preserve"> </w:t>
      </w:r>
      <w:proofErr w:type="spellStart"/>
      <w:r w:rsidR="00602A9D" w:rsidRPr="00872293">
        <w:rPr>
          <w:rFonts w:ascii="Times New Roman" w:hAnsi="Times New Roman"/>
        </w:rPr>
        <w:t>μmol</w:t>
      </w:r>
      <w:proofErr w:type="spellEnd"/>
      <w:r w:rsidR="00602A9D" w:rsidRPr="00872293">
        <w:rPr>
          <w:rFonts w:ascii="Times New Roman" w:hAnsi="Times New Roman"/>
        </w:rPr>
        <w:t xml:space="preserve"> pNPg</w:t>
      </w:r>
      <w:r w:rsidR="00602A9D" w:rsidRPr="00872293">
        <w:rPr>
          <w:rFonts w:ascii="Times New Roman" w:hAnsi="Times New Roman"/>
          <w:vertAlign w:val="subscript"/>
        </w:rPr>
        <w:t>root</w:t>
      </w:r>
      <w:r w:rsidR="00602A9D" w:rsidRPr="00872293">
        <w:rPr>
          <w:rFonts w:ascii="Times New Roman" w:hAnsi="Times New Roman"/>
          <w:vertAlign w:val="superscript"/>
        </w:rPr>
        <w:t>-1</w:t>
      </w:r>
      <w:r w:rsidR="00602A9D" w:rsidRPr="00872293">
        <w:rPr>
          <w:rFonts w:ascii="Times New Roman" w:hAnsi="Times New Roman"/>
        </w:rPr>
        <w:t>hr</w:t>
      </w:r>
      <w:r w:rsidR="00602A9D" w:rsidRPr="00872293">
        <w:rPr>
          <w:rFonts w:ascii="Times New Roman" w:hAnsi="Times New Roman"/>
          <w:vertAlign w:val="superscript"/>
        </w:rPr>
        <w:t>-1</w:t>
      </w:r>
      <w:r w:rsidR="00440A50" w:rsidRPr="00872293">
        <w:rPr>
          <w:rFonts w:ascii="Times New Roman" w:hAnsi="Times New Roman"/>
        </w:rPr>
        <w:t xml:space="preserve"> and 16.41</w:t>
      </w:r>
      <w:r w:rsidR="00602A9D" w:rsidRPr="00872293">
        <w:rPr>
          <w:rFonts w:ascii="Times New Roman" w:hAnsi="Times New Roman"/>
        </w:rPr>
        <w:t xml:space="preserve"> </w:t>
      </w:r>
      <w:proofErr w:type="spellStart"/>
      <w:r w:rsidR="00602A9D" w:rsidRPr="00872293">
        <w:rPr>
          <w:rFonts w:ascii="Times New Roman" w:hAnsi="Times New Roman"/>
        </w:rPr>
        <w:t>μmol</w:t>
      </w:r>
      <w:proofErr w:type="spellEnd"/>
      <w:r w:rsidR="00602A9D" w:rsidRPr="00872293">
        <w:rPr>
          <w:rFonts w:ascii="Times New Roman" w:hAnsi="Times New Roman"/>
        </w:rPr>
        <w:t xml:space="preserve"> pNPg</w:t>
      </w:r>
      <w:r w:rsidR="00602A9D" w:rsidRPr="00872293">
        <w:rPr>
          <w:rFonts w:ascii="Times New Roman" w:hAnsi="Times New Roman"/>
          <w:vertAlign w:val="subscript"/>
        </w:rPr>
        <w:t>root</w:t>
      </w:r>
      <w:r w:rsidR="00602A9D" w:rsidRPr="00872293">
        <w:rPr>
          <w:rFonts w:ascii="Times New Roman" w:hAnsi="Times New Roman"/>
          <w:vertAlign w:val="superscript"/>
        </w:rPr>
        <w:t>-1</w:t>
      </w:r>
      <w:r w:rsidR="00602A9D" w:rsidRPr="00872293">
        <w:rPr>
          <w:rFonts w:ascii="Times New Roman" w:hAnsi="Times New Roman"/>
        </w:rPr>
        <w:t>hr</w:t>
      </w:r>
      <w:r w:rsidR="00602A9D" w:rsidRPr="00872293">
        <w:rPr>
          <w:rFonts w:ascii="Times New Roman" w:hAnsi="Times New Roman"/>
          <w:vertAlign w:val="superscript"/>
        </w:rPr>
        <w:t>-1</w:t>
      </w:r>
      <w:r w:rsidR="00440A50" w:rsidRPr="00872293">
        <w:rPr>
          <w:rFonts w:ascii="Times New Roman" w:hAnsi="Times New Roman"/>
        </w:rPr>
        <w:t xml:space="preserve">, respectively; </w:t>
      </w:r>
      <w:r w:rsidRPr="00872293">
        <w:rPr>
          <w:rFonts w:ascii="Times New Roman" w:hAnsi="Times New Roman"/>
        </w:rPr>
        <w:t>Fig</w:t>
      </w:r>
      <w:r w:rsidR="009C6C5E" w:rsidRPr="00872293">
        <w:rPr>
          <w:rFonts w:ascii="Times New Roman" w:hAnsi="Times New Roman"/>
        </w:rPr>
        <w:t>ure 21</w:t>
      </w:r>
      <w:r w:rsidRPr="00872293">
        <w:rPr>
          <w:rFonts w:ascii="Times New Roman" w:hAnsi="Times New Roman"/>
        </w:rPr>
        <w:t>). Finally, both pioneer species</w:t>
      </w:r>
      <w:r w:rsidR="00A63B6B" w:rsidRPr="00872293">
        <w:rPr>
          <w:rFonts w:ascii="Times New Roman" w:hAnsi="Times New Roman"/>
        </w:rPr>
        <w:t xml:space="preserve">, </w:t>
      </w:r>
      <w:r w:rsidR="00A63B6B" w:rsidRPr="00872293">
        <w:rPr>
          <w:rFonts w:ascii="Times New Roman" w:hAnsi="Times New Roman"/>
          <w:i/>
          <w:iCs/>
        </w:rPr>
        <w:t xml:space="preserve">C. </w:t>
      </w:r>
      <w:proofErr w:type="spellStart"/>
      <w:r w:rsidR="00A63B6B" w:rsidRPr="00872293">
        <w:rPr>
          <w:rFonts w:ascii="Times New Roman" w:hAnsi="Times New Roman"/>
          <w:i/>
          <w:iCs/>
        </w:rPr>
        <w:t>schreberiana</w:t>
      </w:r>
      <w:proofErr w:type="spellEnd"/>
      <w:r w:rsidR="00A63B6B" w:rsidRPr="00872293">
        <w:rPr>
          <w:rFonts w:ascii="Times New Roman" w:hAnsi="Times New Roman"/>
          <w:i/>
          <w:iCs/>
        </w:rPr>
        <w:t xml:space="preserve"> </w:t>
      </w:r>
      <w:r w:rsidR="00A63B6B" w:rsidRPr="00872293">
        <w:rPr>
          <w:rFonts w:ascii="Times New Roman" w:hAnsi="Times New Roman"/>
        </w:rPr>
        <w:t xml:space="preserve">and </w:t>
      </w:r>
      <w:r w:rsidR="00A63B6B" w:rsidRPr="00872293">
        <w:rPr>
          <w:rFonts w:ascii="Times New Roman" w:hAnsi="Times New Roman"/>
          <w:i/>
          <w:iCs/>
        </w:rPr>
        <w:t xml:space="preserve">S. </w:t>
      </w:r>
      <w:proofErr w:type="spellStart"/>
      <w:r w:rsidR="00A63B6B" w:rsidRPr="00872293">
        <w:rPr>
          <w:rFonts w:ascii="Times New Roman" w:hAnsi="Times New Roman"/>
          <w:i/>
          <w:iCs/>
        </w:rPr>
        <w:t>campanulata</w:t>
      </w:r>
      <w:proofErr w:type="spellEnd"/>
      <w:r w:rsidR="00A63B6B" w:rsidRPr="00872293">
        <w:rPr>
          <w:rFonts w:ascii="Times New Roman" w:hAnsi="Times New Roman"/>
          <w:i/>
          <w:iCs/>
        </w:rPr>
        <w:t>,</w:t>
      </w:r>
      <w:r w:rsidRPr="00872293">
        <w:rPr>
          <w:rFonts w:ascii="Times New Roman" w:hAnsi="Times New Roman"/>
        </w:rPr>
        <w:t xml:space="preserve"> had the greatest root P concentrations </w:t>
      </w:r>
      <w:r w:rsidR="00A63B6B" w:rsidRPr="00872293">
        <w:rPr>
          <w:rFonts w:ascii="Times New Roman" w:hAnsi="Times New Roman"/>
        </w:rPr>
        <w:t>(</w:t>
      </w:r>
      <w:r w:rsidR="00FF51B3" w:rsidRPr="00872293">
        <w:rPr>
          <w:rFonts w:ascii="Times New Roman" w:hAnsi="Times New Roman"/>
        </w:rPr>
        <w:t>0.08% and 0.10%, respectively</w:t>
      </w:r>
      <w:r w:rsidR="00A63B6B" w:rsidRPr="00872293">
        <w:rPr>
          <w:rFonts w:ascii="Times New Roman" w:hAnsi="Times New Roman"/>
        </w:rPr>
        <w:t xml:space="preserve">) </w:t>
      </w:r>
      <w:r w:rsidRPr="00872293">
        <w:rPr>
          <w:rFonts w:ascii="Times New Roman" w:hAnsi="Times New Roman"/>
        </w:rPr>
        <w:t xml:space="preserve">and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rPr>
        <w:t xml:space="preserve"> had the lowest P concentration (</w:t>
      </w:r>
      <w:r w:rsidR="001F38D2" w:rsidRPr="00872293">
        <w:rPr>
          <w:rFonts w:ascii="Times New Roman" w:hAnsi="Times New Roman"/>
        </w:rPr>
        <w:t xml:space="preserve">0.06%; </w:t>
      </w:r>
      <w:r w:rsidRPr="00872293">
        <w:rPr>
          <w:rFonts w:ascii="Times New Roman" w:hAnsi="Times New Roman"/>
        </w:rPr>
        <w:t>Fig</w:t>
      </w:r>
      <w:r w:rsidR="009C6C5E" w:rsidRPr="00872293">
        <w:rPr>
          <w:rFonts w:ascii="Times New Roman" w:hAnsi="Times New Roman"/>
        </w:rPr>
        <w:t>ure 21</w:t>
      </w:r>
      <w:r w:rsidRPr="00872293">
        <w:rPr>
          <w:rFonts w:ascii="Times New Roman" w:hAnsi="Times New Roman"/>
        </w:rPr>
        <w:t>).</w:t>
      </w:r>
    </w:p>
    <w:p w14:paraId="0D578B88" w14:textId="77777777" w:rsidR="00C32203" w:rsidRPr="00872293" w:rsidRDefault="00C32203" w:rsidP="00C32203">
      <w:pPr>
        <w:spacing w:line="360" w:lineRule="auto"/>
        <w:rPr>
          <w:rFonts w:ascii="Times New Roman" w:hAnsi="Times New Roman"/>
        </w:rPr>
      </w:pPr>
    </w:p>
    <w:p w14:paraId="610FAE7B" w14:textId="31A58A36" w:rsidR="003178DF" w:rsidRPr="00872293" w:rsidRDefault="003178DF" w:rsidP="00C32203">
      <w:pPr>
        <w:pStyle w:val="Heading3"/>
        <w:spacing w:before="0" w:after="0" w:line="360" w:lineRule="auto"/>
      </w:pPr>
      <w:bookmarkStart w:id="148" w:name="_Toc53689109"/>
      <w:r w:rsidRPr="00872293">
        <w:t>Root trait regressions across species and sites</w:t>
      </w:r>
      <w:bookmarkEnd w:id="148"/>
    </w:p>
    <w:p w14:paraId="4C9A83C0" w14:textId="393714A0" w:rsidR="003178DF" w:rsidRPr="00872293" w:rsidRDefault="003178DF" w:rsidP="00C32203">
      <w:pPr>
        <w:spacing w:before="240" w:line="360" w:lineRule="auto"/>
        <w:rPr>
          <w:rFonts w:ascii="Times New Roman" w:hAnsi="Times New Roman"/>
        </w:rPr>
      </w:pPr>
      <w:bookmarkStart w:id="149" w:name="_Hlk53822310"/>
      <w:r w:rsidRPr="00872293">
        <w:rPr>
          <w:rFonts w:ascii="Times New Roman" w:hAnsi="Times New Roman"/>
        </w:rPr>
        <w:t xml:space="preserve">Most root trait relationships were driven by species variation (Table </w:t>
      </w:r>
      <w:r w:rsidR="00571804" w:rsidRPr="00872293">
        <w:rPr>
          <w:rFonts w:ascii="Times New Roman" w:hAnsi="Times New Roman"/>
        </w:rPr>
        <w:t>9</w:t>
      </w:r>
      <w:r w:rsidRPr="00872293">
        <w:rPr>
          <w:rFonts w:ascii="Times New Roman" w:hAnsi="Times New Roman"/>
        </w:rPr>
        <w:t>; Fig</w:t>
      </w:r>
      <w:r w:rsidR="009C6C5E" w:rsidRPr="00872293">
        <w:rPr>
          <w:rFonts w:ascii="Times New Roman" w:hAnsi="Times New Roman"/>
        </w:rPr>
        <w:t>ure 22</w:t>
      </w:r>
      <w:r w:rsidRPr="00872293">
        <w:rPr>
          <w:rFonts w:ascii="Times New Roman" w:hAnsi="Times New Roman"/>
        </w:rPr>
        <w:t xml:space="preserve">). When considering the variation of the site in the mixed model as a random effect, mycorrhizal </w:t>
      </w:r>
      <w:r w:rsidRPr="00872293">
        <w:rPr>
          <w:rFonts w:ascii="Times New Roman" w:hAnsi="Times New Roman"/>
        </w:rPr>
        <w:lastRenderedPageBreak/>
        <w:t xml:space="preserve">colonization was positively related to root PME (Table </w:t>
      </w:r>
      <w:r w:rsidR="00571804" w:rsidRPr="00872293">
        <w:rPr>
          <w:rFonts w:ascii="Times New Roman" w:hAnsi="Times New Roman"/>
        </w:rPr>
        <w:t>9</w:t>
      </w:r>
      <w:r w:rsidRPr="00872293">
        <w:rPr>
          <w:rFonts w:ascii="Times New Roman" w:hAnsi="Times New Roman"/>
        </w:rPr>
        <w:t>; Fig</w:t>
      </w:r>
      <w:r w:rsidR="009C6C5E" w:rsidRPr="00872293">
        <w:rPr>
          <w:rFonts w:ascii="Times New Roman" w:hAnsi="Times New Roman"/>
        </w:rPr>
        <w:t>ure 22a</w:t>
      </w:r>
      <w:r w:rsidRPr="00872293">
        <w:rPr>
          <w:rFonts w:ascii="Times New Roman" w:hAnsi="Times New Roman"/>
        </w:rPr>
        <w:t xml:space="preserve">). For every one </w:t>
      </w:r>
      <w:r w:rsidR="0063361B" w:rsidRPr="00872293">
        <w:rPr>
          <w:rFonts w:ascii="Times New Roman" w:hAnsi="Times New Roman"/>
        </w:rPr>
        <w:t xml:space="preserve">percent </w:t>
      </w:r>
      <w:r w:rsidRPr="00872293">
        <w:rPr>
          <w:rFonts w:ascii="Times New Roman" w:hAnsi="Times New Roman"/>
        </w:rPr>
        <w:t>increase in mycorrhizal percent colonization, there was a</w:t>
      </w:r>
      <w:r w:rsidR="000E42BD" w:rsidRPr="00872293">
        <w:rPr>
          <w:rFonts w:ascii="Times New Roman" w:hAnsi="Times New Roman"/>
        </w:rPr>
        <w:t>n increase of</w:t>
      </w:r>
      <w:r w:rsidRPr="00872293">
        <w:rPr>
          <w:rFonts w:ascii="Times New Roman" w:hAnsi="Times New Roman"/>
        </w:rPr>
        <w:t xml:space="preserve"> 25.9 </w:t>
      </w:r>
      <w:proofErr w:type="spellStart"/>
      <w:r w:rsidRPr="00872293">
        <w:rPr>
          <w:rFonts w:ascii="Times New Roman" w:hAnsi="Times New Roman"/>
        </w:rPr>
        <w:t>μmol</w:t>
      </w:r>
      <w:proofErr w:type="spellEnd"/>
      <w:r w:rsidRPr="00872293">
        <w:rPr>
          <w:rFonts w:ascii="Times New Roman" w:hAnsi="Times New Roman"/>
        </w:rPr>
        <w:t xml:space="preserve"> pNPg</w:t>
      </w:r>
      <w:r w:rsidRPr="00872293">
        <w:rPr>
          <w:rFonts w:ascii="Times New Roman" w:hAnsi="Times New Roman"/>
          <w:vertAlign w:val="subscript"/>
        </w:rPr>
        <w:t>root</w:t>
      </w:r>
      <w:r w:rsidRPr="00872293">
        <w:rPr>
          <w:rFonts w:ascii="Times New Roman" w:hAnsi="Times New Roman"/>
          <w:vertAlign w:val="superscript"/>
        </w:rPr>
        <w:t>-1</w:t>
      </w:r>
      <w:r w:rsidRPr="00872293">
        <w:rPr>
          <w:rFonts w:ascii="Times New Roman" w:hAnsi="Times New Roman"/>
        </w:rPr>
        <w:t>hr</w:t>
      </w:r>
      <w:r w:rsidRPr="00872293">
        <w:rPr>
          <w:rFonts w:ascii="Times New Roman" w:hAnsi="Times New Roman"/>
          <w:vertAlign w:val="superscript"/>
        </w:rPr>
        <w:t>-1</w:t>
      </w:r>
      <w:r w:rsidRPr="00872293">
        <w:rPr>
          <w:rFonts w:ascii="Times New Roman" w:hAnsi="Times New Roman"/>
        </w:rPr>
        <w:t xml:space="preserve"> of </w:t>
      </w:r>
      <w:r w:rsidRPr="00872293">
        <w:rPr>
          <w:rFonts w:ascii="Times New Roman" w:eastAsia="ArialUnicodeMS" w:hAnsi="Times New Roman"/>
        </w:rPr>
        <w:t xml:space="preserve">PME (Table </w:t>
      </w:r>
      <w:r w:rsidR="00571804" w:rsidRPr="00872293">
        <w:rPr>
          <w:rFonts w:ascii="Times New Roman" w:eastAsia="ArialUnicodeMS" w:hAnsi="Times New Roman"/>
        </w:rPr>
        <w:t>9</w:t>
      </w:r>
      <w:r w:rsidRPr="00872293">
        <w:rPr>
          <w:rFonts w:ascii="Times New Roman" w:eastAsia="ArialUnicodeMS" w:hAnsi="Times New Roman"/>
        </w:rPr>
        <w:t>).</w:t>
      </w:r>
      <w:r w:rsidRPr="00872293">
        <w:rPr>
          <w:rFonts w:ascii="Times New Roman" w:hAnsi="Times New Roman"/>
        </w:rPr>
        <w:t xml:space="preserve"> In contrast, root branching ratio had a</w:t>
      </w:r>
      <w:r w:rsidR="0063361B" w:rsidRPr="00872293">
        <w:rPr>
          <w:rFonts w:ascii="Times New Roman" w:hAnsi="Times New Roman"/>
        </w:rPr>
        <w:t xml:space="preserve"> significant</w:t>
      </w:r>
      <w:r w:rsidRPr="00872293">
        <w:rPr>
          <w:rFonts w:ascii="Times New Roman" w:hAnsi="Times New Roman"/>
        </w:rPr>
        <w:t xml:space="preserve"> negative relationship with root PME when considering only site variation in the random effect (Table </w:t>
      </w:r>
      <w:r w:rsidR="00C028ED" w:rsidRPr="00872293">
        <w:rPr>
          <w:rFonts w:ascii="Times New Roman" w:hAnsi="Times New Roman"/>
        </w:rPr>
        <w:t>9</w:t>
      </w:r>
      <w:r w:rsidRPr="00872293">
        <w:rPr>
          <w:rFonts w:ascii="Times New Roman" w:hAnsi="Times New Roman"/>
        </w:rPr>
        <w:t>; Fig</w:t>
      </w:r>
      <w:r w:rsidR="009C6C5E" w:rsidRPr="00872293">
        <w:rPr>
          <w:rFonts w:ascii="Times New Roman" w:hAnsi="Times New Roman"/>
        </w:rPr>
        <w:t>ure 22b</w:t>
      </w:r>
      <w:r w:rsidRPr="00872293">
        <w:rPr>
          <w:rFonts w:ascii="Times New Roman" w:hAnsi="Times New Roman"/>
        </w:rPr>
        <w:t xml:space="preserve">). For every increase in root branching ratio, there was a decrease of 10.8 </w:t>
      </w:r>
      <w:proofErr w:type="spellStart"/>
      <w:r w:rsidRPr="00872293">
        <w:rPr>
          <w:rFonts w:ascii="Times New Roman" w:hAnsi="Times New Roman"/>
        </w:rPr>
        <w:t>μmol</w:t>
      </w:r>
      <w:proofErr w:type="spellEnd"/>
      <w:r w:rsidRPr="00872293">
        <w:rPr>
          <w:rFonts w:ascii="Times New Roman" w:hAnsi="Times New Roman"/>
        </w:rPr>
        <w:t xml:space="preserve"> pNPg</w:t>
      </w:r>
      <w:r w:rsidRPr="00872293">
        <w:rPr>
          <w:rFonts w:ascii="Times New Roman" w:hAnsi="Times New Roman"/>
          <w:vertAlign w:val="subscript"/>
        </w:rPr>
        <w:t>root</w:t>
      </w:r>
      <w:r w:rsidRPr="00872293">
        <w:rPr>
          <w:rFonts w:ascii="Times New Roman" w:hAnsi="Times New Roman"/>
          <w:vertAlign w:val="superscript"/>
        </w:rPr>
        <w:t>-1</w:t>
      </w:r>
      <w:r w:rsidRPr="00872293">
        <w:rPr>
          <w:rFonts w:ascii="Times New Roman" w:hAnsi="Times New Roman"/>
        </w:rPr>
        <w:t>hr</w:t>
      </w:r>
      <w:r w:rsidRPr="00872293">
        <w:rPr>
          <w:rFonts w:ascii="Times New Roman" w:hAnsi="Times New Roman"/>
          <w:vertAlign w:val="superscript"/>
        </w:rPr>
        <w:t>-1</w:t>
      </w:r>
      <w:r w:rsidRPr="00872293">
        <w:rPr>
          <w:rFonts w:ascii="Times New Roman" w:hAnsi="Times New Roman"/>
        </w:rPr>
        <w:t xml:space="preserve"> on </w:t>
      </w:r>
      <w:r w:rsidRPr="00872293">
        <w:rPr>
          <w:rFonts w:ascii="Times New Roman" w:eastAsia="ArialUnicodeMS" w:hAnsi="Times New Roman"/>
        </w:rPr>
        <w:t>PME</w:t>
      </w:r>
      <w:r w:rsidRPr="00872293">
        <w:rPr>
          <w:rFonts w:ascii="Times New Roman" w:hAnsi="Times New Roman"/>
        </w:rPr>
        <w:t xml:space="preserve"> (Table </w:t>
      </w:r>
      <w:r w:rsidR="00571804" w:rsidRPr="00872293">
        <w:rPr>
          <w:rFonts w:ascii="Times New Roman" w:hAnsi="Times New Roman"/>
        </w:rPr>
        <w:t>9</w:t>
      </w:r>
      <w:r w:rsidRPr="00872293">
        <w:rPr>
          <w:rFonts w:ascii="Times New Roman" w:hAnsi="Times New Roman"/>
        </w:rPr>
        <w:t xml:space="preserve">). However, when considering species variation in the random effect, there was no significant relationship between these root traits (Table </w:t>
      </w:r>
      <w:r w:rsidR="00571804" w:rsidRPr="00872293">
        <w:rPr>
          <w:rFonts w:ascii="Times New Roman" w:hAnsi="Times New Roman"/>
        </w:rPr>
        <w:t>9</w:t>
      </w:r>
      <w:r w:rsidRPr="00872293">
        <w:rPr>
          <w:rFonts w:ascii="Times New Roman" w:hAnsi="Times New Roman"/>
        </w:rPr>
        <w:t>; Fig</w:t>
      </w:r>
      <w:r w:rsidR="009C6C5E" w:rsidRPr="00872293">
        <w:rPr>
          <w:rFonts w:ascii="Times New Roman" w:hAnsi="Times New Roman"/>
        </w:rPr>
        <w:t>ure 22</w:t>
      </w:r>
      <w:r w:rsidRPr="00872293">
        <w:rPr>
          <w:rFonts w:ascii="Times New Roman" w:hAnsi="Times New Roman"/>
        </w:rPr>
        <w:t xml:space="preserve">). Also, the negative relationship between root branching ratio and mycorrhizal colonization was only significant when site variation was </w:t>
      </w:r>
      <w:proofErr w:type="gramStart"/>
      <w:r w:rsidRPr="00872293">
        <w:rPr>
          <w:rFonts w:ascii="Times New Roman" w:hAnsi="Times New Roman"/>
        </w:rPr>
        <w:t>considered, but</w:t>
      </w:r>
      <w:proofErr w:type="gramEnd"/>
      <w:r w:rsidRPr="00872293">
        <w:rPr>
          <w:rFonts w:ascii="Times New Roman" w:hAnsi="Times New Roman"/>
        </w:rPr>
        <w:t xml:space="preserve"> became insignificant when considering species within site</w:t>
      </w:r>
      <w:r w:rsidR="009C6C5E" w:rsidRPr="00872293">
        <w:rPr>
          <w:rFonts w:ascii="Times New Roman" w:hAnsi="Times New Roman"/>
        </w:rPr>
        <w:t xml:space="preserve"> (Table </w:t>
      </w:r>
      <w:r w:rsidR="00571804" w:rsidRPr="00872293">
        <w:rPr>
          <w:rFonts w:ascii="Times New Roman" w:hAnsi="Times New Roman"/>
        </w:rPr>
        <w:t>9</w:t>
      </w:r>
      <w:r w:rsidR="009C6C5E" w:rsidRPr="00872293">
        <w:rPr>
          <w:rFonts w:ascii="Times New Roman" w:hAnsi="Times New Roman"/>
        </w:rPr>
        <w:t>, Figure 22d)</w:t>
      </w:r>
      <w:r w:rsidRPr="00872293">
        <w:rPr>
          <w:rFonts w:ascii="Times New Roman" w:hAnsi="Times New Roman"/>
        </w:rPr>
        <w:t xml:space="preserve">. Thus, the differences in root PME, root branching ratio, and mycorrhizal colonization was due the differences in species combined with the different community compositions </w:t>
      </w:r>
      <w:r w:rsidR="00FC574C" w:rsidRPr="00872293">
        <w:rPr>
          <w:rFonts w:ascii="Times New Roman" w:hAnsi="Times New Roman"/>
        </w:rPr>
        <w:t xml:space="preserve">among </w:t>
      </w:r>
      <w:r w:rsidRPr="00872293">
        <w:rPr>
          <w:rFonts w:ascii="Times New Roman" w:hAnsi="Times New Roman"/>
        </w:rPr>
        <w:t>sites (Fig</w:t>
      </w:r>
      <w:r w:rsidR="009C6C5E" w:rsidRPr="00872293">
        <w:rPr>
          <w:rFonts w:ascii="Times New Roman" w:hAnsi="Times New Roman"/>
        </w:rPr>
        <w:t>ure 22</w:t>
      </w:r>
      <w:r w:rsidRPr="00872293">
        <w:rPr>
          <w:rFonts w:ascii="Times New Roman" w:hAnsi="Times New Roman"/>
        </w:rPr>
        <w:t xml:space="preserve">). Species like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rPr>
        <w:t xml:space="preserve"> had the lowest mycorrhizal colonization percent, the lowest root PME, but the highest root branching ratio, contrary to </w:t>
      </w:r>
      <w:r w:rsidRPr="00872293">
        <w:rPr>
          <w:rFonts w:ascii="Times New Roman" w:hAnsi="Times New Roman"/>
          <w:i/>
          <w:iCs/>
        </w:rPr>
        <w:t xml:space="preserve">C. </w:t>
      </w:r>
      <w:proofErr w:type="spellStart"/>
      <w:r w:rsidRPr="00872293">
        <w:rPr>
          <w:rFonts w:ascii="Times New Roman" w:hAnsi="Times New Roman"/>
          <w:i/>
          <w:iCs/>
        </w:rPr>
        <w:t>schreberiana</w:t>
      </w:r>
      <w:proofErr w:type="spellEnd"/>
      <w:r w:rsidRPr="00872293">
        <w:rPr>
          <w:rFonts w:ascii="Times New Roman" w:hAnsi="Times New Roman"/>
          <w:i/>
          <w:iCs/>
        </w:rPr>
        <w:t xml:space="preserve"> </w:t>
      </w:r>
      <w:r w:rsidRPr="00872293">
        <w:rPr>
          <w:rFonts w:ascii="Times New Roman" w:hAnsi="Times New Roman"/>
        </w:rPr>
        <w:t>(Fig</w:t>
      </w:r>
      <w:r w:rsidR="009C6C5E" w:rsidRPr="00872293">
        <w:rPr>
          <w:rFonts w:ascii="Times New Roman" w:hAnsi="Times New Roman"/>
        </w:rPr>
        <w:t>ure 22</w:t>
      </w:r>
      <w:r w:rsidRPr="00872293">
        <w:rPr>
          <w:rFonts w:ascii="Times New Roman" w:hAnsi="Times New Roman"/>
        </w:rPr>
        <w:t xml:space="preserve">). </w:t>
      </w:r>
    </w:p>
    <w:p w14:paraId="5EBD353D" w14:textId="77777777" w:rsidR="003178DF" w:rsidRPr="00872293" w:rsidRDefault="003178DF" w:rsidP="003178DF">
      <w:pPr>
        <w:spacing w:line="360" w:lineRule="auto"/>
        <w:rPr>
          <w:rFonts w:ascii="Times New Roman" w:hAnsi="Times New Roman"/>
        </w:rPr>
      </w:pPr>
    </w:p>
    <w:p w14:paraId="19B7C931" w14:textId="51CF68A1" w:rsidR="003178DF" w:rsidRPr="00872293" w:rsidRDefault="003178DF" w:rsidP="00946400">
      <w:pPr>
        <w:spacing w:line="360" w:lineRule="auto"/>
        <w:rPr>
          <w:rFonts w:ascii="Times New Roman" w:hAnsi="Times New Roman"/>
        </w:rPr>
      </w:pPr>
      <w:r w:rsidRPr="00872293">
        <w:rPr>
          <w:rFonts w:ascii="Times New Roman" w:hAnsi="Times New Roman"/>
        </w:rPr>
        <w:t xml:space="preserve">Soil organic P and available P did not show a relationship with root PME (Table </w:t>
      </w:r>
      <w:r w:rsidR="00571804" w:rsidRPr="00872293">
        <w:rPr>
          <w:rFonts w:ascii="Times New Roman" w:hAnsi="Times New Roman"/>
        </w:rPr>
        <w:t>9</w:t>
      </w:r>
      <w:r w:rsidRPr="00872293">
        <w:rPr>
          <w:rFonts w:ascii="Times New Roman" w:hAnsi="Times New Roman"/>
        </w:rPr>
        <w:t xml:space="preserve">). Further SRL had no significant effect on root phosphatase activity (Table </w:t>
      </w:r>
      <w:r w:rsidR="00571804" w:rsidRPr="00872293">
        <w:rPr>
          <w:rFonts w:ascii="Times New Roman" w:hAnsi="Times New Roman"/>
        </w:rPr>
        <w:t>9</w:t>
      </w:r>
      <w:r w:rsidRPr="00872293">
        <w:rPr>
          <w:rFonts w:ascii="Times New Roman" w:hAnsi="Times New Roman"/>
        </w:rPr>
        <w:t xml:space="preserve">). When analyzing root PME, root branching ratio, and mycorrhizal colonization effect on root P percentage, we found that only mycorrhizal colonization had a positive effect on root P percent, even when site and species variation was included in the model (Table </w:t>
      </w:r>
      <w:r w:rsidR="00571804" w:rsidRPr="00872293">
        <w:rPr>
          <w:rFonts w:ascii="Times New Roman" w:hAnsi="Times New Roman"/>
        </w:rPr>
        <w:t>9</w:t>
      </w:r>
      <w:r w:rsidRPr="00872293">
        <w:rPr>
          <w:rFonts w:ascii="Times New Roman" w:hAnsi="Times New Roman"/>
        </w:rPr>
        <w:t>; Fi</w:t>
      </w:r>
      <w:r w:rsidR="009C6C5E" w:rsidRPr="00872293">
        <w:rPr>
          <w:rFonts w:ascii="Times New Roman" w:hAnsi="Times New Roman"/>
        </w:rPr>
        <w:t>gure 22c</w:t>
      </w:r>
      <w:r w:rsidRPr="00872293">
        <w:rPr>
          <w:rFonts w:ascii="Times New Roman" w:hAnsi="Times New Roman"/>
        </w:rPr>
        <w:t xml:space="preserve">). We found that SRL had a positive effect on root branching ratio when considering species and site variation in the model (Table </w:t>
      </w:r>
      <w:r w:rsidR="00571804" w:rsidRPr="00872293">
        <w:rPr>
          <w:rFonts w:ascii="Times New Roman" w:hAnsi="Times New Roman"/>
        </w:rPr>
        <w:t>9</w:t>
      </w:r>
      <w:r w:rsidRPr="00872293">
        <w:rPr>
          <w:rFonts w:ascii="Times New Roman" w:hAnsi="Times New Roman"/>
        </w:rPr>
        <w:t>; Fig</w:t>
      </w:r>
      <w:r w:rsidR="009C6C5E" w:rsidRPr="00872293">
        <w:rPr>
          <w:rFonts w:ascii="Times New Roman" w:hAnsi="Times New Roman"/>
        </w:rPr>
        <w:t>ure 22e</w:t>
      </w:r>
      <w:r w:rsidRPr="00872293">
        <w:rPr>
          <w:rFonts w:ascii="Times New Roman" w:hAnsi="Times New Roman"/>
        </w:rPr>
        <w:t xml:space="preserve">). We found no relationship between SRL and root mycorrhizal colonization (Table </w:t>
      </w:r>
      <w:bookmarkEnd w:id="149"/>
      <w:r w:rsidR="007851D7" w:rsidRPr="00872293">
        <w:rPr>
          <w:rFonts w:ascii="Times New Roman" w:hAnsi="Times New Roman"/>
        </w:rPr>
        <w:t>9</w:t>
      </w:r>
      <w:r w:rsidRPr="00872293">
        <w:rPr>
          <w:rFonts w:ascii="Times New Roman" w:hAnsi="Times New Roman"/>
        </w:rPr>
        <w:t>).</w:t>
      </w:r>
    </w:p>
    <w:p w14:paraId="1CEDC0D5" w14:textId="77777777" w:rsidR="00124498" w:rsidRPr="00872293" w:rsidRDefault="00124498" w:rsidP="00C32203">
      <w:pPr>
        <w:spacing w:line="360" w:lineRule="auto"/>
        <w:rPr>
          <w:rFonts w:ascii="Times New Roman" w:hAnsi="Times New Roman"/>
        </w:rPr>
      </w:pPr>
    </w:p>
    <w:p w14:paraId="79EA7E66" w14:textId="77777777" w:rsidR="00A20952" w:rsidRPr="00872293" w:rsidRDefault="00A20952" w:rsidP="00C32203">
      <w:pPr>
        <w:pStyle w:val="Heading3"/>
        <w:spacing w:before="0" w:after="0" w:line="360" w:lineRule="auto"/>
        <w:rPr>
          <w:rFonts w:cs="Times New Roman"/>
        </w:rPr>
      </w:pPr>
      <w:bookmarkStart w:id="150" w:name="_Toc53689110"/>
      <w:bookmarkEnd w:id="147"/>
      <w:r w:rsidRPr="00872293">
        <w:rPr>
          <w:rFonts w:cs="Times New Roman"/>
        </w:rPr>
        <w:t>Root traits before and after the hurricane disturbances</w:t>
      </w:r>
      <w:bookmarkEnd w:id="150"/>
    </w:p>
    <w:p w14:paraId="0E5A0325" w14:textId="24BFE240" w:rsidR="006B3F9E" w:rsidRDefault="006B3F9E" w:rsidP="00C32203">
      <w:pPr>
        <w:spacing w:before="240" w:line="360" w:lineRule="auto"/>
        <w:rPr>
          <w:rFonts w:ascii="Times New Roman" w:hAnsi="Times New Roman"/>
        </w:rPr>
      </w:pPr>
      <w:r w:rsidRPr="00872293">
        <w:rPr>
          <w:rFonts w:ascii="Times New Roman" w:hAnsi="Times New Roman"/>
        </w:rPr>
        <w:t xml:space="preserve">Hurricanes Irma and María had a negative effect on root PME and on soil available P (Table 10, Figure 23). Soil available P reduced </w:t>
      </w:r>
      <w:r w:rsidR="009E17EE" w:rsidRPr="00872293">
        <w:rPr>
          <w:rFonts w:ascii="Times New Roman" w:hAnsi="Times New Roman"/>
        </w:rPr>
        <w:t xml:space="preserve">three-fold </w:t>
      </w:r>
      <w:r w:rsidRPr="00872293">
        <w:rPr>
          <w:rFonts w:ascii="Times New Roman" w:hAnsi="Times New Roman"/>
        </w:rPr>
        <w:t>from 0.66 mg g</w:t>
      </w:r>
      <w:r w:rsidRPr="00872293">
        <w:rPr>
          <w:rFonts w:ascii="Times New Roman" w:hAnsi="Times New Roman"/>
          <w:vertAlign w:val="superscript"/>
        </w:rPr>
        <w:t xml:space="preserve">-1 </w:t>
      </w:r>
      <w:r w:rsidRPr="00872293">
        <w:rPr>
          <w:rFonts w:ascii="Times New Roman" w:hAnsi="Times New Roman"/>
        </w:rPr>
        <w:t>to 0.22 mg g</w:t>
      </w:r>
      <w:r w:rsidRPr="00872293">
        <w:rPr>
          <w:rFonts w:ascii="Times New Roman" w:hAnsi="Times New Roman"/>
          <w:vertAlign w:val="superscript"/>
        </w:rPr>
        <w:t>-1</w:t>
      </w:r>
      <w:r w:rsidRPr="00872293">
        <w:rPr>
          <w:rFonts w:ascii="Times New Roman" w:hAnsi="Times New Roman"/>
        </w:rPr>
        <w:t xml:space="preserve"> after the hurricane disturbance when accounting for site, species, and individual tree variation. Root PME reduced </w:t>
      </w:r>
      <w:r w:rsidR="009E17EE" w:rsidRPr="00872293">
        <w:rPr>
          <w:rFonts w:ascii="Times New Roman" w:hAnsi="Times New Roman"/>
        </w:rPr>
        <w:t xml:space="preserve">also ~3 fold </w:t>
      </w:r>
      <w:r w:rsidRPr="00872293">
        <w:rPr>
          <w:rFonts w:ascii="Times New Roman" w:hAnsi="Times New Roman"/>
        </w:rPr>
        <w:t xml:space="preserve">from 222 </w:t>
      </w:r>
      <w:proofErr w:type="spellStart"/>
      <w:r w:rsidRPr="00872293">
        <w:rPr>
          <w:rFonts w:ascii="Times New Roman" w:hAnsi="Times New Roman"/>
        </w:rPr>
        <w:t>μmol</w:t>
      </w:r>
      <w:proofErr w:type="spellEnd"/>
      <w:r w:rsidRPr="00872293">
        <w:rPr>
          <w:rFonts w:ascii="Times New Roman" w:hAnsi="Times New Roman"/>
        </w:rPr>
        <w:t xml:space="preserve"> pNPg</w:t>
      </w:r>
      <w:r w:rsidRPr="00872293">
        <w:rPr>
          <w:rFonts w:ascii="Times New Roman" w:hAnsi="Times New Roman"/>
          <w:vertAlign w:val="subscript"/>
        </w:rPr>
        <w:t>root</w:t>
      </w:r>
      <w:r w:rsidRPr="00872293">
        <w:rPr>
          <w:rFonts w:ascii="Times New Roman" w:hAnsi="Times New Roman"/>
          <w:vertAlign w:val="superscript"/>
        </w:rPr>
        <w:t>-1</w:t>
      </w:r>
      <w:r w:rsidRPr="00872293">
        <w:rPr>
          <w:rFonts w:ascii="Times New Roman" w:hAnsi="Times New Roman"/>
        </w:rPr>
        <w:t>hr</w:t>
      </w:r>
      <w:r w:rsidRPr="00872293">
        <w:rPr>
          <w:rFonts w:ascii="Times New Roman" w:hAnsi="Times New Roman"/>
          <w:vertAlign w:val="superscript"/>
        </w:rPr>
        <w:t>-1</w:t>
      </w:r>
      <w:r w:rsidRPr="00872293">
        <w:rPr>
          <w:rFonts w:ascii="Times New Roman" w:hAnsi="Times New Roman"/>
        </w:rPr>
        <w:t xml:space="preserve"> </w:t>
      </w:r>
      <w:r w:rsidRPr="00872293">
        <w:rPr>
          <w:rFonts w:ascii="Times New Roman" w:eastAsia="ArialUnicodeMS" w:hAnsi="Times New Roman"/>
        </w:rPr>
        <w:t>before the hurricanes</w:t>
      </w:r>
      <w:r w:rsidRPr="00872293">
        <w:rPr>
          <w:rFonts w:ascii="Times New Roman" w:hAnsi="Times New Roman"/>
        </w:rPr>
        <w:t xml:space="preserve"> to 79 </w:t>
      </w:r>
      <w:proofErr w:type="spellStart"/>
      <w:r w:rsidRPr="00872293">
        <w:rPr>
          <w:rFonts w:ascii="Times New Roman" w:hAnsi="Times New Roman"/>
        </w:rPr>
        <w:t>μmol</w:t>
      </w:r>
      <w:proofErr w:type="spellEnd"/>
      <w:r w:rsidRPr="00872293">
        <w:rPr>
          <w:rFonts w:ascii="Times New Roman" w:hAnsi="Times New Roman"/>
        </w:rPr>
        <w:t xml:space="preserve"> pNPg</w:t>
      </w:r>
      <w:r w:rsidRPr="00872293">
        <w:rPr>
          <w:rFonts w:ascii="Times New Roman" w:hAnsi="Times New Roman"/>
          <w:vertAlign w:val="subscript"/>
        </w:rPr>
        <w:t>root</w:t>
      </w:r>
      <w:r w:rsidRPr="00872293">
        <w:rPr>
          <w:rFonts w:ascii="Times New Roman" w:hAnsi="Times New Roman"/>
          <w:vertAlign w:val="superscript"/>
        </w:rPr>
        <w:t>-1</w:t>
      </w:r>
      <w:r w:rsidRPr="00872293">
        <w:rPr>
          <w:rFonts w:ascii="Times New Roman" w:hAnsi="Times New Roman"/>
        </w:rPr>
        <w:t>hr</w:t>
      </w:r>
      <w:r w:rsidRPr="00872293">
        <w:rPr>
          <w:rFonts w:ascii="Times New Roman" w:hAnsi="Times New Roman"/>
          <w:vertAlign w:val="superscript"/>
        </w:rPr>
        <w:t>-1</w:t>
      </w:r>
      <w:r w:rsidRPr="00872293">
        <w:rPr>
          <w:rFonts w:ascii="Times New Roman" w:hAnsi="Times New Roman"/>
        </w:rPr>
        <w:t xml:space="preserve"> after </w:t>
      </w:r>
      <w:r w:rsidRPr="00872293">
        <w:rPr>
          <w:rFonts w:ascii="Times New Roman" w:hAnsi="Times New Roman"/>
        </w:rPr>
        <w:lastRenderedPageBreak/>
        <w:t xml:space="preserve">the hurricanes. No other root trait significantly changed with the disturbance (Table </w:t>
      </w:r>
      <w:r w:rsidR="004055CF" w:rsidRPr="00872293">
        <w:rPr>
          <w:rFonts w:ascii="Times New Roman" w:hAnsi="Times New Roman"/>
        </w:rPr>
        <w:t>10</w:t>
      </w:r>
      <w:r w:rsidRPr="00872293">
        <w:rPr>
          <w:rFonts w:ascii="Times New Roman" w:hAnsi="Times New Roman"/>
        </w:rPr>
        <w:t>; Fig</w:t>
      </w:r>
      <w:r w:rsidR="004055CF" w:rsidRPr="00872293">
        <w:rPr>
          <w:rFonts w:ascii="Times New Roman" w:hAnsi="Times New Roman"/>
        </w:rPr>
        <w:t>ure 23</w:t>
      </w:r>
      <w:r w:rsidRPr="00872293">
        <w:rPr>
          <w:rFonts w:ascii="Times New Roman" w:hAnsi="Times New Roman"/>
        </w:rPr>
        <w:t xml:space="preserve">). </w:t>
      </w:r>
    </w:p>
    <w:p w14:paraId="70576998" w14:textId="77777777" w:rsidR="00C32203" w:rsidRPr="00872293" w:rsidRDefault="00C32203" w:rsidP="00C32203">
      <w:pPr>
        <w:spacing w:line="360" w:lineRule="auto"/>
        <w:rPr>
          <w:rFonts w:ascii="Times New Roman" w:hAnsi="Times New Roman"/>
        </w:rPr>
      </w:pPr>
    </w:p>
    <w:p w14:paraId="01112BD5" w14:textId="77777777" w:rsidR="00A20952" w:rsidRPr="00872293" w:rsidRDefault="00A20952" w:rsidP="00C32203">
      <w:pPr>
        <w:pStyle w:val="Heading2"/>
        <w:spacing w:before="0" w:after="0" w:line="360" w:lineRule="auto"/>
        <w:rPr>
          <w:rFonts w:cs="Times New Roman"/>
        </w:rPr>
      </w:pPr>
      <w:bookmarkStart w:id="151" w:name="_Toc53689111"/>
      <w:r w:rsidRPr="00872293">
        <w:rPr>
          <w:rFonts w:cs="Times New Roman"/>
        </w:rPr>
        <w:t>Discussion</w:t>
      </w:r>
      <w:bookmarkEnd w:id="151"/>
    </w:p>
    <w:p w14:paraId="0ACB3431" w14:textId="56C69029" w:rsidR="00A20952" w:rsidRPr="00872293" w:rsidRDefault="00A20952" w:rsidP="00C32203">
      <w:pPr>
        <w:pStyle w:val="Heading3"/>
        <w:spacing w:before="0" w:after="0" w:line="360" w:lineRule="auto"/>
        <w:rPr>
          <w:rFonts w:cs="Times New Roman"/>
        </w:rPr>
      </w:pPr>
      <w:bookmarkStart w:id="152" w:name="_Toc53689112"/>
      <w:r w:rsidRPr="00872293">
        <w:rPr>
          <w:rFonts w:cs="Times New Roman"/>
        </w:rPr>
        <w:t xml:space="preserve">Soil P concentration </w:t>
      </w:r>
      <w:r w:rsidR="0042342D" w:rsidRPr="00872293">
        <w:rPr>
          <w:rFonts w:cs="Times New Roman"/>
        </w:rPr>
        <w:t>among</w:t>
      </w:r>
      <w:r w:rsidRPr="00872293">
        <w:rPr>
          <w:rFonts w:cs="Times New Roman"/>
        </w:rPr>
        <w:t xml:space="preserve"> sites</w:t>
      </w:r>
      <w:bookmarkEnd w:id="152"/>
    </w:p>
    <w:p w14:paraId="7B8DB114" w14:textId="5829AB16" w:rsidR="00B64084" w:rsidRPr="00872293" w:rsidRDefault="00B64084" w:rsidP="00C32203">
      <w:pPr>
        <w:spacing w:before="240" w:line="360" w:lineRule="auto"/>
        <w:rPr>
          <w:rFonts w:ascii="Times New Roman" w:hAnsi="Times New Roman"/>
        </w:rPr>
      </w:pPr>
      <w:r w:rsidRPr="00872293">
        <w:rPr>
          <w:rFonts w:ascii="Times New Roman" w:hAnsi="Times New Roman"/>
        </w:rPr>
        <w:t xml:space="preserve">We found differences in soil organic P concentration and available P concentration </w:t>
      </w:r>
      <w:r w:rsidR="0042342D" w:rsidRPr="00872293">
        <w:rPr>
          <w:rFonts w:ascii="Times New Roman" w:hAnsi="Times New Roman"/>
        </w:rPr>
        <w:t>among</w:t>
      </w:r>
      <w:r w:rsidRPr="00872293">
        <w:rPr>
          <w:rFonts w:ascii="Times New Roman" w:hAnsi="Times New Roman"/>
        </w:rPr>
        <w:t xml:space="preserve"> the sites. The mature forest had the greatest concentration of organic P, and the youngest forest had the greatest available P. Phosphorus availability and its concentration depend on different factors such as soil age, climate, parent material, biota composition, and topographic position </w:t>
      </w:r>
      <w:r w:rsidRPr="00872293">
        <w:rPr>
          <w:rFonts w:ascii="Times New Roman" w:hAnsi="Times New Roman"/>
        </w:rPr>
        <w:fldChar w:fldCharType="begin" w:fldLock="1"/>
      </w:r>
      <w:r w:rsidRPr="00872293">
        <w:rPr>
          <w:rFonts w:ascii="Times New Roman" w:hAnsi="Times New Roman"/>
        </w:rPr>
        <w:instrText>ADDIN CSL_CITATION {"citationItems":[{"id":"ITEM-1","itemData":{"DOI":"10.1007/s10021-012-9612-5","ISBN":"1432-9840","ISSN":"14329840","author":[{"dropping-particle":"","family":"Mage","given":"Susanna M","non-dropping-particle":"","parse-names":false,"suffix":""},{"dropping-particle":"","family":"Porder","given":"Stephen","non-dropping-particle":"","parse-names":false,"suffix":""}],"container-title":"Ecosystems","id":"ITEM-1","issue":"2","issued":{"date-parts":[["2013"]]},"page":"284-294","title":"Parent Material and Topography Determine Soil Phosphorus Status in the Luquillo Mountains of Puerto Rico","type":"article-journal","volume":"16"},"uris":["http://www.mendeley.com/documents/?uuid=f79958bb-0a5c-4d00-9672-8d73ab47078d"]}],"mendeley":{"formattedCitation":"(Mage &amp; Porder, 2013)","plainTextFormattedCitation":"(Mage &amp; Porder, 2013)","previouslyFormattedCitation":"(Mage &amp; Porder, 2013)"},"properties":{"noteIndex":0},"schema":"https://github.com/citation-style-language/schema/raw/master/csl-citation.json"}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(Mage &amp; Porder, 2013)</w:t>
      </w:r>
      <w:r w:rsidRPr="00872293">
        <w:rPr>
          <w:rFonts w:ascii="Times New Roman" w:hAnsi="Times New Roman"/>
        </w:rPr>
        <w:fldChar w:fldCharType="end"/>
      </w:r>
      <w:r w:rsidRPr="00872293">
        <w:rPr>
          <w:rFonts w:ascii="Times New Roman" w:hAnsi="Times New Roman"/>
        </w:rPr>
        <w:t xml:space="preserve">. Our three study sites had the same parent material, similar mean annual temperature, and mean annual precipitation, but different forest age, plant composition, and elevation </w:t>
      </w:r>
      <w:r w:rsidRPr="00872293">
        <w:rPr>
          <w:rFonts w:ascii="Times New Roman" w:hAnsi="Times New Roman"/>
        </w:rPr>
        <w:fldChar w:fldCharType="begin" w:fldLock="1"/>
      </w:r>
      <w:r w:rsidRPr="00872293">
        <w:rPr>
          <w:rFonts w:ascii="Times New Roman" w:hAnsi="Times New Roman"/>
        </w:rPr>
        <w:instrText>ADDIN CSL_CITATION {"citationItems":[{"id":"ITEM-1","itemData":{"abstract":"This paper summerizes the physiographic setting and historical uses of the Bisley experimental watersheds. These watersheds are the site of long-term watershed studies in the Luquillo Experimental Forest of Puerto Rico. Each of these watersheds drains deep, clayey soils that overlie a highly dissected terrain underlain by volcanoclastic sandstones. The drainages are covered by secundary Tabonuco type forets and recieve about 3,500 mm/yr of rainfall. Since European settlement, about 490 year ago, the study area has been explored for precious ores, cultivated and selectively logged. The major obstacle to the exploration of the resources of the watersheds has been inaccessibility. High rainfall, steeply sloping terrain, and slippery clay soils combine to make transportation in the area real difficult. The most rapid change to the Bisley landscape occured at the end of the 19th century and the beginning of the 20th century. During this time, local agricultural activity was at a maximum, timber was being exported from the region, and copper mines wre active in thr Rio Blanco area. In addition to human activity, major hurricanes occurred in 1892 and 1932. Human-induced disturbance in the watersheds has been selective in both space and time. The pattern of disturbance is contrary to that described in other temperate and tropical forests. Antropogenic disturbance in these watersheds has apparently increased the spatial hetrogenity of the forest. The success of both natural and induced regeneration in the area suggests that the impact of human disturbance was greater on forest structure than its long-term productivity. NOTES\\ - Landslide in LEF associated with metamorphic contact zone.\\ -","author":[{"dropping-particle":"","family":"Scatena","given":"F N","non-dropping-particle":"","parse-names":false,"suffix":""}],"container-title":"Forest Service- Southern Forest Experiment Station; General Technical Report SO-72","id":"ITEM-1","issued":{"date-parts":[["1989"]]},"page":"22","title":"An Introduction to the Physiography and History of the Bisley Experimental Watersheds in the Luquillo Mountains of Puerto Rico","type":"article-journal","volume":"72"},"uris":["http://www.mendeley.com/documents/?uuid=fe29dec6-1cd6-40ab-ae4f-fd681315211f"]},{"id":"ITEM-2","itemData":{"DOI":"10.1016/j.soilbio.2014.04.017","ISBN":"0038-0717","ISSN":"00380717","abstract":"Extracellular enzymes in soils mediate the decomposition of organic matter and catalyze key transformations in carbon, nitrogen and phosphorus cycling. However, most studies of extracellular enzyme activity have focused exclusively on relatively carbon and nutrient-rich surface soils. In tropical forests, several centimeters of nutrient-rich surface soil can overlay meters of resource-poor subsoil, of which the microbial ecology is poorly characterized. The goal of this study was to determine how extracellular enzyme activity changes as a function of depth across two soil orders (Oxisols and Inceptisols) and two forest types that occur at different elevations (Tabonuco, lower elevation; Colorado, higher elevation) at the Luquillo Critical Zone Observatory in northeast Puerto Rico. We excavated three soil pits to 140cm at four different sites representing the four soil??forest combinations, and measured potential activities of four carbon-acquiring enzymes (??-glucosidase, ??-glucosidase, ??-xylosidase, cellobiohydrolase), one nitrogen-acquiring enzyme (N-acetyl glucosaminidase) and one organic phosphorus-acquiring enzyme (acid phosphatase) at six discrete depth intervals. We used phospholipid fatty acid (PLFA) analysis to assess viable microbial biomass and community structure. Overall, microbial biomass, specific enzyme activities and community structure were similar across the two soil and forest types, in spite of higher carbon concentrations and C:N ratios in the Colorado forest soil. Soil nutrients, microbial biomass and potential enzyme activities all declined exponentially with depth. However, when normalized to microbial biomass, specific enzyme activities either did not change with depth (??-glucosidase, ??-xylosidase, cellobiohydrolase and N-acetyl glucosaminidase) or increased significantly with depth (??-glucosidase and acid phosphatase, P&lt;0.05). Principal components analysis of PLFA biomarkers revealed shifts in community structure with depth (P&lt;0.01), driven largely by a decline in fungal:bacterial ratios, an increase in gram positive and actinobacteria biomarkers, and a decrease in gram negative biomarkers. Shifts in community structure, upregulation of enzyme production in response to resource scarcity and decreased enzyme turnover rates may all contribute to high specific enzyme activities in subsoils. Our study indicates that low-carbon tropical subsoils contain small but metabolically active microbial communities, and that specific en…","author":[{"dropping-particle":"","family":"Stone","given":"M. M.","non-dropping-particle":"","parse-names":false,"suffix":""},{"dropping-particle":"","family":"DeForest","given":"J. L.","non-dropping-particle":"","parse-names":false,"suffix":""},{"dropping-particle":"","family":"Plante","given":"A. F.","non-dropping-particle":"","parse-names":false,"suffix":""}],"container-title":"Soil Biology and Biochemistry","id":"ITEM-2","issued":{"date-parts":[["2014"]]},"page":"237-247","publisher":"Elsevier Ltd","title":"Changes in extracellular enzyme activity and microbial community structure with soil depth at the Luquillo Critical Zone Observatory","type":"article-journal","volume":"75"},"uris":["http://www.mendeley.com/documents/?uuid=c044a1f9-ca3a-4a46-823c-3c8e3e44a2a7"]}],"mendeley":{"formattedCitation":"(Scatena, 1989; Stone &lt;i&gt;et al.&lt;/i&gt;, 2014)","manualFormatting":"(Scatena, 1989; Stone et al., 2014; Uriarte &amp; Zimmerman, 2016; Picón Ruiz, 2019)","plainTextFormattedCitation":"(Scatena, 1989; Stone et al., 2014)","previouslyFormattedCitation":"(Scatena, 1989; Stone &lt;i&gt;et al.&lt;/i&gt;, 2014)"},"properties":{"noteIndex":0},"schema":"https://github.com/citation-style-language/schema/raw/master/csl-citation.json"}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(Scatena, 1989; Stone </w:t>
      </w:r>
      <w:r w:rsidRPr="00872293">
        <w:rPr>
          <w:rFonts w:ascii="Times New Roman" w:hAnsi="Times New Roman"/>
          <w:i/>
          <w:noProof/>
        </w:rPr>
        <w:t>et al.</w:t>
      </w:r>
      <w:r w:rsidRPr="00872293">
        <w:rPr>
          <w:rFonts w:ascii="Times New Roman" w:hAnsi="Times New Roman"/>
          <w:noProof/>
        </w:rPr>
        <w:t>, 2014; Uriarte &amp; Zimmerman, 2016; Picón Ruiz, 2019)</w:t>
      </w:r>
      <w:r w:rsidRPr="00872293">
        <w:rPr>
          <w:rFonts w:ascii="Times New Roman" w:hAnsi="Times New Roman"/>
        </w:rPr>
        <w:fldChar w:fldCharType="end"/>
      </w:r>
      <w:r w:rsidRPr="00872293">
        <w:rPr>
          <w:rFonts w:ascii="Times New Roman" w:hAnsi="Times New Roman"/>
        </w:rPr>
        <w:t xml:space="preserve">. Thus, forest land use and forest age were an important difference </w:t>
      </w:r>
      <w:r w:rsidR="0042342D" w:rsidRPr="00872293">
        <w:rPr>
          <w:rFonts w:ascii="Times New Roman" w:hAnsi="Times New Roman"/>
        </w:rPr>
        <w:t>among</w:t>
      </w:r>
      <w:r w:rsidRPr="00872293">
        <w:rPr>
          <w:rFonts w:ascii="Times New Roman" w:hAnsi="Times New Roman"/>
        </w:rPr>
        <w:t xml:space="preserve"> these forests that could have had affected soil P concentrations (</w:t>
      </w:r>
      <w:r w:rsidRPr="00872293">
        <w:rPr>
          <w:rFonts w:ascii="Times New Roman" w:hAnsi="Times New Roman"/>
        </w:rPr>
        <w:fldChar w:fldCharType="begin" w:fldLock="1"/>
      </w:r>
      <w:r w:rsidRPr="00872293">
        <w:rPr>
          <w:rFonts w:ascii="Times New Roman" w:hAnsi="Times New Roman"/>
        </w:rPr>
        <w:instrText>ADDIN CSL_CITATION {"citationItems":[{"id":"ITEM-1","itemData":{"DOI":"10.1016/0016-7061(76)90066-5","ISSN":"00167061","abstract":"The fate of phosphorus (P) during pedogenesis is considered with particular emphasis on vertical distribution within the profile. Information is based on P fractionation studies involving a range of soil sequences in New Zealand. Forms of P in soil parent materials are discussed in relation to soil P transformations. Soil chronosequences, developed in contrasting environments, provide useful information on the pedogenetic pathways of soil P. Although less well understood, soil toposequences can be used to elucidate the effects of slope and drainage on soil-forming processes which involve P. © 1976.","author":[{"dropping-particle":"","family":"Walker","given":"T. W.","non-dropping-particle":"","parse-names":false,"suffix":""},{"dropping-particle":"","family":"Syers","given":"J. K.","non-dropping-particle":"","parse-names":false,"suffix":""}],"container-title":"Geoderma","id":"ITEM-1","issue":"1","issued":{"date-parts":[["1976"]]},"page":"1-19","title":"The fate of phosphorus during pedogenesis","type":"article-journal","volume":"15"},"uris":["http://www.mendeley.com/documents/?uuid=c130ca3c-0eeb-4af3-b788-523dc56b5534"]},{"id":"ITEM-2","itemData":{"DOI":"10.1086/406646","ISSN":"0033-5770","abstract":"One method of studying the effects of time as a soil-forming factor is to recognize and investigate a chronosequence, wherein four out of five soil-forming factors are constant or vary ineffectively. Thus, observed differences between soils of different ages forming a sequence are deemed to be the result of the lapse of varying intervals of time since the initiation of soil formation. In this paper theoretical considerations underlying the chronosequence concept are examined and soil development is discussed. Several non-strict chronosequences are reviewed, and a number of chronosequence studies are examined. The significance of such studies is assessed, and general desiderata for future investigations set out.","author":[{"dropping-particle":"","family":"Stevens","given":"P. R.","non-dropping-particle":"","parse-names":false,"suffix":""},{"dropping-particle":"","family":"Walker","given":"T. W.","non-dropping-particle":"","parse-names":false,"suffix":""}],"container-title":"The Quarterly Review of Biology","id":"ITEM-2","issue":"4","issued":{"date-parts":[["1970"]]},"page":"333-350","title":"The Chronosequence Concept and Soil Formation","type":"article-journal","volume":"45"},"uris":["http://www.mendeley.com/documents/?uuid=70113352-f091-4806-8929-5b0a711d970d"]},{"id":"ITEM-3","itemData":{"DOI":"10.2113/GSELEMENTS.4.2.89","ISSN":"18115209","abstract":"The cycling of phosphorus, a biocritical element in short supply in nature, is an important Earth system process. Variations in the phosphorus cycle have occurred in the past. For example, the rapid uplift of the Himalayan-Tibet Plateau increased chemical weathering, which led to enhanced input of phosphorus to the oceans. This drove the late Miocene \"biogenic bloom.\" Additionally, phosphorus is redistributed on glacial timescales, resulting from the loss of the substantial continental margin sink for reactive P during glacial sea-level lowstands. The modern terrestrial phosphorus cycle is dominated by agriculture and human activity. The natural riverine load of phosphorus has doubled due to increased use of fertilizers, deforestation and soil loss, and sewage sources. This has led to eutrophication of lakes and coastal areas, and will continue to have an impact for several thousand years based on forward modeling of human activities.","author":[{"dropping-particle":"","family":"Filippelli","given":"Gabriel M.","non-dropping-particle":"","parse-names":false,"suffix":""}],"container-title":"Elements","id":"ITEM-3","issue":"2","issued":{"date-parts":[["2008"]]},"page":"89-95","title":"The global phosphorus cycle: Past, present, and future","type":"article-journal","volume":"4"},"uris":["http://www.mendeley.com/documents/?uuid=334416d0-e35e-489d-85a6-824c5c4ba952"]}],"mendeley":{"formattedCitation":"(Stevens &amp; Walker, 1970; Walker &amp; Syers, 1976; Filippelli, 2008)","manualFormatting":"Stevens &amp; Walker, 1970; Walker &amp; Syers, 1976; Filippelli, 2008; Uriarte &amp; Zimmerman, 2016; Picón Ruiz, 2019)","plainTextFormattedCitation":"(Stevens &amp; Walker, 1970; Walker &amp; Syers, 1976; Filippelli, 2008)","previouslyFormattedCitation":"(Stevens &amp; Walker, 1970; Walker &amp; Syers, 1976; Filippelli, 2008)"},"properties":{"noteIndex":0},"schema":"https://github.com/citation-style-language/schema/raw/master/csl-citation.json"}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Stevens &amp; Walker, 1970; Walker &amp; Syers, 1976; Filippelli, 2008; Uriarte &amp; Zimmerman, 2016; Picón Ruiz, 2019)</w:t>
      </w:r>
      <w:r w:rsidRPr="00872293">
        <w:rPr>
          <w:rFonts w:ascii="Times New Roman" w:hAnsi="Times New Roman"/>
        </w:rPr>
        <w:fldChar w:fldCharType="end"/>
      </w:r>
      <w:r w:rsidR="00E221A9" w:rsidRPr="00872293">
        <w:rPr>
          <w:rFonts w:ascii="Times New Roman" w:hAnsi="Times New Roman"/>
        </w:rPr>
        <w:t xml:space="preserve"> based on previous studies (McDonald </w:t>
      </w:r>
      <w:r w:rsidR="00E221A9" w:rsidRPr="00872293">
        <w:rPr>
          <w:rFonts w:ascii="Times New Roman" w:hAnsi="Times New Roman"/>
          <w:i/>
          <w:iCs/>
        </w:rPr>
        <w:t xml:space="preserve">et al., </w:t>
      </w:r>
      <w:r w:rsidR="00E221A9" w:rsidRPr="00872293">
        <w:rPr>
          <w:rFonts w:ascii="Times New Roman" w:hAnsi="Times New Roman"/>
        </w:rPr>
        <w:t>2012).</w:t>
      </w:r>
    </w:p>
    <w:p w14:paraId="05CF485A" w14:textId="77777777" w:rsidR="00B64084" w:rsidRPr="00872293" w:rsidRDefault="00B64084" w:rsidP="00B64084">
      <w:pPr>
        <w:spacing w:line="360" w:lineRule="auto"/>
        <w:rPr>
          <w:rFonts w:ascii="Times New Roman" w:hAnsi="Times New Roman"/>
        </w:rPr>
      </w:pPr>
    </w:p>
    <w:p w14:paraId="7C175060" w14:textId="3402512E" w:rsidR="00B64084" w:rsidRPr="00872293" w:rsidRDefault="00B64084" w:rsidP="00B64084">
      <w:pPr>
        <w:spacing w:line="360" w:lineRule="auto"/>
        <w:rPr>
          <w:rFonts w:ascii="Times New Roman" w:hAnsi="Times New Roman"/>
        </w:rPr>
      </w:pPr>
      <w:r w:rsidRPr="00872293">
        <w:rPr>
          <w:rFonts w:ascii="Times New Roman" w:hAnsi="Times New Roman"/>
        </w:rPr>
        <w:t xml:space="preserve">From recent land use change processes (from timber plantations to secondary forest; </w:t>
      </w:r>
      <w:proofErr w:type="spellStart"/>
      <w:r w:rsidRPr="00872293">
        <w:rPr>
          <w:rFonts w:ascii="Times New Roman" w:hAnsi="Times New Roman"/>
        </w:rPr>
        <w:t>Picón</w:t>
      </w:r>
      <w:proofErr w:type="spellEnd"/>
      <w:r w:rsidR="00FC74D5" w:rsidRPr="00872293">
        <w:rPr>
          <w:rFonts w:ascii="Times New Roman" w:hAnsi="Times New Roman"/>
        </w:rPr>
        <w:t xml:space="preserve"> Ruiz</w:t>
      </w:r>
      <w:r w:rsidRPr="00872293">
        <w:rPr>
          <w:rFonts w:ascii="Times New Roman" w:hAnsi="Times New Roman"/>
        </w:rPr>
        <w:t xml:space="preserve">, 2019), SB2 and EV1 had </w:t>
      </w:r>
      <w:r w:rsidRPr="00872293">
        <w:rPr>
          <w:rFonts w:ascii="Times New Roman" w:hAnsi="Times New Roman"/>
          <w:shd w:val="clear" w:color="auto" w:fill="FFFFFF"/>
        </w:rPr>
        <w:t xml:space="preserve">greater abundance of pioneer species, such as </w:t>
      </w:r>
      <w:r w:rsidRPr="00872293">
        <w:rPr>
          <w:rFonts w:ascii="Times New Roman" w:hAnsi="Times New Roman"/>
          <w:i/>
          <w:iCs/>
          <w:shd w:val="clear" w:color="auto" w:fill="FFFFFF"/>
        </w:rPr>
        <w:t xml:space="preserve">C. </w:t>
      </w:r>
      <w:proofErr w:type="spellStart"/>
      <w:r w:rsidRPr="00872293">
        <w:rPr>
          <w:rFonts w:ascii="Times New Roman" w:hAnsi="Times New Roman"/>
          <w:i/>
          <w:iCs/>
          <w:shd w:val="clear" w:color="auto" w:fill="FFFFFF"/>
        </w:rPr>
        <w:t>schreberiana</w:t>
      </w:r>
      <w:proofErr w:type="spellEnd"/>
      <w:r w:rsidRPr="00872293">
        <w:rPr>
          <w:rFonts w:ascii="Times New Roman" w:hAnsi="Times New Roman"/>
          <w:shd w:val="clear" w:color="auto" w:fill="FFFFFF"/>
        </w:rPr>
        <w:t xml:space="preserve"> in SB2 and EV1, and </w:t>
      </w:r>
      <w:r w:rsidRPr="00872293">
        <w:rPr>
          <w:rFonts w:ascii="Times New Roman" w:hAnsi="Times New Roman"/>
          <w:i/>
          <w:iCs/>
          <w:shd w:val="clear" w:color="auto" w:fill="FFFFFF"/>
        </w:rPr>
        <w:t xml:space="preserve">S. </w:t>
      </w:r>
      <w:proofErr w:type="spellStart"/>
      <w:r w:rsidRPr="00872293">
        <w:rPr>
          <w:rFonts w:ascii="Times New Roman" w:hAnsi="Times New Roman"/>
          <w:i/>
          <w:iCs/>
          <w:shd w:val="clear" w:color="auto" w:fill="FFFFFF"/>
        </w:rPr>
        <w:t>campanulata</w:t>
      </w:r>
      <w:proofErr w:type="spellEnd"/>
      <w:r w:rsidRPr="00872293">
        <w:rPr>
          <w:rFonts w:ascii="Times New Roman" w:hAnsi="Times New Roman"/>
          <w:i/>
          <w:iCs/>
          <w:shd w:val="clear" w:color="auto" w:fill="FFFFFF"/>
        </w:rPr>
        <w:t xml:space="preserve"> </w:t>
      </w:r>
      <w:r w:rsidRPr="00872293">
        <w:rPr>
          <w:rFonts w:ascii="Times New Roman" w:hAnsi="Times New Roman"/>
          <w:shd w:val="clear" w:color="auto" w:fill="FFFFFF"/>
        </w:rPr>
        <w:t xml:space="preserve">only in SB2. These species produce high‐quality leaf litter that decomposes rapidly and leads to high </w:t>
      </w:r>
      <w:r w:rsidR="005077F8" w:rsidRPr="00872293">
        <w:rPr>
          <w:rFonts w:ascii="Times New Roman" w:hAnsi="Times New Roman"/>
          <w:shd w:val="clear" w:color="auto" w:fill="FFFFFF"/>
        </w:rPr>
        <w:t xml:space="preserve">nutrient </w:t>
      </w:r>
      <w:r w:rsidRPr="00872293">
        <w:rPr>
          <w:rFonts w:ascii="Times New Roman" w:hAnsi="Times New Roman"/>
          <w:shd w:val="clear" w:color="auto" w:fill="FFFFFF"/>
        </w:rPr>
        <w:t xml:space="preserve">mineralization rates </w:t>
      </w:r>
      <w:r w:rsidRPr="00872293">
        <w:rPr>
          <w:rFonts w:ascii="Times New Roman" w:hAnsi="Times New Roman"/>
          <w:shd w:val="clear" w:color="auto" w:fill="FFFFFF"/>
        </w:rPr>
        <w:fldChar w:fldCharType="begin" w:fldLock="1"/>
      </w:r>
      <w:r w:rsidRPr="00872293">
        <w:rPr>
          <w:rFonts w:ascii="Times New Roman" w:hAnsi="Times New Roman"/>
          <w:shd w:val="clear" w:color="auto" w:fill="FFFFFF"/>
        </w:rPr>
        <w:instrText>ADDIN CSL_CITATION {"citationItems":[{"id":"ITEM-1","itemData":{"DOI":"10.1038/250026a0","ISSN":"00280836","abstract":"It is suggested that there are three major determinants of vegetation-competition, stress and disturbance-and that each has invoked a distinct strategy on the part of the flowering plant. A method is described whereby it is possible to distinguish types of herbaceous vegetation by reference to the relative importance of the three strategies in the genotypes of the component species. © 1974 Nature Publishing Group.","author":[{"dropping-particle":"","family":"Grime","given":"J. P.","non-dropping-particle":"","parse-names":false,"suffix":""}],"container-title":"Nature","id":"ITEM-1","issued":{"date-parts":[["1974"]]},"page":"26-31","title":"Vegetation classification by reference to strategies","type":"article-journal","volume":"250"},"uris":["http://www.mendeley.com/documents/?uuid=f770b582-ae07-403f-ba2b-ef912ba6eb3c"]},{"id":"ITEM-2","itemData":{"DOI":"10.2307/1939478","ISSN":"00129658","abstract":"Net aboveground production (4.1-9.5 Mg.ha-1.yr-1) across a series of edaphic climax forests was highly correlated with field measurements of soil N mineralization (26-84 kg/ha-1yr-1) and with soil silt + clay content (5-74%). Soil N mineralization was positively correlated with litter production and N and P return in litter. Soil N mineralization was negatively correlated with litter C:N and C:P ratios and with efficiency of P use in litter production. Efficiency of N use in litter production declined with increasing N mineralization except for inefficient use of N in a hemlock stand at low N mineralization. Changes in litter quality across the mineralization-soil texture gradient were due to species replacement rather than changes in litter quality within each species. Nitrification was not correlated with aboveground production. Both mineralization and nitrification were highly correlated with humus P content. Differences in nitrification among the soils appeared to be related to PO4-P supply in the spring and early summer and to NH4-N supply in mid- to late summer.-Authors","author":[{"dropping-particle":"","family":"Pastor","given":"J.","non-dropping-particle":"","parse-names":false,"suffix":""},{"dropping-particle":"","family":"Aber","given":"J. D.","non-dropping-particle":"","parse-names":false,"suffix":""},{"dropping-particle":"","family":"McClaugherty","given":"C. A.","non-dropping-particle":"","parse-names":false,"suffix":""},{"dropping-particle":"","family":"Melillo","given":"J. M.","non-dropping-particle":"","parse-names":false,"suffix":""}],"container-title":"Ecology","id":"ITEM-2","issue":"1","issued":{"date-parts":[["1984"]]},"page":"256-268","title":"Aboveground production and N and P cycling along a nitrogen mineralization gradient on Blackhawk Island, Wisconsin.","type":"article-journal","volume":"65"},"uris":["http://www.mendeley.com/documents/?uuid=765798fa-9f02-4233-a67c-e64eb87d559f"]},{"id":"ITEM-3","itemData":{"DOI":"10.1890/15-0112.1","ISSN":"19395582","PMID":"26591466","abstract":"Leaf litter represents an important link between tree community composition, forest productivity and biomass, and ecosystem processes. In forests, the spatial distribution of trees and species-specific differences in leaf litter production and quality are likely to cause spatial heterogeneity in nutrient returns to the forest floor and, therefore, in the redistribution of soil nutrients. Using mapped trees and leaf litter data for 12 tree species in a subtropical forest with a well-documented history of land use, we: (1) parameterized spatially explicit models of leaf litter biomass and nutrient deposition; (2) assessed variation in leaf litter inputs across forest areas with different land use legacies; and (3) determined the degree to which the quantity and quality of leaf litter inputs and soil physical characteristics are associated with spatial heterogeneity in soil nutrient ratios (C:N and N:P). The models captured the effects of tree size and location on spatial variation in leaf litterfall (R2=0.31-0.79). For all 12 focal species, most of the leaf litter fell less than 5 m away from the source trees, generating finescale spatial heterogeneity in leaf litter inputs. Secondary forest species, which dominate areas in earlier successional stages, had lower leaf litter C:N ratios and produced less litter biomass than old-growth specialists. In contrast, P content and N:P ratios did not vary consistently among successional groups. Interspecific variation in leaf litter quality translated into differences in the quantity and quality (C:N) of total leaf litter biomass inputs and among areas with different land use histories. Spatial variation in leaf litter C:N inputs was the major factor associated with heterogeneity in soil C:N ratios relative to soil physical characteristics. In contrast, spatial variation soil N:P was more strongly associated with spatial variation in topography than heterogeneity in leaf litter inputs. The modeling approach presented here can be used to generate prediction surfaces for leaf litter deposition and quality onto the forest floor, a useful tool for understanding soil-vegetation feedbacks. A better understanding of the role of leaf litter inputs from secondary vegetation in restoring soil nutrient stocks will also assist in managing expanding secondary forests in tropical regions.","author":[{"dropping-particle":"","family":"Uriarte","given":"María","non-dropping-particle":"","parse-names":false,"suffix":""},{"dropping-particle":"","family":"Turner","given":"Benjamin L.","non-dropping-particle":"","parse-names":false,"suffix":""},{"dropping-particle":"","family":"Thompson","given":"Jill","non-dropping-particle":"","parse-names":false,"suffix":""},{"dropping-particle":"","family":"Zimmerman","given":"Jess K.","non-dropping-particle":"","parse-names":false,"suffix":""}],"container-title":"Ecological Applications","id":"ITEM-3","issue":"7","issued":{"date-parts":[["2015"]]},"page":"2022-2034","title":"Linking spatial patterns of leaf litterfall and soil nutrients in a tropical forest: A neighborhood approach","type":"article-journal","volume":"25"},"uris":["http://www.mendeley.com/documents/?uuid=ad54fc6c-f2f5-4357-9a7f-1d6c2b117c24"]},{"id":"ITEM-4","itemData":{"DOI":"10.1016/j.foreco.2018.07.059","ISSN":"03781127","abstract":"One of the challenges in the restoration of degraded lands is the re-establishment of soil structure and fertility. Novel forests that regenerate on recently abandoned and degraded agricultural lands are among the first biotic systems that begin the process of soil rehabilitation. The rate of litter decomposition and associated element mobility is one of many processes that contribute to the understanding of how ecosystem-level processes restore eroded soils. We studied the stoichiometry of Spathodea campanulata leaves decomposing in novel subtropical moist forests. We found that the speed of leaf decomposition was high (annual decomposition constant of 5.0 to 2.6 or half-life of 51 to 98 days). Spathodea leaf mass loss was particularly fast during the first 16 days of decomposition (half-life of 33 days). Leaf litter was characterized by high chemical quality with low C/N, C/P, and N/P. During the leaf decomposition process, macroelements (N, P, K, Ca, and Mg) were more mobile than microelements (Al, Mn, Fe, and Na). As leaf litter decomposed, nitrogen increased in concentration, the quantity of all macroelements decreased, and microelements tended to increase in both concentration and quantity. Because of the rapid rate of decomposition and high chemical quality of Spathodea leaf litter, it appears that the potential for yielding residual soil organic matter from its leaves is reduced, but this is a tradeoff with the rapid release of elements, which contributes to the high juvenile tree density and primary productivity observed in novel Spathodea forests.","author":[{"dropping-particle":"","family":"Lugo","given":"Ariel E.","non-dropping-particle":"","parse-names":false,"suffix":""},{"dropping-particle":"","family":"Abelleira Martínez","given":"Oscar L.","non-dropping-particle":"","parse-names":false,"suffix":""}],"container-title":"Forest Ecology and Management","id":"ITEM-4","issued":{"date-parts":[["2018"]]},"page":"176-187","title":"Stoichiometry of decomposing Spathodea campanulata leaves in novel puertorrican forests","type":"article-journal","volume":"430"},"uris":["http://www.mendeley.com/documents/?uuid=aa1a81ed-6e9e-4af9-be1b-acdcb9ccfc74"]}],"mendeley":{"formattedCitation":"(Grime, 1974; Pastor &lt;i&gt;et al.&lt;/i&gt;, 1984; Uriarte &lt;i&gt;et al.&lt;/i&gt;, 2015; Lugo &amp; Abelleira Martínez, 2018)","plainTextFormattedCitation":"(Grime, 1974; Pastor et al., 1984; Uriarte et al., 2015; Lugo &amp; Abelleira Martínez, 2018)","previouslyFormattedCitation":"(Grime, 1974; Pastor &lt;i&gt;et al.&lt;/i&gt;, 1984; Uriarte &lt;i&gt;et al.&lt;/i&gt;, 2015; Lugo &amp; Abelleira Martínez, 2018)"},"properties":{"noteIndex":0},"schema":"https://github.com/citation-style-language/schema/raw/master/csl-citation.json"}</w:instrText>
      </w:r>
      <w:r w:rsidRPr="00872293">
        <w:rPr>
          <w:rFonts w:ascii="Times New Roman" w:hAnsi="Times New Roman"/>
          <w:shd w:val="clear" w:color="auto" w:fill="FFFFFF"/>
        </w:rPr>
        <w:fldChar w:fldCharType="separate"/>
      </w:r>
      <w:r w:rsidRPr="00872293">
        <w:rPr>
          <w:rFonts w:ascii="Times New Roman" w:hAnsi="Times New Roman"/>
          <w:noProof/>
          <w:shd w:val="clear" w:color="auto" w:fill="FFFFFF"/>
        </w:rPr>
        <w:t xml:space="preserve">(Grime, 1974; Pastor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xml:space="preserve">, 1984; Uriarte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2015; Lugo &amp; Abelleira Martínez, 2018)</w:t>
      </w:r>
      <w:r w:rsidRPr="00872293">
        <w:rPr>
          <w:rFonts w:ascii="Times New Roman" w:hAnsi="Times New Roman"/>
          <w:shd w:val="clear" w:color="auto" w:fill="FFFFFF"/>
        </w:rPr>
        <w:fldChar w:fldCharType="end"/>
      </w:r>
      <w:r w:rsidRPr="00872293">
        <w:rPr>
          <w:rFonts w:ascii="Times New Roman" w:hAnsi="Times New Roman"/>
          <w:shd w:val="clear" w:color="auto" w:fill="FFFFFF"/>
        </w:rPr>
        <w:t>, and ultimately to the greater available P concentration that we measured in the soils</w:t>
      </w:r>
      <w:r w:rsidRPr="00872293">
        <w:rPr>
          <w:rFonts w:ascii="Times New Roman" w:hAnsi="Times New Roman"/>
        </w:rPr>
        <w:t>. In contrast, in the mature forest at LEF (</w:t>
      </w:r>
      <w:r w:rsidRPr="00872293">
        <w:rPr>
          <w:rFonts w:ascii="Times New Roman" w:hAnsi="Times New Roman"/>
          <w:u w:val="single"/>
        </w:rPr>
        <w:t>&gt;</w:t>
      </w:r>
      <w:r w:rsidRPr="00872293">
        <w:rPr>
          <w:rFonts w:ascii="Times New Roman" w:hAnsi="Times New Roman"/>
        </w:rPr>
        <w:t xml:space="preserve">100 years old; EVS), there was less available P due to P occlusion through pedogenesis, less </w:t>
      </w:r>
      <w:r w:rsidRPr="00872293">
        <w:rPr>
          <w:rFonts w:ascii="Times New Roman" w:hAnsi="Times New Roman"/>
          <w:shd w:val="clear" w:color="auto" w:fill="FFFFFF"/>
        </w:rPr>
        <w:t>high‐quality leaf litter,</w:t>
      </w:r>
      <w:r w:rsidR="00002C36" w:rsidRPr="00872293">
        <w:rPr>
          <w:rFonts w:ascii="Times New Roman" w:hAnsi="Times New Roman"/>
          <w:shd w:val="clear" w:color="auto" w:fill="FFFFFF"/>
        </w:rPr>
        <w:t xml:space="preserve"> and potentially more P </w:t>
      </w:r>
      <w:proofErr w:type="spellStart"/>
      <w:r w:rsidR="00002C36" w:rsidRPr="00872293">
        <w:rPr>
          <w:rFonts w:ascii="Times New Roman" w:hAnsi="Times New Roman"/>
          <w:shd w:val="clear" w:color="auto" w:fill="FFFFFF"/>
        </w:rPr>
        <w:t>inmobilization</w:t>
      </w:r>
      <w:proofErr w:type="spellEnd"/>
      <w:r w:rsidR="00002C36" w:rsidRPr="00872293">
        <w:rPr>
          <w:rFonts w:ascii="Times New Roman" w:hAnsi="Times New Roman"/>
          <w:shd w:val="clear" w:color="auto" w:fill="FFFFFF"/>
        </w:rPr>
        <w:t xml:space="preserve"> by microbes</w:t>
      </w:r>
      <w:r w:rsidRPr="00872293">
        <w:rPr>
          <w:rFonts w:ascii="Times New Roman" w:hAnsi="Times New Roman"/>
          <w:shd w:val="clear" w:color="auto" w:fill="FFFFFF"/>
        </w:rPr>
        <w:t xml:space="preserve"> resulting in</w:t>
      </w:r>
      <w:r w:rsidRPr="00872293">
        <w:rPr>
          <w:rFonts w:ascii="Times New Roman" w:hAnsi="Times New Roman"/>
        </w:rPr>
        <w:t xml:space="preserve"> greater soil organic P </w:t>
      </w:r>
      <w:r w:rsidRPr="00872293">
        <w:rPr>
          <w:rFonts w:ascii="Times New Roman" w:hAnsi="Times New Roman"/>
        </w:rPr>
        <w:fldChar w:fldCharType="begin" w:fldLock="1"/>
      </w:r>
      <w:r w:rsidRPr="00872293">
        <w:rPr>
          <w:rFonts w:ascii="Times New Roman" w:hAnsi="Times New Roman"/>
        </w:rPr>
        <w:instrText>ADDIN CSL_CITATION {"citationItems":[{"id":"ITEM-1","itemData":{"DOI":"10.1890/15-0112.1","ISSN":"19395582","PMID":"26591466","abstract":"Leaf litter represents an important link between tree community composition, forest productivity and biomass, and ecosystem processes. In forests, the spatial distribution of trees and species-specific differences in leaf litter production and quality are likely to cause spatial heterogeneity in nutrient returns to the forest floor and, therefore, in the redistribution of soil nutrients. Using mapped trees and leaf litter data for 12 tree species in a subtropical forest with a well-documented history of land use, we: (1) parameterized spatially explicit models of leaf litter biomass and nutrient deposition; (2) assessed variation in leaf litter inputs across forest areas with different land use legacies; and (3) determined the degree to which the quantity and quality of leaf litter inputs and soil physical characteristics are associated with spatial heterogeneity in soil nutrient ratios (C:N and N:P). The models captured the effects of tree size and location on spatial variation in leaf litterfall (R2=0.31-0.79). For all 12 focal species, most of the leaf litter fell less than 5 m away from the source trees, generating finescale spatial heterogeneity in leaf litter inputs. Secondary forest species, which dominate areas in earlier successional stages, had lower leaf litter C:N ratios and produced less litter biomass than old-growth specialists. In contrast, P content and N:P ratios did not vary consistently among successional groups. Interspecific variation in leaf litter quality translated into differences in the quantity and quality (C:N) of total leaf litter biomass inputs and among areas with different land use histories. Spatial variation in leaf litter C:N inputs was the major factor associated with heterogeneity in soil C:N ratios relative to soil physical characteristics. In contrast, spatial variation soil N:P was more strongly associated with spatial variation in topography than heterogeneity in leaf litter inputs. The modeling approach presented here can be used to generate prediction surfaces for leaf litter deposition and quality onto the forest floor, a useful tool for understanding soil-vegetation feedbacks. A better understanding of the role of leaf litter inputs from secondary vegetation in restoring soil nutrient stocks will also assist in managing expanding secondary forests in tropical regions.","author":[{"dropping-particle":"","family":"Uriarte","given":"María","non-dropping-particle":"","parse-names":false,"suffix":""},{"dropping-particle":"","family":"Turner","given":"Benjamin L.","non-dropping-particle":"","parse-names":false,"suffix":""},{"dropping-particle":"","family":"Thompson","given":"Jill","non-dropping-particle":"","parse-names":false,"suffix":""},{"dropping-particle":"","family":"Zimmerman","given":"Jess K.","non-dropping-particle":"","parse-names":false,"suffix":""}],"container-title":"Ecological Applications","id":"ITEM-1","issue":"7","issued":{"date-parts":[["2015"]]},"page":"2022-2034","title":"Linking spatial patterns of leaf litterfall and soil nutrients in a tropical forest: A neighborhood approach","type":"article-journal","volume":"25"},"uris":["http://www.mendeley.com/documents/?uuid=ad54fc6c-f2f5-4357-9a7f-1d6c2b117c24"]},{"id":"ITEM-2","itemData":{"DOI":"10.1086/406646","ISSN":"0033-5770","abstract":"One method of studying the effects of time as a soil-forming factor is to recognize and investigate a chronosequence, wherein four out of five soil-forming factors are constant or vary ineffectively. Thus, observed differences between soils of different ages forming a sequence are deemed to be the result of the lapse of varying intervals of time since the initiation of soil formation. In this paper theoretical considerations underlying the chronosequence concept are examined and soil development is discussed. Several non-strict chronosequences are reviewed, and a number of chronosequence studies are examined. The significance of such studies is assessed, and general desiderata for future investigations set out.","author":[{"dropping-particle":"","family":"Stevens","given":"P. R.","non-dropping-particle":"","parse-names":false,"suffix":""},{"dropping-particle":"","family":"Walker","given":"T. W.","non-dropping-particle":"","parse-names":false,"suffix":""}],"container-title":"The Quarterly Review of Biology","id":"ITEM-2","issue":"4","issued":{"date-parts":[["1970"]]},"page":"333-350","title":"The Chronosequence Concept and Soil Formation","type":"article-journal","volume":"45"},"uris":["http://www.mendeley.com/documents/?uuid=70113352-f091-4806-8929-5b0a711d970d"]}],"mendeley":{"formattedCitation":"(Stevens &amp; Walker, 1970; Uriarte &lt;i&gt;et al.&lt;/i&gt;, 2015)","plainTextFormattedCitation":"(Stevens &amp; Walker, 1970; Uriarte et al., 2015)","previouslyFormattedCitation":"(Stevens &amp; Walker, 1970; Uriarte &lt;i&gt;et al.&lt;/i&gt;, 2015)"},"properties":{"noteIndex":0},"schema":"https://github.com/citation-style-language/schema/raw/master/csl-citation.json"}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(Stevens &amp; Walker, 1970; </w:t>
      </w:r>
      <w:r w:rsidR="00002C36" w:rsidRPr="00872293">
        <w:rPr>
          <w:rFonts w:ascii="Times New Roman" w:hAnsi="Times New Roman"/>
          <w:noProof/>
        </w:rPr>
        <w:t xml:space="preserve">Liptzin &amp; Siver, 2009; </w:t>
      </w:r>
      <w:r w:rsidRPr="00872293">
        <w:rPr>
          <w:rFonts w:ascii="Times New Roman" w:hAnsi="Times New Roman"/>
          <w:noProof/>
        </w:rPr>
        <w:t xml:space="preserve">Uriarte </w:t>
      </w:r>
      <w:r w:rsidRPr="00872293">
        <w:rPr>
          <w:rFonts w:ascii="Times New Roman" w:hAnsi="Times New Roman"/>
          <w:i/>
          <w:noProof/>
        </w:rPr>
        <w:t>et al.</w:t>
      </w:r>
      <w:r w:rsidRPr="00872293">
        <w:rPr>
          <w:rFonts w:ascii="Times New Roman" w:hAnsi="Times New Roman"/>
          <w:noProof/>
        </w:rPr>
        <w:t>, 2015)</w:t>
      </w:r>
      <w:r w:rsidRPr="00872293">
        <w:rPr>
          <w:rFonts w:ascii="Times New Roman" w:hAnsi="Times New Roman"/>
        </w:rPr>
        <w:fldChar w:fldCharType="end"/>
      </w:r>
      <w:r w:rsidRPr="00872293">
        <w:rPr>
          <w:rFonts w:ascii="Times New Roman" w:hAnsi="Times New Roman"/>
        </w:rPr>
        <w:t xml:space="preserve">. However, despite the differences in soil P concentrations </w:t>
      </w:r>
      <w:r w:rsidR="00A227BC" w:rsidRPr="00872293">
        <w:rPr>
          <w:rFonts w:ascii="Times New Roman" w:hAnsi="Times New Roman"/>
        </w:rPr>
        <w:t>among</w:t>
      </w:r>
      <w:r w:rsidRPr="00872293">
        <w:rPr>
          <w:rFonts w:ascii="Times New Roman" w:hAnsi="Times New Roman"/>
        </w:rPr>
        <w:t xml:space="preserve"> sites, root trait differences were mostly driven by species rather than sites differences. </w:t>
      </w:r>
    </w:p>
    <w:p w14:paraId="57F110A6" w14:textId="77777777" w:rsidR="00124498" w:rsidRPr="00872293" w:rsidRDefault="00124498" w:rsidP="00B64084">
      <w:pPr>
        <w:spacing w:line="360" w:lineRule="auto"/>
        <w:rPr>
          <w:rFonts w:ascii="Times New Roman" w:hAnsi="Times New Roman"/>
        </w:rPr>
      </w:pPr>
    </w:p>
    <w:p w14:paraId="2F30E325" w14:textId="77777777" w:rsidR="00A20952" w:rsidRPr="00872293" w:rsidRDefault="00A20952" w:rsidP="00496563">
      <w:pPr>
        <w:pStyle w:val="Heading3"/>
        <w:spacing w:before="0" w:after="0" w:line="360" w:lineRule="auto"/>
        <w:rPr>
          <w:rFonts w:cs="Times New Roman"/>
        </w:rPr>
      </w:pPr>
      <w:bookmarkStart w:id="153" w:name="_Toc53689113"/>
      <w:r w:rsidRPr="00872293">
        <w:rPr>
          <w:rFonts w:cs="Times New Roman"/>
        </w:rPr>
        <w:lastRenderedPageBreak/>
        <w:t>Root traits by species</w:t>
      </w:r>
      <w:bookmarkEnd w:id="153"/>
    </w:p>
    <w:p w14:paraId="01414D2B" w14:textId="03647687" w:rsidR="001D3E23" w:rsidRPr="00872293" w:rsidRDefault="001D3E23" w:rsidP="00496563">
      <w:pPr>
        <w:autoSpaceDE w:val="0"/>
        <w:autoSpaceDN w:val="0"/>
        <w:adjustRightInd w:val="0"/>
        <w:spacing w:before="240" w:line="360" w:lineRule="auto"/>
        <w:rPr>
          <w:rFonts w:ascii="Times New Roman" w:eastAsiaTheme="minorHAnsi" w:hAnsi="Times New Roman"/>
        </w:rPr>
      </w:pPr>
      <w:r w:rsidRPr="00872293">
        <w:rPr>
          <w:rFonts w:ascii="Times New Roman" w:hAnsi="Times New Roman"/>
        </w:rPr>
        <w:t xml:space="preserve">We found that root traits varied more </w:t>
      </w:r>
      <w:r w:rsidR="00A227BC" w:rsidRPr="00872293">
        <w:rPr>
          <w:rFonts w:ascii="Times New Roman" w:hAnsi="Times New Roman"/>
        </w:rPr>
        <w:t>among</w:t>
      </w:r>
      <w:r w:rsidRPr="00872293">
        <w:rPr>
          <w:rFonts w:ascii="Times New Roman" w:hAnsi="Times New Roman"/>
        </w:rPr>
        <w:t xml:space="preserve"> species than </w:t>
      </w:r>
      <w:r w:rsidR="006F35F2" w:rsidRPr="00872293">
        <w:rPr>
          <w:rFonts w:ascii="Times New Roman" w:hAnsi="Times New Roman"/>
        </w:rPr>
        <w:t>among</w:t>
      </w:r>
      <w:r w:rsidRPr="00872293">
        <w:rPr>
          <w:rFonts w:ascii="Times New Roman" w:hAnsi="Times New Roman"/>
        </w:rPr>
        <w:t xml:space="preserve"> sites. Interspecific root trait variation has been widely explored in the literature, and some root traits have been shown to be phylogenetically constrained, therefore they do not change much with site. This is the case for SRL and root diameter </w:t>
      </w:r>
      <w:r w:rsidRPr="00872293">
        <w:rPr>
          <w:rFonts w:ascii="Times New Roman" w:hAnsi="Times New Roman"/>
        </w:rPr>
        <w:fldChar w:fldCharType="begin" w:fldLock="1"/>
      </w:r>
      <w:r w:rsidRPr="00872293">
        <w:rPr>
          <w:rFonts w:ascii="Times New Roman" w:hAnsi="Times New Roman"/>
        </w:rPr>
        <w:instrText>ADDIN CSL_CITATION {"citationItems":[{"id":"ITEM-1","itemData":{"DOI":"10.1111/1365-2435.12983","ISSN":"13652435","abstract":"Although fine roots are essential for the water and nutrient uptake of plants, there is limited understanding of root trait variation and the underlying mechanism. Here, six first-order root morphological and chemical traits were measured for 181 species from eight subtropical and boreal forests to test the hypothesis of different phylogenetic and environmental regulations of root morphological and nutrient traits result in the multidimensions of root traits. Two independent root trait dimensions between root thickness and nutrient traits were detected at both species and community levels. At the species level, diameter-related traits were mainly restricted by phylogenetic structure and showed little plasticity to the changing environments, whereas the variation in woody root nutrient was influenced significantly by soil variables. For community-level traits, the diameter-related axis scores of principal component analysis were mainly driven by mean annual temperature through shifting species composition, whereas the root nutrient-related axis scores were strongly influenced by soil P availability. From both species and community levels, our study confirms, that the root-thickness-related dimension and root nutrient dimension represent new support for the multidimensionality of root traits which are driven by different selection pressure. This study also underlines that the community-aggregated traits might serve as a promising avenue to improve our understanding of community assemblage processes, allowing us to predict changes of vegetation distributions in a changing climate. A plain language summary is available for this article.","author":[{"dropping-particle":"","family":"Wang","given":"Ruili","non-dropping-particle":"","parse-names":false,"suffix":""},{"dropping-particle":"","family":"Wang","given":"Qiufeng","non-dropping-particle":"","parse-names":false,"suffix":""},{"dropping-particle":"","family":"Zhao","given":"Ning","non-dropping-particle":"","parse-names":false,"suffix":""},{"dropping-particle":"","family":"Xu","given":"Zhiwei","non-dropping-particle":"","parse-names":false,"suffix":""},{"dropping-particle":"","family":"Zhu","given":"Xianjin","non-dropping-particle":"","parse-names":false,"suffix":""},{"dropping-particle":"","family":"Jiao","given":"Cuicui","non-dropping-particle":"","parse-names":false,"suffix":""},{"dropping-particle":"","family":"Yu","given":"Guirui","non-dropping-particle":"","parse-names":false,"suffix":""},{"dropping-particle":"","family":"He","given":"Nianpeng","non-dropping-particle":"","parse-names":false,"suffix":""}],"container-title":"Functional Ecology","id":"ITEM-1","issue":"1","issued":{"date-parts":[["2018"]]},"page":"29-39","title":"Different phylogenetic and environmental controls of first-order root morphological and nutrient traits: Evidence of multidimensional root traits","type":"article-journal","volume":"32"},"uris":["http://www.mendeley.com/documents/?uuid=8089c955-0cb3-4918-8c19-d94958f3546e"]},{"id":"ITEM-2","itemData":{"DOI":"10.2307/2656636","ISSN":"00029122","PMID":"10719001","abstract":"Trade-offs between acquisition capacities for aboveground and belowground resources were investigated by studying the phenotypic plasticity of leaf and root traits in response to different irradiance levels at low nutrient supply. Two congeneric grasses with contrasting light requirements, Dactylis glomerata and D. polygama, were used. The aim was to analyze phenotypic covariation in components of leaf area and root length in response to above- and belowground resource limitation and the consequences of this variation for resource acquisition and plant growth. At intermediate shading (30 and 20% of full sunlight) the plants were able to maintain their total root length, despite a strongly increased total leaf area and a reduced biomass allocation to roots. This was associated with an unaltered or slightly increased nutrient uptake and growth. At 5.5% relative irradiance, growth was severely reduced, especially in the shade-tolerant D. polygama. The results show that constraints on acquisition capacities for aboveground and belowground resources, caused by biomass allocation, may be alleviated by plasticity in other traits such as tissue-mass density and thickness of roots and leaves. The results also suggest different adaptive constraints for phenotypic plasticity and for genetically determined interspecific variation. Phenotypic plasticity tends to maximize resource acquisition and growth rate in the short term, whereas the higher tissue-mass density and the longer leaf life-span of shade-tolerant species indicate reduced loss rates as a more advantageous species-specific adaptation to shade in the long term.","author":[{"dropping-particle":"","family":"Ryser","given":"Peter","non-dropping-particle":"","parse-names":false,"suffix":""},{"dropping-particle":"","family":"Eek","given":"Liina","non-dropping-particle":"","parse-names":false,"suffix":""}],"container-title":"American Journal of Botany","id":"ITEM-2","issue":"3","issued":{"date-parts":[["2000"]]},"page":"402-411","title":"Consequences of phenotypic plasticity vs. interspecific differences in leaf and root traits for acquisition of aboveground and belowground resources","type":"article-journal","volume":"87"},"uris":["http://www.mendeley.com/documents/?uuid=a7abbb61-2731-4a60-9a66-fc90fc31678c"]},{"id":"ITEM-3","itemData":{"DOI":"10.1111/nph.12842","ISBN":"1469-8137","ISSN":"14698137","PMID":"24824672","abstract":"Absorptive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Phytologist","id":"ITEM-3","issue":"3","issued":{"date-parts":[["2014"]]},"page":"863-872","title":"Leading dimensions in absorptive root trait variation across 96 subtropical forest species","type":"article-journal","volume":"203"},"uris":["http://www.mendeley.com/documents/?uuid=a7e2c871-4bd8-41c2-9249-3fc27422af67"]},{"id":"ITEM-4","itemData":{"author":[{"dropping-particle":"","family":"Valverde-Barrantes","given":"Oscar J.","non-dropping-particle":"","parse-names":false,"suffix":""},{"dropping-particle":"","family":"Maherali","given":"Hafiz","non-dropping-particle":"","parse-names":false,"suffix":""},{"dropping-particle":"","family":"Baraloto","given":"Christopher","non-dropping-particle":"","parse-names":false,"suffix":""},{"dropping-particle":"","family":"Blackwood","given":"Christopher B.","non-dropping-particle":"","parse-names":false,"suffix":""}],"container-title":"New Phytologist","id":"ITEM-4","issued":{"date-parts":[["2020"]]},"title":"Independent evolutionary changes in fine-root traits among main clades during the diversification of seed plants.","type":"article-journal"},"uris":["http://www.mendeley.com/documents/?uuid=6ce88a7a-beb1-4a5a-be8c-c4ca019be25e"]},{"id":"ITEM-5","itemData":{"DOI":"10.1038/nature25783","ISSN":"14764687","abstract":"Plant roots have greatly diversified in form and function since the emergence of the first land plants, but the global organization of functional traits in roots remains poorly understood. Here we analyse a global dataset of 10 functionally important root traits in metabolically active first-order roots, collected from 369 species distributed across the natural plant communities of 7 biomes. Our results identify a high degree of organization of root traits across species and biomes, and reveal a pattern that differs from expectations based on previous studies of leaf traits. Root diameter exerts the strongest influence on root trait variation across plant species, growth forms and biomes. Our analysis suggests that plants have evolved thinner roots since they first emerged in land ecosystems, which has enabled them to markedly improve their efficiency of soil exploration per unit of carbon invested and to reduce their dependence on symbiotic mycorrhizal fungi. We also found that diversity in root morphological traits is greatest in the tropics, where plant diversity is highest and many ancestral phylogenetic groups are preserved. Diversity in root morphology declines sharply across the sequence of tropical, temperate and desert biomes, presumably owing to changes in resource supply caused by seasonally inhospitable abiotic conditions. Our results suggest that root traits have evolved along a spectrum bounded by two contrasting strategies of root life: An ancestral 'conservative' strategy in which plants with thick roots depend on symbiosis with mycorrhizal fungi for soil resources and a more-derived 'opportunistic' strategy in which thin roots enable plants to more efficiently leverage photosynthetic carbon for soil exploration. These findings imply that innovations of belowground traits have had an important role in preparing plants to colonize new habitats, and in generating biodiversity within and across biomes.","author":[{"dropping-particle":"","family":"Ma","given":"Zeqing","non-dropping-particle":"","parse-names":false,"suffix":""},{"dropping-particle":"","family":"Guo","given":"Dali","non-dropping-particle":"","parse-names":false,"suffix":""},{"dropping-particle":"","family":"Xu","given":"Xingliang","non-dropping-particle":"","parse-names":false,"suffix":""},{"dropping-particle</w:instrText>
      </w:r>
      <w:r w:rsidRPr="00872293">
        <w:rPr>
          <w:rFonts w:ascii="Times New Roman" w:hAnsi="Times New Roman"/>
          <w:lang w:val="es-BO"/>
        </w:rPr>
        <w:instrText>":"","family":"Lu","given":"Mingzhen","non-dropping-particle":"","parse-names":false,"suffix":""},{"dropping-particle":"","family":"Bardgett","given":"Richard D.","non-dropping-particle":"","parse-names":false,"suffix":""},{"dropping-particle":"","family":"Eissenstat","given":"David M.","non-dropping-particle":"","parse-names":false,"suffix":""},{"dropping-particle":"","family":"McCormack","given":"M. Luke","non-dropping-particle":"","parse-names":false,"suffix":""},{"dropping-particle":"","family":"Hedin","given":"Lars O.","non-dropping-particle":"","parse-names":false,"suffix":""}],"container-title":"Nature","id":"ITEM-5","issued":{"date-parts":[["2018"]]},"page":"94-97","title":"Evolutionary history resolves global organization of root functional traits","type":"article-journal","volume":"555"},"uris":["http://www.mendeley.com/documents/?uuid=47014ff8-a2a4-401f-901a-0c70bd61b8ba"]}],"mendeley":{"formattedCitation":"(Ryser &amp; Eek, 2000; Kong &lt;i&gt;et al.&lt;/i&gt;, 2014; Ma &lt;i&gt;et al.&lt;/i&gt;, 2018; Wang &lt;i&gt;et al.&lt;/i&gt;, 2018b; Valverde-Barrantes &lt;i&gt;et al.&lt;/i&gt;, 2020)","plainTextFormattedCitation":"(Ryser &amp; Eek, 2000; Kong et al., 2014; Ma et al., 2018; Wang et al., 2018b; Valverde-Barrantes et al., 2020)","previouslyFormattedCitation":"(Ryser &amp; Eek, 2000; Kong &lt;i&gt;et al.&lt;/i&gt;, 2014; Ma &lt;i&gt;et al.&lt;/i&gt;, 2018; Wang &lt;i&gt;et al.&lt;/i&gt;, 2018b; Valverde-Barrantes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lang w:val="es-BO"/>
        </w:rPr>
        <w:t xml:space="preserve">(Ryser &amp; Eek, 2000; Kong </w:t>
      </w:r>
      <w:r w:rsidRPr="00872293">
        <w:rPr>
          <w:rFonts w:ascii="Times New Roman" w:hAnsi="Times New Roman"/>
          <w:i/>
          <w:noProof/>
          <w:lang w:val="es-BO"/>
        </w:rPr>
        <w:t>et al.</w:t>
      </w:r>
      <w:r w:rsidRPr="00872293">
        <w:rPr>
          <w:rFonts w:ascii="Times New Roman" w:hAnsi="Times New Roman"/>
          <w:noProof/>
          <w:lang w:val="es-BO"/>
        </w:rPr>
        <w:t xml:space="preserve">, 2014; Ma </w:t>
      </w:r>
      <w:r w:rsidRPr="00872293">
        <w:rPr>
          <w:rFonts w:ascii="Times New Roman" w:hAnsi="Times New Roman"/>
          <w:i/>
          <w:noProof/>
          <w:lang w:val="es-BO"/>
        </w:rPr>
        <w:t>et al.</w:t>
      </w:r>
      <w:r w:rsidRPr="00872293">
        <w:rPr>
          <w:rFonts w:ascii="Times New Roman" w:hAnsi="Times New Roman"/>
          <w:noProof/>
          <w:lang w:val="es-BO"/>
        </w:rPr>
        <w:t xml:space="preserve">, 2018; Wang </w:t>
      </w:r>
      <w:r w:rsidRPr="00872293">
        <w:rPr>
          <w:rFonts w:ascii="Times New Roman" w:hAnsi="Times New Roman"/>
          <w:i/>
          <w:noProof/>
          <w:lang w:val="es-BO"/>
        </w:rPr>
        <w:t>et al.</w:t>
      </w:r>
      <w:r w:rsidRPr="00872293">
        <w:rPr>
          <w:rFonts w:ascii="Times New Roman" w:hAnsi="Times New Roman"/>
          <w:noProof/>
          <w:lang w:val="es-BO"/>
        </w:rPr>
        <w:t xml:space="preserve">, 2018b; Valverde-Barrantes </w:t>
      </w:r>
      <w:r w:rsidRPr="00872293">
        <w:rPr>
          <w:rFonts w:ascii="Times New Roman" w:hAnsi="Times New Roman"/>
          <w:i/>
          <w:noProof/>
          <w:lang w:val="es-BO"/>
        </w:rPr>
        <w:t>et al.</w:t>
      </w:r>
      <w:r w:rsidRPr="00872293">
        <w:rPr>
          <w:rFonts w:ascii="Times New Roman" w:hAnsi="Times New Roman"/>
          <w:noProof/>
          <w:lang w:val="es-BO"/>
        </w:rPr>
        <w:t>, 2020)</w:t>
      </w:r>
      <w:r w:rsidRPr="00872293">
        <w:rPr>
          <w:rFonts w:ascii="Times New Roman" w:hAnsi="Times New Roman"/>
        </w:rPr>
        <w:fldChar w:fldCharType="end"/>
      </w:r>
      <w:r w:rsidRPr="00872293">
        <w:rPr>
          <w:rFonts w:ascii="Times New Roman" w:hAnsi="Times New Roman"/>
          <w:lang w:val="es-BO"/>
        </w:rPr>
        <w:t xml:space="preserve">. </w:t>
      </w:r>
      <w:r w:rsidRPr="00872293">
        <w:rPr>
          <w:rFonts w:ascii="Times New Roman" w:hAnsi="Times New Roman"/>
        </w:rPr>
        <w:t xml:space="preserve">However, other root traits such as mycorrhizal colonization, and root branching have shown variation with different environmental conditions </w:t>
      </w:r>
      <w:r w:rsidRPr="00872293">
        <w:rPr>
          <w:rFonts w:ascii="Times New Roman" w:hAnsi="Times New Roman"/>
        </w:rPr>
        <w:fldChar w:fldCharType="begin" w:fldLock="1"/>
      </w:r>
      <w:r w:rsidRPr="00872293">
        <w:rPr>
          <w:rFonts w:ascii="Times New Roman" w:hAnsi="Times New Roman"/>
        </w:rPr>
        <w:instrText>ADDIN CSL_CITATION {"citationItems":[{"id":"ITEM-1","itemData":{"DOI":"10.1111/nph.12842","ISBN":"1469-8137","ISSN":"14698137","PMID":"24824672","abstract":"Absorptive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Phytologist","id":"ITEM-1","issue":"3","issued":{"date-parts":[["2014"]]},"page":"863-872","title":"Leading dimensions in absorptive root trait variation across 96 subtropical forest species","type":"article-journal","volume":"203"},"uris":["http://www.mendeley.com/documents/?uuid=a7e2c871-4bd8-41c2-9249-3fc27422af67"]},{"id":"ITEM-2","itemData":{"DOI":"10.1111/nph.14003","ISSN":"14698137","abstract":"Contents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phytologist","id":"ITEM-2","issue":"4","issued":{"date-parts":[["2016"]]},"page":"1159-1169","title":"Towards a multidimensional root trait framework: a tree root review","type":"article-journal","volume":"211"},"uris":["http://www.mendeley.com/documents/?uuid=d741bfb7-9707-4b75-9f0b-92e93dafa19e"]}],"mendeley":{"formattedCitation":"(Kong &lt;i&gt;et al.&lt;/i&gt;, 2014; Weemstra &lt;i&gt;et al.&lt;/i&gt;, 2016)","plainTextFormattedCitation":"(Kong et al., 2014; Weemstra et al., 2016)","previouslyFormattedCitation":"(Kong &lt;i&gt;et al.&lt;/i&gt;, 2014; Weemstra &lt;i&gt;et al.&lt;/i&gt;, 2016)"},"properties":{"noteIndex":0},"schema":"https://github.com/citation-style-language/schema/raw/master/csl-citation.json"}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(Kong </w:t>
      </w:r>
      <w:r w:rsidRPr="00872293">
        <w:rPr>
          <w:rFonts w:ascii="Times New Roman" w:hAnsi="Times New Roman"/>
          <w:i/>
          <w:noProof/>
        </w:rPr>
        <w:t>et al.</w:t>
      </w:r>
      <w:r w:rsidRPr="00872293">
        <w:rPr>
          <w:rFonts w:ascii="Times New Roman" w:hAnsi="Times New Roman"/>
          <w:noProof/>
        </w:rPr>
        <w:t xml:space="preserve">, 2014; Weemstra </w:t>
      </w:r>
      <w:r w:rsidRPr="00872293">
        <w:rPr>
          <w:rFonts w:ascii="Times New Roman" w:hAnsi="Times New Roman"/>
          <w:i/>
          <w:noProof/>
        </w:rPr>
        <w:t>et al.</w:t>
      </w:r>
      <w:r w:rsidRPr="00872293">
        <w:rPr>
          <w:rFonts w:ascii="Times New Roman" w:hAnsi="Times New Roman"/>
          <w:noProof/>
        </w:rPr>
        <w:t>, 2016)</w:t>
      </w:r>
      <w:r w:rsidRPr="00872293">
        <w:rPr>
          <w:rFonts w:ascii="Times New Roman" w:hAnsi="Times New Roman"/>
        </w:rPr>
        <w:fldChar w:fldCharType="end"/>
      </w:r>
      <w:r w:rsidRPr="00872293">
        <w:rPr>
          <w:rFonts w:ascii="Times New Roman" w:hAnsi="Times New Roman"/>
        </w:rPr>
        <w:t xml:space="preserve">. </w:t>
      </w:r>
      <w:proofErr w:type="spellStart"/>
      <w:r w:rsidRPr="00872293">
        <w:rPr>
          <w:rFonts w:ascii="Times New Roman" w:hAnsi="Times New Roman"/>
        </w:rPr>
        <w:t>Cabugao</w:t>
      </w:r>
      <w:proofErr w:type="spellEnd"/>
      <w:r w:rsidRPr="00872293">
        <w:rPr>
          <w:rFonts w:ascii="Times New Roman" w:hAnsi="Times New Roman"/>
        </w:rPr>
        <w:t xml:space="preserve"> </w:t>
      </w:r>
      <w:r w:rsidRPr="00872293">
        <w:rPr>
          <w:rFonts w:ascii="Times New Roman" w:hAnsi="Times New Roman"/>
          <w:i/>
          <w:iCs/>
        </w:rPr>
        <w:t>et al.</w:t>
      </w:r>
      <w:r w:rsidRPr="00872293">
        <w:rPr>
          <w:rFonts w:ascii="Times New Roman" w:hAnsi="Times New Roman"/>
        </w:rPr>
        <w:t xml:space="preserve"> (2017) found that root PME</w:t>
      </w:r>
      <w:r w:rsidRPr="00872293">
        <w:rPr>
          <w:rFonts w:ascii="Times New Roman" w:eastAsiaTheme="minorHAnsi" w:hAnsi="Times New Roman"/>
        </w:rPr>
        <w:t xml:space="preserve"> varied </w:t>
      </w:r>
      <w:r w:rsidR="00680FC1" w:rsidRPr="00872293">
        <w:rPr>
          <w:rFonts w:ascii="Times New Roman" w:eastAsiaTheme="minorHAnsi" w:hAnsi="Times New Roman"/>
        </w:rPr>
        <w:t>among</w:t>
      </w:r>
      <w:r w:rsidRPr="00872293">
        <w:rPr>
          <w:rFonts w:ascii="Times New Roman" w:eastAsiaTheme="minorHAnsi" w:hAnsi="Times New Roman"/>
        </w:rPr>
        <w:t xml:space="preserve"> both tree species and site in the LEF.</w:t>
      </w:r>
      <w:r w:rsidRPr="00872293">
        <w:rPr>
          <w:rFonts w:ascii="Times New Roman" w:hAnsi="Times New Roman"/>
        </w:rPr>
        <w:t xml:space="preserve"> Our study also confirmed that root PME and root branching ratio can vary </w:t>
      </w:r>
      <w:r w:rsidR="006F35F2" w:rsidRPr="00872293">
        <w:rPr>
          <w:rFonts w:ascii="Times New Roman" w:hAnsi="Times New Roman"/>
        </w:rPr>
        <w:t>among</w:t>
      </w:r>
      <w:r w:rsidRPr="00872293">
        <w:rPr>
          <w:rFonts w:ascii="Times New Roman" w:hAnsi="Times New Roman"/>
        </w:rPr>
        <w:t xml:space="preserve"> sites within the same species (Table 8). However, we did not see differences in root mycorrhizal colonization between sites.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{"citationItems":[{"id":"ITEM-1","itemData":{"DOI":"10.1111/j.1469-8137.2004.01279.x","ISSN":"0028646X","PMID":"15720702","abstract":"• It is commonly hypothesized that stand-level fine root biomass increases as soil fertility decreases both within and among tropical forests, but few data exist to test this prediction across broad geographic scales. This study investigated the relationships among fine roots, arbuscular mycorrhizal (AM) fungi and soil nutrients in four lowland, neotropical rainforests. • Within each forest, samples were collected from plots that differed in fertility and above-ground biomass, and fine roots, AM hyphae and total soil nutrients were measured. • Among sites, total fine root mass varied by a factor of three, from 237 ± 19 g m-2 in Costa Rica to 800 ± 116 g m-2 in Brazil (0-40 cm depth). Both root mass and length were negatively correlated to soil nitrogen and phosphorus, but AM hyphae were not related to nutrients, root properties or above-ground biomass. • These results suggest that understanding how soil fertility affects fine roots is an additional factor that may improve the representation of root functions in global biogeochemical models or biome-wide averages of root properties in tropical forests. © New Phytologist (2004).","author":[{"dropping-particle":"","family":"Powers","given":"Jennifer S.","non-dropping-particle":"","parse-names":false,"suffix":""},{"dropping-particle":"","family":"Treseder","given":"Kathleen K.","non-dropping-particle":"","parse-names":false,"suffix":""},{"dropping-particle":"","family":"Lerdau","given":"Manuel T.","non-dropping-particle":"","parse-names":false,"suffix":""}],"container-title":"New Phytologist","id":"ITEM-1","issue":"3","issued":{"date-parts":[["2005"]]},"page":"913-921","title":"Fine roots, arbuscular mycorrhizal hyphae and soil nutrients in four neotropical rain forests: Patterns across large geographic distances","type":"article-journal","volume":"165"},"uris":["http://www.mendeley.com/documents/?uuid=4a158618-e9a8-466e-84ad-1bb5a25f9029"]}],"mendeley":{"formattedCitation":"(Powers &lt;i&gt;et al.&lt;/i&gt;, 2005)","manualFormatting":"Powers et al. (2005)","plainTextFormattedCitation":"(Powers et al., 2005)","previouslyFormattedCitation":"(Powers &lt;i&gt;et al.&lt;/i&gt;, 2005)"},"properties":{"noteIndex":0},"schema":"https://github.com/citation-style-language/schema/raw/master/csl-citation.json"}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Powers </w:t>
      </w:r>
      <w:r w:rsidRPr="00872293">
        <w:rPr>
          <w:rFonts w:ascii="Times New Roman" w:eastAsiaTheme="minorHAnsi" w:hAnsi="Times New Roman"/>
          <w:i/>
          <w:noProof/>
        </w:rPr>
        <w:t>et al.</w:t>
      </w:r>
      <w:r w:rsidRPr="00872293">
        <w:rPr>
          <w:rFonts w:ascii="Times New Roman" w:eastAsiaTheme="minorHAnsi" w:hAnsi="Times New Roman"/>
          <w:noProof/>
        </w:rPr>
        <w:t xml:space="preserve"> (2005)</w:t>
      </w:r>
      <w:r w:rsidRPr="00872293">
        <w:rPr>
          <w:rFonts w:ascii="Times New Roman" w:eastAsiaTheme="minorHAnsi" w:hAnsi="Times New Roman"/>
        </w:rPr>
        <w:fldChar w:fldCharType="end"/>
      </w:r>
      <w:r w:rsidRPr="00872293">
        <w:rPr>
          <w:rFonts w:ascii="Times New Roman" w:eastAsiaTheme="minorHAnsi" w:hAnsi="Times New Roman"/>
        </w:rPr>
        <w:t xml:space="preserve"> showed how site differences did not play an important role in AM hyphae length on different tropical forests. Further, some studies suggest that AM can potentially colonize root cortical tissue independently of soil P availability from each site, due to a lack of efficient mechanisms from the plant to control AM colonization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{"citationItems":[{"id":"ITEM-1","itemData":{"DOI":"10.1111/j.1469-8137.2009.03110.x","ISSN":"0028646X","PMID":"19968797","abstract":"Contents Summary Despite the fact that arbuscular mycorrhizal (AM) associations are among the most ancient, abundant and important symbioses in terrestrial ecosystems, there are currently few unifying theories that can be used to help understand the factors that control their structure and function. This review explores how a stoichiometric perspective facilitates integration of three complementary ecological and evolutionary models of mycorrhizal structure and function. AM symbiotic function should be governed by the relative availability of carbon, nitrogen and phosphorus (trade balance model) and allocation to plant and fungal structures should depend on the availabilities of these resources (functional equilibrium model). Moreover, in an evolutionary framework, communities of plants and AM fungi are predicted to adapt to each other and their local soil environment (co-adaptation model). Anthropogenic enrichment of essential resources in the environment is known to impact AM symbioses. A more predictive theory of AM structure and function will help us to better understand how these impacts may influence plant communities and ecosystem properties. © 2009 New Phytologist.","author":[{"dropping-particle":"","family":"Johnson","given":"Nancy Collins","non-dropping-particle":"","parse-names":false,"suffix":""}],"container-title":"New Phytologist","id":"ITEM-1","issue":"3","issued":{"date-parts":[["2010"]]},"page":"631-647","title":"Resource stoichiometry elucidates the structure and function of arbuscular mycorrhizas across scales","type":"article-journal","volume":"185"},"uris":["http://www.mendeley.com/documents/?uuid=21f33391-2bc6-4896-b20b-1c8a63c9ebbc"]},{"id":"ITEM-2","itemData":{"DOI":"10.1007/s11104-016-2820-6","ISSN":"15735036","abstract":"Background and aim: There is little quantitative information about the relationship between root traits and the extent of arbuscular mycorrhizal fungi (AMF) colonization. We expected that ancestral species with thick roots will maximize AMF habitat by maintaining similar root traits across root orders (i.e., high root trait integration), whereas more derived species are expected to display a sharp transition from acquisition to structural roots. Moreover, we hypothesized that interspecific morphological differences rather than soil conditions will be the main driver of AMF colonization. Methods: We analyzed 14 root morphological and chemical traits and AMF colonization rates for the first three root orders of 34 temperate tree species grown in two common gardens. We also collected associated soil to measure the effect of soil conditions on AMF colonization. Results: Thick-root magnoliids showed less variation in root traits along root orders than more-derived angiosperm groups. Variation in stele:root diameter ratio was the best indicator of AMF colonization within and across root orders. Root functional traits rather than soil conditions largely explained the variation in AMF colonization among species. Conclusions: Not only the traits of first order but the entire structuring of the root system varied among plant lineages, suggesting alternative evolutionary strategies of resource acquisition. Understanding evolutionary pathways in belowground organs could open new avenues to understand tree species influence on soil carbon and nutrient cycling.","author":[{"dropping-particle":"","family":"Valverde-Barrantes","given":"Oscar J.","non-dropping-particle":"","parse-names":false,"suffix":""},{"dropping-particle":"","family":"Horning","given":"Amber L.","non-dropping-particle":"","parse-names":false,"suffix":""},{"dropping-particle":"","family":"Smemo","given":"Kurt A.","non-dropping-particle":"","parse-names":false,"suffix":""},{"dropping-particle":"","family":"Blackwood","given":"Christopher B.","non-dropping-particle":"","parse-names":false,"suffix":""}],"container-title":"Plant and Soil","id":"ITEM-2","issue":"2","issued":{"date-parts":[["2016"]]},"page":"1-12","title":"Phylogenetically structured traits in root systems influence arbuscular mycorrhizal colonization in woody angiosperms","type":"article-journal","volume":"404"},"uris":["http://www.mendeley.com/documents/?uuid=710759ad-2be3-4b86-a600-40ed68c80f07"]}],"mendeley":{"formattedCitation":"(Johnson, 2010; Valverde-Barrantes &lt;i&gt;et al.&lt;/i&gt;, 2016)","plainTextFormattedCitation":"(Johnson, 2010; Valverde-Barrantes et al., 2016)","previouslyFormattedCitation":"(Johnson, 2010; Valverde-Barrantes &lt;i&gt;et al.&lt;/i&gt;, 2016)"},"properties":{"noteIndex":0},"schema":"https://github.com/citation-style-language/schema/raw/master/csl-citation.json"}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(Johnson, 2010; Valverde-Barrantes </w:t>
      </w:r>
      <w:r w:rsidRPr="00872293">
        <w:rPr>
          <w:rFonts w:ascii="Times New Roman" w:eastAsiaTheme="minorHAnsi" w:hAnsi="Times New Roman"/>
          <w:i/>
          <w:noProof/>
        </w:rPr>
        <w:t>et al.</w:t>
      </w:r>
      <w:r w:rsidRPr="00872293">
        <w:rPr>
          <w:rFonts w:ascii="Times New Roman" w:eastAsiaTheme="minorHAnsi" w:hAnsi="Times New Roman"/>
          <w:noProof/>
        </w:rPr>
        <w:t>, 2016)</w:t>
      </w:r>
      <w:r w:rsidRPr="00872293">
        <w:rPr>
          <w:rFonts w:ascii="Times New Roman" w:eastAsiaTheme="minorHAnsi" w:hAnsi="Times New Roman"/>
        </w:rPr>
        <w:fldChar w:fldCharType="end"/>
      </w:r>
      <w:r w:rsidRPr="00872293">
        <w:rPr>
          <w:rFonts w:ascii="Times New Roman" w:eastAsiaTheme="minorHAnsi" w:hAnsi="Times New Roman"/>
        </w:rPr>
        <w:t>.</w:t>
      </w:r>
      <w:r w:rsidR="00680FC1" w:rsidRPr="00872293">
        <w:rPr>
          <w:rFonts w:ascii="Times New Roman" w:eastAsiaTheme="minorHAnsi" w:hAnsi="Times New Roman"/>
        </w:rPr>
        <w:t xml:space="preserve"> Thus, the relationship between the mycorrhizal percent colonization and the soil P availability </w:t>
      </w:r>
      <w:r w:rsidR="00C473C0" w:rsidRPr="00872293">
        <w:rPr>
          <w:rFonts w:ascii="Times New Roman" w:eastAsiaTheme="minorHAnsi" w:hAnsi="Times New Roman"/>
        </w:rPr>
        <w:t xml:space="preserve">does </w:t>
      </w:r>
      <w:r w:rsidR="00680FC1" w:rsidRPr="00872293">
        <w:rPr>
          <w:rFonts w:ascii="Times New Roman" w:eastAsiaTheme="minorHAnsi" w:hAnsi="Times New Roman"/>
        </w:rPr>
        <w:t xml:space="preserve">not </w:t>
      </w:r>
      <w:r w:rsidR="00C473C0" w:rsidRPr="00872293">
        <w:rPr>
          <w:rFonts w:ascii="Times New Roman" w:eastAsiaTheme="minorHAnsi" w:hAnsi="Times New Roman"/>
        </w:rPr>
        <w:t>rely</w:t>
      </w:r>
      <w:r w:rsidR="00680FC1" w:rsidRPr="00872293">
        <w:rPr>
          <w:rFonts w:ascii="Times New Roman" w:eastAsiaTheme="minorHAnsi" w:hAnsi="Times New Roman"/>
        </w:rPr>
        <w:t xml:space="preserve"> </w:t>
      </w:r>
      <w:r w:rsidR="00C473C0" w:rsidRPr="00872293">
        <w:rPr>
          <w:rFonts w:ascii="Times New Roman" w:eastAsiaTheme="minorHAnsi" w:hAnsi="Times New Roman"/>
        </w:rPr>
        <w:t xml:space="preserve">exclusively </w:t>
      </w:r>
      <w:r w:rsidR="00680FC1" w:rsidRPr="00872293">
        <w:rPr>
          <w:rFonts w:ascii="Times New Roman" w:eastAsiaTheme="minorHAnsi" w:hAnsi="Times New Roman"/>
        </w:rPr>
        <w:t>o</w:t>
      </w:r>
      <w:r w:rsidR="00416F10" w:rsidRPr="00872293">
        <w:rPr>
          <w:rFonts w:ascii="Times New Roman" w:eastAsiaTheme="minorHAnsi" w:hAnsi="Times New Roman"/>
        </w:rPr>
        <w:t>n</w:t>
      </w:r>
      <w:r w:rsidR="00680FC1" w:rsidRPr="00872293">
        <w:rPr>
          <w:rFonts w:ascii="Times New Roman" w:eastAsiaTheme="minorHAnsi" w:hAnsi="Times New Roman"/>
        </w:rPr>
        <w:t xml:space="preserve"> </w:t>
      </w:r>
      <w:r w:rsidR="00416F10" w:rsidRPr="00872293">
        <w:rPr>
          <w:rFonts w:ascii="Times New Roman" w:eastAsiaTheme="minorHAnsi" w:hAnsi="Times New Roman"/>
        </w:rPr>
        <w:t>soil P availability, but also other factors, including the</w:t>
      </w:r>
      <w:r w:rsidR="00680FC1" w:rsidRPr="00872293">
        <w:rPr>
          <w:rFonts w:ascii="Times New Roman" w:eastAsiaTheme="minorHAnsi" w:hAnsi="Times New Roman"/>
        </w:rPr>
        <w:t xml:space="preserve"> evolutionary </w:t>
      </w:r>
      <w:r w:rsidR="00416F10" w:rsidRPr="00872293">
        <w:rPr>
          <w:rFonts w:ascii="Times New Roman" w:eastAsiaTheme="minorHAnsi" w:hAnsi="Times New Roman"/>
        </w:rPr>
        <w:t xml:space="preserve">history of the </w:t>
      </w:r>
      <w:r w:rsidR="00C473C0" w:rsidRPr="00872293">
        <w:rPr>
          <w:rFonts w:ascii="Times New Roman" w:eastAsiaTheme="minorHAnsi" w:hAnsi="Times New Roman"/>
        </w:rPr>
        <w:t>plant species and its fungal partner</w:t>
      </w:r>
      <w:r w:rsidR="00416F10" w:rsidRPr="00872293">
        <w:rPr>
          <w:rFonts w:ascii="Times New Roman" w:eastAsiaTheme="minorHAnsi" w:hAnsi="Times New Roman"/>
        </w:rPr>
        <w:t xml:space="preserve"> (Valverde-</w:t>
      </w:r>
      <w:proofErr w:type="spellStart"/>
      <w:r w:rsidR="00416F10" w:rsidRPr="00872293">
        <w:rPr>
          <w:rFonts w:ascii="Times New Roman" w:eastAsiaTheme="minorHAnsi" w:hAnsi="Times New Roman"/>
        </w:rPr>
        <w:t>Barr</w:t>
      </w:r>
      <w:r w:rsidR="00241B0A" w:rsidRPr="00872293">
        <w:rPr>
          <w:rFonts w:ascii="Times New Roman" w:eastAsiaTheme="minorHAnsi" w:hAnsi="Times New Roman"/>
        </w:rPr>
        <w:t>a</w:t>
      </w:r>
      <w:r w:rsidR="00416F10" w:rsidRPr="00872293">
        <w:rPr>
          <w:rFonts w:ascii="Times New Roman" w:eastAsiaTheme="minorHAnsi" w:hAnsi="Times New Roman"/>
        </w:rPr>
        <w:t>nt</w:t>
      </w:r>
      <w:r w:rsidR="00241B0A" w:rsidRPr="00872293">
        <w:rPr>
          <w:rFonts w:ascii="Times New Roman" w:eastAsiaTheme="minorHAnsi" w:hAnsi="Times New Roman"/>
        </w:rPr>
        <w:t>e</w:t>
      </w:r>
      <w:r w:rsidR="00416F10" w:rsidRPr="00872293">
        <w:rPr>
          <w:rFonts w:ascii="Times New Roman" w:eastAsiaTheme="minorHAnsi" w:hAnsi="Times New Roman"/>
        </w:rPr>
        <w:t>s</w:t>
      </w:r>
      <w:proofErr w:type="spellEnd"/>
      <w:r w:rsidR="00416F10" w:rsidRPr="00872293">
        <w:rPr>
          <w:rFonts w:ascii="Times New Roman" w:eastAsiaTheme="minorHAnsi" w:hAnsi="Times New Roman"/>
        </w:rPr>
        <w:t xml:space="preserve"> </w:t>
      </w:r>
      <w:r w:rsidR="00416F10" w:rsidRPr="00872293">
        <w:rPr>
          <w:rFonts w:ascii="Times New Roman" w:eastAsiaTheme="minorHAnsi" w:hAnsi="Times New Roman"/>
          <w:i/>
          <w:iCs/>
        </w:rPr>
        <w:t>et al.,</w:t>
      </w:r>
      <w:r w:rsidR="00416F10" w:rsidRPr="00872293">
        <w:rPr>
          <w:rFonts w:ascii="Times New Roman" w:eastAsiaTheme="minorHAnsi" w:hAnsi="Times New Roman"/>
        </w:rPr>
        <w:t xml:space="preserve"> 2020).</w:t>
      </w:r>
    </w:p>
    <w:p w14:paraId="413A1E3F" w14:textId="77777777" w:rsidR="001D3E23" w:rsidRPr="00872293" w:rsidRDefault="001D3E23" w:rsidP="001D3E23">
      <w:pPr>
        <w:autoSpaceDE w:val="0"/>
        <w:autoSpaceDN w:val="0"/>
        <w:adjustRightInd w:val="0"/>
        <w:spacing w:line="360" w:lineRule="auto"/>
        <w:rPr>
          <w:rFonts w:ascii="Times New Roman" w:eastAsiaTheme="minorHAnsi" w:hAnsi="Times New Roman"/>
        </w:rPr>
      </w:pPr>
    </w:p>
    <w:p w14:paraId="59B79A5E" w14:textId="3E010FB2" w:rsidR="00C56FCC" w:rsidRPr="00872293" w:rsidRDefault="001D3E23" w:rsidP="001D3E23">
      <w:pPr>
        <w:autoSpaceDE w:val="0"/>
        <w:autoSpaceDN w:val="0"/>
        <w:adjustRightInd w:val="0"/>
        <w:spacing w:line="360" w:lineRule="auto"/>
        <w:rPr>
          <w:rFonts w:ascii="Times New Roman" w:eastAsiaTheme="minorHAnsi" w:hAnsi="Times New Roman"/>
        </w:rPr>
      </w:pPr>
      <w:r w:rsidRPr="00872293">
        <w:rPr>
          <w:rFonts w:ascii="Times New Roman" w:eastAsiaTheme="minorHAnsi" w:hAnsi="Times New Roman"/>
        </w:rPr>
        <w:t xml:space="preserve">We found that the pioneer species </w:t>
      </w:r>
      <w:r w:rsidRPr="00872293">
        <w:rPr>
          <w:rFonts w:ascii="Times New Roman" w:eastAsiaTheme="minorHAnsi" w:hAnsi="Times New Roman"/>
          <w:i/>
          <w:iCs/>
        </w:rPr>
        <w:t xml:space="preserve">C. </w:t>
      </w:r>
      <w:proofErr w:type="spellStart"/>
      <w:r w:rsidRPr="00872293">
        <w:rPr>
          <w:rFonts w:ascii="Times New Roman" w:eastAsiaTheme="minorHAnsi" w:hAnsi="Times New Roman"/>
          <w:i/>
          <w:iCs/>
        </w:rPr>
        <w:t>schreberiana</w:t>
      </w:r>
      <w:proofErr w:type="spellEnd"/>
      <w:r w:rsidRPr="00872293">
        <w:rPr>
          <w:rFonts w:ascii="Times New Roman" w:eastAsiaTheme="minorHAnsi" w:hAnsi="Times New Roman"/>
          <w:i/>
          <w:iCs/>
        </w:rPr>
        <w:t xml:space="preserve"> and S. </w:t>
      </w:r>
      <w:proofErr w:type="spellStart"/>
      <w:r w:rsidRPr="00872293">
        <w:rPr>
          <w:rFonts w:ascii="Times New Roman" w:eastAsiaTheme="minorHAnsi" w:hAnsi="Times New Roman"/>
          <w:i/>
          <w:iCs/>
        </w:rPr>
        <w:t>campanulata</w:t>
      </w:r>
      <w:proofErr w:type="spellEnd"/>
      <w:r w:rsidRPr="00872293">
        <w:rPr>
          <w:rFonts w:ascii="Times New Roman" w:eastAsiaTheme="minorHAnsi" w:hAnsi="Times New Roman"/>
          <w:i/>
          <w:iCs/>
        </w:rPr>
        <w:t xml:space="preserve"> </w:t>
      </w:r>
      <w:r w:rsidRPr="00872293">
        <w:rPr>
          <w:rFonts w:ascii="Times New Roman" w:eastAsiaTheme="minorHAnsi" w:hAnsi="Times New Roman"/>
        </w:rPr>
        <w:t xml:space="preserve">had greater mycorrhizal colonization rates than non-pioneer species. However,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phytologist","id":"ITEM-1","issue":"4","issued":{"date-parts":[["2016"]]},"page":"1159-1169","title":"Towards a multidimensional root trait framework: a tree root review","type":"article-journal","volume":"211"},"uris":["http://www.mendeley.com/documents/?uuid=d741bfb7-9707-4b75-9f0b-92e93dafa19e"]},{"id":"ITEM-2","itemData":{"DOI":"10.1002/ecy.2080","ISSN":"00129658","PMID":"29121390","abstract":"Evidence accumulates about the role of arbuscular mycorrhizal (AM) fungi in shaping plant communities, but little is known about the factors determining the biomass and coexistence of several types of AM fungi in a plant community. Here, using a consumer-resource framework that treats the relationship between plants and fungi as simultaneous, reciprocal exploitation, we investigated what patterns of dynamic preferential plant carbon allocation to empirically-defined fungal types (on-going partner choice) would be optimal for plants, and how these patterns depend on successional dynamics. We found that ruderal AM fungi can dominate under low steady-state nutrient availability, and competitor AM fungi can dominate at higher steady-state nutrient availability; these are conditions characteristic of early and late succession, respectively. We also found that dynamic preferential allocation alone can maintain a diversity of mutualists, suggesting that on-going partner choice is a new coexistence mechanism for mutualists. Our model can therefore explain both mutualist coexistence and successional strategy, providing a powerful tool to derive testable predictions.","author":[{"dropping-particle":"","family":"Bachelot","given":"Benedicte","non-dropping-particle":"","parse-names":false,"suffix":""},{"dropping-particle":"","family":"Lee","given":"Charlotte T.","non-dropping-particle":"","parse-names":false,"suffix":""}],"container-title":"Ecology","id":"ITEM-2","issue":"2","issued":{"date-parts":[["2018"]]},"page":"372-384","title":"Dynamic preferential allocation to arbuscular mycorrhizal fungi explains fungal succession and coexistence","type":"article-journal","volume":"99"},"uris":["http://www.mendeley.com/documents/?uuid=97de2d9e-5aba-4316-a15b-c2da62be6488"]}],"mendeley":{"formattedCitation":"(Weemstra &lt;i&gt;et al.&lt;/i&gt;, 2016; Bachelot &amp; Lee, 2018)","manualFormatting":"Bachelot &amp; Lee (2018)","plainTextFormattedCitation":"(Weemstra et al., 2016; Bachelot &amp; Lee, 2018)","previouslyFormattedCitation":"(Weemstra &lt;i&gt;et al.&lt;/i&gt;, 2016; Bachelot &amp; Lee, 2018)"},"properties":{"noteIndex":0},"schema":"https://github.com/citation-style-language/schema/raw/master/csl-citation.json"}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Bachelot &amp; Lee (2018)</w:t>
      </w:r>
      <w:r w:rsidRPr="00872293">
        <w:rPr>
          <w:rFonts w:ascii="Times New Roman" w:eastAsiaTheme="minorHAnsi" w:hAnsi="Times New Roman"/>
        </w:rPr>
        <w:fldChar w:fldCharType="end"/>
      </w:r>
      <w:r w:rsidRPr="00872293">
        <w:rPr>
          <w:rFonts w:ascii="Times New Roman" w:eastAsiaTheme="minorHAnsi" w:hAnsi="Times New Roman"/>
        </w:rPr>
        <w:t xml:space="preserve"> showed that pioneer species in the same forests were more “independent” of their fungal mycorrhizal partners than non-pioneers. Our results also contradict with those presented in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{"citationItems":[{"id":"ITEM-1","itemData":{"ISSN":"01281283","abstract":"We conducted a greenhouse experiment using common Puerto Rican trees and shrubs that span the spectrum of neotropic life histories. Our working hypothesis was that species had a higher colonisation rate of arbuscular mycorrhizal fungi (AMF) as they established further and further after a disturbance (quantified as increasing seed size). Results suggested that (1) Cecropia schreberiana and Schefflera morototoni were weakly-facultative mycorrhizal, (2) Casearia arborea, Inga laurina and Guarea guidonia were strongly-facultative mycorrhizal and (3) Piper glabrescens, Tabebuia heterophylla, Palicourea riparia, Buchenaria capitata and Dacryodes excelsa were obligately mycorrhizal with (4) Psychotria berteriana, Prestoea montana and Manilkara bidentata also obligate but at a reduced level. In general, these species were adapted to low inorganic phosphorus, colonised well with AMF and agreed with our working hypothesis; however, three shrub species (Piper, Palicourea, Psychotria) did not. Finally, we also found that shade tolerance of the test species corresponded with the AMF results better than their wood density or drought tolerance. © Forest Research Institute Malaysia.","author":[{"dropping-particle":"","family":"Myster","given":"R. W.","non-dropping-particle":"","parse-names":false,"suffix":""},{"dropping-particle":"","family":"Lebron","given":"L.","non-dropping-particle":"","parse-names":false,"suffix":""},{"dropping-particle":"","family":"Loayza","given":"A. B.P.","non-dropping-particle":"","parse-names":false,"suffix":""},{"dropping-particle":"","family":"Zimmerman","given":"J. K.","non-dropping-particle":"","parse-names":false,"suffix":""}],"container-title":"Journal of Tropical Forest Science","id":"ITEM-1","issued":{"date-parts":[["2013"]]},"page":"34-41","title":"Mycotrophic strategy of 13 common neotropical trees and shrubs","type":"article-journal","volume":"25"},"uris":["http://www.mendeley.com/documents/?uuid=e24c6856-452c-4794-85ce-d2cb9ad82a3d"]}],"mendeley":{"formattedCitation":"(Myster &lt;i&gt;et al.&lt;/i&gt;, 2013)","manualFormatting":"Myster et al. (2013)","plainTextFormattedCitation":"(Myster et al., 2013)","previouslyFormattedCitation":"(Myster &lt;i&gt;et al.&lt;/i&gt;, 2013)"},"properties":{"noteIndex":0},"schema":"https://github.com/citation-style-language/schema/raw/master/csl-citation.json"}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Myster </w:t>
      </w:r>
      <w:r w:rsidRPr="00872293">
        <w:rPr>
          <w:rFonts w:ascii="Times New Roman" w:eastAsiaTheme="minorHAnsi" w:hAnsi="Times New Roman"/>
          <w:i/>
          <w:noProof/>
        </w:rPr>
        <w:t>et al.</w:t>
      </w:r>
      <w:r w:rsidRPr="00872293">
        <w:rPr>
          <w:rFonts w:ascii="Times New Roman" w:eastAsiaTheme="minorHAnsi" w:hAnsi="Times New Roman"/>
          <w:noProof/>
        </w:rPr>
        <w:t xml:space="preserve"> (2013)</w:t>
      </w:r>
      <w:r w:rsidRPr="00872293">
        <w:rPr>
          <w:rFonts w:ascii="Times New Roman" w:eastAsiaTheme="minorHAnsi" w:hAnsi="Times New Roman"/>
        </w:rPr>
        <w:fldChar w:fldCharType="end"/>
      </w:r>
      <w:r w:rsidRPr="00872293">
        <w:rPr>
          <w:rFonts w:ascii="Times New Roman" w:eastAsiaTheme="minorHAnsi" w:hAnsi="Times New Roman"/>
        </w:rPr>
        <w:t xml:space="preserve">, where mycorrhizal colonization percent was lower for the native pioneer </w:t>
      </w:r>
      <w:r w:rsidRPr="00872293">
        <w:rPr>
          <w:rFonts w:ascii="Times New Roman" w:eastAsiaTheme="minorHAnsi" w:hAnsi="Times New Roman"/>
          <w:i/>
          <w:iCs/>
        </w:rPr>
        <w:t xml:space="preserve">C. </w:t>
      </w:r>
      <w:proofErr w:type="spellStart"/>
      <w:r w:rsidRPr="00872293">
        <w:rPr>
          <w:rFonts w:ascii="Times New Roman" w:eastAsiaTheme="minorHAnsi" w:hAnsi="Times New Roman"/>
          <w:i/>
          <w:iCs/>
        </w:rPr>
        <w:t>schreberiana</w:t>
      </w:r>
      <w:proofErr w:type="spellEnd"/>
      <w:r w:rsidRPr="00872293">
        <w:rPr>
          <w:rFonts w:ascii="Times New Roman" w:eastAsiaTheme="minorHAnsi" w:hAnsi="Times New Roman"/>
          <w:i/>
          <w:iCs/>
        </w:rPr>
        <w:t xml:space="preserve"> </w:t>
      </w:r>
      <w:r w:rsidRPr="00872293">
        <w:rPr>
          <w:rFonts w:ascii="Times New Roman" w:eastAsiaTheme="minorHAnsi" w:hAnsi="Times New Roman"/>
        </w:rPr>
        <w:t xml:space="preserve">and greater for </w:t>
      </w:r>
      <w:r w:rsidRPr="00872293">
        <w:rPr>
          <w:rFonts w:ascii="Times New Roman" w:eastAsiaTheme="minorHAnsi" w:hAnsi="Times New Roman"/>
          <w:i/>
          <w:iCs/>
        </w:rPr>
        <w:t xml:space="preserve">D. </w:t>
      </w:r>
      <w:proofErr w:type="spellStart"/>
      <w:r w:rsidRPr="00872293">
        <w:rPr>
          <w:rFonts w:ascii="Times New Roman" w:eastAsiaTheme="minorHAnsi" w:hAnsi="Times New Roman"/>
          <w:i/>
          <w:iCs/>
        </w:rPr>
        <w:t>excelsa</w:t>
      </w:r>
      <w:proofErr w:type="spellEnd"/>
      <w:r w:rsidRPr="00872293">
        <w:rPr>
          <w:rFonts w:ascii="Times New Roman" w:eastAsiaTheme="minorHAnsi" w:hAnsi="Times New Roman"/>
        </w:rPr>
        <w:t xml:space="preserve"> in the LEF. Yet, these differences in results might be attributed to differences in tree age since previous studies considered seedlings for these measurements, and we considered mature trees.</w:t>
      </w:r>
    </w:p>
    <w:p w14:paraId="49C3EEA3" w14:textId="77777777" w:rsidR="00114A13" w:rsidRPr="00872293" w:rsidRDefault="00114A13" w:rsidP="001D3E23">
      <w:pPr>
        <w:autoSpaceDE w:val="0"/>
        <w:autoSpaceDN w:val="0"/>
        <w:adjustRightInd w:val="0"/>
        <w:spacing w:line="360" w:lineRule="auto"/>
        <w:rPr>
          <w:rFonts w:ascii="Times New Roman" w:eastAsiaTheme="minorHAnsi" w:hAnsi="Times New Roman"/>
        </w:rPr>
      </w:pPr>
    </w:p>
    <w:p w14:paraId="6579E3BD" w14:textId="77777777" w:rsidR="00C56FCC" w:rsidRPr="00872293" w:rsidRDefault="00C56FCC" w:rsidP="00496563">
      <w:pPr>
        <w:pStyle w:val="Heading3"/>
        <w:spacing w:before="0" w:after="0" w:line="360" w:lineRule="auto"/>
      </w:pPr>
      <w:bookmarkStart w:id="154" w:name="_Toc53689114"/>
      <w:r w:rsidRPr="00872293">
        <w:lastRenderedPageBreak/>
        <w:t>Root traits relationships and strategies across sites and species</w:t>
      </w:r>
      <w:bookmarkEnd w:id="154"/>
    </w:p>
    <w:p w14:paraId="1022C718" w14:textId="404250F9" w:rsidR="00C56FCC" w:rsidRPr="00872293" w:rsidRDefault="00C56FCC" w:rsidP="00496563">
      <w:pPr>
        <w:autoSpaceDE w:val="0"/>
        <w:autoSpaceDN w:val="0"/>
        <w:adjustRightInd w:val="0"/>
        <w:spacing w:before="240" w:line="360" w:lineRule="auto"/>
        <w:rPr>
          <w:rFonts w:ascii="Times New Roman" w:hAnsi="Times New Roman"/>
        </w:rPr>
      </w:pPr>
      <w:r w:rsidRPr="00872293">
        <w:rPr>
          <w:rFonts w:ascii="Times New Roman" w:hAnsi="Times New Roman"/>
        </w:rPr>
        <w:t xml:space="preserve">When considering only site variation in our mixed effect model, we found that mycorrhizal colonization had a positive effect on root PME, but when we added species variation in the model, this relationship was no longer significant (Table </w:t>
      </w:r>
      <w:r w:rsidR="007578BD" w:rsidRPr="00872293">
        <w:rPr>
          <w:rFonts w:ascii="Times New Roman" w:hAnsi="Times New Roman"/>
        </w:rPr>
        <w:t>9</w:t>
      </w:r>
      <w:r w:rsidRPr="00872293">
        <w:rPr>
          <w:rFonts w:ascii="Times New Roman" w:hAnsi="Times New Roman"/>
        </w:rPr>
        <w:t>; Fig</w:t>
      </w:r>
      <w:r w:rsidR="007578BD" w:rsidRPr="00872293">
        <w:rPr>
          <w:rFonts w:ascii="Times New Roman" w:hAnsi="Times New Roman"/>
        </w:rPr>
        <w:t>ure 22</w:t>
      </w:r>
      <w:r w:rsidRPr="00872293">
        <w:rPr>
          <w:rFonts w:ascii="Times New Roman" w:hAnsi="Times New Roman"/>
        </w:rPr>
        <w:t xml:space="preserve">). Thus, we conclude that root trait differences were mostly explained by species differences. It is possible that if we chose different species to test these same root trait relationships, we could find different patterns. Therefore, we recognize the importance of expanding this study to more tropical tree species. </w:t>
      </w:r>
      <w:r w:rsidRPr="00872293">
        <w:rPr>
          <w:rFonts w:ascii="Times New Roman" w:eastAsia="AdvP45996F" w:hAnsi="Times New Roman"/>
        </w:rPr>
        <w:t xml:space="preserve">We hypothesized that greater root mycorrhizal colonization is part of the “outsourcing” end of </w:t>
      </w:r>
      <w:r w:rsidRPr="00872293">
        <w:rPr>
          <w:rFonts w:ascii="Times New Roman" w:hAnsi="Times New Roman"/>
        </w:rPr>
        <w:t xml:space="preserve">the collaboration dimension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plants","type":"article-journal","volume":"6"},"uris":["http://www.mendeley.com/documents/?uuid=32db0a51-ef0e-4152-943b-b2fefc84c374"]}],"mendeley":{"formattedCitation":"(Bergmann &lt;i&gt;et al.&lt;/i&gt;, 2020)","plainTextFormattedCitation":"(Bergmann et al., 2020)","previouslyFormattedCitation":"(Bergmann &lt;i&gt;et al.&lt;/i&gt;, 2020)"},"properties":{"noteIndex":0},"schema":"https://github.com/citation-style-language/schema/raw/master/csl-citation.json"}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(Bergmann </w:t>
      </w:r>
      <w:r w:rsidRPr="00872293">
        <w:rPr>
          <w:rFonts w:ascii="Times New Roman" w:eastAsiaTheme="minorHAnsi" w:hAnsi="Times New Roman"/>
          <w:i/>
          <w:noProof/>
        </w:rPr>
        <w:t>et al.</w:t>
      </w:r>
      <w:r w:rsidRPr="00872293">
        <w:rPr>
          <w:rFonts w:ascii="Times New Roman" w:eastAsiaTheme="minorHAnsi" w:hAnsi="Times New Roman"/>
          <w:noProof/>
        </w:rPr>
        <w:t>, 2020)</w:t>
      </w:r>
      <w:r w:rsidRPr="00872293">
        <w:rPr>
          <w:rFonts w:ascii="Times New Roman" w:eastAsiaTheme="minorHAnsi" w:hAnsi="Times New Roman"/>
        </w:rPr>
        <w:fldChar w:fldCharType="end"/>
      </w:r>
      <w:r w:rsidRPr="00872293">
        <w:rPr>
          <w:rFonts w:ascii="Times New Roman" w:hAnsi="Times New Roman"/>
        </w:rPr>
        <w:t xml:space="preserve"> </w:t>
      </w:r>
      <w:r w:rsidRPr="00872293">
        <w:rPr>
          <w:rFonts w:ascii="Times New Roman" w:eastAsia="AdvP45996F" w:hAnsi="Times New Roman"/>
        </w:rPr>
        <w:t xml:space="preserve">and opposite to root PME </w:t>
      </w:r>
      <w:r w:rsidRPr="00872293">
        <w:rPr>
          <w:rFonts w:ascii="Times New Roman" w:hAnsi="Times New Roman"/>
        </w:rPr>
        <w:t xml:space="preserve">as part of the “do it yourself” strategy. Both strategies require an </w:t>
      </w:r>
      <w:r w:rsidRPr="00872293">
        <w:rPr>
          <w:rFonts w:ascii="Times New Roman" w:eastAsiaTheme="minorHAnsi" w:hAnsi="Times New Roman"/>
        </w:rPr>
        <w:t xml:space="preserve">energy cost </w:t>
      </w:r>
      <w:r w:rsidRPr="00872293">
        <w:rPr>
          <w:rFonts w:ascii="Times New Roman" w:hAnsi="Times New Roman"/>
        </w:rPr>
        <w:t xml:space="preserve">as either </w:t>
      </w:r>
      <w:r w:rsidRPr="00872293">
        <w:rPr>
          <w:rFonts w:ascii="Times New Roman" w:eastAsiaTheme="minorHAnsi" w:hAnsi="Times New Roman"/>
        </w:rPr>
        <w:t>invest</w:t>
      </w:r>
      <w:r w:rsidRPr="00872293">
        <w:rPr>
          <w:rFonts w:ascii="Times New Roman" w:hAnsi="Times New Roman"/>
        </w:rPr>
        <w:t>ing</w:t>
      </w:r>
      <w:r w:rsidRPr="00872293">
        <w:rPr>
          <w:rFonts w:ascii="Times New Roman" w:eastAsiaTheme="minorHAnsi" w:hAnsi="Times New Roman"/>
        </w:rPr>
        <w:t xml:space="preserve"> in P mineralizing enzymes </w:t>
      </w:r>
      <w:r w:rsidRPr="00872293">
        <w:rPr>
          <w:rFonts w:ascii="Times New Roman" w:hAnsi="Times New Roman"/>
        </w:rPr>
        <w:t>or in supporting</w:t>
      </w:r>
      <w:r w:rsidRPr="00872293">
        <w:rPr>
          <w:rFonts w:ascii="Times New Roman" w:eastAsiaTheme="minorHAnsi" w:hAnsi="Times New Roman"/>
        </w:rPr>
        <w:t xml:space="preserve"> mycorrhizal </w:t>
      </w:r>
      <w:r w:rsidRPr="00872293">
        <w:rPr>
          <w:rFonts w:ascii="Times New Roman" w:hAnsi="Times New Roman"/>
        </w:rPr>
        <w:t xml:space="preserve">symbionts </w:t>
      </w:r>
      <w:r w:rsidRPr="00872293">
        <w:rPr>
          <w:rFonts w:ascii="Times New Roman" w:eastAsiaTheme="minorHAnsi" w:hAnsi="Times New Roman"/>
        </w:rPr>
        <w:t xml:space="preserve">to </w:t>
      </w:r>
      <w:r w:rsidRPr="00872293">
        <w:rPr>
          <w:rFonts w:ascii="Times New Roman" w:hAnsi="Times New Roman"/>
        </w:rPr>
        <w:t xml:space="preserve">maximize P acquisition from </w:t>
      </w:r>
      <w:r w:rsidRPr="00872293">
        <w:rPr>
          <w:rFonts w:ascii="Times New Roman" w:eastAsiaTheme="minorHAnsi" w:hAnsi="Times New Roman"/>
        </w:rPr>
        <w:t xml:space="preserve">soils </w:t>
      </w:r>
      <w:r w:rsidRPr="00872293">
        <w:rPr>
          <w:rFonts w:ascii="Times New Roman" w:eastAsiaTheme="minorHAnsi" w:hAnsi="Times New Roman"/>
        </w:rPr>
        <w:fldChar w:fldCharType="begin" w:fldLock="1"/>
      </w:r>
      <w:r w:rsidRPr="00872293">
        <w:rPr>
          <w:rFonts w:ascii="Times New Roman" w:eastAsiaTheme="minorHAnsi" w:hAnsi="Times New Roman"/>
        </w:rPr>
        <w:instrText>ADDIN CSL_CITATION {"citationItems":[{"id":"ITEM-1","itemData":{"DOI":"10.1111/nph.14494","ISSN":"14698137","abstract":"We hypothesized that dinitrogen (N2)- and non-N2-fixing tropical trees would have distinct phosphorus (P) acquisition strategies allowing them to exploit different P sources, reducing competition. We measured root phosphatase activity and arbuscular mycorrhizal (AM) colonization among two N2- and two non-N2-fixing seedlings, and grew them alone and in competition with different inorganic and organic P forms to assess potential P partitioning. We found an inverse relationship between root phosphatase activity and AM colonization in field-collected seedlings, indicative of a trade-off in P acquisition strategies. This correlated with the predominantly exploited P sources in the seedling experiment: the N2 fixer with high N2 fixation and root phosphatase activity grew best on organic P, whereas the poor N2 fixer and the two non-N2 fixers with high AM colonization grew best on inorganic P. When grown in competition, however, AM colonization, root phosphatase activity and N2 fixation increased in the N2 fixers, allowing them to outcompete the non-N2 fixers regardless of P source. Our results indicate that some tropical trees have the capacity to partition soil P, but this does not eliminate interspecific competition. Rather, enhanced P and N acquisition strategies may increase the competitive ability of N2 fixers relative to non-N2 fixers.","author":[{"dropping-particle":"","family":"Nasto","given":"Megan K.","non-dropping-particle":"","parse-names":false,"suffix":""},{"dropping-particle":"","family":"Osborne","given":"Brooke B.","non-dropping-particle":"","parse-names":false,"suffix":""},{"dropping-particle":"","family":"Lekberg","given":"Ylva","non-dropping-particle":"","parse-names":false,"suffix":""},{"dropping-particle":"","family":"Asner","given":"Gregory P.","non-dropping-particle":"","parse-names":false,"suffix":""},{"dropping-particle":"","family":"Balzotti","given":"Christopher S.","non-dropping-particle":"","parse-names":false,"suffix":""},{"dropping-particle":"","family":"Porder","given":"Stephen","non-dropping-particle":"","parse-names":false,"suffix":""},{"dropping-particle":"","family":"Taylor","given":"Philip G.","non-dropping-particle":"","parse-names":false,"suffix":""},{"dropping-particle":"","family":"Townsend","given":"Alan R.","non-dropping-particle":"","parse-names":false,"suffix":""},{"dropping-particle":"","family":"Cleveland","given":"Cory C.","non-dropping-particle":"","parse-names":false,"suffix":""}],"container-title":"New Phytologist","id":"ITEM-1","issue":"4","issued":{"date-parts":[["2017"]]},"page":"1506-1517","title":"Nutrient acquisition, soil phosphorus partitioning and competition among trees in a lowland tropical rain forest","type":"article-journal","volume":"214"},"uris":["http://www.mendeley.com/documents/?uuid=fd87861e-a444-4343-8222-00089aa3ed27"]},{"id":"ITEM-2","itemData":{"DOI":"10.1002/ecy.2646","ISSN":"00129658","abstract":"Tropical forests play a dominant role in the global carbon (C) cycle, and models predict increases in tropical net primary productivity (NPP) and C storage in response to rising atmospheric carbon dioxide (CO2) concentrations. The extent to which increasing CO2 will enhance NPP depends in part on the availability of nitrogen (N) and phosphorus (P) to support growth. Some tropical trees can potentially overcome nutrient limitation by acquiring N via symbiotic dinitrogen (N2) fixation, which may provide a benefit in acquiring P via investment in N-rich phosphatase enzymes or arbuscular mycorrhizal (AM) fungi. We conducted a seedling experiment to investigate the effects of elevated CO2 and soil nutrient availability on the growth of two N2-fixing and two non-N2-fixing tropical tree species. We hypothesized that under elevated CO2 and at low nutrient availability (i.e., low N and P), N2 fixers would have higher growth rates than non-N2 fixers because N2 fixers have a greater capacity to acquire both N and P. We also hypothesized that differences in growth rates between N2 fixers and non-N2 fixers would decline as nutrient availability increases because N2 fixers no longer have an advantage in nutrient acquisition. We found that the N2 fixers had higher growth rates than the non-N2 fixers under elevated CO2 and at low nutrient availability, and that the difference in growth rates between the N2 and non-N2 fixers declined as nutrient availability increased, irrespective of CO2. Overall, N2 fixation, root phosphatase activity, and AM colonization decreased with increasing nutrient availability, and increased under elevated CO2 at low nutrient availability. Further, AM colonization was positively related to the growth of the non-N2 fixers, whereas both N2 fixation and root phosphatase activity were positively related to the growth of the N2 fixers. Though our results indicate all four tree species have the capacity to up- or down-regulate nutrient acquisition to meet their stoichiometric demands, the greater capacity for the N2 fixers to acquire both N and P may enable them to overcome nutritional constraints to NPP under elevated CO2, with implications for the response of tropical forests to future environmental change.","author":[{"dropping-particle":"","family":"Nasto","given":"Megan K.","non-dropping-particle":"","parse-names":false,"suffix":""},{"dropping-particle":"","family":"Winter","given":"Klaus","non-dropping-particle":"","parse-names":false,"suffix":""},{"dropping-particle":"","family":"Turner","given":"Benjamin L.","non-dropping-particle":"","parse-names":false,"suffix":""},{"dropping-particle":"","family":"Cleveland","given":"Cory C.","non-dropping-particle":"","parse-names":false,"suffix":""}],"container-title":"Ecology","id":"ITEM-2","issue":"4","issued":{"date-parts":[["2019"]]},"title":"Nutrient acquisition strategies augment growth in tropical N2-fixing trees in nutrient-poor soil and under elevated CO2","type":"article-journal","volume":"100"},"uris":["http://www.mendeley.com/documents/?uuid=0607305b-1382-416a-990c-538079ec0cef"]},{"id":"ITEM-3","itemData":{"DOI":"10.1890/0012-9658(2001)082[0946:EOSNAO]2.0.CO;2","ISSN":"00129658","abstract":"We determined the influence of nutrient availability on the mechanisms used by plants to acquire nitrogen and phosphorus from the soil. Extracellular acid phosphatase production, mycorrhizal colonization, and N and P uptake capacities were measured in control, N-, and P-fertilized forests in three sites that varied in nutrient status from N limited to relatively fertile to P limited. Nitrogen fertilization increased extracellular phosphatase activity in all sites. Phosphorus additions consistently reduced phosphatase activity, mycorrhizal colonization, and P uptake capacity across sites. Our results indicate that these plants efficiently allocate resources to nutrient acquisition as suggested by an economic model. Investment in acquisition of a nutrient was greatest when that nutrient was limiting to growth, and plants appeared to allocate excess N to construction of extracellular phosphatases to acquire P. This increase in phosphatase production with N fertilization implies that even P-limited systems might respond to N deposition with greater productivity.","author":[{"dropping-particle":"","family":"Treseder","given":"K. K.","non-dropping-particle":"","parse-names":false,"suffix":""},{"dropping-particle":"","family":"Vitousek","given":"P. M.","non-dropping-particle":"","parse-names":false,"suffix":""}],"container-title":"Ecology","id":"ITEM-3","issue":"4","issued":{"date-parts":[["2001"]]},"page":"946-954","title":"Effects of soil nutrient availability on investment in acquisition of N and P in Hawaiian rain forests","type":"article-journal","volume":"82"},"uris":["http://www.mendeley.com/documents/?uuid=01c793f5-37ef-4942-b1ca-a9164a08a144"]}],"mendeley":{"formattedCitation":"(Treseder &amp; Vitousek, 2001; Nasto &lt;i&gt;et al.&lt;/i&gt;, 2017, 2019)","plainTextFormattedCitation":"(Treseder &amp; Vitousek, 2001; Nasto et al., 2017, 2019)","previouslyFormattedCitation":"(Treseder &amp; Vitousek, 2001; Nasto &lt;i&gt;et al.&lt;/i&gt;, 2017, 2019)"},"properties":{"noteIndex":0},"schema":"https://github.com/citation-style-language/schema/raw/master/csl-citation.json"}</w:instrText>
      </w:r>
      <w:r w:rsidRPr="00872293">
        <w:rPr>
          <w:rFonts w:ascii="Times New Roman" w:eastAsiaTheme="minorHAnsi" w:hAnsi="Times New Roman"/>
        </w:rPr>
        <w:fldChar w:fldCharType="separate"/>
      </w:r>
      <w:r w:rsidRPr="00872293">
        <w:rPr>
          <w:rFonts w:ascii="Times New Roman" w:eastAsiaTheme="minorHAnsi" w:hAnsi="Times New Roman"/>
          <w:noProof/>
        </w:rPr>
        <w:t xml:space="preserve">(Treseder &amp; Vitousek, 2001; Nasto </w:t>
      </w:r>
      <w:r w:rsidRPr="00872293">
        <w:rPr>
          <w:rFonts w:ascii="Times New Roman" w:eastAsiaTheme="minorHAnsi" w:hAnsi="Times New Roman"/>
          <w:i/>
          <w:noProof/>
        </w:rPr>
        <w:t>et al.</w:t>
      </w:r>
      <w:r w:rsidRPr="00872293">
        <w:rPr>
          <w:rFonts w:ascii="Times New Roman" w:eastAsiaTheme="minorHAnsi" w:hAnsi="Times New Roman"/>
          <w:noProof/>
        </w:rPr>
        <w:t>, 2017, 2019)</w:t>
      </w:r>
      <w:r w:rsidRPr="00872293">
        <w:rPr>
          <w:rFonts w:ascii="Times New Roman" w:eastAsiaTheme="minorHAnsi" w:hAnsi="Times New Roman"/>
        </w:rPr>
        <w:fldChar w:fldCharType="end"/>
      </w:r>
      <w:r w:rsidRPr="00872293">
        <w:rPr>
          <w:rFonts w:ascii="Times New Roman" w:eastAsiaTheme="minorHAnsi" w:hAnsi="Times New Roman"/>
        </w:rPr>
        <w:t>.</w:t>
      </w:r>
      <w:r w:rsidRPr="00872293">
        <w:rPr>
          <w:rFonts w:ascii="Times New Roman" w:hAnsi="Times New Roman"/>
        </w:rPr>
        <w:t xml:space="preserve"> In contrast,</w:t>
      </w:r>
      <w:r w:rsidRPr="00872293">
        <w:rPr>
          <w:rFonts w:ascii="Times New Roman" w:eastAsia="AdvP45996F" w:hAnsi="Times New Roman"/>
        </w:rPr>
        <w:t xml:space="preserve"> in this study and with the species we considered, </w:t>
      </w:r>
      <w:r w:rsidRPr="00872293">
        <w:rPr>
          <w:rFonts w:ascii="Times New Roman" w:hAnsi="Times New Roman"/>
        </w:rPr>
        <w:t xml:space="preserve">we found that species with greater mycorrhizal colonization also presented greater phosphatase exudation. Although root PME can be </w:t>
      </w:r>
      <w:r w:rsidRPr="00872293">
        <w:rPr>
          <w:rFonts w:ascii="Times New Roman" w:eastAsiaTheme="minorHAnsi" w:hAnsi="Times New Roman"/>
        </w:rPr>
        <w:t xml:space="preserve">a combined contribution of root and </w:t>
      </w:r>
      <w:r w:rsidRPr="00872293">
        <w:rPr>
          <w:rFonts w:ascii="Times New Roman" w:eastAsia="AdvP45996F" w:hAnsi="Times New Roman"/>
        </w:rPr>
        <w:t xml:space="preserve">fungi phosphatase enzymes, this has been explored mostly on ectomycorrhizal fungi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{"citationItems":[{"id":"ITEM-1","itemData":{"DOI":"10.1016/0038-0717(73)90008-4","ISSN":"00380717","abstract":"Mycorrhizal roots of beech possess active surface acid phosphatases catalysing hydrolysis of p-nitrophenyl phosphate, glucose-6-phosphate, β-glycerophosphate, inositol hexaphosphate, inositol triphosphate and inorganic pyrophosphate. The products of hydrolysis of inositol hexaphosphate include free inositol, orthophosphate and intermediate esters. These observations are discussed in relation to the utilization of complex phosphates by mycorrhizas in general and to their capacity to exploit marginal habitats. © 1973.","author":[{"dropping-particle":"","family":"Bartlett","given":"Eleanor M.","non-dropping-particle":"","parse-names":false,"suffix":""},{"dropping-particle":"","family":"Lewis","given":"D. H.","non-dropping-particle":"","parse-names":false,"suffix":""}],"container-title":"Soil Biology and Biochemistry","id":"ITEM-1","issue":"2","issued":{"date-parts":[["1973"]]},"page":"249-257","title":"Surface phosphatase activity of mycorrhizal roots of beech","type":"article-journal","volume":"5"},"uris":["http://www.mendeley.com/documents/?uuid=ecd63b92-d5af-4bbd-9978-2a6afaefb9a4"]},{"id":"ITEM-2","itemData":{"DOI":"10.1111/j.1469-8137.1987.tb04890.x","ISSN":"14698137","abstract":"Acid phosphatase activity associated with the root and in the rhizosphere of rape Brassica napus L., wheat (Triticum aestivum L.) and onion (Alliutn cepa L.) plants was investigated in the presence or absence of vesicular‐arbuscular mycorrhizal fungi. The plants were inoculated singly with three different species of Glomus, or were left uninfected, and were grown in sand with little available phosphorus. Root and rhizosphere levels of phosphatase activity were higher for plants infected with G. geosporum (Nicol. &amp; Gerd.) Gerd. &amp; Trappe and G. mosseae (Nicol &amp; Gerd.) Gerd. &amp; Trappe compared with control plants. Infection with G. monosporum Gerd. &amp; Trappe did not result in a similar increase in phosphatase activity but significant increases in plant growth nevertheless occurred. Further experiments, using wheat only, showed that increases in phosphatase activity induced by infection by G. geosporum or G. mosseae became apparent between 25 and 51 d after sowing. Copyright © 1987, Wiley Blackwell. All rights reserved","author":[{"dropping-particle":"","family":"Dodd","given":"J. C.","non-dropping-particle":"","parse-names":false,"suffix":""},{"dropping-particle":"","family":"Burton","given":"C. C.","non-dropping-particle":"","parse-names":false,"suffix":""},{"dropping-particle":"","family":"Burns","given":"R. G.","non-dropping-particle":"","parse-names":false,"suffix":""},{"dropping-particle":"","family":"Jeffries","given":"P.","non-dropping-particle":"","parse-names":false,"suffix":""}],"container-title":"New Phytologist","id":"ITEM-2","issue":"1","issued":{"date-parts":[["1987"]]},"page":"163-172","title":"Phosphatase activity associated with the roots and the rhizosphere of plants infected with vesicular‐arbuscular mycorrhizal fungi","type":"article-journal","volume":"107"},"uris":["http://www.mendeley.com/documents/?uuid=1a29b5c8-3450-41b5-8b17-19b5bc7e0e65"]},{"id":"ITEM-3","itemData":{"DOI":"10.1111/j.1469-8137.1979.tb07566.x","ISSN":"14698137","abstract":"The ultrastructural distribution of acid and alkaline phosphatase in 6‐week‐old onion roots infected by Glomus mosseae has been investigated cytochemically. Significant acid phosphatase activity was only observed in the little vacuolated, immature terminal arbuscule branches of the mycorrhizal fungus whilst strong alkaline α‐naphthyl phosphatase and β‐glycerophosphatase activities were localized within the vacuoles of the mature arbuscular and intercellular hyphae. In the host cells neither acid nor alkaline phosphatase distribution was modified with vesicular‐arbuscular mycorrhiza formation. These results are discussed in relation to previously reported mycorrhiza‐specific alkaline phosphatase (Gianinazzi‐Pearson and Gianinazzi, 1976, 1978) and the metabolism of phosphorus in vesicular‐arbuscular mycorrhizal systems. Copyright © 1979, Wiley Blackwell. All rights reserved","author":[{"dropping-particle":"","family":"Gianinazzi","given":"S.","non-dropping-particle":"","parse-names":false,"suffix":""},{"dropping-particle":"","family":"Gianinazzi-Pearson","given":"V.","non-dropping-particle":"","parse-names":false,"suffix":""},{"dropping-particle":"","family":"Dexheimer","given":"J.","non-dropping-particle":"","parse-names":false,"suffix":""}],"container-title":"New Phytologist","id":"ITEM-3","issue":"1","issued":{"date-parts":[["1979"]]},"page":"127-132","title":"Enzymatic studies on the metabolism of vesicular‐arbuscular mycorrhiza. iii. ultrastructural localization of acid and alkaline phosphatase in onion roots infected by glomus mosseae (nicol. &amp; gerd.)","type":"article-journal","volume":"82"},"uris":["http://www.mendeley.com/documents/?uuid=23c2e939-c9eb-461d-b888-55baa86d58e0"]}],"mendeley":{"formattedCitation":"(Bartlett &amp; Lewis, 1973; Gianinazzi &lt;i&gt;et al.&lt;/i&gt;, 1979; Dodd &lt;i&gt;et al.&lt;/i&gt;, 1987)","plainTextFormattedCitation":"(Bartlett &amp; Lewis, 1973; Gianinazzi et al., 1979; Dodd et al., 1987)","previouslyFormattedCitation":"(Bartlett &amp; Lewis, 1973; Gianinazzi &lt;i&gt;et al.&lt;/i&gt;, 1979; Dodd &lt;i&gt;et al.&lt;/i&gt;, 1987)"},"properties":{"noteIndex":0},"schema":"https://github.com/citation-style-language/schema/raw/master/csl-citation.json"}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 xml:space="preserve">(Bartlett &amp; Lewis, 1973; Gianinazzi </w:t>
      </w:r>
      <w:r w:rsidRPr="00872293">
        <w:rPr>
          <w:rFonts w:ascii="Times New Roman" w:eastAsia="AdvP45996F" w:hAnsi="Times New Roman"/>
          <w:i/>
          <w:noProof/>
        </w:rPr>
        <w:t>et al.</w:t>
      </w:r>
      <w:r w:rsidRPr="00872293">
        <w:rPr>
          <w:rFonts w:ascii="Times New Roman" w:eastAsia="AdvP45996F" w:hAnsi="Times New Roman"/>
          <w:noProof/>
        </w:rPr>
        <w:t xml:space="preserve">, 1979; Dodd </w:t>
      </w:r>
      <w:r w:rsidRPr="00872293">
        <w:rPr>
          <w:rFonts w:ascii="Times New Roman" w:eastAsia="AdvP45996F" w:hAnsi="Times New Roman"/>
          <w:i/>
          <w:noProof/>
        </w:rPr>
        <w:t>et al.</w:t>
      </w:r>
      <w:r w:rsidRPr="00872293">
        <w:rPr>
          <w:rFonts w:ascii="Times New Roman" w:eastAsia="AdvP45996F" w:hAnsi="Times New Roman"/>
          <w:noProof/>
        </w:rPr>
        <w:t>, 1987)</w:t>
      </w:r>
      <w:r w:rsidRPr="00872293">
        <w:rPr>
          <w:rFonts w:ascii="Times New Roman" w:eastAsia="AdvP45996F" w:hAnsi="Times New Roman"/>
        </w:rPr>
        <w:fldChar w:fldCharType="end"/>
      </w:r>
      <w:r w:rsidRPr="00872293">
        <w:rPr>
          <w:rFonts w:ascii="Times New Roman" w:eastAsia="AdvP45996F" w:hAnsi="Times New Roman"/>
        </w:rPr>
        <w:t xml:space="preserve">, and ericoid mycorrhizae, but less so in AMF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{"citationItems":[{"id":"ITEM-1","itemData":{"DOI":"10.1139/b92-101","ISSN":"0008-4026","abstract":"To better understand the physiological importance of acid phosphatase activity we examined the effects of inorganic and organic phosphorus growth sources on enzyme activity and 32 P uptake in several ectomycorrhizal fungi. Mycelium of eight isolates from four basidiomycete species demonstrated optimal p-nitrophenyl phosphatase activity at pH 4.5 or 5.0. Acid phosphatase activities varied between strains of Scleroderma citrinum and between the species examined. Interspecific differences in isozyme patterns of whole cell extracts were apparent in native polyacrylamide gels. The isoelectric points of the predominant phosphatases in whole cell extracts were in the pH 5.0 to 5.5 range. Growth of fungi on inositol hexaphosphate versus inorganic P did not affect the isozyme patterns detected by either electrophoretic method. Growth on inositol hexaphosphate affected surface and soluble activities towards p-nitrophenyl phosphate and inositol phosphate to different degrees in species examined. Phytase activity was sufficient to produce a net release of P in all isolates. Growth on inositol hexaphosphate was associated with increased uptake of 32 P from inositol polyphosphate in four of five species examined. Acid phosphatase, measured with p-nitrophenyl phosphate, was positively correlated with 32 P uptake. Decreased phytase activities measured for inositol hexaphosphate grown mycelium were associated with increased P influx in such mycelium. Both phosphatase activity and 32 P uptake were subject to inorganic P inhibition with 32 P uptake demonstrating a greater sensitivity. These results provide further evidence for the role of surface acid phosphatases in organic P utilization by ectomycorrhizal fungi. Key words: acid phosphatase, ectomycorrhizal fungi, phytase.","author":[{"dropping-particle":"","family":"Antibus","given":"Robert K.","non-dropping-particle":"","parse-names":false,"suffix":""},{"dropping-particle":"","family":"Sinsabaugh","given":"Robert L.","non-dropping-particle":"","parse-names":false,"suffix":""},{"dropping-particle":"","family":"Linkins","given":"Arthur E.","non-dropping-particle":"","parse-names":false,"suffix":""}],"container-title":"Canadian Journal of Botany","id":"ITEM-1","issue":"4","issued":{"date-parts":[["1992"]]},"page":"794-801","title":"Phosphatase activities and phosphorus uptake from inositol phosphate by ectomycorrhizal fungi","type":"article-journal","volume":"70"},"uris":["http://www.mendeley.com/documents/?uuid=6383398f-2f28-4ce7-b143-45e9eaa35c77"]},{"id":"ITEM-2","itemData":{"DOI":"10.1046/j.1469-8137.2000.00776.x","ISSN":"0028646X","abstract":"Organic phosphorus sources make up a large fraction of the total P in some soils. Vesicular-arbuscular mycorrhizal fungi provide a large surface area for the absorption of inorganic P. The question of whether or not they have direct access to organic P by producing extracellular phosphatases has hitherto been controversial because experiments had not been performed in the absence of other soil microorganisms. We used a split-dish in vitro carrot mycorrhiza system free from contaminating microorganisms. The extraradical hyphae of Glomus intraradices hydrolysed both 5-bromo-4-chloro-3-indolyl phosphate and phenolphthalein diphosphate. Moreover, they transferred significantly more P to roots when they had access to inositol hexaphosphoric acid (phytate) than when they did not. Thus we show unequivocally that extraradical hyphae of G. intraradices can hydrolyse organic P, and, further, that the resultant inorganic P can be taken up and transported to host roots.","author":[{"dropping-particle":"","family":"Koide","given":"R. T.","non-dropping-particle":"","parse-names":false,"suffix":""},{"dropping-particle":"","family":"Kabir","given":"Z.","non-dropping-particle":"","parse-names":false,"suffix":""}],"container-title":"New Phytologist","id":"ITEM-2","issue":"3","issued":{"date-parts":[["2000"]]},"page":"511-517","title":"Extraradical hyphae of the mycorrhizal fungus Glomus intraradices can hydrolyse organic phosphate","type":"article-journal","volume":"148"},"uris":["http://www.mendeley.com/documents/?uuid=ea381ee2-6814-4e0c-b653-e755fdd8bf71"]},{"id":"ITEM-3","itemData":{"DOI":"10.1016/B978-0-12-370526-6.X5001-6","ISBN":"9780123705266","abstract":"The roots of most plants are colonized by symbiotic fungi to form mycorrhiza, which play a critical role in the capture of nutrients from the soil and therefore in plant nutrition. Mycorrhizal Symbiosis is recognized as the definitive work in this area. Since the last edition was published there have been major advances in the field, particularly in the area of molecular biology, and the new edition has been fully revised and updated to incorporate these exciting new developments. . Over 50% new material . Includes expanded color plate section . Covers all aspects of mycorrhiza . Presents new taxonomy . Discusses the impact of proteomics and genomics on research in this area. © 2008 Elsevier Ltd All rights reserved.","author":[{"dropping-particle":"","family":"Smith","given":"Sally","non-dropping-particle":"","parse-names":false,"suffix":""},{"dropping-particle":"","family":"Read","given":"David","non-dropping-particle":"","parse-names":false,"suffix":""}],"container-title":"Mycorrhizal Symbiosis","id":"ITEM-3","issued":{"date-parts":[["2008"]]},"title":"Mycorrhizal Symbiosis","type":"book"},"uris":["http://www.mendeley.com/documents/?uuid=96d3272d-36f1-4d27-b6d6-4e1b782eb375"]},{"id":"ITEM-4","itemData":{"DOI":"10.1007/s11104-014-2041-9","ISSN":"0032079X","abstract":"Aims: Hotspots of enzyme activity in soil strongly depend on carbon inputs such as rhizodeposits and root detritus. In this study, we compare the effect of living and dead Lupinus polyphyllus L. roots on the small-scale distribution of cellulase, chitinase and phosphatase activity in soil. Methods: Soil zymography, a novel in situ method, was used to analyze extracellular cellulase, chitinase and phosphatase activity in the presence of i. living L. polyphyllus roots prior to shoot cutting and ii. dead/dying roots 10, 20 and 30 days after shoot cutting. Results: After shoot cutting, cellulase and chitinase activities increased and were highest at the root tips. The areas of high cellulase and phosphatase activity extend up to 55 mm away from the root. Moreover, we observed microhotspots of cellulose, chitinase, and phosphatase activity up to 60 mm away from the next living root. The number and activity of microhotspots of chitinase activity was maximal 10 days after shoot cutting. Conclusions: The study showed that young root detritus stimulates enzyme activities stronger than living roots. Soil zymography allowed identification of microhotspots of enzyme activity up to several cm away from living and dying roots, which most likely were caused by arbuscular mycorrhizal fungi. © 2014 Springer International Publishing Switzerland.","author":[{"dropping-particle":"","family":"Spohn","given":"Marie","non-dropping-particle":"","parse-names":false,"suffix":""},{"dropping-particle":"","family":"Kuzyakov","given":"Yakov","non-dropping-particle":"","parse-names":false,"suffix":""}],"container-title":"Plant and Soil","id":"ITEM-4","issued":{"date-parts":[["2014"]]},"title":"Spatial and temporal dynamics of hotspots of enzyme activity in soil as affected by living and dead roots-a soil zymography analysis","type":"article-journal"},"uris":["http://www.mendeley.com/documents/?uuid=e5479957-3a96-4fab-8210-0d2a43da4e0d"]}],"mendeley":{"formattedCitation":"(Antibus &lt;i&gt;et al.&lt;/i&gt;, 1992; Koide &amp; Kabir, 2000; Smith &amp; Read, 2008; Spohn &amp; Kuzyakov, 2014)","plainTextFormattedCitation":"(Antibus et al., 1992; Koide &amp; Kabir, 2000; Smith &amp; Read, 2008; Spohn &amp; Kuzyakov, 2014)","previouslyFormattedCitation":"(Antibus &lt;i&gt;et al.&lt;/i&gt;, 1992; Koide &amp; Kabir, 2000; Smith &amp; Read, 2008; Spohn &amp; Kuzyakov, 2014)"},"properties":{"noteIndex":0},"schema":"https://github.com/citation-style-language/schema/raw/master/csl-citation.json"}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 xml:space="preserve">(Antibus </w:t>
      </w:r>
      <w:r w:rsidRPr="00872293">
        <w:rPr>
          <w:rFonts w:ascii="Times New Roman" w:eastAsia="AdvP45996F" w:hAnsi="Times New Roman"/>
          <w:i/>
          <w:noProof/>
        </w:rPr>
        <w:t>et al.</w:t>
      </w:r>
      <w:r w:rsidRPr="00872293">
        <w:rPr>
          <w:rFonts w:ascii="Times New Roman" w:eastAsia="AdvP45996F" w:hAnsi="Times New Roman"/>
          <w:noProof/>
        </w:rPr>
        <w:t>, 1992; Koide &amp; Kabir, 2000; Smith &amp; Read, 2008; Spohn &amp; Kuzyakov, 2014)</w:t>
      </w:r>
      <w:r w:rsidRPr="00872293">
        <w:rPr>
          <w:rFonts w:ascii="Times New Roman" w:eastAsia="AdvP45996F" w:hAnsi="Times New Roman"/>
        </w:rPr>
        <w:fldChar w:fldCharType="end"/>
      </w:r>
      <w:r w:rsidRPr="00872293">
        <w:t xml:space="preserve">. </w:t>
      </w:r>
    </w:p>
    <w:p w14:paraId="213C99BF" w14:textId="77777777" w:rsidR="00C56FCC" w:rsidRPr="00872293" w:rsidRDefault="00C56FCC" w:rsidP="00C56FCC">
      <w:pPr>
        <w:spacing w:line="360" w:lineRule="auto"/>
      </w:pPr>
    </w:p>
    <w:p w14:paraId="2CE2E671" w14:textId="77777777" w:rsidR="00C56FCC" w:rsidRPr="00872293" w:rsidRDefault="00C56FCC" w:rsidP="00C56FCC">
      <w:pPr>
        <w:spacing w:line="360" w:lineRule="auto"/>
        <w:rPr>
          <w:rFonts w:ascii="Times New Roman" w:eastAsia="AdvP45996F" w:hAnsi="Times New Roman"/>
        </w:rPr>
      </w:pPr>
      <w:r w:rsidRPr="00872293">
        <w:rPr>
          <w:rFonts w:ascii="Times New Roman" w:eastAsia="AdvP45996F" w:hAnsi="Times New Roman"/>
        </w:rPr>
        <w:t xml:space="preserve">Both AMF and ECMF are capable of exuding phosphatase enzymes, yet the ability to use organic P by AMF is still unclear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{"citationItems":[{"id":"ITEM-1","itemData":{"DOI":"10.1046/j.1469-8137.2000.00776.x","ISSN":"0028646X","abstract":"Organic phosphorus sources make up a large fraction of the total P in some soils. Vesicular-arbuscular mycorrhizal fungi provide a large surface area for the absorption of inorganic P. The question of whether or not they have direct access to organic P by producing extracellular phosphatases has hitherto been controversial because experiments had not been performed in the absence of other soil microorganisms. We used a split-dish in vitro carrot mycorrhiza system free from contaminating microorganisms. The extraradical hyphae of Glomus intraradices hydrolysed both 5-bromo-4-chloro-3-indolyl phosphate and phenolphthalein diphosphate. Moreover, they transferred significantly more P to roots when they had access to inositol hexaphosphoric acid (phytate) than when they did not. Thus we show unequivocally that extraradical hyphae of G. intraradices can hydrolyse organic P, and, further, that the resultant inorganic P can be taken up and transported to host roots.","author":[{"dropping-particle":"","family":"Koide","given":"R. T.","non-dropping-particle":"","parse-names":false,"suffix":""},{"dropping-particle":"","family":"Kabir","given":"Z.","non-dropping-particle":"","parse-names":false,"suffix":""}],"container-title":"New Phytologist","id":"ITEM-1","issue":"3","issued":{"date-parts":[["2000"]]},"page":"511-517","title":"Extraradical hyphae of the mycorrhizal fungus Glomus intraradices can hydrolyse organic phosphate","type":"article-journal","volume":"148"},"uris":["http://www.mendeley.com/documents/?uuid=ea381ee2-6814-4e0c-b653-e755fdd8bf71"]}],"mendeley":{"formattedCitation":"(Koide &amp; Kabir, 2000)","plainTextFormattedCitation":"(Koide &amp; Kabir, 2000)","previouslyFormattedCitation":"(Koide &amp; Kabir, 2000)"},"properties":{"noteIndex":0},"schema":"https://github.com/citation-style-language/schema/raw/master/csl-citation.json"}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(Koide &amp; Kabir, 2000)</w:t>
      </w:r>
      <w:r w:rsidRPr="00872293">
        <w:rPr>
          <w:rFonts w:ascii="Times New Roman" w:eastAsia="AdvP45996F" w:hAnsi="Times New Roman"/>
        </w:rPr>
        <w:fldChar w:fldCharType="end"/>
      </w:r>
      <w:r w:rsidRPr="00872293">
        <w:rPr>
          <w:rFonts w:ascii="Times New Roman" w:eastAsia="AdvP45996F" w:hAnsi="Times New Roman"/>
        </w:rPr>
        <w:t xml:space="preserve">. Further, the hypothesis of a combined phosphatase enzymes exudation from roots and AMF, or the complementary strategy of the mineralization of organic P by root phosphatase and the concomitant exploitation of the readily inorganic P by AMF, is important to consider </w:t>
      </w:r>
      <w:r w:rsidRPr="00872293">
        <w:rPr>
          <w:rFonts w:ascii="Times New Roman" w:eastAsia="AdvP45996F" w:hAnsi="Times New Roman"/>
        </w:rPr>
        <w:fldChar w:fldCharType="begin" w:fldLock="1"/>
      </w:r>
      <w:r w:rsidRPr="00872293">
        <w:rPr>
          <w:rFonts w:ascii="Times New Roman" w:eastAsia="AdvP45996F" w:hAnsi="Times New Roman"/>
        </w:rPr>
        <w:instrText>ADDIN CSL_CITATION {"citationItems":[{"id":"ITEM-1","itemData":{"DOI":"10.1111/j.1365-2745.2008.01384.x","ISSN":"00220477","abstract":"1. Organic phosphorus is abundant in soil and its turnover can supply a considerable fraction of the phosphorus taken up by natural vegetation. Despite this, the ecological significance of organic phosphorus remains poorly understood, which is remarkable given the biological importance of phosphorus in terrestrial environments. 2. Of particular interest is the possibility that coexisting plant species partition soil organic phosphorus to reduce competition. This seems likely given the large number of biologically available phosphorus compounds that occur in soil and the variety of mechanisms by which plants can utilize them. 3. Here I propose a conceptual model of resource partitioning for soil phosphorus. The model describes a hypothetical example of four coexisting plant species that differ in their ability to access soil organic phosphorus compounds, which are grouped to form a gradient of biological availability based on the processes involved in their utilization by plants. 4. Synthesis: Resource partitioning for soil phosphorus could provide an additional mechanism to explain the coexistence and distribution of plant species. It is likely to occur widely in terrestrial environments, but should have greatest ecological significance wherever productivity is limited by the availability of soil phosphorus. This includes freshwater wetlands, super-humid temperate regions and ecosystems developed on strongly-weathered soils that cover vast areas of ancient landscapes in Africa, Australia and South America.","author":[{"dropping-particle":"","family":"Turner","given":"Benjamin L.","non-dropping-particle":"","parse-names":false,"suffix":""}],"container-title":"Journal of Ecology","id":"ITEM-1","issue":"4","issued":{"date-parts":[["2008"]]},"page":"698-702","title":"Resource partitioning for soil phosphorus: A hypothesis","type":"article-journal","volume":"96"},"uris":["http://www.mendeley.com/documents/?uuid=d77ed8ec-0dd7-42c1-bd86-f4d12a85517b"]}],"mendeley":{"formattedCitation":"(Turner, 2008)","plainTextFormattedCitation":"(Turner, 2008)","previouslyFormattedCitation":"(Turner, 2008)"},"properties":{"noteIndex":0},"schema":"https://github.com/citation-style-language/schema/raw/master/csl-citation.json"}</w:instrText>
      </w:r>
      <w:r w:rsidRPr="00872293">
        <w:rPr>
          <w:rFonts w:ascii="Times New Roman" w:eastAsia="AdvP45996F" w:hAnsi="Times New Roman"/>
        </w:rPr>
        <w:fldChar w:fldCharType="separate"/>
      </w:r>
      <w:r w:rsidRPr="00872293">
        <w:rPr>
          <w:rFonts w:ascii="Times New Roman" w:eastAsia="AdvP45996F" w:hAnsi="Times New Roman"/>
          <w:noProof/>
        </w:rPr>
        <w:t>(Turner, 2008)</w:t>
      </w:r>
      <w:r w:rsidRPr="00872293">
        <w:rPr>
          <w:rFonts w:ascii="Times New Roman" w:eastAsia="AdvP45996F" w:hAnsi="Times New Roman"/>
        </w:rPr>
        <w:fldChar w:fldCharType="end"/>
      </w:r>
      <w:r w:rsidRPr="00872293">
        <w:rPr>
          <w:rFonts w:ascii="Times New Roman" w:eastAsia="AdvP45996F" w:hAnsi="Times New Roman"/>
        </w:rPr>
        <w:t xml:space="preserve">. Future corroboration of these results by increasing the species sampled is encouraged, as is measuring how much of the phosphatase enzymes is contributed by roots in comparison to the fungi. </w:t>
      </w:r>
    </w:p>
    <w:p w14:paraId="17AF3D6B" w14:textId="77777777" w:rsidR="00C56FCC" w:rsidRPr="00872293" w:rsidRDefault="00C56FCC" w:rsidP="00C56FCC">
      <w:pPr>
        <w:spacing w:line="360" w:lineRule="auto"/>
        <w:rPr>
          <w:rFonts w:ascii="Times New Roman" w:eastAsia="AdvP45996F" w:hAnsi="Times New Roman"/>
        </w:rPr>
      </w:pPr>
    </w:p>
    <w:p w14:paraId="58B9A849" w14:textId="380AC890" w:rsidR="00C56FCC" w:rsidRPr="00872293" w:rsidRDefault="00C56FCC" w:rsidP="001D3E23">
      <w:pPr>
        <w:autoSpaceDE w:val="0"/>
        <w:autoSpaceDN w:val="0"/>
        <w:adjustRightInd w:val="0"/>
        <w:spacing w:line="360" w:lineRule="auto"/>
        <w:rPr>
          <w:rFonts w:ascii="Times New Roman" w:hAnsi="Times New Roman"/>
        </w:rPr>
      </w:pPr>
      <w:r w:rsidRPr="00872293">
        <w:rPr>
          <w:rFonts w:ascii="Times New Roman" w:hAnsi="Times New Roman"/>
        </w:rPr>
        <w:t xml:space="preserve">We hypothesized that root branching ratio </w:t>
      </w:r>
      <w:r w:rsidRPr="00872293">
        <w:rPr>
          <w:rFonts w:ascii="Times New Roman" w:eastAsia="AdvP45996F" w:hAnsi="Times New Roman"/>
        </w:rPr>
        <w:t xml:space="preserve">was an opposite strategy to </w:t>
      </w:r>
      <w:r w:rsidRPr="00872293">
        <w:rPr>
          <w:rFonts w:ascii="Times New Roman" w:hAnsi="Times New Roman"/>
        </w:rPr>
        <w:t xml:space="preserve">mycorrhizal colonization, and on the same end (“do it yourself”) as root PME in the collaboration based on previous studies </w:t>
      </w:r>
      <w:r w:rsidRPr="00872293">
        <w:rPr>
          <w:rFonts w:ascii="Times New Roman" w:hAnsi="Times New Roman"/>
        </w:rPr>
        <w:fldChar w:fldCharType="begin" w:fldLock="1"/>
      </w:r>
      <w:r w:rsidRPr="00872293">
        <w:rPr>
          <w:rFonts w:ascii="Times New Roman" w:hAnsi="Times New Roman"/>
        </w:rPr>
        <w:instrText>ADDIN CSL_CITATION {"citationItems":[{"id":"ITEM-1","itemData":{"DOI":"10.1111/j.0269-8463.2004.00835.x","ISSN":"02698463","abstract":"1. There is limited understanding of patterns of variation that exist among root traits of different species, especially under field conditions. We contrasted 11 fast- and slow-growing species paired within five evolutionary lineages to investigate whether root traits associated with soil resource acquisition were related to species' potential growth rate. 2. Measurements of root morphology, architecture, nitrogen and phenolic concentration, respiration and phosphorus uptake were taken on fine, non-woody roots sampled from forest stands in central Pennsylvania, USA. 3. Across all five contrasts, roots of fast-growing species generally had higher specific root length, smaller diameters, greater degree of branching, and lower phenolic concentrations than those of slow-growing species. This suggests differences in potential soil exploration and root defences among species differing in potential growth rate. 4. There were no significant differences between fast- and slow-growing species in root tissue density, respiration or P uptake. Lack of root physiological differences between species differing in growth rate contrasted with previous research on chamber-grown seedlings. 5. These results imply that, while roots of fast-growing species may be constructed for more rapid soil exploration and shorter life span than those of slow-growing species, root physiology is either more closely tied to overall plant physiology, which is more similar among mature trees, or masked by variation in soil microsites, root age or interactions with mycorrhizal fungi.","author":[{"dropping-particle":"","family":"Comas","given":"L. H.","non-dropping-particle":"","parse-names":false,"suffix":""},{"dropping-particle":"","family":"Eissenstat","given":"D. M.","non-dropping-particle":"","parse-names":false,"suffix":""}],"container-title":"Functional Ecology","id":"ITEM-1","issued":{"date-parts":[["2004"]]},"page":"388-397","title":"Linking fine root traits to maximum potential growth rate among 11 mature temperate tree species","type":"article-journal","volume":"18"},"uris":["http://www.mendeley.com/documents/?uuid=d8224213-3d47-44ea-8da2-990b1175de5a"]},{"id":"ITEM-2","itemData":{"DOI":"10.1111/j.1469-8137.2010.03423.x","ISSN":"0028646X","PMID":"21058949","abstract":"Summary: Historically, ephemeral roots have been equated with 'fine roots' (i.e. all roots of less than an arbitrary diameter, such as 2 mm), but evidence shows that 'fine roots' in woody species are complex branching systems with both rapid-cycling and slow-cycling components. A precise definition of ephemeral roots is therefore needed. Using a branch-order classification, a rhizotron method and sequential sampling of a root cohort, we tested the hypothesis that ephemeral root modules exist within the branching Fraxinus mandshurica (Manchurian ash) root system as distal nonwoody lateral branches, which show anatomical, nutritional and physiological patterns distinct from their woody mother roots. Our results showed that in F. mandshurica, distal nonwoody root branch orders die rapidly as intact lateral branches (or modules). These nonwoody branch orders exhibited highly synchronous changes in tissue nitrogen concentrations and respiration, dominated root turnover, nutrient flux and root respiration, and never underwent secondary development..The ephemeral root modules proposed here may provide a functional basis for differentiating and sampling short-lived absorptive roots in woody plants, and represent a conceptual leap over the traditional coarse-fine root dichotomies based on arbitrary size classes. © The Authors (2010). Journal compilation © New Phytologist Trust (2010).","author":[{"dropping-particle":"","family":"Xia","given":"Mengxue","non-dropping-particle":"","parse-names":false,"suffix":""},{"dropping-particle":"","family":"Guo","given":"Dali","non-dropping-particle":"","parse-names":false,"suffix":""},{"dropping-particle":"","family":"Pregitzer","given":"Kurt S.","non-dropping-particle":"","parse-names":false,"suffix":""}],"container-title":"New Phytologist","id":"ITEM-2","issued":{"date-parts":[["2010"]]},"title":"Ephemeral root modules in fraxinus mandshurica","type":"article-journal"},"uris":["http://www.mendeley.com/documents/?uuid=a22541b2-30b3-40bd-b637-99e11f1e36f0"]},{"id":"ITEM-3","itemData":{"DOI":"10.1046/j.1469-8137.2002.00413_1.x","ISSN":"0028646X","abstract":"King et al. have demonstrated that the lifespan of the fine roots of loblolly pine is shorter for smaller roots compared to larger roots, and that EM fungi greatly increase the life expectancy of very small roots. Nitrogen additions also increased the rate of fine root growth and mortality. These results combined with other evidence suggest the position of an individual root on the branching fine root system is directly related to its lifespan and physiological function. The traditional approach of studying fine roots across divergent plant taxa according to arbitrary size classes has serious limitations. Diversity in fine root form and physiological activity between species and environments, and in relationship to symbiotic fungi, may be directly related to the acquisition of essential, growth-limiting soil resources. We will continue to improve our understanding of how the fine roots of trees function if we now turn to the systematic study of the form and physiology of individual roots on the branching root system. We may eventually learn that variability in fine root branch structure and function is just as anatomically, physiologically, and ecologically important as is variability in shoot system structure and function. After all, plants must acquire growth limiting water and nutrients in a highly heterogeneous volume of soil where they host a variety of symbiotic fungi and compete directly with other plants and a biologically complex soil food web. Surely, millions of years of organic evolution must have resulted in multiple 'fine root' solutions to this complex ecological challenge.","author":[{"dropping-particle":"","family":"Pregitzer","given":"Kurt S.","non-dropping-particle":"","parse-names":false,"suffix":""}],"container-title":"New Phytologist","id":"ITEM-3","issue":"2","issued":{"date-parts":[["2002"]]},"page":"267-270","title":"Fine roots of trees - A new perspective","type":"article-journal","volume":"154"},"uris":["http://www.mendeley.com/documents/?uuid=dcb5245d-d23e-4beb-9783-5cf773bb0f87"]},{"id":"ITEM-4","itemData":{"DOI":"10.1111/nph.14003","ISSN":"14698137","abstract":"Contents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phytologist","id":"ITEM-4","issue":"4","issued":{"date-parts":[["2016"]]},"page":"1159-1169","title":"Towards a multidimensional root trait framework: a tree root review","type":"article-journal","volume":"211"},"uris":["http://www.mendeley.com/documents/?uuid=d741bfb7-9707-4b75-9f0b-92e93dafa19e"]}],"mendeley":{"formattedCitation":"(Pregitzer, 2002; Comas &amp; Eissenstat, 2004; Xia &lt;i&gt;et al.&lt;/i&gt;, 2010; Weemstra &lt;i&gt;et al.&lt;/i&gt;, 2016)","plainTextFormattedCitation":"(Pregitzer, 2002; Comas &amp; Eissenstat, 2004; Xia et al., 2010; Weemstra et al., 2016)","previouslyFormattedCitation":"(Pregitzer, 2002; Comas &amp; Eissenstat, 2004; Xia &lt;i&gt;et al.&lt;/i&gt;, 2010; Weemstra &lt;i&gt;et al.&lt;/i&gt;, 2016)"},"properties":{"noteIndex":0},"schema":"https://github.com/citation-style-language/schema/raw/master/csl-citation.json"}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(Pregitzer, 2002; Comas &amp; Eissenstat, 2004; Xia </w:t>
      </w:r>
      <w:r w:rsidRPr="00872293">
        <w:rPr>
          <w:rFonts w:ascii="Times New Roman" w:hAnsi="Times New Roman"/>
          <w:i/>
          <w:noProof/>
        </w:rPr>
        <w:t>et al.</w:t>
      </w:r>
      <w:r w:rsidRPr="00872293">
        <w:rPr>
          <w:rFonts w:ascii="Times New Roman" w:hAnsi="Times New Roman"/>
          <w:noProof/>
        </w:rPr>
        <w:t xml:space="preserve">, 2010; Weemstra </w:t>
      </w:r>
      <w:r w:rsidRPr="00872293">
        <w:rPr>
          <w:rFonts w:ascii="Times New Roman" w:hAnsi="Times New Roman"/>
          <w:i/>
          <w:noProof/>
        </w:rPr>
        <w:t>et al.</w:t>
      </w:r>
      <w:r w:rsidRPr="00872293">
        <w:rPr>
          <w:rFonts w:ascii="Times New Roman" w:hAnsi="Times New Roman"/>
          <w:noProof/>
        </w:rPr>
        <w:t>, 2016)</w:t>
      </w:r>
      <w:r w:rsidRPr="00872293">
        <w:rPr>
          <w:rFonts w:ascii="Times New Roman" w:hAnsi="Times New Roman"/>
        </w:rPr>
        <w:fldChar w:fldCharType="end"/>
      </w:r>
      <w:r w:rsidRPr="00872293">
        <w:rPr>
          <w:rFonts w:ascii="Times New Roman" w:hAnsi="Times New Roman"/>
        </w:rPr>
        <w:t xml:space="preserve">. However, although we found no significant relationship between any of these root traits when </w:t>
      </w:r>
      <w:r w:rsidRPr="00872293">
        <w:rPr>
          <w:rFonts w:ascii="Times New Roman" w:hAnsi="Times New Roman"/>
        </w:rPr>
        <w:lastRenderedPageBreak/>
        <w:t xml:space="preserve">considering site and species variation in the model (Table </w:t>
      </w:r>
      <w:r w:rsidR="00C95B73" w:rsidRPr="00872293">
        <w:rPr>
          <w:rFonts w:ascii="Times New Roman" w:hAnsi="Times New Roman"/>
        </w:rPr>
        <w:t>9</w:t>
      </w:r>
      <w:r w:rsidRPr="00872293">
        <w:rPr>
          <w:rFonts w:ascii="Times New Roman" w:hAnsi="Times New Roman"/>
        </w:rPr>
        <w:t>), species that had greater root branching ratio did show less mycorrhizal colonization, but also less root PME (</w:t>
      </w:r>
      <w:r w:rsidR="00C95B73" w:rsidRPr="00872293">
        <w:rPr>
          <w:rFonts w:ascii="Times New Roman" w:hAnsi="Times New Roman"/>
        </w:rPr>
        <w:t>Figure 22</w:t>
      </w:r>
      <w:r w:rsidRPr="00872293">
        <w:rPr>
          <w:rFonts w:ascii="Times New Roman" w:hAnsi="Times New Roman"/>
        </w:rPr>
        <w:t>). We also visualized this pattern at the NMDS (Fig</w:t>
      </w:r>
      <w:r w:rsidR="00C95B73" w:rsidRPr="00872293">
        <w:rPr>
          <w:rFonts w:ascii="Times New Roman" w:hAnsi="Times New Roman"/>
        </w:rPr>
        <w:t>ure 20</w:t>
      </w:r>
      <w:r w:rsidRPr="00872293">
        <w:rPr>
          <w:rFonts w:ascii="Times New Roman" w:hAnsi="Times New Roman"/>
        </w:rPr>
        <w:t xml:space="preserve">), where we showed that </w:t>
      </w:r>
      <w:r w:rsidRPr="00872293">
        <w:rPr>
          <w:rFonts w:ascii="Times New Roman" w:hAnsi="Times New Roman"/>
          <w:i/>
          <w:iCs/>
        </w:rPr>
        <w:t xml:space="preserve">P. </w:t>
      </w:r>
      <w:proofErr w:type="spellStart"/>
      <w:r w:rsidRPr="00872293">
        <w:rPr>
          <w:rFonts w:ascii="Times New Roman" w:hAnsi="Times New Roman"/>
          <w:i/>
          <w:iCs/>
        </w:rPr>
        <w:t>montana</w:t>
      </w:r>
      <w:proofErr w:type="spellEnd"/>
      <w:r w:rsidRPr="00872293">
        <w:rPr>
          <w:rFonts w:ascii="Times New Roman" w:hAnsi="Times New Roman"/>
        </w:rPr>
        <w:t xml:space="preserve"> presented the greatest root branching ratio, but the lowest mycorrhizal colonization and root PME, in contrast to </w:t>
      </w:r>
      <w:r w:rsidRPr="00872293">
        <w:rPr>
          <w:rFonts w:ascii="Times New Roman" w:hAnsi="Times New Roman"/>
          <w:i/>
          <w:iCs/>
        </w:rPr>
        <w:t xml:space="preserve">C. </w:t>
      </w:r>
      <w:proofErr w:type="spellStart"/>
      <w:r w:rsidRPr="00872293">
        <w:rPr>
          <w:rFonts w:ascii="Times New Roman" w:hAnsi="Times New Roman"/>
          <w:i/>
          <w:iCs/>
        </w:rPr>
        <w:t>schreberiana</w:t>
      </w:r>
      <w:proofErr w:type="spellEnd"/>
      <w:r w:rsidRPr="00872293">
        <w:rPr>
          <w:rFonts w:ascii="Times New Roman" w:hAnsi="Times New Roman"/>
        </w:rPr>
        <w:t>. Thus, we placed the species from this study where they might fit in the new Root Economics Spectrum space (Fig</w:t>
      </w:r>
      <w:r w:rsidR="00C95B73" w:rsidRPr="00872293">
        <w:rPr>
          <w:rFonts w:ascii="Times New Roman" w:hAnsi="Times New Roman"/>
        </w:rPr>
        <w:t>ure 24</w:t>
      </w:r>
      <w:r w:rsidRPr="00872293">
        <w:rPr>
          <w:rFonts w:ascii="Times New Roman" w:hAnsi="Times New Roman"/>
        </w:rPr>
        <w:t>).</w:t>
      </w:r>
    </w:p>
    <w:p w14:paraId="10BD1DA6" w14:textId="42271AE8" w:rsidR="00B276F0" w:rsidRPr="00872293" w:rsidRDefault="00B276F0" w:rsidP="001D3E23">
      <w:pPr>
        <w:autoSpaceDE w:val="0"/>
        <w:autoSpaceDN w:val="0"/>
        <w:adjustRightInd w:val="0"/>
        <w:spacing w:line="360" w:lineRule="auto"/>
        <w:rPr>
          <w:rFonts w:ascii="Times New Roman" w:hAnsi="Times New Roman"/>
        </w:rPr>
      </w:pPr>
    </w:p>
    <w:p w14:paraId="1AA7F1A7" w14:textId="378C85F2" w:rsidR="00B276F0" w:rsidRPr="00872293" w:rsidRDefault="00B276F0" w:rsidP="00B276F0">
      <w:pPr>
        <w:autoSpaceDE w:val="0"/>
        <w:autoSpaceDN w:val="0"/>
        <w:adjustRightInd w:val="0"/>
        <w:spacing w:line="360" w:lineRule="auto"/>
        <w:rPr>
          <w:rFonts w:ascii="Times New Roman" w:hAnsi="Times New Roman"/>
        </w:rPr>
      </w:pPr>
      <w:r w:rsidRPr="00872293">
        <w:rPr>
          <w:rFonts w:ascii="Times New Roman" w:hAnsi="Times New Roman"/>
        </w:rPr>
        <w:t xml:space="preserve">The root trait relationships that were significant, even when accounting for site and species variation in the model, were the positive relationships between root branching ratio with SRL, and root mycorrhizal colonization with root P. The SRL -  root branching ratio relationship supports the hypothesis of a “do it yourself” strategy, in which plants will have thinner roots and more branching to better explore the soil and obtain nutrients </w:t>
      </w:r>
      <w:r w:rsidRPr="00872293">
        <w:rPr>
          <w:rFonts w:ascii="Times New Roman" w:hAnsi="Times New Roman"/>
        </w:rPr>
        <w:fldChar w:fldCharType="begin" w:fldLock="1"/>
      </w:r>
      <w:r w:rsidRPr="00872293">
        <w:rPr>
          <w:rFonts w:ascii="Times New Roman" w:hAnsi="Times New Roman"/>
        </w:rPr>
        <w:instrText>ADDIN CSL_CITATION {"citationItems":[{"id":"ITEM-1","itemData":{"DOI":"10.1111/j.1469-8137.2004.01015.x","ISSN":"0028646X","abstract":"When roots encounter a nutrient-rich zone or patch they often proliferate within it. Roots experiencing nutrient-rich patches can also enhance their physiological ion-uptake capacities compared with roots of the same plant outside the patch zone. These plastic responses by the root system have been proposed as the major mechanism by which plants cope with the naturally occurring heterogeneous supplies of nutrients in soil. Various attempts to predict how contrasting species will respond to patches have been made based on specific root length (SRL), root demography and biomass allocation within the patch zone. No one criterion has proved definitive. Actually demonstrating that root proliferation is beneficial to the plant, especially in terms of nitrogen capture from patches, has also proved troublesome. Yet by growing plants under more realistic conditions, such as in interspecific plant competition, and with a complex organic patch, a direct benefit can be demonstrated. Thus, as highlighted in this review, the environmental context in which the root response is expressed is as important as the magnitude of the response itself. © New Phytologist (2004).","author":[{"dropping-particle":"","family":"Hodge","given":"Angela","non-dropping-particle":"","parse-names":false,"suffix":""}],"container-title":"New Phytologist","id":"ITEM-1","issue":"1","issued":{"date-parts":[["2004"]]},"page":"9-24","title":"The plastic plant: Root responses to heterogeneous supplies of nutrients","type":"article-journal","volume":"162"},"uris":["http://www.mendeley.com/documents/?uuid=ec2a65b9-403a-4663-bedc-8c00028c6bf4"]},{"id":"ITEM-2","itemData":{"DOI":"10.1111/nph.13434","ISSN":"14698137","abstract":"In most cases, both roots and mycorrhizal fungi are needed for plant nutrient foraging. Frequently, the colonization of roots by arbuscular mycorrhizal (AM) fungi seems to be greater in species with thick and sparsely branched roots than in species with thin and densely branched roots. Yet, whether a complementarity exists between roots and mycorrhizal fungi across these two types of root system remains unclear. We measured traits related to nutrient foraging (root morphology, architecture and proliferation, AM colonization and extramatrical hyphal length) across 14 coexisting AM subtropical tree species following root pruning and nutrient addition treatments. After root pruning, species with thinner roots showed more root growth, but lower mycorrhizal colonization, than species with thicker roots. Under multi-nutrient (NPK) addition, root growth increased, but mycorrhizal colonization decreased significantly, whereas no significant changes were found under nitrogen or phosphate additions. Moreover, root length proliferation was mainly achieved by altering root architecture, but not root morphology. Thin-root species seem to forage nutrients mainly via roots, whereas thick-root species rely more on mycorrhizal fungi. In addition, the reliance on mycorrhizal fungi was reduced by nutrient additions across all species. These findings highlight complementary strategies for nutrient foraging across coexisting species with contrasting root traits.","author":[{"dropping-particle":"","family":"Liu","given":"Bitao","non-dropping-particle":"","parse-names":false,"suffix":""},{"dropping-particle":"","family":"Li","given":"Hongbo","non-dropping-particle":"","parse-names":false,"suffix":""},{"dropping-particle":"","family":"Zhu","given":"Biao","non-dropping-particle":"","parse-names":false,"suffix":""},{"dropping-particle":"","family":"Koide","given":"Roger T.","non-dropping-particle":"","parse-names":false,"suffix":""},{"dropping-particle":"","family":"Eissenstat","given":"David M.","non-dropping-particle":"","parse-names":false,"suffix":""},{"dropping-particle":"","family":"Guo","given":"Dali","non-dropping-particle":"","parse-names":false,"suffix":""}],"container-title":"New Phytologist","id":"ITEM-2","issue":"1","issued":{"date-parts":[["2015"]]},"page":"125-136","title":"Complementarity in nutrient foraging strategies of absorptive fine roots and arbuscular mycorrhizal fungi across 14 coexisting subtropical tree species","type":"article-journal","volume":"208"},"uris":["http://www.mendeley.com/documents/?uuid=181e3a6c-c0c7-4de1-a35f-83b486441b89"]},{"id":"ITEM-3","itemData":{"DOI":"10.1186/s12870-020-02347-x","ISSN":"14712229","PMID":"32272878","abstract":"Background: Phosphate is an essential plant macronutrient required to achieve maximum crop yield. Roots are able to uptake soil phosphate from the immediate root area, thus creating a nutrient depletion zone. Many plants are able to exploit phosphate from beyond this root nutrient depletion zone through symbiotic association with Arbuscular Mycorrhizal Fungi (AMF). Here we characterise the relationship between root architecture, AMF association and low phosphate tolerance in strawberries. The contrasting root architecture in the parental strawberry cultivars 'Redgauntlet' and 'Hapil' was studied through a mapping population of 168 progeny. Low phosphate tolerance and AMF association was quantified for each genotype to allow assessment of the phenotypic and genotypic relationships between traits. Results: A \"phosphate scavenging\" root phenotype where individuals exhibit a high proportion of surface lateral roots was associated with a reduction in root system size across genotypes. A genetic correlation between \"root system size\" traits was observed with a network of pleiotropic QTL found to represent five \"root system size\" traits. By contrast, average root diameter and the distribution of roots appeared to be under two discrete methods of genetic control. A total of 18 QTL were associated with plant traits, 4 of which were associated with solidity that explained 46% of the observed variation. Investigations into the relationship between AMF association and root architecture found that a higher root density was associated with greater AMF colonisation across genotypes. However, no phenotypic correlation or genotypic association was found between low phosphate tolerance and the propensity for AMF association, nor root architectural traits when plants are grown under optimal nutrient conditions. Conclusions: Understanding the genetic relationships underpinning phosphate capture can inform the breeding of strawberry varieties with better nutrient use efficiency. Solid root systems were associated with greater AMF colonisation. However, low P-tolerance was not phenotypically or genotypically associated with root architecture traits in strawberry plants. Furthermore, a trade-off was observed between root system size and root architecture type, highlighting the energetic costs associated with a \"phosphate scavenging\" root architecture.","author":[{"dropping-particle":"","family":"Cockerton","given":"Helen Maria","non-dropping-particle":"","parse-names":false,"suffix":""},{"dropping-particle":"","family":"Li","given":"Bo","non-dropping-particle":"","parse-names":false,"suffix":""},{"dropping-particle":"","family":"Stavridou","given":"Eleftheria","non-dropping-particle":"","parse-names":false,"suffix":""},{"dropping-particle":"","family":"Johnson","given":"Abigail","non-dropping-particle":"","parse-names":false,"suffix":""},{"dropping-particle":"","family":"Karlström","given":"Amanda","non-dropping-particle":"","parse-names":false,"suffix":""},{"dropping-particle":"","family":"Armitage","given":"Andrew Douglas","non-dropping-particle":"","parse-names":false,"suffix":""},{"dropping-particle":"","family":"Martinez-Crucis","given":"Ana","non-dropping-particle":"","parse-names":false,"suffix":""},{"dropping-particle":"","family":"Galiano-Arjona","given":"Lorena","non-dropping-particle":"","parse-names":false,"suffix":""},{"dropping-particle":"","family":"Harrison","given":"Nicola","non-dropping-particle":"","parse-names":false,"suffix":""},{"dropping-particle":"","family":"Barber-Pérez","given":"Nuria","non-dropping-particle":"","parse-names":false,"suffix":""},{"dropping-particle":"","family":"Cobo-Medina","given":"Magdalena","non-dropping-particle":"","parse-names":false,"suffix":""},{"dropping-particle":"","family":"Harrison","given":"Richard Jonathan","non-dropping-particle":"","parse-names":false,"suffix":""}],"container-title":"BMC Plant Biology","id":"ITEM-3","issued":{"date-parts":[["2020"]]},"page":"1-14","title":"Genetic and phenotypic associations between root architecture, arbuscular mycorrhizal fungi colonisation and low phosphate tolerance in strawberry (Fragaria × ananassa)","type":"article-journal","volume":"20"},"uris":["http://www.mendeley.com/documents/?uuid=0bf1b04d-239f-4cc6-93f0-371b9ec5af43"]},{"id":"ITEM-4","itemData":{"DOI":"10.1111/nph.12842","ISBN":"1469-8137","ISSN":"14698137","PMID":"24824672","abstract":"Absorptive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Phytologist","id":"ITEM-4","issue":"3","issued":{"date-parts":[["2014"]]},"page":"863-872","title":"Leading dimensions in absorptive root trait variation across 96 subtropical forest species","type":"article-journal","volume":"203"},"uris":["http://www.mendeley.com/documents/?uuid=a7e2c871-4bd8-41c2-9249-3fc27422af67"]}],"mendeley":{"formattedCitation":"(Hodge, 2004; Kong &lt;i&gt;et al.&lt;/i&gt;, 2014; Liu &lt;i&gt;et al.&lt;/i&gt;, 2015; Cockerton &lt;i&gt;et al.&lt;/i&gt;, 2020)","plainTextFormattedCitation":"(Hodge, 2004; Kong et al., 2014; Liu et al., 2015; Cockerton et al., 2020)","previouslyFormattedCitation":"(Hodge, 2004; Kong &lt;i&gt;et al.&lt;/i&gt;, 2014; Liu &lt;i&gt;et al.&lt;/i&gt;, 2015; Cockerton &lt;i&gt;et al.&lt;/i&gt;, 2020)"},"properties":{"noteIndex":0},"schema":"https://github.com/citation-style-language/schema/raw/master/csl-citation.json"}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(Hodge, 2004; Kong </w:t>
      </w:r>
      <w:r w:rsidRPr="00872293">
        <w:rPr>
          <w:rFonts w:ascii="Times New Roman" w:hAnsi="Times New Roman"/>
          <w:i/>
          <w:noProof/>
        </w:rPr>
        <w:t>et al.</w:t>
      </w:r>
      <w:r w:rsidRPr="00872293">
        <w:rPr>
          <w:rFonts w:ascii="Times New Roman" w:hAnsi="Times New Roman"/>
          <w:noProof/>
        </w:rPr>
        <w:t xml:space="preserve">, 2014; Liu </w:t>
      </w:r>
      <w:r w:rsidRPr="00872293">
        <w:rPr>
          <w:rFonts w:ascii="Times New Roman" w:hAnsi="Times New Roman"/>
          <w:i/>
          <w:noProof/>
        </w:rPr>
        <w:t>et al.</w:t>
      </w:r>
      <w:r w:rsidRPr="00872293">
        <w:rPr>
          <w:rFonts w:ascii="Times New Roman" w:hAnsi="Times New Roman"/>
          <w:noProof/>
        </w:rPr>
        <w:t xml:space="preserve">, 2015; Cockerton </w:t>
      </w:r>
      <w:r w:rsidRPr="00872293">
        <w:rPr>
          <w:rFonts w:ascii="Times New Roman" w:hAnsi="Times New Roman"/>
          <w:i/>
          <w:noProof/>
        </w:rPr>
        <w:t>et al.</w:t>
      </w:r>
      <w:r w:rsidRPr="00872293">
        <w:rPr>
          <w:rFonts w:ascii="Times New Roman" w:hAnsi="Times New Roman"/>
          <w:noProof/>
        </w:rPr>
        <w:t>, 2020)</w:t>
      </w:r>
      <w:r w:rsidRPr="00872293">
        <w:rPr>
          <w:rFonts w:ascii="Times New Roman" w:hAnsi="Times New Roman"/>
        </w:rPr>
        <w:fldChar w:fldCharType="end"/>
      </w:r>
      <w:r w:rsidRPr="00872293">
        <w:rPr>
          <w:rFonts w:ascii="Times New Roman" w:hAnsi="Times New Roman"/>
        </w:rPr>
        <w:t xml:space="preserve">. The positive relationship between root mycorrhizal colonization and root P concentration could potentially also reflect concentrations of leaf P </w:t>
      </w:r>
      <w:r w:rsidRPr="00872293">
        <w:rPr>
          <w:rFonts w:ascii="Times New Roman" w:hAnsi="Times New Roman"/>
        </w:rPr>
        <w:fldChar w:fldCharType="begin" w:fldLock="1"/>
      </w:r>
      <w:r w:rsidRPr="00872293">
        <w:rPr>
          <w:rFonts w:ascii="Times New Roman" w:hAnsi="Times New Roman"/>
        </w:rPr>
        <w:instrText>ADDIN CSL_CITATION {"citationItems":[{"id":"ITEM-1","itemData":{"DOI":"10.1890/13-1671.1","ISSN":"00129658","PMID":"25230458","abstract":"Foliar nitrogen to phosphorus (N: P) ratios are widely used to indicate soil nutrient availability and limitation, but the foliar ratios of woody plants have proven more complicated to interpret than ratios from whole biomass of herbaceous species. This may be related to tissues in woody species acting as nutrient reservoirs during active growth, allowing maintenance of optimal N: P ratios in recently produced, fully expanded leaves (i.e., ''new'' leaves, the most commonly sampled tissue). Here we address the hypothesis that N: P ratios of newly expanded leaves are less sensitive indicators of soil nutrient availability than are other tissue types in woody plants. Seedlings of five naturally established tree species were harvested from plots receiving two years of fertilizer treatments in a lowland tropical forest in the Republic of Panama. Nutrient concentrations were determined in new leaves, old leaves, stems, and roots. For stems and roots, N: P ratios increased after N addition and decreased after P addition, and trends were consistent across all five species. Older leaves also showed strong responses to N and P addition, and trends were consistent for four of five species. In comparison, overall N: P ratio responses in new leaves were more variable across species. These results indicate that the N: P ratios of stems, roots, and older leaves are more responsive indicators of soil nutrient availability than are those of new leaves. Testing the generality of this result could improve the use of tissue nutrient ratios as indices of soil nutrient availability in woody plants. © 2014 by the Ecological Society of America.","author":[{"dropping-particle":"","family":"Schreeg","given":"L. A.","non-dropping-particle":"","parse-names":false,"suffix":""},{"dropping-particle":"","family":"Santiago","given":"L. S.","non-dropping-particle":"","parse-names":false,"suffix":""},{"dropping-particle":"","family":"Wright","given":"S. J.","non-dropping-particle":"","parse-names":false,"suffix":""},{"dropping-particle":"","family":"Turner","given":"B. L.","non-dropping-particle":"","parse-names":false,"suffix":""}],"container-title":"Ecology","id":"ITEM-1","issued":{"date-parts":[["2014"]]},"title":"Stem, root, and older leaf N: P ratios are more responsive indicators of soil nutrient availability than new foliage","type":"article-journal"},"uris":["http://www.mendeley.com/documents/?uuid=48d7848b-51d9-4417-9294-20d5bea5a1a4"]}],"mendeley":{"formattedCitation":"(Schreeg &lt;i&gt;et al.&lt;/i&gt;, 2014)","plainTextFormattedCitation":"(Schreeg et al., 2014)","previouslyFormattedCitation":"(Schreeg &lt;i&gt;et al.&lt;/i&gt;, 2014)"},"properties":{"noteIndex":0},"schema":"https://github.com/citation-style-language/schema/raw/master/csl-citation.json"}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(Schreeg </w:t>
      </w:r>
      <w:r w:rsidRPr="00872293">
        <w:rPr>
          <w:rFonts w:ascii="Times New Roman" w:hAnsi="Times New Roman"/>
          <w:i/>
          <w:noProof/>
        </w:rPr>
        <w:t>et al.</w:t>
      </w:r>
      <w:r w:rsidRPr="00872293">
        <w:rPr>
          <w:rFonts w:ascii="Times New Roman" w:hAnsi="Times New Roman"/>
          <w:noProof/>
        </w:rPr>
        <w:t>, 2014)</w:t>
      </w:r>
      <w:r w:rsidRPr="00872293">
        <w:rPr>
          <w:rFonts w:ascii="Times New Roman" w:hAnsi="Times New Roman"/>
        </w:rPr>
        <w:fldChar w:fldCharType="end"/>
      </w:r>
      <w:r w:rsidRPr="00872293">
        <w:rPr>
          <w:rFonts w:ascii="Times New Roman" w:hAnsi="Times New Roman"/>
        </w:rPr>
        <w:t xml:space="preserve"> and the contribution of mycorrhizal fungi in P uptake </w:t>
      </w:r>
      <w:r w:rsidRPr="00872293">
        <w:rPr>
          <w:rFonts w:ascii="Times New Roman" w:hAnsi="Times New Roman"/>
        </w:rPr>
        <w:fldChar w:fldCharType="begin" w:fldLock="1"/>
      </w:r>
      <w:r w:rsidRPr="00872293">
        <w:rPr>
          <w:rFonts w:ascii="Times New Roman" w:hAnsi="Times New Roman"/>
        </w:rPr>
        <w:instrText>ADDIN CSL_CITATION {"citationItems":[{"id":"ITEM-1","itemData":{"DOI":"10.1007/s11104-013-1681-5","ISSN":"0032079X","abstract":"Aims: The most common metric of arbuscular mycorrhizal fungal (AMF) abundance is percent root length colonized (PRLC) by mycorrhizal structures. Frequently, plants with greater PRLC are assumed to receive more nutrients (such as phosphorus, P) from their mycorrhizal symbionts, leading to greater plant growth. Nevertheless, the functional significance of this metric remains controversial. In this review, I discuss whether manipulations of PRLC generally led to changes in plant biomass and P content, and whether AMF taxa and plant functional groups influence these relationships. Methods: I conducted a meta-analysis of laboratory- and field-based trials in which mycorrhizal colonization was directly altered compared to unmanipulated controls. For each trial, I calculated (1) the difference in PRLC (ΔPRLC) between the treatments, and (2) the response ratio of plant biomass. In a subset of these studies, the response ratio of P content of host plants could also be calculated. Results: The response ratio of plant biomass and P content rose significantly and exponentially as ΔPRLC increased. Nevertheless, ΔPRLC explained only a fraction of the variation in response ratios in each case. Moreover, AMF taxa varied in their effects on biomass per unit ΔPRLC. In addition, plant functional groups differed in effects on plant P content per unit ΔPRLC, with C4 grasses responding most strongly. Conclusions: It appears that as the extent to which plant roots are colonized by AMF increases, plant growth and P content often increase, although substantial variability exists among trials. As others have found, a likely mechanism for this relationship is increased transfer of P (and perhaps other nutrients) through the more-prevalent mycorrhizal structures. © 2013 Springer Science+Business Media Dordrecht.","author":[{"dropping-particle":"","family":"Treseder","given":"Kathleen K.","non-dropping-particle":"","parse-names":false,"suffix":""}],"container-title":"Plant and Soil","id":"ITEM-1","issued":{"date-parts":[["2013"]]},"title":"The extent of mycorrhizal colonization of roots and its influence on plant growth and phosphorus content","type":"article"},"uris":["http://www.mendeley.com/documents/?uuid=efadce08-c880-48b8-bb28-c7c5107cd404"]},{"id":"ITEM-2","itemData":{"DOI":"10.1371/journal.pone.0196408","ISSN":"19326203","PMID":"29698448","abstract":"Soil salinity is a common and serious environmental problem worldwide. Arbuscular mycorrhizal fungi (AMF) are considered as bio-ameliorators of soil salinity tolerance in plants. However, few studies have addressed the possible benefits of AMF inoculation for medicinal plants under saline conditions. In this study, we examined the effects of colonization with two AMF, Funneliformis mosseae and Diversispora versiformis, alone and in combination, on the growth and nutrient uptake of the medicinal plant Chrysanthemum morifolium (Hangbaiju) in a greenhouse salt stress experiment. After 6 weeks of a non-saline pretreatment, Hangbaiju plants with and without AMF were grown for five months under salinity levels that were achieved using 0, 50 and 200 mM NaCl. Root length, shoot and root dry weight, total dry weight, and root N concentration were higher in the mycorrhizal plants than in the non-mycorrhizal plants under conditions of moderate salinity, especially with D. versiformis colonization. As salinity increased, mycorrhizal colonization and mycorrhizal dependence decreased. The enhancement of root N uptake is probably the main mechanism underlying salt tolerance in mycorrhizal plants. These results suggest that the symbiotic associations between the fungus D. versiformis and C. morifolium plants may be useful in biotechnological practice.","author":[{"dropping-particle":"","family":"Wang","given":"Yanhong","non-dropping-particle":"","parse-names":false,"suffix":""},{"dropping-particle":"","family":"Wang","given":"Minqiang","non-dropping-particle":"","parse-names":false,"suffix":""},{"dropping-particle":"","family":"Li","given":"Yan","non-dropping-particle":"","parse-names":false,"suffix":""},{"dropping-particle":"","family":"Wu","given":"Aiping","non-dropping-particle":"","parse-names":false,"suffix":""},{"dropping-particle":"","family":"Huang","given":"Juying","non-dropping-particle":"","parse-names":false,"suffix":""}],"container-title":"PLoS ONE","id":"ITEM-2","issued":{"date-parts":[["2018"]]},"title":"Effects of arbuscular mycorrhizal fungi on growth and nitrogen uptake of Chrysanthemum morifolium under salt stress","type":"article-journal","volume":"13"},"uris":["http://www.mendeley.com/documents/?uuid=9e031291-5e8b-4244-ad17-056bc334abb6"]},{"id":"ITEM-3","itemData":{"DOI":"10.1017/S0021859618000023","ISSN":"14695146","abstract":"Deficit irrigation (DI) improves water use efficiency (WUE), but the reduced water input often limits plant growth and nutrient uptake. The current study examined whether arbuscular mycorrhizal fungi (AMF) could alleviate abiotic stress caused by low phosphorus (P) fertilization and DI. A greenhouse experiment was conducted with potato grown with (P1) or without (P0) P fertilization, with AMF (M1+: Rhizophagus irregularis or M2+: Glomus proliferum) or AMF-free control (M-) and subjected to full irrigation (FI), DI or partial root-zone drying (PRD). Inoculation of M1+ and M2+ maintained or improved plant growth and P/nitrogen (N) uptake when subjected to DI/PRD and P0. However, the positive responses to AMF varied with P level and irrigation regime. Functional differences were found in ability of AMF species alleviating plant stress. The largest positive plant biomass response to M1+ and M2+ was found under FI, both at P1 and P0 (25% increase), while plant biomass response to M1+ and M2+ under DI/PRD (14% increase) was significantly smaller. The large growth response to AMF inoculation, particularly under FI, may relate to greater photosynthetic capacity and leaf area, probably caused by stimulation of plant P/N uptake and carbon partitioning toward roots and tubers. However, plant growth response to AMF was not related to the percentage of AMF root colonization. Arbuscular mycorrhizal fungi can maintain and improve P/N uptake, WUE and growth of plants both at high/low P levels and under FI/DI. If this is also the case under field conditions, it should be implemented for sustainable potato production.","author":[{"dropping-particle":"","family":"Liu","given":"Caixia","non-dropping-particle":"","parse-names":false,"suffix":""},{"dropping-particle":"","family":"Ravnskov","given":"Sabine","non-dropping-particle":"","parse-names":false,"suffix":""},{"dropping-particle":"","family":"Liu","given":"Fulai","non-dropping-particle":"","parse-names":false,"suffix":""},{"dropping-particle":"","family":"Rubæk","given":"Gitte H.","non-dropping-particle":"","parse-names":false,"suffix":""},{"dropping-particle":"","family":"Andersen","given":"Mathias N.","non-dropping-particle":"","parse-names":false,"suffix":""}],"container-title":"Journal of Agricultural Science","id":"ITEM-3","issued":{"date-parts":[["2018"]]},"page":"46-58","title":"Arbuscular mycorrhizal fungi alleviate abiotic stresses in potato plants caused by low phosphorus and deficit irrigation/partial root-zone drying","type":"article-journal","volume":"156"},"uris":["http://www.mendeley.com/documents/?uuid=f7484170-a65f-4370-8694-6d2faf2f1d2a"]}],"mendeley":{"formattedCitation":"(Treseder, 2013; Liu &lt;i&gt;et al.&lt;/i&gt;, 2018; Wang &lt;i&gt;et al.&lt;/i&gt;, 2018a)","plainTextFormattedCitation":"(Treseder, 2013; Liu et al., 2018; Wang et al., 2018a)","previouslyFormattedCitation":"(Treseder, 2013; Liu &lt;i&gt;et al.&lt;/i&gt;, 2018; Wang &lt;i&gt;et al.&lt;/i&gt;, 2018a)"},"properties":{"noteIndex":0},"schema":"https://github.com/citation-style-language/schema/raw/master/csl-citation.json"}</w:instrText>
      </w:r>
      <w:r w:rsidRPr="00872293">
        <w:rPr>
          <w:rFonts w:ascii="Times New Roman" w:hAnsi="Times New Roman"/>
        </w:rPr>
        <w:fldChar w:fldCharType="separate"/>
      </w:r>
      <w:r w:rsidRPr="00872293">
        <w:rPr>
          <w:rFonts w:ascii="Times New Roman" w:hAnsi="Times New Roman"/>
          <w:noProof/>
        </w:rPr>
        <w:t xml:space="preserve">(Treseder, 2013; Liu </w:t>
      </w:r>
      <w:r w:rsidRPr="00872293">
        <w:rPr>
          <w:rFonts w:ascii="Times New Roman" w:hAnsi="Times New Roman"/>
          <w:i/>
          <w:noProof/>
        </w:rPr>
        <w:t>et al.</w:t>
      </w:r>
      <w:r w:rsidRPr="00872293">
        <w:rPr>
          <w:rFonts w:ascii="Times New Roman" w:hAnsi="Times New Roman"/>
          <w:noProof/>
        </w:rPr>
        <w:t xml:space="preserve">, 2018; Wang </w:t>
      </w:r>
      <w:r w:rsidRPr="00872293">
        <w:rPr>
          <w:rFonts w:ascii="Times New Roman" w:hAnsi="Times New Roman"/>
          <w:i/>
          <w:noProof/>
        </w:rPr>
        <w:t>et al.</w:t>
      </w:r>
      <w:r w:rsidRPr="00872293">
        <w:rPr>
          <w:rFonts w:ascii="Times New Roman" w:hAnsi="Times New Roman"/>
          <w:noProof/>
        </w:rPr>
        <w:t>, 2018a)</w:t>
      </w:r>
      <w:r w:rsidRPr="00872293">
        <w:rPr>
          <w:rFonts w:ascii="Times New Roman" w:hAnsi="Times New Roman"/>
        </w:rPr>
        <w:fldChar w:fldCharType="end"/>
      </w:r>
      <w:r w:rsidRPr="00872293">
        <w:rPr>
          <w:rFonts w:ascii="Times New Roman" w:hAnsi="Times New Roman"/>
        </w:rPr>
        <w:t>. We agree there are root traits that are species-specific that can determine species strategies along the collaboration gradient, but we argue that the root traits we studied here might not all fit under the proposed collaboration and conservation gradients. Further, we suggest considering the relationships of these traits accounting for species and site variation to test relationships of root traits regardless of other species differences.</w:t>
      </w:r>
    </w:p>
    <w:p w14:paraId="37EE53BC" w14:textId="77777777" w:rsidR="00B276F0" w:rsidRPr="00872293" w:rsidRDefault="00B276F0" w:rsidP="00B276F0">
      <w:pPr>
        <w:autoSpaceDE w:val="0"/>
        <w:autoSpaceDN w:val="0"/>
        <w:adjustRightInd w:val="0"/>
        <w:spacing w:line="360" w:lineRule="auto"/>
        <w:rPr>
          <w:rFonts w:ascii="Times New Roman" w:hAnsi="Times New Roman"/>
        </w:rPr>
      </w:pPr>
    </w:p>
    <w:p w14:paraId="4D0F1263" w14:textId="2D58AFE0" w:rsidR="00B276F0" w:rsidRPr="00872293" w:rsidRDefault="00E6310C" w:rsidP="00B276F0">
      <w:pPr>
        <w:autoSpaceDE w:val="0"/>
        <w:autoSpaceDN w:val="0"/>
        <w:adjustRightInd w:val="0"/>
        <w:spacing w:line="360" w:lineRule="auto"/>
        <w:rPr>
          <w:rFonts w:ascii="Times New Roman" w:hAnsi="Times New Roman" w:cs="Times New Roman"/>
        </w:rPr>
      </w:pPr>
      <w:r w:rsidRPr="00872293">
        <w:rPr>
          <w:rFonts w:ascii="Times New Roman" w:hAnsi="Times New Roman" w:cs="Times New Roman"/>
        </w:rPr>
        <w:t>We recognize the potential caveats of performing most of our root trait analyses on data post-hurricanes; thus, we compared our data to a subsample taken pre-hurricanes, where we considered only three species and did not account for mycorrhizal percent colonization.</w:t>
      </w:r>
      <w:r w:rsidRPr="00872293">
        <w:rPr>
          <w:rFonts w:ascii="Times New Roman" w:hAnsi="Times New Roman"/>
        </w:rPr>
        <w:t xml:space="preserve"> With these data, w</w:t>
      </w:r>
      <w:r w:rsidR="00B276F0" w:rsidRPr="00872293">
        <w:rPr>
          <w:rFonts w:ascii="Times New Roman" w:hAnsi="Times New Roman"/>
        </w:rPr>
        <w:t xml:space="preserve">e found very similar patterns in the NMDS (Figure 25). Root branching ratio </w:t>
      </w:r>
      <w:r w:rsidR="00B276F0" w:rsidRPr="00872293">
        <w:rPr>
          <w:rFonts w:ascii="Times New Roman" w:hAnsi="Times New Roman" w:cs="Times New Roman"/>
        </w:rPr>
        <w:t xml:space="preserve">opposite to root PME. Therefore, we conclude that root PME is in the “do it yourself” end of the collaboration gradient along with root branching ratio, but on the opposite end at the “outsourcing” strategy is root mycorrhizal colonization. </w:t>
      </w:r>
      <w:r w:rsidR="00FD374C" w:rsidRPr="00872293">
        <w:rPr>
          <w:rFonts w:ascii="Times New Roman" w:hAnsi="Times New Roman" w:cs="Times New Roman"/>
        </w:rPr>
        <w:t>Considering our small sample size and the disturbance effects of the hurricanes, we still</w:t>
      </w:r>
      <w:r w:rsidR="00B276F0" w:rsidRPr="00872293">
        <w:rPr>
          <w:rFonts w:ascii="Times New Roman" w:hAnsi="Times New Roman" w:cs="Times New Roman"/>
        </w:rPr>
        <w:t xml:space="preserve"> encourage further studies to include these root traits from more tropical species and to consider the differences between species while also accounting for intra-specific variation.</w:t>
      </w:r>
    </w:p>
    <w:p w14:paraId="7140198F" w14:textId="15B4D2BB" w:rsidR="00B276F0" w:rsidRPr="00872293" w:rsidRDefault="00B276F0" w:rsidP="001D3E23">
      <w:pPr>
        <w:autoSpaceDE w:val="0"/>
        <w:autoSpaceDN w:val="0"/>
        <w:adjustRightInd w:val="0"/>
        <w:spacing w:line="360" w:lineRule="auto"/>
        <w:rPr>
          <w:rFonts w:ascii="Times New Roman" w:hAnsi="Times New Roman" w:cs="Times New Roman"/>
        </w:rPr>
      </w:pPr>
    </w:p>
    <w:p w14:paraId="039075F1" w14:textId="354A2131" w:rsidR="00412200" w:rsidRPr="00872293" w:rsidRDefault="00756343" w:rsidP="00412200">
      <w:pPr>
        <w:autoSpaceDE w:val="0"/>
        <w:autoSpaceDN w:val="0"/>
        <w:adjustRightInd w:val="0"/>
        <w:spacing w:line="360" w:lineRule="auto"/>
        <w:rPr>
          <w:rFonts w:ascii="Times New Roman" w:eastAsiaTheme="minorHAnsi" w:hAnsi="Times New Roman" w:cs="Times New Roman"/>
        </w:rPr>
      </w:pPr>
      <w:r w:rsidRPr="00872293">
        <w:rPr>
          <w:rFonts w:ascii="Times New Roman" w:hAnsi="Times New Roman" w:cs="Times New Roman"/>
        </w:rPr>
        <w:t>Testing the relationship of soil P concentrations and PME, we</w:t>
      </w:r>
      <w:r w:rsidR="00412200" w:rsidRPr="00872293">
        <w:rPr>
          <w:rFonts w:ascii="Times New Roman" w:hAnsi="Times New Roman" w:cs="Times New Roman"/>
        </w:rPr>
        <w:t xml:space="preserve"> did not find a negative effect of soil available P on root PME or a positive effect of soil organic P on root PME in contrast to previous studies </w:t>
      </w:r>
      <w:r w:rsidR="00412200" w:rsidRPr="00872293">
        <w:rPr>
          <w:rFonts w:ascii="Times New Roman" w:hAnsi="Times New Roman" w:cs="Times New Roman"/>
        </w:rPr>
        <w:fldChar w:fldCharType="begin" w:fldLock="1"/>
      </w:r>
      <w:r w:rsidR="00412200" w:rsidRPr="00872293">
        <w:rPr>
          <w:rFonts w:ascii="Times New Roman" w:hAnsi="Times New Roman" w:cs="Times New Roman"/>
        </w:rPr>
        <w:instrText>ADDIN CSL_CITATION {"citationItems":[{"id":"ITEM-1","itemData":{"DOI":"10.3389/fpls.2017.01834","ISSN":"1664462X","abstract":"Tropical forests generally occur on highly weathered soils that, in combination with the immobility of phosphorus (P), often result in soils lacking orthophosphate, the form of P most easily metabolized by plants and microbes. In these soils, mineralization of organic P can be the major source for orthophosphate. Both plants and microbes encode for phosphatases capable of mineralizing a range of organic P compounds. However, the activity of these enzymes depends on several edaphic factors including P availability, tree species, and microbial communities. Thus, phosphatase activity in both roots and the root microbial community constitute an important role in P mineralization and P nutrient dynamics that are not well studied in tropical forests. To relate phosphatase activity of roots and bacteria in tropical forests, we measured phosphatase activity in roots and bacterial isolates as well as bacterial community composition from the rhizosphere. Three forests in the Luquillo Mountains of Puerto Rico were selected to represent a range of soil P availability as measured using the resin P method. Within each site, a minimum of three tree species were chosen to sample. Root and bacterial phosphatase activity were both measured using a colorimetric assay with para-nitrophenyl phosphate as a substrate for the phosphomonoesterase enzyme. Both root and bacterial phosphatise were chiefly influenced by tree species. Though tree species was the only significant factor in root phosphatase activity, there was a negative trend between soil P availability and phosphatase activity in linear regressions of average root phosphatase and resin P. Permutational multivariate analysis of variance of bacterial community composition based on 16S amplicon sequencing indicated that bacterial composition was strongly controlled by soil P availability (p-value &lt; 0.05).These results indicate that although root and bacterial phosphatase activity were influenced by tree species; bacterial community composition was chiefly influenced by P availability. Although the sample size is limited given the tremendous diversity of tropical forests, our study indicates the importance of roots and bacterial function to understanding phosphatase activity. Future work will broaden the diversity of tree species and microbial members sampled to provide insight into P mineralization and model representation of tropical forests.","author":[{"dropping-particle":"","family":"Cabugao","given":"Kristine G.","non-dropping-particle":"","parse-names":false,"suffix":""},{"dropping-particle":"","family":"Timm","given":"Collin M.","non-dropping-particle":"","parse-names":false,"suffix":""},{"dropping-particle":"","family":"Carrell","given":"Alyssa A.","non-dropping-particle":"","parse-names":false,"suffix":""},{"dropping-particle":"","family":"Childs","given":"Joanne","non-dropping-particle":"","parse-names":false,"suffix":""},{"dropping-particle":"","family":"Lu","given":"Tse Yuan S.","non-dropping-particle":"","parse-names":false,"suffix":""},{"dropping-particle":"","family":"Pelletier","given":"Dale A.","non-dropping-particle":"","parse-names":false,"suffix":""},{"dropping-particle":"","family":"Weston","given":"David J.","non-dropping-particle":"","parse-names":false,"suffix":""},{"dropping-particle":"","family":"Norby","given":"Richard J.","non-dropping-particle":"","parse-names":false,"suffix":""}],"container-title":"Frontiers in Plant Science","id":"ITEM-1","issued":{"date-parts":[["2017"]]},"page":"1834","title":"Root and rhizosphere bacterial phosphatase activity varies with tree species and soil phosphorus availability in puerto rico tropical forest","type":"article-journal","volume":"8"},"uris":["http://www.mendeley.com/documents/?uuid=ee08b569-0c01-4b5f-a00a-3303eaa23e7f"]},{"id":"ITEM-2","itemData":{"DOI":"10.1023/A:1020809400075","ISSN":"0032079X","abstract":"Plant developmental processes are controlled by internal signals that depend on the adequate supply of mineral nutrients by soil to roots. Thus, the availability of nutrient elements can be a major constraint to plant growth in many environments of the world, especially the tropics where soils are extremely low in nutrients. Plants take up most mineral nutrients through the rhizosphere where micro-organisms interact with plant products in root exudates. Plant root exudates consist of a complex mixture of organic acid anions, phytosiderophores, sugars, vitamins, amino acids, purines, nucleosides, inorganic ions (e.g. HCO3-, OH-, H +), gaseous molecules (CO2, H2), enzymes and root border cells which have major direct or indirect effects on the acquisition of mineral nutrients required for plant growth. Phenolics and aldonic acids exuded directly by roots of N2-fixing legumes serve as major signals to Rhizobiaceae bacteria which form root nodules where N 2 is reduced to ammonia. Some of the same compounds affect development of mycorrhizal fungi that are crucial for phosphate uptake. Plants growing in low-nutrient environments also employ root exudates in ways other than as symbiotic signals to soil microbes involved in nutrient procurement. Extracellular enzymes release P from organic compounds, and several types of molecules increase iron availability through chelation. Organic acids from root exudates can solubilize unavailable soil Ca, Fe and Al phosphates. Plants growing on nitrate generally maintain electronic neutrality by releasing an excess of anions, including hydroxyl ions. Legumes, which can grow well without nitrate through the benefits of N2 reduction in the root nodules, must release a net excess of protons. These protons can markedly lower rhizosphere pH and decrease the availability of some mineral nutrients as well as the effective functioning of some soil bacteria, such as the rhizobial bacteria themselves. Thus, environments which are naturally very acidic can pose a challenge to nutrient acquisition by plant roots, and threaten the survival of many beneficial microbes including the roots themselves. A few plants such as Rooibos tea (Aspalathus linearis L.) actively modify their rhizosphere pH by extruding OH- and HCO3- to facilitate growth in low pH soils (pH 3-5). Our current understanding of how plants use root exudates to modify rhizosphere pH and the potential benefits associated with such processes are assessed in this review.","author":[{"dropping-particle":"","family":"Dakora","given":"Felix D.","non-dropping-particle":"","parse-names":false,"suffix":""},{"dropping-particle":"","family":"Phillips","given":"Donald A.","non-dropping-particle":"","parse-names":false,"suffix":""}],"container-title":"Springer","id":"ITEM-2","issued":{"date-parts":[["2002"]]},"number-of-pages":"201-213","title":"Root exudates as mediators of mineral acquisition in low-nutrient environments","type":"book"},"uris":["http://www.mendeley.com/documents/?uuid=127c3e89-c11e-4783-9370-d19fe6476ee7"]},{"id":"ITEM-3","itemData":{"DOI":"10.1007/978-3-319-27422-5_12","abstract":"Tree-ring studies provide important contributions to understanding the climate sensitivity of tropical trees and the effects of global change on tropical forests. This chapter reviews recent advances in tropical tree-ring research. In tropical lowlands, tree ring formation is mainly driven by seasonal variation in precipitation or flooding, and not in temperature. Annual ring formation has now been confirmed for 230 tropical tree species across continents and climate zones. Tree-ring studies indicate that lifespans of tropical tree species average c. 200 years and only few species live &gt;500 years; these values are considerably lower than those based on indirect age estimates. Size-age trajectories show large and persis- tent growth variation among trees of the same species, due to variation in light, water and nutrient availability. Climate-growth analyses suggest that tropical tree growth is moderately sensitive to rainfall (dry years reduce growth) and temperature (hot years reduce growth). Tree-ring studies can assist in evaluating the effects of gradual changes in climatic conditions on tree growth and physiology but this requires that sampling biases are dealt with and ontogenetic changes are disen- tangled from temporal changes. This remains challenging, but studies have reported increases in intrinsic water use efficiency based on δ13C measurements in tree rings, most likely due to increasing atmospheric CO2. We conclude that tree-ring studies offer important insights to global change effects on tropical trees and will increasingly do so as new techniques become available and research efforts intensify.","author":[{"dropping-particle":"","family":"Dalling","given":"James W.","non-dropping-particle":"","parse-names":false,"suffix":""},{"dropping-particle":"","family":"Heineman","given":"Katherine","non-dropping-particle":"","parse-names":false,"suffix":""},{"dropping-particle":"","family":"Lopez","given":"Omar R.","non-dropping-particle":"","parse-names":false,"suffix":""},{"dropping-particle":"","family":"Wright","given":"S. Joseph","non-dropping-particle":"","parse-names":false,"suffix":""},{"dropping-particle":"","family":"Turner","given":"Benjamin L.","non-dropping-particle":"","parse-names":false,"suffix":""}],"container-title":"Tropical tree physiology","id":"ITEM-3","issued":{"date-parts":[["2016"]]},"page":"261-273","title":"Nutrient Availability in Tropical Rain Forests: The Paradigm of Phosphorus Limitation","type":"chapter"},"uris":["http://www.mendeley.com/documents/?uuid=dd10ef4d-85b3-4814-b393-5f267418fca8"]}],"mendeley":{"formattedCitation":"(Dakora &amp; Phillips, 2002; Dalling &lt;i&gt;et al.&lt;/i&gt;, 2016; Cabugao &lt;i&gt;et al.&lt;/i&gt;, 2017)","plainTextFormattedCitation":"(Dakora &amp; Phillips, 2002; Dalling et al., 2016; Cabugao et al., 2017)","previouslyFormattedCitation":"(Dakora &amp; Phillips, 2002; Dalling &lt;i&gt;et al.&lt;/i&gt;, 2016; Cabugao &lt;i&gt;et al.&lt;/i&gt;, 2017)"},"properties":{"noteIndex":0},"schema":"https://github.com/citation-style-language/schema/raw/master/csl-citation.json"}</w:instrText>
      </w:r>
      <w:r w:rsidR="00412200" w:rsidRPr="00872293">
        <w:rPr>
          <w:rFonts w:ascii="Times New Roman" w:hAnsi="Times New Roman" w:cs="Times New Roman"/>
        </w:rPr>
        <w:fldChar w:fldCharType="separate"/>
      </w:r>
      <w:r w:rsidR="00412200" w:rsidRPr="00872293">
        <w:rPr>
          <w:rFonts w:ascii="Times New Roman" w:hAnsi="Times New Roman" w:cs="Times New Roman"/>
          <w:noProof/>
        </w:rPr>
        <w:t xml:space="preserve">(Dakora &amp; Phillips, 2002; Dalling </w:t>
      </w:r>
      <w:r w:rsidR="00412200" w:rsidRPr="00872293">
        <w:rPr>
          <w:rFonts w:ascii="Times New Roman" w:hAnsi="Times New Roman" w:cs="Times New Roman"/>
          <w:i/>
          <w:noProof/>
        </w:rPr>
        <w:t>et al.</w:t>
      </w:r>
      <w:r w:rsidR="00412200" w:rsidRPr="00872293">
        <w:rPr>
          <w:rFonts w:ascii="Times New Roman" w:hAnsi="Times New Roman" w:cs="Times New Roman"/>
          <w:noProof/>
        </w:rPr>
        <w:t xml:space="preserve">, 2016; Cabugao </w:t>
      </w:r>
      <w:r w:rsidR="00412200" w:rsidRPr="00872293">
        <w:rPr>
          <w:rFonts w:ascii="Times New Roman" w:hAnsi="Times New Roman" w:cs="Times New Roman"/>
          <w:i/>
          <w:noProof/>
        </w:rPr>
        <w:t>et al.</w:t>
      </w:r>
      <w:r w:rsidR="00412200" w:rsidRPr="00872293">
        <w:rPr>
          <w:rFonts w:ascii="Times New Roman" w:hAnsi="Times New Roman" w:cs="Times New Roman"/>
          <w:noProof/>
        </w:rPr>
        <w:t>, 2017)</w:t>
      </w:r>
      <w:r w:rsidR="00412200" w:rsidRPr="00872293">
        <w:rPr>
          <w:rFonts w:ascii="Times New Roman" w:hAnsi="Times New Roman" w:cs="Times New Roman"/>
        </w:rPr>
        <w:fldChar w:fldCharType="end"/>
      </w:r>
      <w:r w:rsidR="00412200" w:rsidRPr="00872293">
        <w:rPr>
          <w:rFonts w:ascii="Times New Roman" w:hAnsi="Times New Roman" w:cs="Times New Roman"/>
        </w:rPr>
        <w:t xml:space="preserve">. However, </w:t>
      </w:r>
      <w:r w:rsidR="00412200" w:rsidRPr="00872293">
        <w:rPr>
          <w:rFonts w:ascii="Times New Roman" w:hAnsi="Times New Roman" w:cs="Times New Roman"/>
          <w:shd w:val="clear" w:color="auto" w:fill="FFFFFF"/>
        </w:rPr>
        <w:t xml:space="preserve">phosphatase production also depends on the P demand from plants, </w:t>
      </w:r>
      <w:r w:rsidRPr="00872293">
        <w:rPr>
          <w:rFonts w:ascii="Times New Roman" w:hAnsi="Times New Roman" w:cs="Times New Roman"/>
          <w:shd w:val="clear" w:color="auto" w:fill="FFFFFF"/>
        </w:rPr>
        <w:t>which we did not measure</w:t>
      </w:r>
      <w:r w:rsidR="00412200" w:rsidRPr="00872293">
        <w:rPr>
          <w:rFonts w:ascii="Times New Roman" w:hAnsi="Times New Roman" w:cs="Times New Roman"/>
          <w:shd w:val="clear" w:color="auto" w:fill="FFFFFF"/>
        </w:rPr>
        <w:t xml:space="preserve">. Soil disturbance can also influence root phosphatase activity </w:t>
      </w:r>
      <w:r w:rsidR="00412200" w:rsidRPr="00872293">
        <w:rPr>
          <w:rFonts w:ascii="Times New Roman" w:hAnsi="Times New Roman" w:cs="Times New Roman"/>
          <w:shd w:val="clear" w:color="auto" w:fill="FFFFFF"/>
        </w:rPr>
        <w:fldChar w:fldCharType="begin" w:fldLock="1"/>
      </w:r>
      <w:r w:rsidR="00412200" w:rsidRPr="00872293">
        <w:rPr>
          <w:rFonts w:ascii="Times New Roman" w:hAnsi="Times New Roman" w:cs="Times New Roman"/>
          <w:shd w:val="clear" w:color="auto" w:fill="FFFFFF"/>
        </w:rPr>
        <w:instrText>ADDIN CSL_CITATION {"citationItems":[{"id":"ITEM-1","itemData":{"DOI":"10.1038/s41598-017-01418-8","ISSN":"20452322","PMID":"28465504","abstract":"Soil phosphatase levels strongly control the biotic pathways of phosphorus (P), an essential element for life, which is often limiting in terrestrial ecosystems. We investigated the influence of climatic and soil traits on phosphatase activity in terrestrial systems using metadata analysis from published studies. This is the first analysis of global measurements of phosphatase in natural soils. Our results suggest that organic P (Porg), rather than available P, is the most important P fraction in predicting phosphatase activity. Structural equation modeling using soil total nitrogen (TN), mean annual precipitation, mean annual temperature, thermal amplitude and total soil carbon as most available predictor variables explained up to 50% of the spatial variance in phosphatase activity. In this analysis, Porg could not be tested and among the rest of available variables, TN was the most important factor explaining the observed spatial gradients in phosphatase activity. On the other hand, phosphatase activity was also found to be associated with climatic conditions and soil type across different biomes worldwide. The close association among different predictors like Porg, TN and precipitation suggest that P recycling is driven by a broad scale pattern of ecosystem productivity capacity.","author":[{"dropping-particle":"","family":"Margalef","given":"O.","non-dropping-particle":"","parse-names":false,"suffix":""},{"dropping-particle":"","family":"Sardans","given":"J.","non-dropping-particle":"","parse-names":false,"suffix":""},{"dropping-particle":"","family":"Fernández-Martínez","given":"M.","non-dropping-particle":"","parse-names":false,"suffix":""},{"dropping-particle":"","family":"Molowny-Horas","given":"R.","non-dropping-particle":"","parse-names":false,"suffix":""},{"dropping-particle":"","family":"Janssens","given":"I. A.","non-dropping-particle":"","parse-names":false,"suffix":""},{"dropping-particle":"","family":"Ciais","given":"P.","non-dropping-particle":"","parse-names":false,"suffix":""},{"dropping-particle":"","family":"Goll","given":"D.","non-dropping-particle":"","parse-names":false,"suffix":""},{"dropping-particle":"","family":"Richter","given":"A.","non-dropping-particle":"","parse-names":false,"suffix":""},{"dropping-particle":"","family":"Obersteiner","given":"M.","non-dropping-particle":"","parse-names":false,"suffix":""},{"dropping-particle":"","family":"Asensio","given":"D.","non-dropping-particle":"","parse-names":false,"suffix":""},{"dropping-particle":"","family":"Peñuelas","given":"J.","non-dropping-particle":"","parse-names":false,"suffix":""}],"container-title":"Scientific Reports","id":"ITEM-1","issued":{"date-parts":[["2017"]]},"page":"1337","title":"Global patterns of phosphatase activity in natural soils","type":"article-journal","volume":"7"},"uris":["http://www.mendeley.com/documents/?uuid=c6f75eaf-7051-4ffd-b7fd-11882c7e5fd8"]}],"mendeley":{"formattedCitation":"(Margalef &lt;i&gt;et al.&lt;/i&gt;, 2017)","plainTextFormattedCitation":"(Margalef et al., 2017)","previouslyFormattedCitation":"(Margalef &lt;i&gt;et al.&lt;/i&gt;, 2017)"},"properties":{"noteIndex":0},"schema":"https://github.com/citation-style-language/schema/raw/master/csl-citation.json"}</w:instrText>
      </w:r>
      <w:r w:rsidR="00412200" w:rsidRPr="00872293">
        <w:rPr>
          <w:rFonts w:ascii="Times New Roman" w:hAnsi="Times New Roman" w:cs="Times New Roman"/>
          <w:shd w:val="clear" w:color="auto" w:fill="FFFFFF"/>
        </w:rPr>
        <w:fldChar w:fldCharType="separate"/>
      </w:r>
      <w:r w:rsidR="00412200" w:rsidRPr="00872293">
        <w:rPr>
          <w:rFonts w:ascii="Times New Roman" w:hAnsi="Times New Roman" w:cs="Times New Roman"/>
          <w:noProof/>
          <w:shd w:val="clear" w:color="auto" w:fill="FFFFFF"/>
        </w:rPr>
        <w:t xml:space="preserve">(Margalef </w:t>
      </w:r>
      <w:r w:rsidR="00412200" w:rsidRPr="00872293">
        <w:rPr>
          <w:rFonts w:ascii="Times New Roman" w:hAnsi="Times New Roman" w:cs="Times New Roman"/>
          <w:i/>
          <w:noProof/>
          <w:shd w:val="clear" w:color="auto" w:fill="FFFFFF"/>
        </w:rPr>
        <w:t>et al.</w:t>
      </w:r>
      <w:r w:rsidR="00412200" w:rsidRPr="00872293">
        <w:rPr>
          <w:rFonts w:ascii="Times New Roman" w:hAnsi="Times New Roman" w:cs="Times New Roman"/>
          <w:noProof/>
          <w:shd w:val="clear" w:color="auto" w:fill="FFFFFF"/>
        </w:rPr>
        <w:t>, 2017)</w:t>
      </w:r>
      <w:r w:rsidR="00412200" w:rsidRPr="00872293">
        <w:rPr>
          <w:rFonts w:ascii="Times New Roman" w:hAnsi="Times New Roman" w:cs="Times New Roman"/>
          <w:shd w:val="clear" w:color="auto" w:fill="FFFFFF"/>
        </w:rPr>
        <w:fldChar w:fldCharType="end"/>
      </w:r>
      <w:r w:rsidR="00412200" w:rsidRPr="00872293">
        <w:rPr>
          <w:rFonts w:ascii="Times New Roman" w:hAnsi="Times New Roman" w:cs="Times New Roman"/>
          <w:shd w:val="clear" w:color="auto" w:fill="FFFFFF"/>
        </w:rPr>
        <w:t>, and t</w:t>
      </w:r>
      <w:r w:rsidR="00412200" w:rsidRPr="00872293">
        <w:rPr>
          <w:rFonts w:ascii="Times New Roman" w:hAnsi="Times New Roman" w:cs="Times New Roman"/>
        </w:rPr>
        <w:t xml:space="preserve">he changes in soil environmental conditions during the recovery from Hurricanes Irma and Maria could have played a role. This disturbance had an influence in nutrient concentrations from the litterfall </w:t>
      </w:r>
      <w:r w:rsidR="00412200" w:rsidRPr="00872293">
        <w:rPr>
          <w:rFonts w:ascii="Times New Roman" w:hAnsi="Times New Roman" w:cs="Times New Roman"/>
        </w:rPr>
        <w:fldChar w:fldCharType="begin" w:fldLock="1"/>
      </w:r>
      <w:r w:rsidR="00412200" w:rsidRPr="00872293">
        <w:rPr>
          <w:rFonts w:ascii="Times New Roman" w:hAnsi="Times New Roman" w:cs="Times New Roman"/>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disturbance","type":"chapter"},"uris":["http://www.mendeley.com/documents/?uuid=1616d483-7f59-4168-b74e-9bd12a1c34dd"]}],"mendeley":{"formattedCitation":"(Reed &lt;i&gt;et al.&lt;/i&gt;, 2020)","plainTextFormattedCitation":"(Reed et al., 2020)","previouslyFormattedCitation":"(Reed &lt;i&gt;et al.&lt;/i&gt;, 2020)"},"properties":{"noteIndex":0},"schema":"https://github.com/citation-style-language/schema/raw/master/csl-citation.json"}</w:instrText>
      </w:r>
      <w:r w:rsidR="00412200" w:rsidRPr="00872293">
        <w:rPr>
          <w:rFonts w:ascii="Times New Roman" w:hAnsi="Times New Roman" w:cs="Times New Roman"/>
        </w:rPr>
        <w:fldChar w:fldCharType="separate"/>
      </w:r>
      <w:r w:rsidR="00412200" w:rsidRPr="00872293">
        <w:rPr>
          <w:rFonts w:ascii="Times New Roman" w:hAnsi="Times New Roman" w:cs="Times New Roman"/>
          <w:noProof/>
        </w:rPr>
        <w:t xml:space="preserve">(Reed </w:t>
      </w:r>
      <w:r w:rsidR="00412200" w:rsidRPr="00872293">
        <w:rPr>
          <w:rFonts w:ascii="Times New Roman" w:hAnsi="Times New Roman" w:cs="Times New Roman"/>
          <w:i/>
          <w:noProof/>
        </w:rPr>
        <w:t>et al.</w:t>
      </w:r>
      <w:r w:rsidR="00412200" w:rsidRPr="00872293">
        <w:rPr>
          <w:rFonts w:ascii="Times New Roman" w:hAnsi="Times New Roman" w:cs="Times New Roman"/>
          <w:noProof/>
        </w:rPr>
        <w:t>, 2020)</w:t>
      </w:r>
      <w:r w:rsidR="00412200" w:rsidRPr="00872293">
        <w:rPr>
          <w:rFonts w:ascii="Times New Roman" w:hAnsi="Times New Roman" w:cs="Times New Roman"/>
        </w:rPr>
        <w:fldChar w:fldCharType="end"/>
      </w:r>
      <w:r w:rsidR="00412200" w:rsidRPr="00872293">
        <w:rPr>
          <w:rFonts w:ascii="Times New Roman" w:hAnsi="Times New Roman" w:cs="Times New Roman"/>
        </w:rPr>
        <w:t xml:space="preserve">, which in turn could have changed the patterns seen in </w:t>
      </w:r>
      <w:proofErr w:type="spellStart"/>
      <w:r w:rsidR="00412200" w:rsidRPr="00872293">
        <w:rPr>
          <w:rFonts w:ascii="Times New Roman" w:hAnsi="Times New Roman" w:cs="Times New Roman"/>
        </w:rPr>
        <w:t>Cabugao</w:t>
      </w:r>
      <w:proofErr w:type="spellEnd"/>
      <w:r w:rsidR="00412200" w:rsidRPr="00872293">
        <w:rPr>
          <w:rFonts w:ascii="Times New Roman" w:hAnsi="Times New Roman" w:cs="Times New Roman"/>
        </w:rPr>
        <w:t xml:space="preserve"> </w:t>
      </w:r>
      <w:r w:rsidR="00412200" w:rsidRPr="00872293">
        <w:rPr>
          <w:rFonts w:ascii="Times New Roman" w:hAnsi="Times New Roman" w:cs="Times New Roman"/>
          <w:i/>
          <w:iCs/>
        </w:rPr>
        <w:t>et al.</w:t>
      </w:r>
      <w:r w:rsidR="00412200" w:rsidRPr="00872293">
        <w:rPr>
          <w:rFonts w:ascii="Times New Roman" w:hAnsi="Times New Roman" w:cs="Times New Roman"/>
        </w:rPr>
        <w:t xml:space="preserve"> (2017). </w:t>
      </w:r>
      <w:r w:rsidR="00412200" w:rsidRPr="00872293">
        <w:rPr>
          <w:rFonts w:ascii="Times New Roman" w:eastAsiaTheme="minorHAnsi" w:hAnsi="Times New Roman" w:cs="Times New Roman"/>
        </w:rPr>
        <w:t xml:space="preserve">Further, there is still contradicting results in the literature, where soil available P does not affect root phosphatase activity </w:t>
      </w:r>
      <w:r w:rsidR="00412200" w:rsidRPr="00872293">
        <w:rPr>
          <w:rFonts w:ascii="Times New Roman" w:eastAsiaTheme="minorHAnsi" w:hAnsi="Times New Roman" w:cs="Times New Roman"/>
        </w:rPr>
        <w:fldChar w:fldCharType="begin" w:fldLock="1"/>
      </w:r>
      <w:r w:rsidR="00412200" w:rsidRPr="00872293">
        <w:rPr>
          <w:rFonts w:ascii="Times New Roman" w:eastAsiaTheme="minorHAnsi" w:hAnsi="Times New Roman" w:cs="Times New Roman"/>
        </w:rPr>
        <w:instrText>ADDIN CSL_CITATION {"citationItems":[{"id":"ITEM-1","itemData":{"DOI":"10.1038/s41598-017-01418-8","ISSN":"20452322","PMID":"28465504","abstract":"Soil phosphatase levels strongly control the biotic pathways of phosphorus (P), an essential element for life, which is often limiting in terrestrial ecosystems. We investigated the influence of climatic and soil traits on phosphatase activity in terrestrial systems using metadata analysis from published studies. This is the first analysis of global measurements of phosphatase in natural soils. Our results suggest that organic P (Porg), rather than available P, is the most important P fraction in predicting phosphatase activity. Structural equation modeling using soil total nitrogen (TN), mean annual precipitation, mean annual temperature, thermal amplitude and total soil carbon as most available predictor variables explained up to 50% of the spatial variance in phosphatase activity. In this analysis, Porg could not be tested and among the rest of available variables, TN was the most important factor explaining the observed spatial gradients in phosphatase activity. On the other hand, phosphatase activity was also found to be associated with climatic conditions and soil type across different biomes worldwide. The close association among different predictors like Porg, TN and precipitation suggest that P recycling is driven by a broad scale pattern of ecosystem productivity capacity.","author":[{"dropping-particle":"","family":"Margalef","given":"O.","non-dropping-particle":"","parse-names":false,"suffix":""},{"dropping-particle":"","family":"Sardans","given":"J.","non-dropping-particle":"","parse-names":false,"suffix":""},{"dropping-particle":"","family":"Fernández-Martínez","given":"M.","non-dropping-particle":"","parse-names":false,"suffix":""},{"dropping-particle":"","family":"Molowny-Horas","given":"R.","non-dropping-particle":"","parse-names":false,"suffix":""},{"dropping-particle":"","family":"Janssens","given":"I. A.","non-dropping-particle":"","parse-names":false,"suffix":""},{"dropping-particle":"","family":"Ciais","given":"P.","non-dropping-particle":"","parse-names":false,"suffix":""},{"dropping-particle":"","family":"Goll","given":"D.","non-dropping-particle":"","parse-names":false,"suffix":""},{"dropping-particle":"","family":"Richter","given":"A.","non-dropping-particle":"","parse-names":false,"suffix":""},{"dropping-particle":"","family":"Obersteiner","given":"M.","non-dropping-particle":"","parse-names":false,"suffix":""},{"dropping-particle":"","family":"Asensio","given":"D.","non-dropping-particle":"","parse-names":false,"suffix":""},{"dropping-particle":"","family":"Peñuelas","given":"J.","non-dropping-particle":"","parse-names":false,"suffix":""}],"container-title":"Scientific Reports","id":"ITEM-1","issued":{"date-parts":[["2017"]]},"page":"1337","title":"Global patterns of phosphatase activity in natural soils","type":"article-journal","volume":"7"},"uris":["http://www.mendeley.com/documents/?uuid=c6f75eaf-7051-4ffd-b7fd-11882c7e5fd8"]}],"mendeley":{"formattedCitation":"(Margalef &lt;i&gt;et al.&lt;/i&gt;, 2017)","manualFormatting":"(Margalef et al., 2017; Cabugao et al, in review)","plainTextFormattedCitation":"(Margalef et al., 2017)","previouslyFormattedCitation":"(Margalef &lt;i&gt;et al.&lt;/i&gt;, 2017)"},"properties":{"noteIndex":0},"schema":"https://github.com/citation-style-language/schema/raw/master/csl-citation.json"}</w:instrText>
      </w:r>
      <w:r w:rsidR="00412200" w:rsidRPr="00872293">
        <w:rPr>
          <w:rFonts w:ascii="Times New Roman" w:eastAsiaTheme="minorHAnsi" w:hAnsi="Times New Roman" w:cs="Times New Roman"/>
        </w:rPr>
        <w:fldChar w:fldCharType="separate"/>
      </w:r>
      <w:r w:rsidR="00412200" w:rsidRPr="00872293">
        <w:rPr>
          <w:rFonts w:ascii="Times New Roman" w:eastAsiaTheme="minorHAnsi" w:hAnsi="Times New Roman" w:cs="Times New Roman"/>
          <w:noProof/>
        </w:rPr>
        <w:t xml:space="preserve">(Margalef </w:t>
      </w:r>
      <w:r w:rsidR="00412200" w:rsidRPr="00872293">
        <w:rPr>
          <w:rFonts w:ascii="Times New Roman" w:eastAsiaTheme="minorHAnsi" w:hAnsi="Times New Roman" w:cs="Times New Roman"/>
          <w:i/>
          <w:noProof/>
        </w:rPr>
        <w:t>et al.</w:t>
      </w:r>
      <w:r w:rsidR="00412200" w:rsidRPr="00872293">
        <w:rPr>
          <w:rFonts w:ascii="Times New Roman" w:eastAsiaTheme="minorHAnsi" w:hAnsi="Times New Roman" w:cs="Times New Roman"/>
          <w:noProof/>
        </w:rPr>
        <w:t xml:space="preserve">, 2017; Cabugao </w:t>
      </w:r>
      <w:r w:rsidR="00412200" w:rsidRPr="00872293">
        <w:rPr>
          <w:rFonts w:ascii="Times New Roman" w:eastAsiaTheme="minorHAnsi" w:hAnsi="Times New Roman" w:cs="Times New Roman"/>
          <w:i/>
          <w:iCs/>
          <w:noProof/>
        </w:rPr>
        <w:t>et al,</w:t>
      </w:r>
      <w:r w:rsidR="00412200" w:rsidRPr="00872293">
        <w:rPr>
          <w:rFonts w:ascii="Times New Roman" w:eastAsiaTheme="minorHAnsi" w:hAnsi="Times New Roman" w:cs="Times New Roman"/>
          <w:noProof/>
        </w:rPr>
        <w:t xml:space="preserve"> </w:t>
      </w:r>
      <w:r w:rsidR="00412200" w:rsidRPr="00872293">
        <w:rPr>
          <w:rFonts w:ascii="Times New Roman" w:eastAsiaTheme="minorHAnsi" w:hAnsi="Times New Roman" w:cs="Times New Roman"/>
          <w:i/>
          <w:iCs/>
          <w:noProof/>
        </w:rPr>
        <w:t xml:space="preserve">in </w:t>
      </w:r>
      <w:r w:rsidRPr="00872293">
        <w:rPr>
          <w:rFonts w:ascii="Times New Roman" w:eastAsiaTheme="minorHAnsi" w:hAnsi="Times New Roman" w:cs="Times New Roman"/>
          <w:i/>
          <w:iCs/>
          <w:noProof/>
        </w:rPr>
        <w:t>press</w:t>
      </w:r>
      <w:r w:rsidR="00412200" w:rsidRPr="00872293">
        <w:rPr>
          <w:rFonts w:ascii="Times New Roman" w:eastAsiaTheme="minorHAnsi" w:hAnsi="Times New Roman" w:cs="Times New Roman"/>
          <w:noProof/>
        </w:rPr>
        <w:t>)</w:t>
      </w:r>
      <w:r w:rsidR="00412200" w:rsidRPr="00872293">
        <w:rPr>
          <w:rFonts w:ascii="Times New Roman" w:eastAsiaTheme="minorHAnsi" w:hAnsi="Times New Roman" w:cs="Times New Roman"/>
        </w:rPr>
        <w:fldChar w:fldCharType="end"/>
      </w:r>
      <w:r w:rsidR="00412200" w:rsidRPr="00872293">
        <w:rPr>
          <w:rFonts w:ascii="Times New Roman" w:eastAsiaTheme="minorHAnsi" w:hAnsi="Times New Roman" w:cs="Times New Roman"/>
        </w:rPr>
        <w:t>.</w:t>
      </w:r>
    </w:p>
    <w:p w14:paraId="77E829D7" w14:textId="77777777" w:rsidR="00114A13" w:rsidRPr="00872293" w:rsidRDefault="00114A13" w:rsidP="00496563">
      <w:pPr>
        <w:autoSpaceDE w:val="0"/>
        <w:autoSpaceDN w:val="0"/>
        <w:adjustRightInd w:val="0"/>
        <w:spacing w:line="360" w:lineRule="auto"/>
        <w:rPr>
          <w:rFonts w:ascii="Times New Roman" w:hAnsi="Times New Roman" w:cs="Times New Roman"/>
          <w:shd w:val="clear" w:color="auto" w:fill="FFFFFF"/>
        </w:rPr>
      </w:pPr>
    </w:p>
    <w:p w14:paraId="58093ED8" w14:textId="77777777" w:rsidR="00412200" w:rsidRPr="00872293" w:rsidRDefault="00412200" w:rsidP="00496563">
      <w:pPr>
        <w:pStyle w:val="Heading3"/>
        <w:spacing w:before="0" w:after="0" w:line="360" w:lineRule="auto"/>
        <w:rPr>
          <w:shd w:val="clear" w:color="auto" w:fill="FFFFFF"/>
        </w:rPr>
      </w:pPr>
      <w:bookmarkStart w:id="155" w:name="_Toc53689115"/>
      <w:r w:rsidRPr="00872293">
        <w:rPr>
          <w:shd w:val="clear" w:color="auto" w:fill="FFFFFF"/>
        </w:rPr>
        <w:t>Hurricane impact on root traits</w:t>
      </w:r>
      <w:bookmarkEnd w:id="155"/>
    </w:p>
    <w:p w14:paraId="550518EA" w14:textId="083CB6BA" w:rsidR="00412200" w:rsidRPr="00872293" w:rsidRDefault="00412200" w:rsidP="00496563">
      <w:pPr>
        <w:autoSpaceDE w:val="0"/>
        <w:autoSpaceDN w:val="0"/>
        <w:adjustRightInd w:val="0"/>
        <w:spacing w:before="240" w:line="360" w:lineRule="auto"/>
        <w:rPr>
          <w:rFonts w:ascii="Times New Roman" w:hAnsi="Times New Roman"/>
          <w:shd w:val="clear" w:color="auto" w:fill="FFFFFF"/>
        </w:rPr>
      </w:pPr>
      <w:r w:rsidRPr="00872293">
        <w:rPr>
          <w:rFonts w:ascii="Times New Roman" w:hAnsi="Times New Roman"/>
          <w:shd w:val="clear" w:color="auto" w:fill="FFFFFF"/>
        </w:rPr>
        <w:t>We found that root PME decreased after hurricane events, but the other root traits did not (Table 10; Figure 23). This suggests that root PME responds to environmental changes and it is not a fixed trait. According to previous studies, the decrease in soil available P and the increase in soil organic P</w:t>
      </w:r>
      <w:r w:rsidR="00900472" w:rsidRPr="00872293">
        <w:rPr>
          <w:rFonts w:ascii="Times New Roman" w:hAnsi="Times New Roman"/>
          <w:shd w:val="clear" w:color="auto" w:fill="FFFFFF"/>
        </w:rPr>
        <w:t xml:space="preserve"> </w:t>
      </w:r>
      <w:r w:rsidRPr="00872293">
        <w:rPr>
          <w:rFonts w:ascii="Times New Roman" w:hAnsi="Times New Roman"/>
          <w:shd w:val="clear" w:color="auto" w:fill="FFFFFF"/>
        </w:rPr>
        <w:t xml:space="preserve">could potentially increase the exudation of phosphatase enzymes from the root </w:t>
      </w:r>
      <w:r w:rsidRPr="00872293">
        <w:rPr>
          <w:rFonts w:ascii="Times New Roman" w:hAnsi="Times New Roman"/>
          <w:shd w:val="clear" w:color="auto" w:fill="FFFFFF"/>
        </w:rPr>
        <w:fldChar w:fldCharType="begin" w:fldLock="1"/>
      </w:r>
      <w:r w:rsidRPr="00872293">
        <w:rPr>
          <w:rFonts w:ascii="Times New Roman" w:hAnsi="Times New Roman"/>
          <w:shd w:val="clear" w:color="auto" w:fill="FFFFFF"/>
        </w:rPr>
        <w:instrText>ADDIN CSL_CITATION {"citationItems":[{"id":"ITEM-1","itemData":{"DOI":"10.1023/A:1020809400075","ISSN":"0032079X","abstract":"Plant developmental processes are controlled by internal signals that depend on the adequate supply of mineral nutrients by soil to roots. Thus, the availability of nutrient elements can be a major constraint to plant growth in many environments of the world, especially the tropics where soils are extremely low in nutrients. Plants take up most mineral nutrients through the rhizosphere where micro-organisms interact with plant products in root exudates. Plant root exudates consist of a complex mixture of organic acid anions, phytosiderophores, sugars, vitamins, amino acids, purines, nucleosides, inorganic ions (e.g. HCO3-, OH-, H +), gaseous molecules (CO2, H2), enzymes and root border cells which have major direct or indirect effects on the acquisition of mineral nutrients required for plant growth. Phenolics and aldonic acids exuded directly by roots of N2-fixing legumes serve as major signals to Rhizobiaceae bacteria which form root nodules where N 2 is reduced to ammonia. Some of the same compounds affect development of mycorrhizal fungi that are crucial for phosphate uptake. Plants growing in low-nutrient environments also employ root exudates in ways other than as symbiotic signals to soil microbes involved in nutrient procurement. Extracellular enzymes release P from organic compounds, and several types of molecules increase iron availability through chelation. Organic acids from root exudates can solubilize unavailable soil Ca, Fe and Al phosphates. Plants growing on nitrate generally maintain electronic neutrality by releasing an excess of anions, including hydroxyl ions. Legumes, which can grow well without nitrate through the benefits of N2 reduction in the root nodules, must release a net excess of protons. These protons can markedly lower rhizosphere pH and decrease the availability of some mineral nutrients as well as the effective functioning of some soil bacteria, such as the rhizobial bacteria themselves. Thus, environments which are naturally very acidic can pose a challenge to nutrient acquisition by plant roots, and threaten the survival of many beneficial microbes including the roots themselves. A few plants such as Rooibos tea (Aspalathus linearis L.) actively modify their rhizosphere pH by extruding OH- and HCO3- to facilitate growth in low pH soils (pH 3-5). Our current understanding of how plants use root exudates to modify rhizosphere pH and the potential benefits associated with such processes are assessed in this review.","author":[{"dropping-particle":"","family":"Dakora","given":"Felix D.","non-dropping-particle":"","parse-names":false,"suffix":""},{"dropping-particle":"","family":"Phillips","given":"Donald A.","non-dropping-particle":"","parse-names":false,"suffix":""}],"container-title":"Springer","id":"ITEM-1","issued":{"date-parts":[["2002"]]},"number-of-pages":"201-213","title":"Root exudates as mediators of mineral acquisition in low-nutrient environments","type":"book"},"uris":["http://www.mendeley.com/documents/?uuid=127c3e89-c11e-4783-9370-d19fe6476ee7"]},{"id":"ITEM-2","itemData":{"DOI":"10.1038/s41598-017-01418-8","ISSN":"20452322","PMID":"28465504","abstract":"Soil phosphatase levels strongly control the biotic pathways of phosphorus (P), an essential element for life, which is often limiting in terrestrial ecosystems. We investigated the influence of climatic and soil traits on phosphatase activity in terrestrial systems using metadata analysis from published studies. This is the first analysis of global measurements of phosphatase in natural soils. Our results suggest that organic P (Porg), rather than available P, is the most important P fraction in predicting phosphatase activity. Structural equation modeling using soil total nitrogen (TN), mean annual precipitation, mean annual temperature, thermal amplitude and total soil carbon as most available predictor variables explained up to 50% of the spatial variance in phosphatase activity. In this analysis, Porg could not be tested and among the rest of available variables, TN was the most important factor explaining the observed spatial gradients in phosphatase activity. On the other hand, phosphatase activity was also found to be associated with climatic conditions and soil type across different biomes worldwide. The close association among different predictors like Porg, TN and precipitation suggest that P recycling is driven by a broad scale pattern of ecosystem productivity capacity.","author":[{"dropping-particle":"","family":"Margalef","given":"O.","non-dropping-particle":"","parse-names":false,"suffix":""},{"dropping-particle":"","family":"Sardans","given":"J.","non-dropping-particle":"","parse-names":false,"suffix":""},{"dropping-particle":"","family":"Fernández-Martínez","given":"M.","non-dropping-particle":"","parse-names":false,"suffix":""},{"dropping-particle":"","family":"Molowny-Horas","given":"R.","non-dropping-particle":"","parse-names":false,"suffix":""},{"dropping-particle":"","family":"Janssens","given":"I. A.","non-dropping-particle":"","parse-names":false,"suffix":""},{"dropping-particle":"","family":"Ciais","given":"P.","non-dropping-particle":"","parse-names":false,"suffix":""},{"dropping-particle":"","family":"Goll","given":"D.","non-dropping-particle":"","parse-names":false,"suffix":""},{"dropping-particle":"","family":"Richter","given":"A.","non-dropping-particle":"","parse-names":false,"suffix":""},{"dropping-particle":"","family":"Obersteiner","given":"M.","non-dropping-particle":"","parse-names":false,"suffix":""},{"dropping-particle":"","family":"Asensio","given":"D.","non-dropping-particle":"","parse-names":false,"suffix":""},{"dropping-particle":"","family":"Peñuelas","given":"J.","non-dropping-particle":"","parse-names":false,"suffix":""}],"container-title":"Scientific Reports","id":"ITEM-2","issued":{"date-parts":[["2017"]]},"page":"1337","title":"Global patterns of phosphatase activity in natural soils","type":"article-journal","volume":"7"},"uris":["http://www.mendeley.com/documents/?uuid=c6f75eaf-7051-4ffd-b7fd-11882c7e5fd8"]},{"id":"ITEM-3","itemData":{"DOI":"10.1016/j.soilbio.2012.11.009","ISSN":"00380717","abstract":"This review focuses on some important and challenging aspects of soil extracellular enzyme research. We report on recent discoveries, identify key research needs and highlight the many opportunities offered by interactions with other microbial enzymologists. The biggest challenges are to understand how the chemical, physical and biological properties of soil affect enzyme production, diffusion, substrate turnover and the proportion of the product that is made available to the producer cells. Thus, the factors that regulate the synthesis and secretion of extracellular enzymes and their distribution after they are externalized are important topics, not only for soil enzymologists, but also in the broader context of microbial ecology. In addition, there are many uncertainties about the ways in which microbes and their extracellular enzymes overcome the generally destructive, inhibitory and competitive properties of the soil matrix, and the various strategies they adopt for effective substrate detection and utilization. The complexity of extracellular enzyme activities in depolymerising macromolecular organics is exemplified by lignocellulose degradation and how the many enzymes involved respond to structural diversity and changing nutrient availabilities. The impacts of climate change on microbes and their extracellular enzymes, although of profound importance, are not well understood but we suggest how they may be predicted, assessed and managed. We describe recent advances that allow for the manipulation of extracellular enzyme activities to facilitate bioremediation, carbon sequestration and plant growth promotion. We also contribute to the ongoing debate as to how to assay enzyme activities in soil and what the measurements tell us, in the context of both traditional methods and the newer techniques that are being developed and adopted. Finally, we offer our collective vision of the future of extracellular enzyme research: one that will depend on imaginative thinking as well as technological advances, and be built upon synergies between diverse disciplines. © 2012 Elsevier Ltd.","author":[{"dropping-particle":"","family":"Burns","given":"Richard G.","non-dropping-particle":"","parse-names":false,"suffix":""},{"dropping-particle":"","family":"DeForest","given":"Jared L.","non-dropping-particle":"","parse-names":false,"suffix":""},{"dropping-particle":"","family":"Marxsen","given":"Jürgen","non-dropping-particle":"","parse-names":false,"suffix":""},{"dropping-particle":"","family":"Sinsabaugh","given":"Robert L.","non-dropping-particle":"","parse-names":false,"suffix":""},{"dropping-particle":"","family":"Stromberger","given":"Mary E.","non-dropping-particle":"","parse-names":false,"suffix":""},{"dropping-particle":"","family":"Wallenstein","given":"Matthew D.","non-dropping-particle":"","parse-names":false,"suffix":""},{"dropping-particle":"","family":"Weintraub","given":"Michael N.","non-dropping-particle":"","parse-names":false,"suffix":""},{"dropping-particle":"","family":"Zoppini","given":"Annamaria","non-dropping-particle":"","parse-names":false,"suffix":""}],"container-title":"Soil Biology and Biochemistry","id":"ITEM-3","issued":{"date-parts":[["2013"]]},"page":"216-234","title":"Soil enzymes in a changing environment: Current knowledge and future directions","type":"article-journal","volume":"58"},"uris":["http://www.mendeley.com/documents/?uuid=0375d58a-e4cb-4a80-bc3b-9c1b0d6b4202"]},{"id":"ITEM-4","itemData":{"DOI":"10.1007/978-3-319-27422-5_12","abstract":"Tree-ring studies provide important contributions to understanding the climate sensitivity of tropical trees and the effects of global change on tropical forests. This chapter reviews recent advances in tropical tree-ring research. In tropical lowlands, tree ring formation is mainly driven by seasonal variation in precipitation or flooding, and not in temperature. Annual ring formation has now been confirmed for 230 tropical tree species across continents and climate zones. Tree-ring studies indicate that lifespans of tropical tree species average c. 200 years and only few species live &gt;500 years; these values are considerably lower than those based on indirect age estimates. Size-age trajectories show large and persis- tent growth variation among trees of the same species, due to variation in light, water and nutrient availability. Climate-growth analyses suggest that tropical tree growth is moderately sensitive to rainfall (dry years reduce growth) and temperature (hot years reduce growth). Tree-ring studies can assist in evaluating the effects of gradual changes in climatic conditions on tree growth and physiology but this requires that sampling biases are dealt with and ontogenetic changes are disen- tangled from temporal changes. This remains challenging, but studies have reported increases in intrinsic water use efficiency based on δ13C measurements in tree rings, most likely due to increasing atmospheric CO2. We conclude that tree-ring studies offer important insights to global change effects on tropical trees and will increasingly do so as new techniques become available and research efforts intensify.","author":[{"dropping-particle":"","family":"Dalling","given":"James W.","non-dropping-particle":"","parse-names":false,"suffix":""},{"dropping-particle":"","family":"Heineman","given":"Katherine","non-dropping-particle":"","parse-names":false,"suffix":""},{"dropping-particle":"","family":"Lopez","given":"Omar R.","non-dropping-particle":"","parse-names":false,"suffix":""},{"dropping-particle":"","family":"Wright","given":"S. Joseph","non-dropping-particle":"","parse-names":false,"suffix":""},{"dropping-particle":"","family":"Turner","given":"Benjamin L.","non-dropping-particle":"","parse-names":false,"suffix":""}],"container-title":"Tropical tree physiology","id":"ITEM-4","issued":{"date-parts":[["2016"]]},"page":"261-273","title":"Nutrient Availability in Tropical Rain Forests: The Paradigm of Phosphorus Limitation","type":"chapter"},"uris":["http://www.mendeley.com/documents/?uuid=dd10ef4d-85b3-4814-b393-5f267418fca8"]}],"mendeley":{"formattedCitation":"(Dakora &amp; Phillips, 2002; Burns &lt;i&gt;et al.&lt;/i&gt;, 2013; Dalling &lt;i&gt;et al.&lt;/i&gt;, 2016; Margalef &lt;i&gt;et al.&lt;/i&gt;, 2017)","plainTextFormattedCitation":"(Dakora &amp; Phillips, 2002; Burns et al., 2013; Dalling et al., 2016; Margalef et al., 2017)","previouslyFormattedCitation":"(Dakora &amp; Phillips, 2002; Burns &lt;i&gt;et al.&lt;/i&gt;, 2013; Dalling &lt;i&gt;et al.&lt;/i&gt;, 2016; Margalef &lt;i&gt;et al.&lt;/i&gt;, 2017)"},"properties":{"noteIndex":0},"schema":"https://github.com/citation-style-language/schema/raw/master/csl-citation.json"}</w:instrText>
      </w:r>
      <w:r w:rsidRPr="00872293">
        <w:rPr>
          <w:rFonts w:ascii="Times New Roman" w:hAnsi="Times New Roman"/>
          <w:shd w:val="clear" w:color="auto" w:fill="FFFFFF"/>
        </w:rPr>
        <w:fldChar w:fldCharType="separate"/>
      </w:r>
      <w:r w:rsidRPr="00872293">
        <w:rPr>
          <w:rFonts w:ascii="Times New Roman" w:hAnsi="Times New Roman"/>
          <w:noProof/>
          <w:shd w:val="clear" w:color="auto" w:fill="FFFFFF"/>
        </w:rPr>
        <w:t xml:space="preserve">(Dakora &amp; Phillips, 2002; Burns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xml:space="preserve">, 2013; Dalling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xml:space="preserve">, 2016; Margalef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2017)</w:t>
      </w:r>
      <w:r w:rsidRPr="00872293">
        <w:rPr>
          <w:rFonts w:ascii="Times New Roman" w:hAnsi="Times New Roman"/>
          <w:shd w:val="clear" w:color="auto" w:fill="FFFFFF"/>
        </w:rPr>
        <w:fldChar w:fldCharType="end"/>
      </w:r>
      <w:r w:rsidRPr="00872293">
        <w:rPr>
          <w:rFonts w:ascii="Times New Roman" w:hAnsi="Times New Roman"/>
          <w:shd w:val="clear" w:color="auto" w:fill="FFFFFF"/>
        </w:rPr>
        <w:t xml:space="preserve">. However, </w:t>
      </w:r>
      <w:r w:rsidR="002B1B48" w:rsidRPr="00872293">
        <w:rPr>
          <w:rFonts w:ascii="Times New Roman" w:hAnsi="Times New Roman"/>
          <w:shd w:val="clear" w:color="auto" w:fill="FFFFFF"/>
        </w:rPr>
        <w:t xml:space="preserve">although previous studies have shown that soil organic P </w:t>
      </w:r>
      <w:r w:rsidR="00900472" w:rsidRPr="00872293">
        <w:rPr>
          <w:rFonts w:ascii="Times New Roman" w:hAnsi="Times New Roman"/>
          <w:shd w:val="clear" w:color="auto" w:fill="FFFFFF"/>
        </w:rPr>
        <w:t>and available P</w:t>
      </w:r>
      <w:r w:rsidR="002B1B48" w:rsidRPr="00872293">
        <w:rPr>
          <w:rFonts w:ascii="Times New Roman" w:hAnsi="Times New Roman"/>
          <w:shd w:val="clear" w:color="auto" w:fill="FFFFFF"/>
        </w:rPr>
        <w:t xml:space="preserve"> increased in the LEF </w:t>
      </w:r>
      <w:r w:rsidR="00D976F8" w:rsidRPr="00872293">
        <w:rPr>
          <w:rFonts w:ascii="Times New Roman" w:hAnsi="Times New Roman"/>
          <w:shd w:val="clear" w:color="auto" w:fill="FFFFFF"/>
        </w:rPr>
        <w:t xml:space="preserve">immediately </w:t>
      </w:r>
      <w:r w:rsidR="002B1B48" w:rsidRPr="00872293">
        <w:rPr>
          <w:rFonts w:ascii="Times New Roman" w:hAnsi="Times New Roman"/>
          <w:shd w:val="clear" w:color="auto" w:fill="FFFFFF"/>
        </w:rPr>
        <w:t xml:space="preserve">after Hurricane Hugo </w:t>
      </w:r>
      <w:r w:rsidR="002B1B48" w:rsidRPr="00872293">
        <w:rPr>
          <w:rFonts w:ascii="Times New Roman" w:hAnsi="Times New Roman"/>
          <w:shd w:val="clear" w:color="auto" w:fill="FFFFFF"/>
        </w:rPr>
        <w:fldChar w:fldCharType="begin" w:fldLock="1"/>
      </w:r>
      <w:r w:rsidR="002B1B48" w:rsidRPr="00872293">
        <w:rPr>
          <w:rFonts w:ascii="Times New Roman" w:hAnsi="Times New Roman"/>
          <w:shd w:val="clear" w:color="auto" w:fill="FFFFFF"/>
        </w:rPr>
        <w:instrText>ADDIN CSL_CITATION {"citationItems":[{"id":"ITEM-1","itemData":{"DOI":"10.2307/2388253","ISSN":"00063606","abstract":"The forests and soils at Luquillo Experimental Forest (LEF) are frequently disturbed by hurricanes occurring at various frequencies and intensities. The authors derived a forest version of the Century soil organic matter model to examine the impact of hurricanes on soil nutrient availability and pool sizes, and forest productivity in the tabonuco forest. The model adequately predicted aboveground plant production, soil carbon, and soil nitrogen levels for forest conditions existing before Hurricane Hugo. Simulations of Hurricane Hugo and of an historical sequence of hurricanes indicated a complete pattern of recovery, especially for the first 10 yr after the hurricanes. After repeated hurricanes, forest biomass was reduced, while forest productivity was enhanced. Soil organic matter, and P and N mineralization stabilized at higher levels for the LEF than for hurricane-free tabonuco forest, and organic soil phosphorus was substantially increased by hurricanes. -from Authors","author":[{"dropping-particle":"","family":"Sanford","given":"Robert L.","non-dropping-particle":"","parse-names":false,"suffix":""},{"dropping-particle":"","family":"Parton","given":"William J.","non-dropping-particle":"","parse-names":false,"suffix":""},{"dropping-particle":"","family":"Ojima","given":"Dennis S.","non-dropping-particle":"","parse-names":false,"suffix":""},{"dropping-particle":"","family":"Lodge","given":"D. Jean","non-dropping-particle":"","parse-names":false,"suffix":""}],"container-title":"Biotropica","id":"ITEM-1","issued":{"date-parts":[["1991"]]},"page":"364-372","title":"Hurricane Effects on Soil Organic Matter Dynamics and Forest Production in the Luquillo Experimental Forest, Puerto Rico: Results of Simulation Modeling","type":"article-journal","volume":"23"},"uris":["http://www.mendeley.com/documents/?uuid=72b94b04-49fc-4842-b3b3-c15796563c18"]}],"mendeley":{"formattedCitation":"(Sanford &lt;i&gt;et al.&lt;/i&gt;, 1991)","plainTextFormattedCitation":"(Sanford et al., 1991)","previouslyFormattedCitation":"(Sanford &lt;i&gt;et al.&lt;/i&gt;, 1991)"},"properties":{"noteIndex":0},"schema":"https://github.com/citation-style-language/schema/raw/master/csl-citation.json"}</w:instrText>
      </w:r>
      <w:r w:rsidR="002B1B48" w:rsidRPr="00872293">
        <w:rPr>
          <w:rFonts w:ascii="Times New Roman" w:hAnsi="Times New Roman"/>
          <w:shd w:val="clear" w:color="auto" w:fill="FFFFFF"/>
        </w:rPr>
        <w:fldChar w:fldCharType="separate"/>
      </w:r>
      <w:r w:rsidR="002B1B48" w:rsidRPr="00872293">
        <w:rPr>
          <w:rFonts w:ascii="Times New Roman" w:hAnsi="Times New Roman"/>
          <w:noProof/>
          <w:shd w:val="clear" w:color="auto" w:fill="FFFFFF"/>
        </w:rPr>
        <w:t xml:space="preserve">(Sanford </w:t>
      </w:r>
      <w:r w:rsidR="002B1B48" w:rsidRPr="00872293">
        <w:rPr>
          <w:rFonts w:ascii="Times New Roman" w:hAnsi="Times New Roman"/>
          <w:i/>
          <w:noProof/>
          <w:shd w:val="clear" w:color="auto" w:fill="FFFFFF"/>
        </w:rPr>
        <w:t>et al.</w:t>
      </w:r>
      <w:r w:rsidR="002B1B48" w:rsidRPr="00872293">
        <w:rPr>
          <w:rFonts w:ascii="Times New Roman" w:hAnsi="Times New Roman"/>
          <w:noProof/>
          <w:shd w:val="clear" w:color="auto" w:fill="FFFFFF"/>
        </w:rPr>
        <w:t>, 1991</w:t>
      </w:r>
      <w:r w:rsidR="00900472" w:rsidRPr="00872293">
        <w:rPr>
          <w:rFonts w:ascii="Times New Roman" w:hAnsi="Times New Roman"/>
          <w:noProof/>
          <w:shd w:val="clear" w:color="auto" w:fill="FFFFFF"/>
        </w:rPr>
        <w:t xml:space="preserve">; </w:t>
      </w:r>
      <w:r w:rsidR="00D73002" w:rsidRPr="00872293">
        <w:rPr>
          <w:rFonts w:ascii="Times New Roman" w:hAnsi="Times New Roman"/>
          <w:noProof/>
          <w:shd w:val="clear" w:color="auto" w:fill="FFFFFF"/>
        </w:rPr>
        <w:t xml:space="preserve">Teh </w:t>
      </w:r>
      <w:r w:rsidR="00D73002" w:rsidRPr="00872293">
        <w:rPr>
          <w:rFonts w:ascii="Times New Roman" w:hAnsi="Times New Roman"/>
          <w:i/>
          <w:iCs/>
          <w:noProof/>
          <w:shd w:val="clear" w:color="auto" w:fill="FFFFFF"/>
        </w:rPr>
        <w:t>et al.,</w:t>
      </w:r>
      <w:r w:rsidR="00D73002" w:rsidRPr="00872293">
        <w:rPr>
          <w:rFonts w:ascii="Times New Roman" w:hAnsi="Times New Roman"/>
          <w:noProof/>
          <w:shd w:val="clear" w:color="auto" w:fill="FFFFFF"/>
        </w:rPr>
        <w:t xml:space="preserve"> 2009</w:t>
      </w:r>
      <w:r w:rsidR="002B1B48" w:rsidRPr="00872293">
        <w:rPr>
          <w:rFonts w:ascii="Times New Roman" w:hAnsi="Times New Roman"/>
          <w:noProof/>
          <w:shd w:val="clear" w:color="auto" w:fill="FFFFFF"/>
        </w:rPr>
        <w:t>)</w:t>
      </w:r>
      <w:r w:rsidR="002B1B48" w:rsidRPr="00872293">
        <w:rPr>
          <w:rFonts w:ascii="Times New Roman" w:hAnsi="Times New Roman"/>
          <w:shd w:val="clear" w:color="auto" w:fill="FFFFFF"/>
        </w:rPr>
        <w:fldChar w:fldCharType="end"/>
      </w:r>
      <w:r w:rsidR="002B1B48" w:rsidRPr="00872293">
        <w:rPr>
          <w:rFonts w:ascii="Times New Roman" w:hAnsi="Times New Roman"/>
          <w:shd w:val="clear" w:color="auto" w:fill="FFFFFF"/>
        </w:rPr>
        <w:t xml:space="preserve">, we found that soil available P collected in this study decreased </w:t>
      </w:r>
      <w:r w:rsidR="00D976F8" w:rsidRPr="00872293">
        <w:rPr>
          <w:rFonts w:ascii="Times New Roman" w:hAnsi="Times New Roman"/>
          <w:shd w:val="clear" w:color="auto" w:fill="FFFFFF"/>
        </w:rPr>
        <w:t xml:space="preserve">6 months </w:t>
      </w:r>
      <w:r w:rsidR="002B1B48" w:rsidRPr="00872293">
        <w:rPr>
          <w:rFonts w:ascii="Times New Roman" w:hAnsi="Times New Roman"/>
          <w:shd w:val="clear" w:color="auto" w:fill="FFFFFF"/>
        </w:rPr>
        <w:t xml:space="preserve">after the hurricanes. Thus, other factors might have affected the </w:t>
      </w:r>
      <w:r w:rsidR="00D976F8" w:rsidRPr="00872293">
        <w:rPr>
          <w:rFonts w:ascii="Times New Roman" w:hAnsi="Times New Roman"/>
          <w:shd w:val="clear" w:color="auto" w:fill="FFFFFF"/>
        </w:rPr>
        <w:t xml:space="preserve">root </w:t>
      </w:r>
      <w:r w:rsidR="002B1B48" w:rsidRPr="00872293">
        <w:rPr>
          <w:rFonts w:ascii="Times New Roman" w:hAnsi="Times New Roman"/>
          <w:shd w:val="clear" w:color="auto" w:fill="FFFFFF"/>
        </w:rPr>
        <w:t xml:space="preserve">enzymatic exudation. Hurricanes Irma and María </w:t>
      </w:r>
      <w:r w:rsidR="00D976F8" w:rsidRPr="00872293">
        <w:rPr>
          <w:rFonts w:ascii="Times New Roman" w:hAnsi="Times New Roman"/>
          <w:shd w:val="clear" w:color="auto" w:fill="FFFFFF"/>
        </w:rPr>
        <w:t>might</w:t>
      </w:r>
      <w:r w:rsidR="002B1B48" w:rsidRPr="00872293">
        <w:rPr>
          <w:rFonts w:ascii="Times New Roman" w:hAnsi="Times New Roman"/>
          <w:shd w:val="clear" w:color="auto" w:fill="FFFFFF"/>
        </w:rPr>
        <w:t xml:space="preserve"> affected </w:t>
      </w:r>
      <w:r w:rsidRPr="00872293">
        <w:rPr>
          <w:rFonts w:ascii="Times New Roman" w:hAnsi="Times New Roman"/>
          <w:shd w:val="clear" w:color="auto" w:fill="FFFFFF"/>
        </w:rPr>
        <w:t xml:space="preserve">the vegetation in different ways: partial to total defoliation, increase in soil moisture (SB2 was flooded for several months), and the increase in understory vegetation </w:t>
      </w:r>
      <w:r w:rsidRPr="00872293">
        <w:rPr>
          <w:rFonts w:ascii="Times New Roman" w:hAnsi="Times New Roman"/>
          <w:shd w:val="clear" w:color="auto" w:fill="FFFFFF"/>
        </w:rPr>
        <w:fldChar w:fldCharType="begin" w:fldLock="1"/>
      </w:r>
      <w:r w:rsidRPr="00872293">
        <w:rPr>
          <w:rFonts w:ascii="Times New Roman" w:hAnsi="Times New Roman"/>
          <w:shd w:val="clear" w:color="auto" w:fill="FFFFFF"/>
        </w:rPr>
        <w:instrText>ADDIN CSL_CITATION {"citationItems":[{"id":"ITEM-1","itemData":{"DOI":"10.1016/bs.aecr.2020.01.007","ISBN":"9780128211342","ISSN":"00652504","abstract":"Tropical forests represent &lt; 15% of Earth's terrestrial surface yet support &gt; 50% of the planet's species and play a disproportionately large role in determining climate due to the vast amounts of carbon they store and exchange with the atmosphere. Currently, disturbance patterns in tropical ecosystems are changing due to factors such as increased land use pressure and altered patterns in hurricanes. At the same time, these regions are expected to experience unprecedented warming before 2100. Despite the importance of these ecosystems for forecasting the global consequences of multiple stressors, our understanding of how projected changes in climate and disturbance will affect the biogeochemical cycling of tropical forests remains in its infancy. Until now, no studies to our knowledge have evaluated forest recovery following hurricane disturbance within the context of concurrent climatic change. Here, we present soil biogeochemical results from a tropical forest field warming experiment in Puerto Rico where, a year after experimental warming began, Hurricanes Irma and María greatly altered the forest, allowing a unique opportunity to explore the interacting effects of hurricane disturbance and warming. We tracked post-hurricane forest recovery for a year without warming to assess legacy effects of prior warming on the disturbance response, and then reinitiated warming treatments to further evaluate interactions between forest recovery and warmer temperatures. The data showed that warming affected multiple aspects of soil biogeochemical cycling even in the first year of treatment, with particularly large positive effects on soil microbial biomass pools (e.g., increases of 54%, 33%, and 38% relative to the control plots were observed for microbial biomass carbon, nitrogen, and phosphorus, respectively after 6 months of warming). We also observed significant effects of the hurricanes on soil biogeochemical cycling, as well as interactive controls of warming and disturbance. Taken together, our results showed dynamic soil responses that suggest the future of biogeochemical cycling in this tropical wet forest will be strongly shaped by the directional effects of warming and the episodic effects of hurricanes.","author":[{"dropping-particle":"","family":"Reed","given":"Sasha C.","non-dropping-particle":"","parse-names":false,"suffix":""},{"dropping-particle":"","family":"Reibold","given":"Robin","non-dropping-particle":"","parse-names":false,"suffix":""},{"dropping-particle":"","family":"Cavaleri","given":"Molly A.","non-dropping-particle":"","parse-names":false,"suffix":""},{"dropping-particle":"","family":"Alonso-Rodríguez","given":"Aura M.","non-dropping-particle":"","parse-names":false,"suffix":""},{"dropping-particle":"","family":"Berberich","given":"Megan E.","non-dropping-particle":"","parse-names":false,"suffix":""},{"dropping-particle":"","family":"Wood","given":"Tana E.","non-dropping-particle":"","parse-names":false,"suffix":""}],"container-title":"Advances in Ecological Research","id":"ITEM-1","issued":{"date-parts":[["2020"]]},"page":"226-248","title":"Soil biogeochemical responses of a tropical forest to warming and hurricane disturbance","type":"chapter"},"uris":["http://www.mendeley.com/documents/?uuid=1616d483-7f59-4168-b74e-9bd12a1c34dd"]},{"id":"ITEM-2","itemData":{"DOI":"https://doi.org/10.1002/ece3.6589","author":[{"dropping-particle":"","family":"Kennard","given":"Deborah K.","non-dropping-particle":"","parse-names":false,"suffix":""},{"dropping-particle":"","family":"Matlaga","given":"David","non-dropping-particle":"","parse-names":false,"suffix":""},{"dropping-particle":"","family":"Sharpe","given":"Joanne","non-dropping-particle":"","parse-names":false,"suffix":""},{"dropping-particle":"","family":"Wood","given":"Tana E.","non-dropping-particle":"","parse-names":false,"suffix":""},{"dropping-particle":"","family":"Alonso-Rodríguez","given":"Aura M.","non-dropping-particle":"","parse-names":false,"suffix":""},{"dropping-particle":"","family":"Reed","given":"Sasha C.","non-dropping-particle":"","parse-names":false,"suffix":""},{"dropping-particle":"","family":"Cavaleri","given":"Molly A.","non-dropping-particle":"","parse-names":false,"suffix":""},{"dropping-particle":"","family":"King","given":"Clay C.","non-dropping-particle":"","parse-names":false,"suffix":""}],"container-title":"Ecology and Evolution","id":"ITEM-2","issued":{"date-parts":[["2020"]]},"title":"Tropical understory herbaceous community responds more strongly to hurricane disturbance than to experimental warming","type":"article-journal"},"uris":["http://www.mendeley.com/documents/?uuid=4470553f-487f-40af-aac1-bc912293b68c"]}],"mendeley":{"formattedCitation":"(Kennard &lt;i&gt;et al.&lt;/i&gt;, 2020; Reed &lt;i&gt;et al.&lt;/i&gt;, 2020)","plainTextFormattedCitation":"(Kennard et al., 2020; Reed et al., 2020)","previouslyFormattedCitation":"(Kennard &lt;i&gt;et al.&lt;/i&gt;, 2020; Reed &lt;i&gt;et al.&lt;/i&gt;, 2020)"},"properties":{"noteIndex":0},"schema":"https://github.com/citation-style-language/schema/raw/master/csl-citation.json"}</w:instrText>
      </w:r>
      <w:r w:rsidRPr="00872293">
        <w:rPr>
          <w:rFonts w:ascii="Times New Roman" w:hAnsi="Times New Roman"/>
          <w:shd w:val="clear" w:color="auto" w:fill="FFFFFF"/>
        </w:rPr>
        <w:fldChar w:fldCharType="separate"/>
      </w:r>
      <w:r w:rsidRPr="00872293">
        <w:rPr>
          <w:rFonts w:ascii="Times New Roman" w:hAnsi="Times New Roman"/>
          <w:noProof/>
          <w:shd w:val="clear" w:color="auto" w:fill="FFFFFF"/>
        </w:rPr>
        <w:t xml:space="preserve">(Kennard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xml:space="preserve">, 2020; Reed </w:t>
      </w:r>
      <w:r w:rsidRPr="00872293">
        <w:rPr>
          <w:rFonts w:ascii="Times New Roman" w:hAnsi="Times New Roman"/>
          <w:i/>
          <w:noProof/>
          <w:shd w:val="clear" w:color="auto" w:fill="FFFFFF"/>
        </w:rPr>
        <w:t>et al.</w:t>
      </w:r>
      <w:r w:rsidRPr="00872293">
        <w:rPr>
          <w:rFonts w:ascii="Times New Roman" w:hAnsi="Times New Roman"/>
          <w:noProof/>
          <w:shd w:val="clear" w:color="auto" w:fill="FFFFFF"/>
        </w:rPr>
        <w:t>, 2020)</w:t>
      </w:r>
      <w:r w:rsidRPr="00872293">
        <w:rPr>
          <w:rFonts w:ascii="Times New Roman" w:hAnsi="Times New Roman"/>
          <w:shd w:val="clear" w:color="auto" w:fill="FFFFFF"/>
        </w:rPr>
        <w:fldChar w:fldCharType="end"/>
      </w:r>
      <w:r w:rsidR="001A75B0" w:rsidRPr="00872293">
        <w:rPr>
          <w:rFonts w:ascii="Times New Roman" w:hAnsi="Times New Roman"/>
          <w:shd w:val="clear" w:color="auto" w:fill="FFFFFF"/>
        </w:rPr>
        <w:t xml:space="preserve">. </w:t>
      </w:r>
      <w:r w:rsidRPr="00872293">
        <w:rPr>
          <w:rFonts w:ascii="Times New Roman" w:hAnsi="Times New Roman"/>
          <w:shd w:val="clear" w:color="auto" w:fill="FFFFFF"/>
        </w:rPr>
        <w:t>Thus, the production of PME could have been compromised by a</w:t>
      </w:r>
      <w:r w:rsidR="001A75B0" w:rsidRPr="00872293">
        <w:rPr>
          <w:rFonts w:ascii="Times New Roman" w:hAnsi="Times New Roman"/>
          <w:shd w:val="clear" w:color="auto" w:fill="FFFFFF"/>
        </w:rPr>
        <w:t xml:space="preserve"> low </w:t>
      </w:r>
      <w:r w:rsidRPr="00872293">
        <w:rPr>
          <w:rFonts w:ascii="Times New Roman" w:hAnsi="Times New Roman"/>
          <w:shd w:val="clear" w:color="auto" w:fill="FFFFFF"/>
        </w:rPr>
        <w:t>N and P demand</w:t>
      </w:r>
      <w:r w:rsidR="001A75B0" w:rsidRPr="00872293">
        <w:rPr>
          <w:rFonts w:ascii="Times New Roman" w:hAnsi="Times New Roman"/>
          <w:shd w:val="clear" w:color="auto" w:fill="FFFFFF"/>
        </w:rPr>
        <w:t xml:space="preserve"> from the plant</w:t>
      </w:r>
      <w:r w:rsidR="0063050A" w:rsidRPr="00872293">
        <w:rPr>
          <w:rFonts w:ascii="Times New Roman" w:hAnsi="Times New Roman"/>
          <w:shd w:val="clear" w:color="auto" w:fill="FFFFFF"/>
        </w:rPr>
        <w:t xml:space="preserve">, or low C allocation to </w:t>
      </w:r>
      <w:r w:rsidR="00152DFB" w:rsidRPr="00872293">
        <w:rPr>
          <w:rFonts w:ascii="Times New Roman" w:hAnsi="Times New Roman"/>
          <w:shd w:val="clear" w:color="auto" w:fill="FFFFFF"/>
        </w:rPr>
        <w:t>produce enzymes</w:t>
      </w:r>
      <w:r w:rsidR="001A75B0" w:rsidRPr="00872293">
        <w:rPr>
          <w:rFonts w:ascii="Times New Roman" w:hAnsi="Times New Roman"/>
          <w:shd w:val="clear" w:color="auto" w:fill="FFFFFF"/>
        </w:rPr>
        <w:t xml:space="preserve"> due the reduction of foliar cover</w:t>
      </w:r>
      <w:r w:rsidR="0063050A" w:rsidRPr="00872293">
        <w:rPr>
          <w:rFonts w:ascii="Times New Roman" w:hAnsi="Times New Roman"/>
          <w:shd w:val="clear" w:color="auto" w:fill="FFFFFF"/>
        </w:rPr>
        <w:t>.</w:t>
      </w:r>
      <w:r w:rsidRPr="00872293">
        <w:rPr>
          <w:rFonts w:ascii="Times New Roman" w:hAnsi="Times New Roman"/>
          <w:shd w:val="clear" w:color="auto" w:fill="FFFFFF"/>
        </w:rPr>
        <w:t xml:space="preserve"> </w:t>
      </w:r>
      <w:r w:rsidR="00152DFB" w:rsidRPr="00872293">
        <w:rPr>
          <w:rFonts w:ascii="Times New Roman" w:hAnsi="Times New Roman"/>
          <w:shd w:val="clear" w:color="auto" w:fill="FFFFFF"/>
        </w:rPr>
        <w:t xml:space="preserve">Further </w:t>
      </w:r>
      <w:r w:rsidRPr="00872293">
        <w:rPr>
          <w:rFonts w:ascii="Times New Roman" w:hAnsi="Times New Roman"/>
          <w:shd w:val="clear" w:color="auto" w:fill="FFFFFF"/>
        </w:rPr>
        <w:t xml:space="preserve">microbial composition change, </w:t>
      </w:r>
      <w:r w:rsidR="00152DFB" w:rsidRPr="00872293">
        <w:rPr>
          <w:rFonts w:ascii="Times New Roman" w:hAnsi="Times New Roman"/>
          <w:shd w:val="clear" w:color="auto" w:fill="FFFFFF"/>
        </w:rPr>
        <w:t xml:space="preserve">potential changes in mycorrhizal colonization rates, </w:t>
      </w:r>
      <w:r w:rsidRPr="00872293">
        <w:rPr>
          <w:rFonts w:ascii="Times New Roman" w:hAnsi="Times New Roman"/>
          <w:shd w:val="clear" w:color="auto" w:fill="FFFFFF"/>
        </w:rPr>
        <w:t>and resource competition with new vegetation</w:t>
      </w:r>
      <w:r w:rsidR="00152DFB" w:rsidRPr="00872293">
        <w:rPr>
          <w:rFonts w:ascii="Times New Roman" w:hAnsi="Times New Roman"/>
          <w:shd w:val="clear" w:color="auto" w:fill="FFFFFF"/>
        </w:rPr>
        <w:t xml:space="preserve"> could have played a role in the response of root PME after the hurricanes.</w:t>
      </w:r>
    </w:p>
    <w:p w14:paraId="1C3AA390" w14:textId="77777777" w:rsidR="00114A13" w:rsidRPr="00872293" w:rsidRDefault="00114A13" w:rsidP="00BB14DA">
      <w:pPr>
        <w:autoSpaceDE w:val="0"/>
        <w:autoSpaceDN w:val="0"/>
        <w:adjustRightInd w:val="0"/>
        <w:spacing w:line="360" w:lineRule="auto"/>
        <w:rPr>
          <w:rFonts w:ascii="Times New Roman" w:hAnsi="Times New Roman"/>
          <w:shd w:val="clear" w:color="auto" w:fill="FFFFFF"/>
        </w:rPr>
      </w:pPr>
    </w:p>
    <w:p w14:paraId="3453E932" w14:textId="77777777" w:rsidR="00A20952" w:rsidRPr="00872293" w:rsidRDefault="00A20952" w:rsidP="00496563">
      <w:pPr>
        <w:pStyle w:val="Heading2"/>
        <w:spacing w:before="0" w:after="0" w:line="360" w:lineRule="auto"/>
        <w:rPr>
          <w:rFonts w:cs="Times New Roman"/>
        </w:rPr>
      </w:pPr>
      <w:bookmarkStart w:id="156" w:name="_Toc53689116"/>
      <w:r w:rsidRPr="00872293">
        <w:rPr>
          <w:rFonts w:cs="Times New Roman"/>
        </w:rPr>
        <w:lastRenderedPageBreak/>
        <w:t>Conclusions</w:t>
      </w:r>
      <w:bookmarkEnd w:id="156"/>
    </w:p>
    <w:p w14:paraId="50520380" w14:textId="57FA5F55" w:rsidR="00412200" w:rsidRPr="00872293" w:rsidRDefault="00412200" w:rsidP="00496563">
      <w:pPr>
        <w:autoSpaceDE w:val="0"/>
        <w:autoSpaceDN w:val="0"/>
        <w:adjustRightInd w:val="0"/>
        <w:spacing w:before="240" w:line="360" w:lineRule="auto"/>
        <w:rPr>
          <w:rFonts w:ascii="Times New Roman" w:hAnsi="Times New Roman"/>
        </w:rPr>
      </w:pPr>
      <w:r w:rsidRPr="00872293">
        <w:rPr>
          <w:rFonts w:ascii="Times New Roman" w:hAnsi="Times New Roman"/>
        </w:rPr>
        <w:t xml:space="preserve">Throughout this study, we have seen that species differences account for most of the variation in root traits. Within this diversity of root traits, we found that species with greater root branching ratio had less mycorrhizal colonization, as we hypothesized in the collaboration gradient. However, we found that species with greater root PME also exhibited less root branching ratio, contrary to our hypothesis. Thus, we suggest that both, </w:t>
      </w:r>
      <w:proofErr w:type="gramStart"/>
      <w:r w:rsidRPr="00872293">
        <w:rPr>
          <w:rFonts w:ascii="Times New Roman" w:hAnsi="Times New Roman"/>
        </w:rPr>
        <w:t>roots</w:t>
      </w:r>
      <w:proofErr w:type="gramEnd"/>
      <w:r w:rsidRPr="00872293">
        <w:rPr>
          <w:rFonts w:ascii="Times New Roman" w:hAnsi="Times New Roman"/>
        </w:rPr>
        <w:t xml:space="preserve"> and the arbuscular mycorrhizal fungi could be potentially contributing to P acquisition by a combined or complementary effort of enzymatic phosphatase exudation and exploitation of mineralized P. Further, we found that root branching ratio had a positive relationship with SRL, despite species variation. Thus, we suggest that root branching might be part of the “do it yourself” strategy for the</w:t>
      </w:r>
      <w:r w:rsidR="00C473C0" w:rsidRPr="00872293">
        <w:rPr>
          <w:rFonts w:ascii="Times New Roman" w:hAnsi="Times New Roman"/>
        </w:rPr>
        <w:t xml:space="preserve"> </w:t>
      </w:r>
      <w:r w:rsidRPr="00872293">
        <w:rPr>
          <w:rFonts w:ascii="Times New Roman" w:hAnsi="Times New Roman"/>
        </w:rPr>
        <w:t>collaboration</w:t>
      </w:r>
      <w:r w:rsidR="00C473C0" w:rsidRPr="00872293">
        <w:rPr>
          <w:rFonts w:ascii="Times New Roman" w:hAnsi="Times New Roman"/>
        </w:rPr>
        <w:t xml:space="preserve"> </w:t>
      </w:r>
      <w:r w:rsidRPr="00872293">
        <w:rPr>
          <w:rFonts w:ascii="Times New Roman" w:hAnsi="Times New Roman"/>
        </w:rPr>
        <w:t xml:space="preserve">gradient, and </w:t>
      </w:r>
      <w:bookmarkStart w:id="157" w:name="_Hlk52023396"/>
      <w:r w:rsidRPr="00872293">
        <w:rPr>
          <w:rFonts w:ascii="Times New Roman" w:hAnsi="Times New Roman"/>
        </w:rPr>
        <w:t>root mycorrhizal colonization and root PME occupy the “outsourcing” strategy</w:t>
      </w:r>
      <w:r w:rsidR="005A7605" w:rsidRPr="00872293">
        <w:rPr>
          <w:rFonts w:ascii="Times New Roman" w:hAnsi="Times New Roman"/>
        </w:rPr>
        <w:t>. Although our opposite trend of PME and root branching ratio was confirmed for pre-hurricanes samples,</w:t>
      </w:r>
      <w:r w:rsidRPr="00872293">
        <w:rPr>
          <w:rFonts w:ascii="Times New Roman" w:hAnsi="Times New Roman"/>
        </w:rPr>
        <w:t xml:space="preserve"> </w:t>
      </w:r>
      <w:r w:rsidR="005A7605" w:rsidRPr="00872293">
        <w:rPr>
          <w:rFonts w:ascii="Times New Roman" w:hAnsi="Times New Roman"/>
        </w:rPr>
        <w:t xml:space="preserve">we do consider important to consider </w:t>
      </w:r>
      <w:r w:rsidRPr="00872293">
        <w:rPr>
          <w:rFonts w:ascii="Times New Roman" w:hAnsi="Times New Roman"/>
        </w:rPr>
        <w:t xml:space="preserve">more species </w:t>
      </w:r>
      <w:r w:rsidR="005A7605" w:rsidRPr="00872293">
        <w:rPr>
          <w:rFonts w:ascii="Times New Roman" w:hAnsi="Times New Roman"/>
        </w:rPr>
        <w:t>and greater sample size to confirm the patterns</w:t>
      </w:r>
      <w:r w:rsidRPr="00872293">
        <w:rPr>
          <w:rFonts w:ascii="Times New Roman" w:hAnsi="Times New Roman"/>
        </w:rPr>
        <w:t xml:space="preserve">. </w:t>
      </w:r>
      <w:bookmarkEnd w:id="157"/>
      <w:r w:rsidRPr="00872293">
        <w:rPr>
          <w:rFonts w:ascii="Times New Roman" w:hAnsi="Times New Roman"/>
        </w:rPr>
        <w:t>Finally, we found that only root PME decreased with the hurricane disturbance</w:t>
      </w:r>
      <w:r w:rsidR="00A649B5" w:rsidRPr="00872293">
        <w:rPr>
          <w:rFonts w:ascii="Times New Roman" w:hAnsi="Times New Roman"/>
        </w:rPr>
        <w:t xml:space="preserve"> (not including mycorrhizal percent colonization in the analysis)</w:t>
      </w:r>
      <w:r w:rsidRPr="00872293">
        <w:rPr>
          <w:rFonts w:ascii="Times New Roman" w:hAnsi="Times New Roman"/>
        </w:rPr>
        <w:t xml:space="preserve">, which could have been related to the changes in soil nutrient concentrations, plant demand, </w:t>
      </w:r>
      <w:r w:rsidR="00A649B5" w:rsidRPr="00872293">
        <w:rPr>
          <w:rFonts w:ascii="Times New Roman" w:hAnsi="Times New Roman"/>
        </w:rPr>
        <w:t>low C allocation to enzyme production due to low foliar cover, or</w:t>
      </w:r>
      <w:r w:rsidRPr="00872293">
        <w:rPr>
          <w:rFonts w:ascii="Times New Roman" w:hAnsi="Times New Roman"/>
        </w:rPr>
        <w:t xml:space="preserve"> microbial composition</w:t>
      </w:r>
      <w:r w:rsidR="00A649B5" w:rsidRPr="00872293">
        <w:rPr>
          <w:rFonts w:ascii="Times New Roman" w:hAnsi="Times New Roman"/>
        </w:rPr>
        <w:t xml:space="preserve"> and abundance</w:t>
      </w:r>
      <w:r w:rsidRPr="00872293">
        <w:rPr>
          <w:rFonts w:ascii="Times New Roman" w:hAnsi="Times New Roman"/>
        </w:rPr>
        <w:t xml:space="preserve"> in the rhizosphere.</w:t>
      </w:r>
    </w:p>
    <w:p w14:paraId="755D29AD" w14:textId="77777777" w:rsidR="00412200" w:rsidRPr="00872293" w:rsidRDefault="00412200" w:rsidP="00412200">
      <w:pPr>
        <w:autoSpaceDE w:val="0"/>
        <w:autoSpaceDN w:val="0"/>
        <w:adjustRightInd w:val="0"/>
        <w:spacing w:line="360" w:lineRule="auto"/>
        <w:rPr>
          <w:rFonts w:ascii="Times New Roman" w:hAnsi="Times New Roman"/>
        </w:rPr>
      </w:pPr>
    </w:p>
    <w:p w14:paraId="1214CC6F" w14:textId="3A0AFEA6" w:rsidR="00412200" w:rsidRPr="00872293" w:rsidRDefault="00412200" w:rsidP="00412200">
      <w:pPr>
        <w:autoSpaceDE w:val="0"/>
        <w:autoSpaceDN w:val="0"/>
        <w:adjustRightInd w:val="0"/>
        <w:spacing w:line="360" w:lineRule="auto"/>
        <w:rPr>
          <w:rFonts w:ascii="Times New Roman" w:eastAsiaTheme="minorHAnsi" w:hAnsi="Times New Roman"/>
        </w:rPr>
      </w:pPr>
      <w:bookmarkStart w:id="158" w:name="_Hlk52023350"/>
      <w:r w:rsidRPr="00872293">
        <w:rPr>
          <w:rFonts w:ascii="Times New Roman" w:hAnsi="Times New Roman"/>
        </w:rPr>
        <w:t xml:space="preserve">The complexity and </w:t>
      </w:r>
      <w:r w:rsidRPr="00872293">
        <w:rPr>
          <w:rFonts w:ascii="Times New Roman" w:hAnsi="Times New Roman"/>
          <w:shd w:val="clear" w:color="auto" w:fill="FFFFFF"/>
        </w:rPr>
        <w:t xml:space="preserve">multidimensionality of root traits can be driven by different selection pressures and be </w:t>
      </w:r>
      <w:r w:rsidRPr="00872293">
        <w:rPr>
          <w:rFonts w:ascii="Times New Roman" w:eastAsiaTheme="minorHAnsi" w:hAnsi="Times New Roman"/>
        </w:rPr>
        <w:t xml:space="preserve">constrained by multiple environmental drivers that might not necessarily be related to P uptake. Thus, finding general trade-offs between root traits that can inform P acquisition strategies between species is a challenging task, and it is likely that mycorrhizal symbiosis represents another dimension in addition to the two already suggested in the literature. </w:t>
      </w:r>
      <w:r w:rsidRPr="00872293">
        <w:rPr>
          <w:rFonts w:ascii="Times New Roman" w:hAnsi="Times New Roman"/>
        </w:rPr>
        <w:t xml:space="preserve">Further studies on these trade-offs are necessary, as is accounting for </w:t>
      </w:r>
      <w:r w:rsidRPr="00872293">
        <w:rPr>
          <w:rFonts w:ascii="Times New Roman" w:eastAsiaTheme="minorHAnsi" w:hAnsi="Times New Roman"/>
        </w:rPr>
        <w:t xml:space="preserve">interspecific and intraspecific root trait variations and environmental drivers, all of which are important factors to consider when interpreting trade-offs. </w:t>
      </w:r>
    </w:p>
    <w:bookmarkEnd w:id="158"/>
    <w:p w14:paraId="5442D9BC" w14:textId="4832CFEE" w:rsidR="00A20952" w:rsidRPr="00872293" w:rsidRDefault="00A20952" w:rsidP="00496563">
      <w:pPr>
        <w:pStyle w:val="Heading2"/>
        <w:spacing w:before="0" w:after="0" w:line="360" w:lineRule="auto"/>
        <w:rPr>
          <w:rFonts w:cs="Times New Roman"/>
        </w:rPr>
      </w:pPr>
      <w:r w:rsidRPr="00872293">
        <w:rPr>
          <w:rFonts w:cs="Times New Roman"/>
          <w:bCs/>
        </w:rPr>
        <w:br w:type="page"/>
      </w:r>
      <w:bookmarkStart w:id="159" w:name="_Toc53689117"/>
      <w:bookmarkEnd w:id="126"/>
      <w:r w:rsidRPr="00872293">
        <w:rPr>
          <w:rFonts w:cs="Times New Roman"/>
        </w:rPr>
        <w:lastRenderedPageBreak/>
        <w:t>References</w:t>
      </w:r>
      <w:bookmarkEnd w:id="159"/>
    </w:p>
    <w:p w14:paraId="1F9CC044" w14:textId="77777777" w:rsidR="0075656C" w:rsidRPr="00872293" w:rsidRDefault="0075656C" w:rsidP="00496563">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shd w:val="clear" w:color="auto" w:fill="FCFCFC"/>
        </w:rPr>
        <w:fldChar w:fldCharType="begin" w:fldLock="1"/>
      </w:r>
      <w:r w:rsidRPr="00872293">
        <w:rPr>
          <w:rFonts w:ascii="Times New Roman" w:hAnsi="Times New Roman" w:cs="Times New Roman"/>
          <w:shd w:val="clear" w:color="auto" w:fill="FCFCFC"/>
        </w:rPr>
        <w:instrText xml:space="preserve">ADDIN Mendeley Bibliography CSL_BIBLIOGRAPHY </w:instrText>
      </w:r>
      <w:r w:rsidRPr="00872293">
        <w:rPr>
          <w:rFonts w:ascii="Times New Roman" w:hAnsi="Times New Roman" w:cs="Times New Roman"/>
          <w:shd w:val="clear" w:color="auto" w:fill="FCFCFC"/>
        </w:rPr>
        <w:fldChar w:fldCharType="separate"/>
      </w:r>
      <w:r w:rsidRPr="00872293">
        <w:rPr>
          <w:rFonts w:ascii="Times New Roman" w:hAnsi="Times New Roman" w:cs="Times New Roman"/>
          <w:b/>
          <w:bCs/>
          <w:noProof/>
        </w:rPr>
        <w:t>Antibus RK, Sinsabaugh RL, Linkins AE</w:t>
      </w:r>
      <w:r w:rsidRPr="00872293">
        <w:rPr>
          <w:rFonts w:ascii="Times New Roman" w:hAnsi="Times New Roman" w:cs="Times New Roman"/>
          <w:noProof/>
        </w:rPr>
        <w:t xml:space="preserve">. </w:t>
      </w:r>
      <w:r w:rsidRPr="00872293">
        <w:rPr>
          <w:rFonts w:ascii="Times New Roman" w:hAnsi="Times New Roman" w:cs="Times New Roman"/>
          <w:b/>
          <w:bCs/>
          <w:noProof/>
        </w:rPr>
        <w:t>1992</w:t>
      </w:r>
      <w:r w:rsidRPr="00872293">
        <w:rPr>
          <w:rFonts w:ascii="Times New Roman" w:hAnsi="Times New Roman" w:cs="Times New Roman"/>
          <w:noProof/>
        </w:rPr>
        <w:t xml:space="preserve">. Phosphatase activities and phosphorus uptake from inositol phosphate by ectomycorrhizal fungi. </w:t>
      </w:r>
      <w:r w:rsidRPr="00872293">
        <w:rPr>
          <w:rFonts w:ascii="Times New Roman" w:hAnsi="Times New Roman" w:cs="Times New Roman"/>
          <w:i/>
          <w:iCs/>
          <w:noProof/>
        </w:rPr>
        <w:t>Canadian Journal of Botany</w:t>
      </w:r>
      <w:r w:rsidRPr="00872293">
        <w:rPr>
          <w:rFonts w:ascii="Times New Roman" w:hAnsi="Times New Roman" w:cs="Times New Roman"/>
          <w:noProof/>
        </w:rPr>
        <w:t xml:space="preserve"> </w:t>
      </w:r>
      <w:r w:rsidRPr="00872293">
        <w:rPr>
          <w:rFonts w:ascii="Times New Roman" w:hAnsi="Times New Roman" w:cs="Times New Roman"/>
          <w:b/>
          <w:bCs/>
          <w:noProof/>
        </w:rPr>
        <w:t>70</w:t>
      </w:r>
      <w:r w:rsidRPr="00872293">
        <w:rPr>
          <w:rFonts w:ascii="Times New Roman" w:hAnsi="Times New Roman" w:cs="Times New Roman"/>
          <w:noProof/>
        </w:rPr>
        <w:t>: 794–801.</w:t>
      </w:r>
    </w:p>
    <w:p w14:paraId="5B88C35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Bachelot B, Lee CT</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Dynamic preferential allocation to arbuscular mycorrhizal fungi explains fungal succession and coexistence.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99</w:t>
      </w:r>
      <w:r w:rsidRPr="00872293">
        <w:rPr>
          <w:rFonts w:ascii="Times New Roman" w:hAnsi="Times New Roman" w:cs="Times New Roman"/>
          <w:noProof/>
        </w:rPr>
        <w:t>: 372–384.</w:t>
      </w:r>
    </w:p>
    <w:p w14:paraId="28BB149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Bartlett EM, Lewis DH</w:t>
      </w:r>
      <w:r w:rsidRPr="00872293">
        <w:rPr>
          <w:rFonts w:ascii="Times New Roman" w:hAnsi="Times New Roman" w:cs="Times New Roman"/>
          <w:noProof/>
        </w:rPr>
        <w:t xml:space="preserve">. </w:t>
      </w:r>
      <w:r w:rsidRPr="00872293">
        <w:rPr>
          <w:rFonts w:ascii="Times New Roman" w:hAnsi="Times New Roman" w:cs="Times New Roman"/>
          <w:b/>
          <w:bCs/>
          <w:noProof/>
        </w:rPr>
        <w:t>1973</w:t>
      </w:r>
      <w:r w:rsidRPr="00872293">
        <w:rPr>
          <w:rFonts w:ascii="Times New Roman" w:hAnsi="Times New Roman" w:cs="Times New Roman"/>
          <w:noProof/>
        </w:rPr>
        <w:t xml:space="preserve">. Surface phosphatase activity of mycorrhizal roots of beech. </w:t>
      </w:r>
      <w:r w:rsidRPr="00872293">
        <w:rPr>
          <w:rFonts w:ascii="Times New Roman" w:hAnsi="Times New Roman" w:cs="Times New Roman"/>
          <w:i/>
          <w:iCs/>
          <w:noProof/>
        </w:rPr>
        <w:t>Soil Biology and Biochemistry</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249–257.</w:t>
      </w:r>
    </w:p>
    <w:p w14:paraId="2C117D8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Bates D, Mächler M, Bolker BM, Walker SC</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Fitting linear mixed-effects models using lme4. </w:t>
      </w:r>
      <w:r w:rsidRPr="00872293">
        <w:rPr>
          <w:rFonts w:ascii="Times New Roman" w:hAnsi="Times New Roman" w:cs="Times New Roman"/>
          <w:i/>
          <w:iCs/>
          <w:noProof/>
        </w:rPr>
        <w:t>Journal of Statistical Software</w:t>
      </w:r>
      <w:r w:rsidRPr="00872293">
        <w:rPr>
          <w:rFonts w:ascii="Times New Roman" w:hAnsi="Times New Roman" w:cs="Times New Roman"/>
          <w:noProof/>
        </w:rPr>
        <w:t>.</w:t>
      </w:r>
    </w:p>
    <w:p w14:paraId="3608B4D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Beer C, Reichstein M, Tomelleri E, Ciais P, Jung M, Carvalhais N, Rödenbeck C, Arain MA, Baldocchi D, Bonan GB,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Terrestrial gross carbon dioxide uptake: Global distribution and covariation with climate.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329</w:t>
      </w:r>
      <w:r w:rsidRPr="00872293">
        <w:rPr>
          <w:rFonts w:ascii="Times New Roman" w:hAnsi="Times New Roman" w:cs="Times New Roman"/>
          <w:noProof/>
        </w:rPr>
        <w:t>: 834–838.</w:t>
      </w:r>
    </w:p>
    <w:p w14:paraId="070ED3C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Bergmann J, Weigelt A, Van Der Plas F, Laughlin DC, Kuyper TW, Guerrero-Ramirez N, Valverde-Barrantes OJ, Bruelheide H, Freschet GT, Iversen CM,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The fungal collaboration gradient dominates the root economics space in plants.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6</w:t>
      </w:r>
      <w:r w:rsidRPr="00872293">
        <w:rPr>
          <w:rFonts w:ascii="Times New Roman" w:hAnsi="Times New Roman" w:cs="Times New Roman"/>
          <w:noProof/>
        </w:rPr>
        <w:t>: 27.</w:t>
      </w:r>
    </w:p>
    <w:p w14:paraId="5EDE74AB"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Bowman RA</w:t>
      </w:r>
      <w:r w:rsidRPr="00872293">
        <w:rPr>
          <w:rFonts w:ascii="Times New Roman" w:hAnsi="Times New Roman" w:cs="Times New Roman"/>
          <w:noProof/>
        </w:rPr>
        <w:t xml:space="preserve">. </w:t>
      </w:r>
      <w:r w:rsidRPr="00872293">
        <w:rPr>
          <w:rFonts w:ascii="Times New Roman" w:hAnsi="Times New Roman" w:cs="Times New Roman"/>
          <w:b/>
          <w:bCs/>
          <w:noProof/>
        </w:rPr>
        <w:t>1989</w:t>
      </w:r>
      <w:r w:rsidRPr="00872293">
        <w:rPr>
          <w:rFonts w:ascii="Times New Roman" w:hAnsi="Times New Roman" w:cs="Times New Roman"/>
          <w:noProof/>
        </w:rPr>
        <w:t xml:space="preserve">. A Sequential Extraction Procedure with Concentrated Sulfuric Acid and Dilute Base for Soil Organic Phosphorus. </w:t>
      </w:r>
      <w:r w:rsidRPr="00872293">
        <w:rPr>
          <w:rFonts w:ascii="Times New Roman" w:hAnsi="Times New Roman" w:cs="Times New Roman"/>
          <w:i/>
          <w:iCs/>
          <w:noProof/>
        </w:rPr>
        <w:t>Soil Science Society of America Journal</w:t>
      </w:r>
      <w:r w:rsidRPr="00872293">
        <w:rPr>
          <w:rFonts w:ascii="Times New Roman" w:hAnsi="Times New Roman" w:cs="Times New Roman"/>
          <w:noProof/>
        </w:rPr>
        <w:t xml:space="preserve"> </w:t>
      </w:r>
      <w:r w:rsidRPr="00872293">
        <w:rPr>
          <w:rFonts w:ascii="Times New Roman" w:hAnsi="Times New Roman" w:cs="Times New Roman"/>
          <w:b/>
          <w:bCs/>
          <w:noProof/>
        </w:rPr>
        <w:t>53</w:t>
      </w:r>
      <w:r w:rsidRPr="00872293">
        <w:rPr>
          <w:rFonts w:ascii="Times New Roman" w:hAnsi="Times New Roman" w:cs="Times New Roman"/>
          <w:noProof/>
        </w:rPr>
        <w:t>: 362–366.</w:t>
      </w:r>
    </w:p>
    <w:p w14:paraId="172EB0F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Brundrett MC</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Coevolution of roots and mycorrhizas of land plants.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154</w:t>
      </w:r>
      <w:r w:rsidRPr="00872293">
        <w:rPr>
          <w:rFonts w:ascii="Times New Roman" w:hAnsi="Times New Roman" w:cs="Times New Roman"/>
          <w:noProof/>
        </w:rPr>
        <w:t>: 275–304.</w:t>
      </w:r>
    </w:p>
    <w:p w14:paraId="7548D73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Burns RG, DeForest JL, Marxsen J, Sinsabaugh RL, Stromberger ME, Wallenstein MD, Weintraub MN, Zoppini A</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Soil enzymes in a changing environment: Current knowledge and future directions. </w:t>
      </w:r>
      <w:r w:rsidRPr="00872293">
        <w:rPr>
          <w:rFonts w:ascii="Times New Roman" w:hAnsi="Times New Roman" w:cs="Times New Roman"/>
          <w:i/>
          <w:iCs/>
          <w:noProof/>
        </w:rPr>
        <w:t>Soil Biology and Biochemistry</w:t>
      </w:r>
      <w:r w:rsidRPr="00872293">
        <w:rPr>
          <w:rFonts w:ascii="Times New Roman" w:hAnsi="Times New Roman" w:cs="Times New Roman"/>
          <w:noProof/>
        </w:rPr>
        <w:t xml:space="preserve"> </w:t>
      </w:r>
      <w:r w:rsidRPr="00872293">
        <w:rPr>
          <w:rFonts w:ascii="Times New Roman" w:hAnsi="Times New Roman" w:cs="Times New Roman"/>
          <w:b/>
          <w:bCs/>
          <w:noProof/>
        </w:rPr>
        <w:t>58</w:t>
      </w:r>
      <w:r w:rsidRPr="00872293">
        <w:rPr>
          <w:rFonts w:ascii="Times New Roman" w:hAnsi="Times New Roman" w:cs="Times New Roman"/>
          <w:noProof/>
        </w:rPr>
        <w:t>: 216–234.</w:t>
      </w:r>
    </w:p>
    <w:p w14:paraId="06744141"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Cabugao KG, Timm CM, Carrell AA, Childs J, Lu TYS, Pelletier DA, Weston DJ, Norby RJ</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Root and rhizosphere bacterial phosphatase activity varies with tree species and soil phosphorus availability in puerto rico tropical forest. </w:t>
      </w:r>
      <w:r w:rsidRPr="00872293">
        <w:rPr>
          <w:rFonts w:ascii="Times New Roman" w:hAnsi="Times New Roman" w:cs="Times New Roman"/>
          <w:i/>
          <w:iCs/>
          <w:noProof/>
        </w:rPr>
        <w:t>Frontiers in Plant Science</w:t>
      </w:r>
      <w:r w:rsidRPr="00872293">
        <w:rPr>
          <w:rFonts w:ascii="Times New Roman" w:hAnsi="Times New Roman" w:cs="Times New Roman"/>
          <w:noProof/>
        </w:rPr>
        <w:t xml:space="preserve"> </w:t>
      </w:r>
      <w:r w:rsidRPr="00872293">
        <w:rPr>
          <w:rFonts w:ascii="Times New Roman" w:hAnsi="Times New Roman" w:cs="Times New Roman"/>
          <w:b/>
          <w:bCs/>
          <w:noProof/>
        </w:rPr>
        <w:t>8</w:t>
      </w:r>
      <w:r w:rsidRPr="00872293">
        <w:rPr>
          <w:rFonts w:ascii="Times New Roman" w:hAnsi="Times New Roman" w:cs="Times New Roman"/>
          <w:noProof/>
        </w:rPr>
        <w:t>: 1834.</w:t>
      </w:r>
    </w:p>
    <w:p w14:paraId="34F814FC" w14:textId="77D3A612"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 xml:space="preserve">Cabugao KG, Yaffar D, Stenson N, Childs J, Phillips J Mayes MA, Yang X, Weston DJ, Norby RJ. </w:t>
      </w:r>
      <w:r w:rsidRPr="00872293">
        <w:rPr>
          <w:rFonts w:ascii="Times New Roman" w:hAnsi="Times New Roman" w:cs="Times New Roman"/>
        </w:rPr>
        <w:t xml:space="preserve">Bringing function to structure: Root-soil interactions shaping phosphorus availability through a soil profile in Puerto Rico. </w:t>
      </w:r>
      <w:r w:rsidRPr="00872293">
        <w:rPr>
          <w:rFonts w:ascii="Times New Roman" w:hAnsi="Times New Roman" w:cs="Times New Roman"/>
          <w:i/>
          <w:iCs/>
        </w:rPr>
        <w:t>Ecology and Evolution.</w:t>
      </w:r>
      <w:r w:rsidRPr="00872293">
        <w:rPr>
          <w:rFonts w:ascii="Times New Roman" w:hAnsi="Times New Roman" w:cs="Times New Roman"/>
        </w:rPr>
        <w:t xml:space="preserve"> </w:t>
      </w:r>
      <w:r w:rsidRPr="00B20646">
        <w:rPr>
          <w:rFonts w:ascii="Times New Roman" w:hAnsi="Times New Roman" w:cs="Times New Roman"/>
          <w:i/>
          <w:iCs/>
        </w:rPr>
        <w:t xml:space="preserve">In </w:t>
      </w:r>
      <w:r w:rsidR="00E8468B" w:rsidRPr="00B20646">
        <w:rPr>
          <w:rFonts w:ascii="Times New Roman" w:hAnsi="Times New Roman" w:cs="Times New Roman"/>
          <w:i/>
          <w:iCs/>
        </w:rPr>
        <w:t>press</w:t>
      </w:r>
      <w:r w:rsidRPr="00B20646">
        <w:rPr>
          <w:rFonts w:ascii="Times New Roman" w:hAnsi="Times New Roman" w:cs="Times New Roman"/>
          <w:i/>
          <w:iCs/>
        </w:rPr>
        <w:t>.</w:t>
      </w:r>
    </w:p>
    <w:p w14:paraId="2C49CE21"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Chambers JM, Freeny AE, Heiberger RM</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Analysis of variance; designed experiments. In: Statistical Models in S.</w:t>
      </w:r>
    </w:p>
    <w:p w14:paraId="2675A5E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Chen W, Zeng H, Eissenstat DM, Guo D</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Variation of first-order root traits across climatic gradients and evolutionary trends in geological time. </w:t>
      </w:r>
      <w:r w:rsidRPr="00872293">
        <w:rPr>
          <w:rFonts w:ascii="Times New Roman" w:hAnsi="Times New Roman" w:cs="Times New Roman"/>
          <w:i/>
          <w:iCs/>
          <w:noProof/>
        </w:rPr>
        <w:t>Global Ecology and Biogeography</w:t>
      </w:r>
      <w:r w:rsidRPr="00872293">
        <w:rPr>
          <w:rFonts w:ascii="Times New Roman" w:hAnsi="Times New Roman" w:cs="Times New Roman"/>
          <w:noProof/>
        </w:rPr>
        <w:t>.</w:t>
      </w:r>
    </w:p>
    <w:p w14:paraId="0A694CB5"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Cockerton HM, Li B, Stavridou E, Johnson A, Karlström A, Armitage AD, Martinez-Crucis A, Galiano-Arjona L, Harrison N, Barber-Pérez N,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Genetic and phenotypic associations between root architecture, arbuscular mycorrhizal fungi colonisation and low phosphate tolerance in strawberry (Fragaria × ananassa). </w:t>
      </w:r>
      <w:r w:rsidRPr="00872293">
        <w:rPr>
          <w:rFonts w:ascii="Times New Roman" w:hAnsi="Times New Roman" w:cs="Times New Roman"/>
          <w:i/>
          <w:iCs/>
          <w:noProof/>
        </w:rPr>
        <w:t>BMC Plant Biology</w:t>
      </w:r>
      <w:r w:rsidRPr="00872293">
        <w:rPr>
          <w:rFonts w:ascii="Times New Roman" w:hAnsi="Times New Roman" w:cs="Times New Roman"/>
          <w:noProof/>
        </w:rPr>
        <w:t xml:space="preserve"> </w:t>
      </w:r>
      <w:r w:rsidRPr="00872293">
        <w:rPr>
          <w:rFonts w:ascii="Times New Roman" w:hAnsi="Times New Roman" w:cs="Times New Roman"/>
          <w:b/>
          <w:bCs/>
          <w:noProof/>
        </w:rPr>
        <w:t>20</w:t>
      </w:r>
      <w:r w:rsidRPr="00872293">
        <w:rPr>
          <w:rFonts w:ascii="Times New Roman" w:hAnsi="Times New Roman" w:cs="Times New Roman"/>
          <w:noProof/>
        </w:rPr>
        <w:t>: 1–14.</w:t>
      </w:r>
    </w:p>
    <w:p w14:paraId="04B0766D"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Comas LH, Eissenstat DM</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Linking fine root traits to maximum potential growth rate among 11 mature temperate tree species. </w:t>
      </w:r>
      <w:r w:rsidRPr="00872293">
        <w:rPr>
          <w:rFonts w:ascii="Times New Roman" w:hAnsi="Times New Roman" w:cs="Times New Roman"/>
          <w:i/>
          <w:iCs/>
          <w:noProof/>
        </w:rPr>
        <w:t>Functional Ecology</w:t>
      </w:r>
      <w:r w:rsidRPr="00872293">
        <w:rPr>
          <w:rFonts w:ascii="Times New Roman" w:hAnsi="Times New Roman" w:cs="Times New Roman"/>
          <w:noProof/>
        </w:rPr>
        <w:t xml:space="preserve"> </w:t>
      </w:r>
      <w:r w:rsidRPr="00872293">
        <w:rPr>
          <w:rFonts w:ascii="Times New Roman" w:hAnsi="Times New Roman" w:cs="Times New Roman"/>
          <w:b/>
          <w:bCs/>
          <w:noProof/>
        </w:rPr>
        <w:t>18</w:t>
      </w:r>
      <w:r w:rsidRPr="00872293">
        <w:rPr>
          <w:rFonts w:ascii="Times New Roman" w:hAnsi="Times New Roman" w:cs="Times New Roman"/>
          <w:noProof/>
        </w:rPr>
        <w:t>: 388–397.</w:t>
      </w:r>
    </w:p>
    <w:p w14:paraId="00BBEFB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Condron LM, Moir JO, Tiessen H, Stewart JWB</w:t>
      </w:r>
      <w:r w:rsidRPr="00872293">
        <w:rPr>
          <w:rFonts w:ascii="Times New Roman" w:hAnsi="Times New Roman" w:cs="Times New Roman"/>
          <w:noProof/>
        </w:rPr>
        <w:t xml:space="preserve">. </w:t>
      </w:r>
      <w:r w:rsidRPr="00872293">
        <w:rPr>
          <w:rFonts w:ascii="Times New Roman" w:hAnsi="Times New Roman" w:cs="Times New Roman"/>
          <w:b/>
          <w:bCs/>
          <w:noProof/>
        </w:rPr>
        <w:t>1990</w:t>
      </w:r>
      <w:r w:rsidRPr="00872293">
        <w:rPr>
          <w:rFonts w:ascii="Times New Roman" w:hAnsi="Times New Roman" w:cs="Times New Roman"/>
          <w:noProof/>
        </w:rPr>
        <w:t xml:space="preserve">. Critical Evaluation of Methods for Determining Total Organic Phosphorus in Tropical Soils. </w:t>
      </w:r>
      <w:r w:rsidRPr="00872293">
        <w:rPr>
          <w:rFonts w:ascii="Times New Roman" w:hAnsi="Times New Roman" w:cs="Times New Roman"/>
          <w:i/>
          <w:iCs/>
          <w:noProof/>
        </w:rPr>
        <w:t>Soil Science Society of America Journal</w:t>
      </w:r>
      <w:r w:rsidRPr="00872293">
        <w:rPr>
          <w:rFonts w:ascii="Times New Roman" w:hAnsi="Times New Roman" w:cs="Times New Roman"/>
          <w:noProof/>
        </w:rPr>
        <w:t xml:space="preserve"> </w:t>
      </w:r>
      <w:r w:rsidRPr="00872293">
        <w:rPr>
          <w:rFonts w:ascii="Times New Roman" w:hAnsi="Times New Roman" w:cs="Times New Roman"/>
          <w:b/>
          <w:bCs/>
          <w:noProof/>
        </w:rPr>
        <w:t>54</w:t>
      </w:r>
      <w:r w:rsidRPr="00872293">
        <w:rPr>
          <w:rFonts w:ascii="Times New Roman" w:hAnsi="Times New Roman" w:cs="Times New Roman"/>
          <w:noProof/>
        </w:rPr>
        <w:t>: 1261–1266.</w:t>
      </w:r>
    </w:p>
    <w:p w14:paraId="44E726B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Dakora FD, Phillips DA</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w:t>
      </w:r>
      <w:r w:rsidRPr="00872293">
        <w:rPr>
          <w:rFonts w:ascii="Times New Roman" w:hAnsi="Times New Roman" w:cs="Times New Roman"/>
          <w:i/>
          <w:iCs/>
          <w:noProof/>
        </w:rPr>
        <w:t>Root exudates as mediators of mineral acquisition in low-nutrient environments</w:t>
      </w:r>
      <w:r w:rsidRPr="00872293">
        <w:rPr>
          <w:rFonts w:ascii="Times New Roman" w:hAnsi="Times New Roman" w:cs="Times New Roman"/>
          <w:noProof/>
        </w:rPr>
        <w:t>.</w:t>
      </w:r>
    </w:p>
    <w:p w14:paraId="72C49337"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Dalling JW, Heineman K, Lopez OR, Wright SJ, Turner BL</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Nutrient Availability in Tropical Rain Forests: The Paradigm of Phosphorus Limitation. In: Tropical tree physiology. 261–273.</w:t>
      </w:r>
    </w:p>
    <w:p w14:paraId="7A50A9C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Dodd JC, Burton CC, Burns RG, Jeffries P</w:t>
      </w:r>
      <w:r w:rsidRPr="00872293">
        <w:rPr>
          <w:rFonts w:ascii="Times New Roman" w:hAnsi="Times New Roman" w:cs="Times New Roman"/>
          <w:noProof/>
        </w:rPr>
        <w:t xml:space="preserve">. </w:t>
      </w:r>
      <w:r w:rsidRPr="00872293">
        <w:rPr>
          <w:rFonts w:ascii="Times New Roman" w:hAnsi="Times New Roman" w:cs="Times New Roman"/>
          <w:b/>
          <w:bCs/>
          <w:noProof/>
        </w:rPr>
        <w:t>1987</w:t>
      </w:r>
      <w:r w:rsidRPr="00872293">
        <w:rPr>
          <w:rFonts w:ascii="Times New Roman" w:hAnsi="Times New Roman" w:cs="Times New Roman"/>
          <w:noProof/>
        </w:rPr>
        <w:t xml:space="preserve">. Phosphatase activity associated with the roots and the rhizosphere of plants infected with vesicular‐arbuscular mycorrhizal fungi.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107</w:t>
      </w:r>
      <w:r w:rsidRPr="00872293">
        <w:rPr>
          <w:rFonts w:ascii="Times New Roman" w:hAnsi="Times New Roman" w:cs="Times New Roman"/>
          <w:noProof/>
        </w:rPr>
        <w:t>: 163–172.</w:t>
      </w:r>
    </w:p>
    <w:p w14:paraId="038D25D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Douds DD, Pfeffer PE, Shachar-Hill Y</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Application of in vitro methods to study carbon </w:t>
      </w:r>
      <w:r w:rsidRPr="00872293">
        <w:rPr>
          <w:rFonts w:ascii="Times New Roman" w:hAnsi="Times New Roman" w:cs="Times New Roman"/>
          <w:noProof/>
        </w:rPr>
        <w:lastRenderedPageBreak/>
        <w:t xml:space="preserve">uptake and transport by AM fungi.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226</w:t>
      </w:r>
      <w:r w:rsidRPr="00872293">
        <w:rPr>
          <w:rFonts w:ascii="Times New Roman" w:hAnsi="Times New Roman" w:cs="Times New Roman"/>
          <w:noProof/>
        </w:rPr>
        <w:t>: 255–261.</w:t>
      </w:r>
    </w:p>
    <w:p w14:paraId="58F22D2E"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Field CB, Behrenfeld MJ, Randerson JT, Falkowski P</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Primary production of the biosphere: Integrating terrestrial and oceanic components.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281</w:t>
      </w:r>
      <w:r w:rsidRPr="00872293">
        <w:rPr>
          <w:rFonts w:ascii="Times New Roman" w:hAnsi="Times New Roman" w:cs="Times New Roman"/>
          <w:noProof/>
        </w:rPr>
        <w:t>: 237–240.</w:t>
      </w:r>
    </w:p>
    <w:p w14:paraId="5DBC29C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Filippelli GM</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The global phosphorus cycle: Past, present, and future. </w:t>
      </w:r>
      <w:r w:rsidRPr="00872293">
        <w:rPr>
          <w:rFonts w:ascii="Times New Roman" w:hAnsi="Times New Roman" w:cs="Times New Roman"/>
          <w:i/>
          <w:iCs/>
          <w:noProof/>
        </w:rPr>
        <w:t>Elements</w:t>
      </w:r>
      <w:r w:rsidRPr="00872293">
        <w:rPr>
          <w:rFonts w:ascii="Times New Roman" w:hAnsi="Times New Roman" w:cs="Times New Roman"/>
          <w:noProof/>
        </w:rPr>
        <w:t xml:space="preserve"> </w:t>
      </w:r>
      <w:r w:rsidRPr="00872293">
        <w:rPr>
          <w:rFonts w:ascii="Times New Roman" w:hAnsi="Times New Roman" w:cs="Times New Roman"/>
          <w:b/>
          <w:bCs/>
          <w:noProof/>
        </w:rPr>
        <w:t>4</w:t>
      </w:r>
      <w:r w:rsidRPr="00872293">
        <w:rPr>
          <w:rFonts w:ascii="Times New Roman" w:hAnsi="Times New Roman" w:cs="Times New Roman"/>
          <w:noProof/>
        </w:rPr>
        <w:t>: 89–95.</w:t>
      </w:r>
    </w:p>
    <w:p w14:paraId="169ACE7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Gianinazzi S, Gianinazzi-Pearson V, Dexheimer J</w:t>
      </w:r>
      <w:r w:rsidRPr="00872293">
        <w:rPr>
          <w:rFonts w:ascii="Times New Roman" w:hAnsi="Times New Roman" w:cs="Times New Roman"/>
          <w:noProof/>
        </w:rPr>
        <w:t xml:space="preserve">. </w:t>
      </w:r>
      <w:r w:rsidRPr="00872293">
        <w:rPr>
          <w:rFonts w:ascii="Times New Roman" w:hAnsi="Times New Roman" w:cs="Times New Roman"/>
          <w:b/>
          <w:bCs/>
          <w:noProof/>
        </w:rPr>
        <w:t>1979</w:t>
      </w:r>
      <w:r w:rsidRPr="00872293">
        <w:rPr>
          <w:rFonts w:ascii="Times New Roman" w:hAnsi="Times New Roman" w:cs="Times New Roman"/>
          <w:noProof/>
        </w:rPr>
        <w:t xml:space="preserve">. Enzymatic studies on the metabolism of vesicular‐arbuscular mycorrhiza. iii. ultrastructural localization of acid and alkaline phosphatase in onion roots infected by glomus mosseae (nicol. &amp; gerd.).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82</w:t>
      </w:r>
      <w:r w:rsidRPr="00872293">
        <w:rPr>
          <w:rFonts w:ascii="Times New Roman" w:hAnsi="Times New Roman" w:cs="Times New Roman"/>
          <w:noProof/>
        </w:rPr>
        <w:t>: 127–132.</w:t>
      </w:r>
    </w:p>
    <w:p w14:paraId="4BEFA703"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Grime JP</w:t>
      </w:r>
      <w:r w:rsidRPr="00872293">
        <w:rPr>
          <w:rFonts w:ascii="Times New Roman" w:hAnsi="Times New Roman" w:cs="Times New Roman"/>
          <w:noProof/>
        </w:rPr>
        <w:t xml:space="preserve">. </w:t>
      </w:r>
      <w:r w:rsidRPr="00872293">
        <w:rPr>
          <w:rFonts w:ascii="Times New Roman" w:hAnsi="Times New Roman" w:cs="Times New Roman"/>
          <w:b/>
          <w:bCs/>
          <w:noProof/>
        </w:rPr>
        <w:t>1974</w:t>
      </w:r>
      <w:r w:rsidRPr="00872293">
        <w:rPr>
          <w:rFonts w:ascii="Times New Roman" w:hAnsi="Times New Roman" w:cs="Times New Roman"/>
          <w:noProof/>
        </w:rPr>
        <w:t xml:space="preserve">. Vegetation classification by reference to strategies.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250</w:t>
      </w:r>
      <w:r w:rsidRPr="00872293">
        <w:rPr>
          <w:rFonts w:ascii="Times New Roman" w:hAnsi="Times New Roman" w:cs="Times New Roman"/>
          <w:noProof/>
        </w:rPr>
        <w:t>: 26–31.</w:t>
      </w:r>
    </w:p>
    <w:p w14:paraId="43E6FAA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Hodge A</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The plastic plant: Root responses to heterogeneous supplies of nutrients.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162</w:t>
      </w:r>
      <w:r w:rsidRPr="00872293">
        <w:rPr>
          <w:rFonts w:ascii="Times New Roman" w:hAnsi="Times New Roman" w:cs="Times New Roman"/>
          <w:noProof/>
        </w:rPr>
        <w:t>: 9–24.</w:t>
      </w:r>
    </w:p>
    <w:p w14:paraId="0F29B27B"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Jackson RB, Mooney HA, Schulze ED</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A global budget for fine root biomass, surface area, and nutrient contents.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94</w:t>
      </w:r>
      <w:r w:rsidRPr="00872293">
        <w:rPr>
          <w:rFonts w:ascii="Times New Roman" w:hAnsi="Times New Roman" w:cs="Times New Roman"/>
          <w:noProof/>
        </w:rPr>
        <w:t>: 7362–7366.</w:t>
      </w:r>
    </w:p>
    <w:p w14:paraId="4DB0D0CE"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Jakobsen I, Rosendahl L</w:t>
      </w:r>
      <w:r w:rsidRPr="00872293">
        <w:rPr>
          <w:rFonts w:ascii="Times New Roman" w:hAnsi="Times New Roman" w:cs="Times New Roman"/>
          <w:noProof/>
        </w:rPr>
        <w:t xml:space="preserve">. </w:t>
      </w:r>
      <w:r w:rsidRPr="00872293">
        <w:rPr>
          <w:rFonts w:ascii="Times New Roman" w:hAnsi="Times New Roman" w:cs="Times New Roman"/>
          <w:b/>
          <w:bCs/>
          <w:noProof/>
        </w:rPr>
        <w:t>1990</w:t>
      </w:r>
      <w:r w:rsidRPr="00872293">
        <w:rPr>
          <w:rFonts w:ascii="Times New Roman" w:hAnsi="Times New Roman" w:cs="Times New Roman"/>
          <w:noProof/>
        </w:rPr>
        <w:t xml:space="preserve">. Carbon flow into soil and external hyphae from roots of mycorrhizal cucumber plants.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115</w:t>
      </w:r>
      <w:r w:rsidRPr="00872293">
        <w:rPr>
          <w:rFonts w:ascii="Times New Roman" w:hAnsi="Times New Roman" w:cs="Times New Roman"/>
          <w:noProof/>
        </w:rPr>
        <w:t>: 77–83.</w:t>
      </w:r>
    </w:p>
    <w:p w14:paraId="13474A8D"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Johnson NC</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Resource stoichiometry elucidates the structure and function of arbuscular mycorrhizas across scales.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185</w:t>
      </w:r>
      <w:r w:rsidRPr="00872293">
        <w:rPr>
          <w:rFonts w:ascii="Times New Roman" w:hAnsi="Times New Roman" w:cs="Times New Roman"/>
          <w:noProof/>
        </w:rPr>
        <w:t>: 631–647.</w:t>
      </w:r>
    </w:p>
    <w:p w14:paraId="3103C34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Kennard DK, Matlaga D, Sharpe J, Wood TE, Alonso-Rodríguez AM, Reed SC, Cavaleri MA, King CC</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Tropical understory herbaceous community responds more strongly to hurricane disturbance than to experimental warming. </w:t>
      </w:r>
      <w:r w:rsidRPr="00872293">
        <w:rPr>
          <w:rFonts w:ascii="Times New Roman" w:hAnsi="Times New Roman" w:cs="Times New Roman"/>
          <w:i/>
          <w:iCs/>
          <w:noProof/>
        </w:rPr>
        <w:t>Ecology and Evolution</w:t>
      </w:r>
      <w:r w:rsidRPr="00872293">
        <w:rPr>
          <w:rFonts w:ascii="Times New Roman" w:hAnsi="Times New Roman" w:cs="Times New Roman"/>
          <w:noProof/>
        </w:rPr>
        <w:t>.</w:t>
      </w:r>
    </w:p>
    <w:p w14:paraId="7867ACF8"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Kitayama K, Majalap-Lee N, Aiba SI</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Soil phosphorus fractionation and phosphorus-use efficiencies of tropical rainforests along altitudinal gradients of Mount Kinabalu, Borneo.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123</w:t>
      </w:r>
      <w:r w:rsidRPr="00872293">
        <w:rPr>
          <w:rFonts w:ascii="Times New Roman" w:hAnsi="Times New Roman" w:cs="Times New Roman"/>
          <w:noProof/>
        </w:rPr>
        <w:t>: 342–349.</w:t>
      </w:r>
    </w:p>
    <w:p w14:paraId="3C63A40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Koide RT, Kabir Z</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Extraradical hyphae of the mycorrhizal fungus Glomus intraradices </w:t>
      </w:r>
      <w:r w:rsidRPr="00872293">
        <w:rPr>
          <w:rFonts w:ascii="Times New Roman" w:hAnsi="Times New Roman" w:cs="Times New Roman"/>
          <w:noProof/>
        </w:rPr>
        <w:lastRenderedPageBreak/>
        <w:t xml:space="preserve">can hydrolyse organic phosphate.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148</w:t>
      </w:r>
      <w:r w:rsidRPr="00872293">
        <w:rPr>
          <w:rFonts w:ascii="Times New Roman" w:hAnsi="Times New Roman" w:cs="Times New Roman"/>
          <w:noProof/>
        </w:rPr>
        <w:t>: 511–517.</w:t>
      </w:r>
    </w:p>
    <w:p w14:paraId="5599473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Kong D, Ma C, Zhang Q, Li L, Chen X, Zeng H, Guo D</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Leading dimensions in absorptive root trait variation across 96 subtropical forest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203</w:t>
      </w:r>
      <w:r w:rsidRPr="00872293">
        <w:rPr>
          <w:rFonts w:ascii="Times New Roman" w:hAnsi="Times New Roman" w:cs="Times New Roman"/>
          <w:noProof/>
        </w:rPr>
        <w:t>: 863–872.</w:t>
      </w:r>
    </w:p>
    <w:p w14:paraId="744EB1B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Kramer-Walter KR, Bellingham PJ, Millar TR, Smissen RD, Richardson SJ, Laughlin DC</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Root traits are multidimensional: specific root length is independent from root tissue density and the plant economic spectrum.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104</w:t>
      </w:r>
      <w:r w:rsidRPr="00872293">
        <w:rPr>
          <w:rFonts w:ascii="Times New Roman" w:hAnsi="Times New Roman" w:cs="Times New Roman"/>
          <w:noProof/>
        </w:rPr>
        <w:t>: 1299–1310.</w:t>
      </w:r>
    </w:p>
    <w:p w14:paraId="0A03DEE5"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Kress WJ, Erickson DL, Swenson NG, Thompson J, Uriarte M, Zimmerman JK</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Advances in the use of DNA barcodes to build a community phylogeny for tropical trees in a puerto rican forest dynamics plot. </w:t>
      </w:r>
      <w:r w:rsidRPr="00872293">
        <w:rPr>
          <w:rFonts w:ascii="Times New Roman" w:hAnsi="Times New Roman" w:cs="Times New Roman"/>
          <w:i/>
          <w:iCs/>
          <w:noProof/>
        </w:rPr>
        <w:t>PLoS ONE</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15409.</w:t>
      </w:r>
    </w:p>
    <w:p w14:paraId="518AB9F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Kruskal JB</w:t>
      </w:r>
      <w:r w:rsidRPr="00872293">
        <w:rPr>
          <w:rFonts w:ascii="Times New Roman" w:hAnsi="Times New Roman" w:cs="Times New Roman"/>
          <w:noProof/>
        </w:rPr>
        <w:t xml:space="preserve">. </w:t>
      </w:r>
      <w:r w:rsidRPr="00872293">
        <w:rPr>
          <w:rFonts w:ascii="Times New Roman" w:hAnsi="Times New Roman" w:cs="Times New Roman"/>
          <w:b/>
          <w:bCs/>
          <w:noProof/>
        </w:rPr>
        <w:t>1964</w:t>
      </w:r>
      <w:r w:rsidRPr="00872293">
        <w:rPr>
          <w:rFonts w:ascii="Times New Roman" w:hAnsi="Times New Roman" w:cs="Times New Roman"/>
          <w:noProof/>
        </w:rPr>
        <w:t xml:space="preserve">. Multidimensional scaling by optimizing goodness of fit to a nonmetric hypothesis. </w:t>
      </w:r>
      <w:r w:rsidRPr="00872293">
        <w:rPr>
          <w:rFonts w:ascii="Times New Roman" w:hAnsi="Times New Roman" w:cs="Times New Roman"/>
          <w:i/>
          <w:iCs/>
          <w:noProof/>
        </w:rPr>
        <w:t>Psychometrika</w:t>
      </w:r>
      <w:r w:rsidRPr="00872293">
        <w:rPr>
          <w:rFonts w:ascii="Times New Roman" w:hAnsi="Times New Roman" w:cs="Times New Roman"/>
          <w:noProof/>
        </w:rPr>
        <w:t xml:space="preserve"> </w:t>
      </w:r>
      <w:r w:rsidRPr="00872293">
        <w:rPr>
          <w:rFonts w:ascii="Times New Roman" w:hAnsi="Times New Roman" w:cs="Times New Roman"/>
          <w:b/>
          <w:bCs/>
          <w:noProof/>
        </w:rPr>
        <w:t>29</w:t>
      </w:r>
      <w:r w:rsidRPr="00872293">
        <w:rPr>
          <w:rFonts w:ascii="Times New Roman" w:hAnsi="Times New Roman" w:cs="Times New Roman"/>
          <w:noProof/>
        </w:rPr>
        <w:t>: 1–27.</w:t>
      </w:r>
    </w:p>
    <w:p w14:paraId="520C996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Lambers H, Raven JA, Shaver GR, Smith SE</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Plant nutrient-acquisition strategies change with soil age. </w:t>
      </w:r>
      <w:r w:rsidRPr="00872293">
        <w:rPr>
          <w:rFonts w:ascii="Times New Roman" w:hAnsi="Times New Roman" w:cs="Times New Roman"/>
          <w:i/>
          <w:iCs/>
          <w:noProof/>
        </w:rPr>
        <w:t>Trends in 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23</w:t>
      </w:r>
      <w:r w:rsidRPr="00872293">
        <w:rPr>
          <w:rFonts w:ascii="Times New Roman" w:hAnsi="Times New Roman" w:cs="Times New Roman"/>
          <w:noProof/>
        </w:rPr>
        <w:t>: 95–103.</w:t>
      </w:r>
    </w:p>
    <w:p w14:paraId="48662DD5" w14:textId="6857931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Lenth R, Singmann H, Love J, Buerkner P, Herve M</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Estimated marginal means, aka least-squares means. </w:t>
      </w:r>
      <w:r w:rsidRPr="00872293">
        <w:rPr>
          <w:rFonts w:ascii="Times New Roman" w:hAnsi="Times New Roman" w:cs="Times New Roman"/>
          <w:i/>
          <w:iCs/>
          <w:noProof/>
        </w:rPr>
        <w:t>R package version 1.5.0</w:t>
      </w:r>
      <w:r w:rsidRPr="00872293">
        <w:rPr>
          <w:rFonts w:ascii="Times New Roman" w:hAnsi="Times New Roman" w:cs="Times New Roman"/>
          <w:noProof/>
        </w:rPr>
        <w:t>.</w:t>
      </w:r>
    </w:p>
    <w:p w14:paraId="02B2DA3C" w14:textId="0703C3F1" w:rsidR="001F14E6" w:rsidRPr="00872293" w:rsidRDefault="001F14E6"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rPr>
        <w:t>Liptzin D, Silver WL</w:t>
      </w:r>
      <w:r w:rsidRPr="00872293">
        <w:rPr>
          <w:rFonts w:ascii="Times New Roman" w:hAnsi="Times New Roman" w:cs="Times New Roman"/>
        </w:rPr>
        <w:t xml:space="preserve">. </w:t>
      </w:r>
      <w:r w:rsidRPr="00872293">
        <w:rPr>
          <w:rFonts w:ascii="Times New Roman" w:hAnsi="Times New Roman" w:cs="Times New Roman"/>
          <w:b/>
          <w:bCs/>
        </w:rPr>
        <w:t>2009</w:t>
      </w:r>
      <w:r w:rsidRPr="00872293">
        <w:rPr>
          <w:rFonts w:ascii="Times New Roman" w:hAnsi="Times New Roman" w:cs="Times New Roman"/>
        </w:rPr>
        <w:t xml:space="preserve">. Effects of carbon additions on iron reduction and phosphorus availability in a humid tropical forest soil. </w:t>
      </w:r>
      <w:r w:rsidRPr="00872293">
        <w:rPr>
          <w:rFonts w:ascii="Times New Roman" w:hAnsi="Times New Roman" w:cs="Times New Roman"/>
          <w:i/>
          <w:iCs/>
        </w:rPr>
        <w:t>Soil Biology and Biochemistry</w:t>
      </w:r>
      <w:r w:rsidRPr="00872293">
        <w:rPr>
          <w:rFonts w:ascii="Times New Roman" w:hAnsi="Times New Roman" w:cs="Times New Roman"/>
        </w:rPr>
        <w:t xml:space="preserve"> </w:t>
      </w:r>
      <w:r w:rsidRPr="00872293">
        <w:rPr>
          <w:rFonts w:ascii="Times New Roman" w:hAnsi="Times New Roman" w:cs="Times New Roman"/>
          <w:b/>
          <w:bCs/>
        </w:rPr>
        <w:t>41</w:t>
      </w:r>
      <w:r w:rsidRPr="00872293">
        <w:rPr>
          <w:rFonts w:ascii="Times New Roman" w:hAnsi="Times New Roman" w:cs="Times New Roman"/>
        </w:rPr>
        <w:t>: 1696–1702.</w:t>
      </w:r>
    </w:p>
    <w:p w14:paraId="12F9124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Littell RC, Pendergast J, Natarajan R</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Modelling covariance structure in the analysis of repeated measures data. </w:t>
      </w:r>
      <w:r w:rsidRPr="00872293">
        <w:rPr>
          <w:rFonts w:ascii="Times New Roman" w:hAnsi="Times New Roman" w:cs="Times New Roman"/>
          <w:i/>
          <w:iCs/>
          <w:noProof/>
        </w:rPr>
        <w:t>Statistics in Medicine</w:t>
      </w:r>
      <w:r w:rsidRPr="00872293">
        <w:rPr>
          <w:rFonts w:ascii="Times New Roman" w:hAnsi="Times New Roman" w:cs="Times New Roman"/>
          <w:noProof/>
        </w:rPr>
        <w:t xml:space="preserve"> </w:t>
      </w:r>
      <w:r w:rsidRPr="00872293">
        <w:rPr>
          <w:rFonts w:ascii="Times New Roman" w:hAnsi="Times New Roman" w:cs="Times New Roman"/>
          <w:b/>
          <w:bCs/>
          <w:noProof/>
        </w:rPr>
        <w:t>19</w:t>
      </w:r>
      <w:r w:rsidRPr="00872293">
        <w:rPr>
          <w:rFonts w:ascii="Times New Roman" w:hAnsi="Times New Roman" w:cs="Times New Roman"/>
          <w:noProof/>
        </w:rPr>
        <w:t>: 1793–1819.</w:t>
      </w:r>
    </w:p>
    <w:p w14:paraId="78401093"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Liu B, Li H, Zhu B, Koide RT, Eissenstat DM, Guo D</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Complementarity in nutrient foraging strategies of absorptive fine roots and arbuscular mycorrhizal fungi across 14 coexisting subtropical tree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208</w:t>
      </w:r>
      <w:r w:rsidRPr="00872293">
        <w:rPr>
          <w:rFonts w:ascii="Times New Roman" w:hAnsi="Times New Roman" w:cs="Times New Roman"/>
          <w:noProof/>
        </w:rPr>
        <w:t>: 125–136.</w:t>
      </w:r>
    </w:p>
    <w:p w14:paraId="4CC8DA3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Liu C, Ravnskov S, Liu F, Rubæk GH, Andersen MN</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Arbuscular mycorrhizal fungi alleviate abiotic stresses in potato plants caused by low phosphorus and deficit irrigation/partial </w:t>
      </w:r>
      <w:r w:rsidRPr="00872293">
        <w:rPr>
          <w:rFonts w:ascii="Times New Roman" w:hAnsi="Times New Roman" w:cs="Times New Roman"/>
          <w:noProof/>
        </w:rPr>
        <w:lastRenderedPageBreak/>
        <w:t xml:space="preserve">root-zone drying. </w:t>
      </w:r>
      <w:r w:rsidRPr="00872293">
        <w:rPr>
          <w:rFonts w:ascii="Times New Roman" w:hAnsi="Times New Roman" w:cs="Times New Roman"/>
          <w:i/>
          <w:iCs/>
          <w:noProof/>
        </w:rPr>
        <w:t>Journal of Agricultural Science</w:t>
      </w:r>
      <w:r w:rsidRPr="00872293">
        <w:rPr>
          <w:rFonts w:ascii="Times New Roman" w:hAnsi="Times New Roman" w:cs="Times New Roman"/>
          <w:noProof/>
        </w:rPr>
        <w:t xml:space="preserve"> </w:t>
      </w:r>
      <w:r w:rsidRPr="00872293">
        <w:rPr>
          <w:rFonts w:ascii="Times New Roman" w:hAnsi="Times New Roman" w:cs="Times New Roman"/>
          <w:b/>
          <w:bCs/>
          <w:noProof/>
        </w:rPr>
        <w:t>156</w:t>
      </w:r>
      <w:r w:rsidRPr="00872293">
        <w:rPr>
          <w:rFonts w:ascii="Times New Roman" w:hAnsi="Times New Roman" w:cs="Times New Roman"/>
          <w:noProof/>
        </w:rPr>
        <w:t>: 46–58.</w:t>
      </w:r>
    </w:p>
    <w:p w14:paraId="5068C29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lang w:val="pt-BR"/>
        </w:rPr>
      </w:pPr>
      <w:r w:rsidRPr="00872293">
        <w:rPr>
          <w:rFonts w:ascii="Times New Roman" w:hAnsi="Times New Roman" w:cs="Times New Roman"/>
          <w:b/>
          <w:bCs/>
          <w:noProof/>
        </w:rPr>
        <w:t>Lodge DJ, Winter D, González G, Clum N</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Effects of hurricane-felled tree trunks on soil carbon, nitrogen, microbial biomass, and root length in a wet tropical forest. </w:t>
      </w:r>
      <w:r w:rsidRPr="00872293">
        <w:rPr>
          <w:rFonts w:ascii="Times New Roman" w:hAnsi="Times New Roman" w:cs="Times New Roman"/>
          <w:i/>
          <w:iCs/>
          <w:noProof/>
          <w:lang w:val="pt-BR"/>
        </w:rPr>
        <w:t>Forests</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7</w:t>
      </w:r>
      <w:r w:rsidRPr="00872293">
        <w:rPr>
          <w:rFonts w:ascii="Times New Roman" w:hAnsi="Times New Roman" w:cs="Times New Roman"/>
          <w:noProof/>
          <w:lang w:val="pt-BR"/>
        </w:rPr>
        <w:t>: 264.</w:t>
      </w:r>
    </w:p>
    <w:p w14:paraId="5DFE7E7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lang w:val="pt-BR"/>
        </w:rPr>
        <w:t xml:space="preserve">Lugli LF, Andersen KM, Aragão LEOC, Cordeiro AL, Cunha HFV, Fuchslueger L, Meir P, Mercado LM, Oblitas E, Quesada CA, </w:t>
      </w:r>
      <w:r w:rsidRPr="00872293">
        <w:rPr>
          <w:rFonts w:ascii="Times New Roman" w:hAnsi="Times New Roman" w:cs="Times New Roman"/>
          <w:b/>
          <w:bCs/>
          <w:i/>
          <w:iCs/>
          <w:noProof/>
          <w:lang w:val="pt-BR"/>
        </w:rPr>
        <w:t>et al.</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2019</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Multiple phosphorus acquisition strategies adopted by fine roots in low-fertility soils in Central Amazonia.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450</w:t>
      </w:r>
      <w:r w:rsidRPr="00872293">
        <w:rPr>
          <w:rFonts w:ascii="Times New Roman" w:hAnsi="Times New Roman" w:cs="Times New Roman"/>
          <w:noProof/>
        </w:rPr>
        <w:t>: 49–63.</w:t>
      </w:r>
    </w:p>
    <w:p w14:paraId="0747548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Lugo AE</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Effects of Extreme Disturbance Events: From Ecesis to Social–Ecological–Technological Systems. </w:t>
      </w:r>
      <w:r w:rsidRPr="00872293">
        <w:rPr>
          <w:rFonts w:ascii="Times New Roman" w:hAnsi="Times New Roman" w:cs="Times New Roman"/>
          <w:i/>
          <w:iCs/>
          <w:noProof/>
        </w:rPr>
        <w:t>Ecosystems</w:t>
      </w:r>
      <w:r w:rsidRPr="00872293">
        <w:rPr>
          <w:rFonts w:ascii="Times New Roman" w:hAnsi="Times New Roman" w:cs="Times New Roman"/>
          <w:noProof/>
        </w:rPr>
        <w:t>: 1–22.</w:t>
      </w:r>
    </w:p>
    <w:p w14:paraId="5681C38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Lugo AE, Abelleira Martínez OL</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Stoichiometry of decomposing Spathodea campanulata leaves in novel puertorrican forests. </w:t>
      </w:r>
      <w:r w:rsidRPr="00872293">
        <w:rPr>
          <w:rFonts w:ascii="Times New Roman" w:hAnsi="Times New Roman" w:cs="Times New Roman"/>
          <w:i/>
          <w:iCs/>
          <w:noProof/>
        </w:rPr>
        <w:t>Forest Ecology and Management</w:t>
      </w:r>
      <w:r w:rsidRPr="00872293">
        <w:rPr>
          <w:rFonts w:ascii="Times New Roman" w:hAnsi="Times New Roman" w:cs="Times New Roman"/>
          <w:noProof/>
        </w:rPr>
        <w:t xml:space="preserve"> </w:t>
      </w:r>
      <w:r w:rsidRPr="00872293">
        <w:rPr>
          <w:rFonts w:ascii="Times New Roman" w:hAnsi="Times New Roman" w:cs="Times New Roman"/>
          <w:b/>
          <w:bCs/>
          <w:noProof/>
        </w:rPr>
        <w:t>430</w:t>
      </w:r>
      <w:r w:rsidRPr="00872293">
        <w:rPr>
          <w:rFonts w:ascii="Times New Roman" w:hAnsi="Times New Roman" w:cs="Times New Roman"/>
          <w:noProof/>
        </w:rPr>
        <w:t>: 176–187.</w:t>
      </w:r>
    </w:p>
    <w:p w14:paraId="4B3837F7"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Ma Z, Guo D, Xu X, Lu M, Bardgett RD, Eissenstat DM, McCormack ML, Hedin LO</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Evolutionary history resolves global organization of root functional traits.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555</w:t>
      </w:r>
      <w:r w:rsidRPr="00872293">
        <w:rPr>
          <w:rFonts w:ascii="Times New Roman" w:hAnsi="Times New Roman" w:cs="Times New Roman"/>
          <w:noProof/>
        </w:rPr>
        <w:t>: 94–97.</w:t>
      </w:r>
    </w:p>
    <w:p w14:paraId="46C7D19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lang w:val="pt-BR"/>
        </w:rPr>
      </w:pPr>
      <w:r w:rsidRPr="00872293">
        <w:rPr>
          <w:rFonts w:ascii="Times New Roman" w:hAnsi="Times New Roman" w:cs="Times New Roman"/>
          <w:b/>
          <w:bCs/>
          <w:noProof/>
        </w:rPr>
        <w:t>Mage SM, Porder S</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Parent Material and Topography Determine Soil Phosphorus Status in the Luquillo Mountains of Puerto Rico. </w:t>
      </w:r>
      <w:r w:rsidRPr="00872293">
        <w:rPr>
          <w:rFonts w:ascii="Times New Roman" w:hAnsi="Times New Roman" w:cs="Times New Roman"/>
          <w:i/>
          <w:iCs/>
          <w:noProof/>
          <w:lang w:val="pt-BR"/>
        </w:rPr>
        <w:t>Ecosystems</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16</w:t>
      </w:r>
      <w:r w:rsidRPr="00872293">
        <w:rPr>
          <w:rFonts w:ascii="Times New Roman" w:hAnsi="Times New Roman" w:cs="Times New Roman"/>
          <w:noProof/>
          <w:lang w:val="pt-BR"/>
        </w:rPr>
        <w:t>: 284–294.</w:t>
      </w:r>
    </w:p>
    <w:p w14:paraId="7AC0D6B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lang w:val="pt-BR"/>
        </w:rPr>
        <w:t xml:space="preserve">Margalef O, Sardans J, Fernández-Martínez M, Molowny-Horas R, Janssens IA, Ciais P, Goll D, Richter A, Obersteiner M, Asensio D, </w:t>
      </w:r>
      <w:r w:rsidRPr="00872293">
        <w:rPr>
          <w:rFonts w:ascii="Times New Roman" w:hAnsi="Times New Roman" w:cs="Times New Roman"/>
          <w:b/>
          <w:bCs/>
          <w:i/>
          <w:iCs/>
          <w:noProof/>
          <w:lang w:val="pt-BR"/>
        </w:rPr>
        <w:t>et al.</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2017</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Global patterns of phosphatase activity in natural soils. </w:t>
      </w:r>
      <w:r w:rsidRPr="00872293">
        <w:rPr>
          <w:rFonts w:ascii="Times New Roman" w:hAnsi="Times New Roman" w:cs="Times New Roman"/>
          <w:i/>
          <w:iCs/>
          <w:noProof/>
        </w:rPr>
        <w:t>Scientific Reports</w:t>
      </w:r>
      <w:r w:rsidRPr="00872293">
        <w:rPr>
          <w:rFonts w:ascii="Times New Roman" w:hAnsi="Times New Roman" w:cs="Times New Roman"/>
          <w:noProof/>
        </w:rPr>
        <w:t xml:space="preserve"> </w:t>
      </w:r>
      <w:r w:rsidRPr="00872293">
        <w:rPr>
          <w:rFonts w:ascii="Times New Roman" w:hAnsi="Times New Roman" w:cs="Times New Roman"/>
          <w:b/>
          <w:bCs/>
          <w:noProof/>
        </w:rPr>
        <w:t>7</w:t>
      </w:r>
      <w:r w:rsidRPr="00872293">
        <w:rPr>
          <w:rFonts w:ascii="Times New Roman" w:hAnsi="Times New Roman" w:cs="Times New Roman"/>
          <w:noProof/>
        </w:rPr>
        <w:t>: 1337.</w:t>
      </w:r>
    </w:p>
    <w:p w14:paraId="52FAE9AD"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McCormack LM, Adams TS, Smithwick EAH, Eissenstat DM</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Predicting fine root lifespan from plant functional traits in temperate trees.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195</w:t>
      </w:r>
      <w:r w:rsidRPr="00872293">
        <w:rPr>
          <w:rFonts w:ascii="Times New Roman" w:hAnsi="Times New Roman" w:cs="Times New Roman"/>
          <w:noProof/>
        </w:rPr>
        <w:t>: 823–831.</w:t>
      </w:r>
    </w:p>
    <w:p w14:paraId="7EE36397"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McCormack ML, Dickie IA, Eissenstat DM, Fahey TJ, Fernandez CW, Guo D, Helmisaari HS, Hobbie EA, Iversen CM, Jackson RB,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Redefining fine roots improves understanding of below-ground contributions to terrestrial biosphere processes.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207</w:t>
      </w:r>
      <w:r w:rsidRPr="00872293">
        <w:rPr>
          <w:rFonts w:ascii="Times New Roman" w:hAnsi="Times New Roman" w:cs="Times New Roman"/>
          <w:noProof/>
        </w:rPr>
        <w:t>: 505–518.</w:t>
      </w:r>
    </w:p>
    <w:p w14:paraId="74709E93"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McDonald JH</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w:t>
      </w:r>
      <w:r w:rsidRPr="00872293">
        <w:rPr>
          <w:rFonts w:ascii="Times New Roman" w:hAnsi="Times New Roman" w:cs="Times New Roman"/>
          <w:i/>
          <w:iCs/>
          <w:noProof/>
        </w:rPr>
        <w:t>Multiple comparisons - Handbook of Biological Statistics</w:t>
      </w:r>
      <w:r w:rsidRPr="00872293">
        <w:rPr>
          <w:rFonts w:ascii="Times New Roman" w:hAnsi="Times New Roman" w:cs="Times New Roman"/>
          <w:noProof/>
        </w:rPr>
        <w:t>. Baltimore.</w:t>
      </w:r>
    </w:p>
    <w:p w14:paraId="1F805E0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McGonigle TP, Miller MH, Evans DG, Fairchild GL, Swan JA</w:t>
      </w:r>
      <w:r w:rsidRPr="00872293">
        <w:rPr>
          <w:rFonts w:ascii="Times New Roman" w:hAnsi="Times New Roman" w:cs="Times New Roman"/>
          <w:noProof/>
        </w:rPr>
        <w:t xml:space="preserve">. </w:t>
      </w:r>
      <w:r w:rsidRPr="00872293">
        <w:rPr>
          <w:rFonts w:ascii="Times New Roman" w:hAnsi="Times New Roman" w:cs="Times New Roman"/>
          <w:b/>
          <w:bCs/>
          <w:noProof/>
        </w:rPr>
        <w:t>1990</w:t>
      </w:r>
      <w:r w:rsidRPr="00872293">
        <w:rPr>
          <w:rFonts w:ascii="Times New Roman" w:hAnsi="Times New Roman" w:cs="Times New Roman"/>
          <w:noProof/>
        </w:rPr>
        <w:t xml:space="preserve">. A new method which gives an objective measure of colonization of roots by vesicular—arbuscular mycorrhizal fungi.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115</w:t>
      </w:r>
      <w:r w:rsidRPr="00872293">
        <w:rPr>
          <w:rFonts w:ascii="Times New Roman" w:hAnsi="Times New Roman" w:cs="Times New Roman"/>
          <w:noProof/>
        </w:rPr>
        <w:t>: 495–501.</w:t>
      </w:r>
    </w:p>
    <w:p w14:paraId="1AA3BFF5"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Myster RW, Lebron L, Loayza ABP, Zimmerman JK</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Mycotrophic strategy of 13 common neotropical trees and shrubs. </w:t>
      </w:r>
      <w:r w:rsidRPr="00872293">
        <w:rPr>
          <w:rFonts w:ascii="Times New Roman" w:hAnsi="Times New Roman" w:cs="Times New Roman"/>
          <w:i/>
          <w:iCs/>
          <w:noProof/>
        </w:rPr>
        <w:t>Journal of Tropical Forest Science</w:t>
      </w:r>
      <w:r w:rsidRPr="00872293">
        <w:rPr>
          <w:rFonts w:ascii="Times New Roman" w:hAnsi="Times New Roman" w:cs="Times New Roman"/>
          <w:noProof/>
        </w:rPr>
        <w:t xml:space="preserve"> </w:t>
      </w:r>
      <w:r w:rsidRPr="00872293">
        <w:rPr>
          <w:rFonts w:ascii="Times New Roman" w:hAnsi="Times New Roman" w:cs="Times New Roman"/>
          <w:b/>
          <w:bCs/>
          <w:noProof/>
        </w:rPr>
        <w:t>25</w:t>
      </w:r>
      <w:r w:rsidRPr="00872293">
        <w:rPr>
          <w:rFonts w:ascii="Times New Roman" w:hAnsi="Times New Roman" w:cs="Times New Roman"/>
          <w:noProof/>
        </w:rPr>
        <w:t>: 34–41.</w:t>
      </w:r>
    </w:p>
    <w:p w14:paraId="1707E13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Nasto MK, Osborne BB, Lekberg Y, Asner GP, Balzotti CS, Porder S, Taylor PG, Townsend AR, Cleveland CC</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Nutrient acquisition, soil phosphorus partitioning and competition among trees in a lowland tropical rain forest.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214</w:t>
      </w:r>
      <w:r w:rsidRPr="00872293">
        <w:rPr>
          <w:rFonts w:ascii="Times New Roman" w:hAnsi="Times New Roman" w:cs="Times New Roman"/>
          <w:noProof/>
        </w:rPr>
        <w:t>: 1506–1517.</w:t>
      </w:r>
    </w:p>
    <w:p w14:paraId="2456B758"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Nasto MK, Winter K, Turner BL, Cleveland CC</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Nutrient acquisition strategies augment growth in tropical N2-fixing trees in nutrient-poor soil and under elevated CO2.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100</w:t>
      </w:r>
      <w:r w:rsidRPr="00872293">
        <w:rPr>
          <w:rFonts w:ascii="Times New Roman" w:hAnsi="Times New Roman" w:cs="Times New Roman"/>
          <w:noProof/>
        </w:rPr>
        <w:t>.</w:t>
      </w:r>
    </w:p>
    <w:p w14:paraId="2DC47AB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Olander LP, Vitousek PM</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Regulation of soil phosphatase and chitinase activity by N and P availability. </w:t>
      </w:r>
      <w:r w:rsidRPr="00872293">
        <w:rPr>
          <w:rFonts w:ascii="Times New Roman" w:hAnsi="Times New Roman" w:cs="Times New Roman"/>
          <w:i/>
          <w:iCs/>
          <w:noProof/>
        </w:rPr>
        <w:t>Biogeochemistry</w:t>
      </w:r>
      <w:r w:rsidRPr="00872293">
        <w:rPr>
          <w:rFonts w:ascii="Times New Roman" w:hAnsi="Times New Roman" w:cs="Times New Roman"/>
          <w:noProof/>
        </w:rPr>
        <w:t xml:space="preserve"> </w:t>
      </w:r>
      <w:r w:rsidRPr="00872293">
        <w:rPr>
          <w:rFonts w:ascii="Times New Roman" w:hAnsi="Times New Roman" w:cs="Times New Roman"/>
          <w:b/>
          <w:bCs/>
          <w:noProof/>
        </w:rPr>
        <w:t>49</w:t>
      </w:r>
      <w:r w:rsidRPr="00872293">
        <w:rPr>
          <w:rFonts w:ascii="Times New Roman" w:hAnsi="Times New Roman" w:cs="Times New Roman"/>
          <w:noProof/>
        </w:rPr>
        <w:t>: 175–191.</w:t>
      </w:r>
    </w:p>
    <w:p w14:paraId="65A3BC5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Pasch RJ, Penny AB, Berg R</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National Hurricane center tropical cyclone report: Hurricane Maria (AL152017). </w:t>
      </w:r>
      <w:r w:rsidRPr="00872293">
        <w:rPr>
          <w:rFonts w:ascii="Times New Roman" w:hAnsi="Times New Roman" w:cs="Times New Roman"/>
          <w:i/>
          <w:iCs/>
          <w:noProof/>
        </w:rPr>
        <w:t>National Weather Service</w:t>
      </w:r>
      <w:r w:rsidRPr="00872293">
        <w:rPr>
          <w:rFonts w:ascii="Times New Roman" w:hAnsi="Times New Roman" w:cs="Times New Roman"/>
          <w:noProof/>
        </w:rPr>
        <w:t>.</w:t>
      </w:r>
    </w:p>
    <w:p w14:paraId="557CCF2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Pastor J, Aber JD, McClaugherty CA, Melillo JM</w:t>
      </w:r>
      <w:r w:rsidRPr="00872293">
        <w:rPr>
          <w:rFonts w:ascii="Times New Roman" w:hAnsi="Times New Roman" w:cs="Times New Roman"/>
          <w:noProof/>
        </w:rPr>
        <w:t xml:space="preserve">. </w:t>
      </w:r>
      <w:r w:rsidRPr="00872293">
        <w:rPr>
          <w:rFonts w:ascii="Times New Roman" w:hAnsi="Times New Roman" w:cs="Times New Roman"/>
          <w:b/>
          <w:bCs/>
          <w:noProof/>
        </w:rPr>
        <w:t>1984</w:t>
      </w:r>
      <w:r w:rsidRPr="00872293">
        <w:rPr>
          <w:rFonts w:ascii="Times New Roman" w:hAnsi="Times New Roman" w:cs="Times New Roman"/>
          <w:noProof/>
        </w:rPr>
        <w:t xml:space="preserve">. Aboveground production and N and P cycling along a nitrogen mineralization gradient on Blackhawk Island, Wisconsin.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65</w:t>
      </w:r>
      <w:r w:rsidRPr="00872293">
        <w:rPr>
          <w:rFonts w:ascii="Times New Roman" w:hAnsi="Times New Roman" w:cs="Times New Roman"/>
          <w:noProof/>
        </w:rPr>
        <w:t>: 256–268.</w:t>
      </w:r>
    </w:p>
    <w:p w14:paraId="30244045"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Phillips OL</w:t>
      </w:r>
      <w:r w:rsidRPr="00872293">
        <w:rPr>
          <w:rFonts w:ascii="Times New Roman" w:hAnsi="Times New Roman" w:cs="Times New Roman"/>
          <w:noProof/>
        </w:rPr>
        <w:t xml:space="preserve">. </w:t>
      </w:r>
      <w:r w:rsidRPr="00872293">
        <w:rPr>
          <w:rFonts w:ascii="Times New Roman" w:hAnsi="Times New Roman" w:cs="Times New Roman"/>
          <w:b/>
          <w:bCs/>
          <w:noProof/>
        </w:rPr>
        <w:t>1998</w:t>
      </w:r>
      <w:r w:rsidRPr="00872293">
        <w:rPr>
          <w:rFonts w:ascii="Times New Roman" w:hAnsi="Times New Roman" w:cs="Times New Roman"/>
          <w:noProof/>
        </w:rPr>
        <w:t xml:space="preserve">. Changes in the Carbon Balance of Tropical Forests: Evidence from Long-Term Plots. </w:t>
      </w:r>
      <w:r w:rsidRPr="00872293">
        <w:rPr>
          <w:rFonts w:ascii="Times New Roman" w:hAnsi="Times New Roman" w:cs="Times New Roman"/>
          <w:i/>
          <w:iCs/>
          <w:noProof/>
        </w:rPr>
        <w:t>Science</w:t>
      </w:r>
      <w:r w:rsidRPr="00872293">
        <w:rPr>
          <w:rFonts w:ascii="Times New Roman" w:hAnsi="Times New Roman" w:cs="Times New Roman"/>
          <w:noProof/>
        </w:rPr>
        <w:t xml:space="preserve"> </w:t>
      </w:r>
      <w:r w:rsidRPr="00872293">
        <w:rPr>
          <w:rFonts w:ascii="Times New Roman" w:hAnsi="Times New Roman" w:cs="Times New Roman"/>
          <w:b/>
          <w:bCs/>
          <w:noProof/>
        </w:rPr>
        <w:t>282</w:t>
      </w:r>
      <w:r w:rsidRPr="00872293">
        <w:rPr>
          <w:rFonts w:ascii="Times New Roman" w:hAnsi="Times New Roman" w:cs="Times New Roman"/>
          <w:noProof/>
        </w:rPr>
        <w:t>: 439–442.</w:t>
      </w:r>
    </w:p>
    <w:p w14:paraId="79C271E0"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Picón Ruiz M. 2019.</w:t>
      </w:r>
      <w:r w:rsidRPr="00872293">
        <w:rPr>
          <w:rFonts w:ascii="Times New Roman" w:hAnsi="Times New Roman" w:cs="Times New Roman"/>
          <w:noProof/>
        </w:rPr>
        <w:t xml:space="preserve"> Reconstructing succession: Historical and chronosequence approaches to understanding the assembly of forest communities.</w:t>
      </w:r>
    </w:p>
    <w:p w14:paraId="3397A44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Pinheiro J, Bates D</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nlme: Linear and Nonlinear Mixed Effects Models.</w:t>
      </w:r>
    </w:p>
    <w:p w14:paraId="5B85DBA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Png GK, Turner BL, Albornoz FE, Hayes PE, Lambers H, Laliberté E</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Greater root </w:t>
      </w:r>
      <w:r w:rsidRPr="00872293">
        <w:rPr>
          <w:rFonts w:ascii="Times New Roman" w:hAnsi="Times New Roman" w:cs="Times New Roman"/>
          <w:noProof/>
        </w:rPr>
        <w:lastRenderedPageBreak/>
        <w:t xml:space="preserve">phosphatase activity in nitrogen-fixing rhizobial but not actinorhizal plants with declining phosphorus availability.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105</w:t>
      </w:r>
      <w:r w:rsidRPr="00872293">
        <w:rPr>
          <w:rFonts w:ascii="Times New Roman" w:hAnsi="Times New Roman" w:cs="Times New Roman"/>
          <w:noProof/>
        </w:rPr>
        <w:t>: 1246–1255.</w:t>
      </w:r>
    </w:p>
    <w:p w14:paraId="3949A2A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Powers JS, Treseder KK, Lerdau MT</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Fine roots, arbuscular mycorrhizal hyphae and soil nutrients in four neotropical rain forests: Patterns across large geographic distances.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165</w:t>
      </w:r>
      <w:r w:rsidRPr="00872293">
        <w:rPr>
          <w:rFonts w:ascii="Times New Roman" w:hAnsi="Times New Roman" w:cs="Times New Roman"/>
          <w:noProof/>
        </w:rPr>
        <w:t>: 913–921.</w:t>
      </w:r>
    </w:p>
    <w:p w14:paraId="58F12DC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Pregitzer KS</w:t>
      </w:r>
      <w:r w:rsidRPr="00872293">
        <w:rPr>
          <w:rFonts w:ascii="Times New Roman" w:hAnsi="Times New Roman" w:cs="Times New Roman"/>
          <w:noProof/>
        </w:rPr>
        <w:t xml:space="preserve">. </w:t>
      </w:r>
      <w:r w:rsidRPr="00872293">
        <w:rPr>
          <w:rFonts w:ascii="Times New Roman" w:hAnsi="Times New Roman" w:cs="Times New Roman"/>
          <w:b/>
          <w:bCs/>
          <w:noProof/>
        </w:rPr>
        <w:t>2002</w:t>
      </w:r>
      <w:r w:rsidRPr="00872293">
        <w:rPr>
          <w:rFonts w:ascii="Times New Roman" w:hAnsi="Times New Roman" w:cs="Times New Roman"/>
          <w:noProof/>
        </w:rPr>
        <w:t xml:space="preserve">. Fine roots of trees - A new perspective.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154</w:t>
      </w:r>
      <w:r w:rsidRPr="00872293">
        <w:rPr>
          <w:rFonts w:ascii="Times New Roman" w:hAnsi="Times New Roman" w:cs="Times New Roman"/>
          <w:noProof/>
        </w:rPr>
        <w:t>: 267–270.</w:t>
      </w:r>
    </w:p>
    <w:p w14:paraId="377691C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Reed SC, Reibold R, Cavaleri MA, Alonso-Rodríguez AM, Berberich ME, Wood TE</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Soil biogeochemical responses of a tropical forest to warming and hurricane disturbance. In: Advances in Ecological Research. 226–248.</w:t>
      </w:r>
    </w:p>
    <w:p w14:paraId="5AC32847"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Rejmánková E, Sirová D, Carlson E</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xml:space="preserve">. Patterns of activities of root phosphomonoesterase and phosphodiesterase in wetland plants as a function of macrophyte species and ambient phosphorus regime.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190</w:t>
      </w:r>
      <w:r w:rsidRPr="00872293">
        <w:rPr>
          <w:rFonts w:ascii="Times New Roman" w:hAnsi="Times New Roman" w:cs="Times New Roman"/>
          <w:noProof/>
        </w:rPr>
        <w:t>: 968–976.</w:t>
      </w:r>
    </w:p>
    <w:p w14:paraId="0BED135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Roy J, Saugier B</w:t>
      </w:r>
      <w:r w:rsidRPr="00872293">
        <w:rPr>
          <w:rFonts w:ascii="Times New Roman" w:hAnsi="Times New Roman" w:cs="Times New Roman"/>
          <w:noProof/>
        </w:rPr>
        <w:t xml:space="preserve">. </w:t>
      </w:r>
      <w:r w:rsidRPr="00872293">
        <w:rPr>
          <w:rFonts w:ascii="Times New Roman" w:hAnsi="Times New Roman" w:cs="Times New Roman"/>
          <w:b/>
          <w:bCs/>
          <w:noProof/>
        </w:rPr>
        <w:t>2001</w:t>
      </w:r>
      <w:r w:rsidRPr="00872293">
        <w:rPr>
          <w:rFonts w:ascii="Times New Roman" w:hAnsi="Times New Roman" w:cs="Times New Roman"/>
          <w:noProof/>
        </w:rPr>
        <w:t>. Terrestrial Primary Productivity. In: Terrestrial Global Productivity.</w:t>
      </w:r>
    </w:p>
    <w:p w14:paraId="210BF1D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Ryser P, Eek L</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Consequences of phenotypic plasticity vs. interspecific differences in leaf and root traits for acquisition of aboveground and belowground resources. </w:t>
      </w:r>
      <w:r w:rsidRPr="00872293">
        <w:rPr>
          <w:rFonts w:ascii="Times New Roman" w:hAnsi="Times New Roman" w:cs="Times New Roman"/>
          <w:i/>
          <w:iCs/>
          <w:noProof/>
        </w:rPr>
        <w:t>American Journal of Botany</w:t>
      </w:r>
      <w:r w:rsidRPr="00872293">
        <w:rPr>
          <w:rFonts w:ascii="Times New Roman" w:hAnsi="Times New Roman" w:cs="Times New Roman"/>
          <w:noProof/>
        </w:rPr>
        <w:t xml:space="preserve"> </w:t>
      </w:r>
      <w:r w:rsidRPr="00872293">
        <w:rPr>
          <w:rFonts w:ascii="Times New Roman" w:hAnsi="Times New Roman" w:cs="Times New Roman"/>
          <w:b/>
          <w:bCs/>
          <w:noProof/>
        </w:rPr>
        <w:t>87</w:t>
      </w:r>
      <w:r w:rsidRPr="00872293">
        <w:rPr>
          <w:rFonts w:ascii="Times New Roman" w:hAnsi="Times New Roman" w:cs="Times New Roman"/>
          <w:noProof/>
        </w:rPr>
        <w:t>: 402–411.</w:t>
      </w:r>
    </w:p>
    <w:p w14:paraId="624A450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Sanford RL, Parton WJ, Ojima DS, Lodge DJ</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Hurricane Effects on Soil Organic Matter Dynamics and Forest Production in the Luquillo Experimental Forest, Puerto Rico: Results of Simulation Modeling. </w:t>
      </w:r>
      <w:r w:rsidRPr="00872293">
        <w:rPr>
          <w:rFonts w:ascii="Times New Roman" w:hAnsi="Times New Roman" w:cs="Times New Roman"/>
          <w:i/>
          <w:iCs/>
          <w:noProof/>
        </w:rPr>
        <w:t>Biotropica</w:t>
      </w:r>
      <w:r w:rsidRPr="00872293">
        <w:rPr>
          <w:rFonts w:ascii="Times New Roman" w:hAnsi="Times New Roman" w:cs="Times New Roman"/>
          <w:noProof/>
        </w:rPr>
        <w:t xml:space="preserve"> </w:t>
      </w:r>
      <w:r w:rsidRPr="00872293">
        <w:rPr>
          <w:rFonts w:ascii="Times New Roman" w:hAnsi="Times New Roman" w:cs="Times New Roman"/>
          <w:b/>
          <w:bCs/>
          <w:noProof/>
        </w:rPr>
        <w:t>23</w:t>
      </w:r>
      <w:r w:rsidRPr="00872293">
        <w:rPr>
          <w:rFonts w:ascii="Times New Roman" w:hAnsi="Times New Roman" w:cs="Times New Roman"/>
          <w:noProof/>
        </w:rPr>
        <w:t>: 364–372.</w:t>
      </w:r>
    </w:p>
    <w:p w14:paraId="56483CD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Scatena FN</w:t>
      </w:r>
      <w:r w:rsidRPr="00872293">
        <w:rPr>
          <w:rFonts w:ascii="Times New Roman" w:hAnsi="Times New Roman" w:cs="Times New Roman"/>
          <w:noProof/>
        </w:rPr>
        <w:t xml:space="preserve">. </w:t>
      </w:r>
      <w:r w:rsidRPr="00872293">
        <w:rPr>
          <w:rFonts w:ascii="Times New Roman" w:hAnsi="Times New Roman" w:cs="Times New Roman"/>
          <w:b/>
          <w:bCs/>
          <w:noProof/>
        </w:rPr>
        <w:t>1989</w:t>
      </w:r>
      <w:r w:rsidRPr="00872293">
        <w:rPr>
          <w:rFonts w:ascii="Times New Roman" w:hAnsi="Times New Roman" w:cs="Times New Roman"/>
          <w:noProof/>
        </w:rPr>
        <w:t xml:space="preserve">. An Introduction to the Physiography and History of the Bisley Experimental Watersheds in the Luquillo Mountains of Puerto Rico. </w:t>
      </w:r>
      <w:r w:rsidRPr="00872293">
        <w:rPr>
          <w:rFonts w:ascii="Times New Roman" w:hAnsi="Times New Roman" w:cs="Times New Roman"/>
          <w:i/>
          <w:iCs/>
          <w:noProof/>
        </w:rPr>
        <w:t>Forest Service- Southern Forest Experiment Station; General Technical Report SO-72</w:t>
      </w:r>
      <w:r w:rsidRPr="00872293">
        <w:rPr>
          <w:rFonts w:ascii="Times New Roman" w:hAnsi="Times New Roman" w:cs="Times New Roman"/>
          <w:noProof/>
        </w:rPr>
        <w:t xml:space="preserve"> </w:t>
      </w:r>
      <w:r w:rsidRPr="00872293">
        <w:rPr>
          <w:rFonts w:ascii="Times New Roman" w:hAnsi="Times New Roman" w:cs="Times New Roman"/>
          <w:b/>
          <w:bCs/>
          <w:noProof/>
        </w:rPr>
        <w:t>72</w:t>
      </w:r>
      <w:r w:rsidRPr="00872293">
        <w:rPr>
          <w:rFonts w:ascii="Times New Roman" w:hAnsi="Times New Roman" w:cs="Times New Roman"/>
          <w:noProof/>
        </w:rPr>
        <w:t>: 22.</w:t>
      </w:r>
    </w:p>
    <w:p w14:paraId="2C540A7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Schreeg LA, Santiago LS, Wright SJ, Turner BL</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Stem, root, and older leaf N: P ratios are more responsive indicators of soil nutrient availability than new foliage. </w:t>
      </w:r>
      <w:r w:rsidRPr="00872293">
        <w:rPr>
          <w:rFonts w:ascii="Times New Roman" w:hAnsi="Times New Roman" w:cs="Times New Roman"/>
          <w:i/>
          <w:iCs/>
          <w:noProof/>
        </w:rPr>
        <w:t>Ecology</w:t>
      </w:r>
      <w:r w:rsidRPr="00872293">
        <w:rPr>
          <w:rFonts w:ascii="Times New Roman" w:hAnsi="Times New Roman" w:cs="Times New Roman"/>
          <w:noProof/>
        </w:rPr>
        <w:t>.</w:t>
      </w:r>
    </w:p>
    <w:p w14:paraId="2F22F7D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Sinsabaugh RL, Antibus RK, Linkins AE, McClaugherty CA, Rayburn L, Repert D, </w:t>
      </w:r>
      <w:r w:rsidRPr="00872293">
        <w:rPr>
          <w:rFonts w:ascii="Times New Roman" w:hAnsi="Times New Roman" w:cs="Times New Roman"/>
          <w:b/>
          <w:bCs/>
          <w:noProof/>
        </w:rPr>
        <w:lastRenderedPageBreak/>
        <w:t>Weiland T</w:t>
      </w:r>
      <w:r w:rsidRPr="00872293">
        <w:rPr>
          <w:rFonts w:ascii="Times New Roman" w:hAnsi="Times New Roman" w:cs="Times New Roman"/>
          <w:noProof/>
        </w:rPr>
        <w:t xml:space="preserve">. </w:t>
      </w:r>
      <w:r w:rsidRPr="00872293">
        <w:rPr>
          <w:rFonts w:ascii="Times New Roman" w:hAnsi="Times New Roman" w:cs="Times New Roman"/>
          <w:b/>
          <w:bCs/>
          <w:noProof/>
        </w:rPr>
        <w:t>1993</w:t>
      </w:r>
      <w:r w:rsidRPr="00872293">
        <w:rPr>
          <w:rFonts w:ascii="Times New Roman" w:hAnsi="Times New Roman" w:cs="Times New Roman"/>
          <w:noProof/>
        </w:rPr>
        <w:t xml:space="preserve">. Wood Decomposition: Nitrogen and Phosphorus Dynamics in Relation to Extracellular Enzyme Activity.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74</w:t>
      </w:r>
      <w:r w:rsidRPr="00872293">
        <w:rPr>
          <w:rFonts w:ascii="Times New Roman" w:hAnsi="Times New Roman" w:cs="Times New Roman"/>
          <w:noProof/>
        </w:rPr>
        <w:t>: 1586–1593.</w:t>
      </w:r>
    </w:p>
    <w:p w14:paraId="6B8B915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Smith S, Read D</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w:t>
      </w:r>
      <w:r w:rsidRPr="00872293">
        <w:rPr>
          <w:rFonts w:ascii="Times New Roman" w:hAnsi="Times New Roman" w:cs="Times New Roman"/>
          <w:i/>
          <w:iCs/>
          <w:noProof/>
        </w:rPr>
        <w:t>Mycorrhizal Symbiosis</w:t>
      </w:r>
      <w:r w:rsidRPr="00872293">
        <w:rPr>
          <w:rFonts w:ascii="Times New Roman" w:hAnsi="Times New Roman" w:cs="Times New Roman"/>
          <w:noProof/>
        </w:rPr>
        <w:t>.</w:t>
      </w:r>
    </w:p>
    <w:p w14:paraId="64533E9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Spiers GA, McGill WB</w:t>
      </w:r>
      <w:r w:rsidRPr="00872293">
        <w:rPr>
          <w:rFonts w:ascii="Times New Roman" w:hAnsi="Times New Roman" w:cs="Times New Roman"/>
          <w:noProof/>
        </w:rPr>
        <w:t xml:space="preserve">. </w:t>
      </w:r>
      <w:r w:rsidRPr="00872293">
        <w:rPr>
          <w:rFonts w:ascii="Times New Roman" w:hAnsi="Times New Roman" w:cs="Times New Roman"/>
          <w:b/>
          <w:bCs/>
          <w:noProof/>
        </w:rPr>
        <w:t>1979</w:t>
      </w:r>
      <w:r w:rsidRPr="00872293">
        <w:rPr>
          <w:rFonts w:ascii="Times New Roman" w:hAnsi="Times New Roman" w:cs="Times New Roman"/>
          <w:noProof/>
        </w:rPr>
        <w:t xml:space="preserve">. Effects of phosphorus addition and energy supply on acid phosphatase production and activity in soils. </w:t>
      </w:r>
      <w:r w:rsidRPr="00872293">
        <w:rPr>
          <w:rFonts w:ascii="Times New Roman" w:hAnsi="Times New Roman" w:cs="Times New Roman"/>
          <w:i/>
          <w:iCs/>
          <w:noProof/>
        </w:rPr>
        <w:t>Soil Biology and Biochemistry</w:t>
      </w:r>
      <w:r w:rsidRPr="00872293">
        <w:rPr>
          <w:rFonts w:ascii="Times New Roman" w:hAnsi="Times New Roman" w:cs="Times New Roman"/>
          <w:noProof/>
        </w:rPr>
        <w:t>.</w:t>
      </w:r>
    </w:p>
    <w:p w14:paraId="6896446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Spohn M, Kuzyakov Y</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Spatial and temporal dynamics of hotspots of enzyme activity in soil as affected by living and dead roots-a soil zymography analysis. </w:t>
      </w:r>
      <w:r w:rsidRPr="00872293">
        <w:rPr>
          <w:rFonts w:ascii="Times New Roman" w:hAnsi="Times New Roman" w:cs="Times New Roman"/>
          <w:i/>
          <w:iCs/>
          <w:noProof/>
        </w:rPr>
        <w:t>Plant and Soil</w:t>
      </w:r>
      <w:r w:rsidRPr="00872293">
        <w:rPr>
          <w:rFonts w:ascii="Times New Roman" w:hAnsi="Times New Roman" w:cs="Times New Roman"/>
          <w:noProof/>
        </w:rPr>
        <w:t>.</w:t>
      </w:r>
    </w:p>
    <w:p w14:paraId="67CA4FA5"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Stevens PR, Walker TW</w:t>
      </w:r>
      <w:r w:rsidRPr="00872293">
        <w:rPr>
          <w:rFonts w:ascii="Times New Roman" w:hAnsi="Times New Roman" w:cs="Times New Roman"/>
          <w:noProof/>
        </w:rPr>
        <w:t xml:space="preserve">. </w:t>
      </w:r>
      <w:r w:rsidRPr="00872293">
        <w:rPr>
          <w:rFonts w:ascii="Times New Roman" w:hAnsi="Times New Roman" w:cs="Times New Roman"/>
          <w:b/>
          <w:bCs/>
          <w:noProof/>
        </w:rPr>
        <w:t>1970</w:t>
      </w:r>
      <w:r w:rsidRPr="00872293">
        <w:rPr>
          <w:rFonts w:ascii="Times New Roman" w:hAnsi="Times New Roman" w:cs="Times New Roman"/>
          <w:noProof/>
        </w:rPr>
        <w:t xml:space="preserve">. The Chronosequence Concept and Soil Formation. </w:t>
      </w:r>
      <w:r w:rsidRPr="00872293">
        <w:rPr>
          <w:rFonts w:ascii="Times New Roman" w:hAnsi="Times New Roman" w:cs="Times New Roman"/>
          <w:i/>
          <w:iCs/>
          <w:noProof/>
        </w:rPr>
        <w:t>The Quarterly Review of Biology</w:t>
      </w:r>
      <w:r w:rsidRPr="00872293">
        <w:rPr>
          <w:rFonts w:ascii="Times New Roman" w:hAnsi="Times New Roman" w:cs="Times New Roman"/>
          <w:noProof/>
        </w:rPr>
        <w:t xml:space="preserve"> </w:t>
      </w:r>
      <w:r w:rsidRPr="00872293">
        <w:rPr>
          <w:rFonts w:ascii="Times New Roman" w:hAnsi="Times New Roman" w:cs="Times New Roman"/>
          <w:b/>
          <w:bCs/>
          <w:noProof/>
        </w:rPr>
        <w:t>45</w:t>
      </w:r>
      <w:r w:rsidRPr="00872293">
        <w:rPr>
          <w:rFonts w:ascii="Times New Roman" w:hAnsi="Times New Roman" w:cs="Times New Roman"/>
          <w:noProof/>
        </w:rPr>
        <w:t>: 333–350.</w:t>
      </w:r>
    </w:p>
    <w:p w14:paraId="575E6A4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Stone MM, DeForest JL, Plante AF</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Changes in extracellular enzyme activity and microbial community structure with soil depth at the Luquillo Critical Zone Observatory. </w:t>
      </w:r>
      <w:r w:rsidRPr="00872293">
        <w:rPr>
          <w:rFonts w:ascii="Times New Roman" w:hAnsi="Times New Roman" w:cs="Times New Roman"/>
          <w:i/>
          <w:iCs/>
          <w:noProof/>
        </w:rPr>
        <w:t>Soil Biology and Biochemistry</w:t>
      </w:r>
      <w:r w:rsidRPr="00872293">
        <w:rPr>
          <w:rFonts w:ascii="Times New Roman" w:hAnsi="Times New Roman" w:cs="Times New Roman"/>
          <w:noProof/>
        </w:rPr>
        <w:t xml:space="preserve"> </w:t>
      </w:r>
      <w:r w:rsidRPr="00872293">
        <w:rPr>
          <w:rFonts w:ascii="Times New Roman" w:hAnsi="Times New Roman" w:cs="Times New Roman"/>
          <w:b/>
          <w:bCs/>
          <w:noProof/>
        </w:rPr>
        <w:t>75</w:t>
      </w:r>
      <w:r w:rsidRPr="00872293">
        <w:rPr>
          <w:rFonts w:ascii="Times New Roman" w:hAnsi="Times New Roman" w:cs="Times New Roman"/>
          <w:noProof/>
        </w:rPr>
        <w:t>: 237–247.</w:t>
      </w:r>
    </w:p>
    <w:p w14:paraId="5C20BB07" w14:textId="50FAF143"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Tabatabai MA, Bremner JM</w:t>
      </w:r>
      <w:r w:rsidRPr="00872293">
        <w:rPr>
          <w:rFonts w:ascii="Times New Roman" w:hAnsi="Times New Roman" w:cs="Times New Roman"/>
          <w:noProof/>
        </w:rPr>
        <w:t xml:space="preserve">. </w:t>
      </w:r>
      <w:r w:rsidRPr="00872293">
        <w:rPr>
          <w:rFonts w:ascii="Times New Roman" w:hAnsi="Times New Roman" w:cs="Times New Roman"/>
          <w:b/>
          <w:bCs/>
          <w:noProof/>
        </w:rPr>
        <w:t>1969</w:t>
      </w:r>
      <w:r w:rsidRPr="00872293">
        <w:rPr>
          <w:rFonts w:ascii="Times New Roman" w:hAnsi="Times New Roman" w:cs="Times New Roman"/>
          <w:noProof/>
        </w:rPr>
        <w:t xml:space="preserve">. Use of p-nitrophenyl phosphate for assay of soil phosphatase activity. </w:t>
      </w:r>
      <w:r w:rsidRPr="00872293">
        <w:rPr>
          <w:rFonts w:ascii="Times New Roman" w:hAnsi="Times New Roman" w:cs="Times New Roman"/>
          <w:i/>
          <w:iCs/>
          <w:noProof/>
        </w:rPr>
        <w:t>Soil Biology and Biochemistry</w:t>
      </w:r>
      <w:r w:rsidRPr="00872293">
        <w:rPr>
          <w:rFonts w:ascii="Times New Roman" w:hAnsi="Times New Roman" w:cs="Times New Roman"/>
          <w:noProof/>
        </w:rPr>
        <w:t xml:space="preserve"> </w:t>
      </w:r>
      <w:r w:rsidRPr="00872293">
        <w:rPr>
          <w:rFonts w:ascii="Times New Roman" w:hAnsi="Times New Roman" w:cs="Times New Roman"/>
          <w:b/>
          <w:bCs/>
          <w:noProof/>
        </w:rPr>
        <w:t>1</w:t>
      </w:r>
      <w:r w:rsidRPr="00872293">
        <w:rPr>
          <w:rFonts w:ascii="Times New Roman" w:hAnsi="Times New Roman" w:cs="Times New Roman"/>
          <w:noProof/>
        </w:rPr>
        <w:t>: 301–307.</w:t>
      </w:r>
    </w:p>
    <w:p w14:paraId="46066DE2" w14:textId="2DE45572" w:rsidR="00E82EA6" w:rsidRPr="00872293" w:rsidRDefault="00E82EA6" w:rsidP="0075656C">
      <w:pPr>
        <w:widowControl w:val="0"/>
        <w:autoSpaceDE w:val="0"/>
        <w:autoSpaceDN w:val="0"/>
        <w:adjustRightInd w:val="0"/>
        <w:spacing w:before="240" w:line="360" w:lineRule="auto"/>
        <w:rPr>
          <w:rFonts w:ascii="Times New Roman" w:hAnsi="Times New Roman" w:cs="Times New Roman"/>
          <w:noProof/>
        </w:rPr>
      </w:pPr>
      <w:r w:rsidRPr="00AC55FE">
        <w:rPr>
          <w:rFonts w:ascii="Times New Roman" w:hAnsi="Times New Roman" w:cs="Times New Roman"/>
          <w:b/>
          <w:bCs/>
        </w:rPr>
        <w:t>Teh YA, Silver WL, Scatena FN</w:t>
      </w:r>
      <w:r w:rsidRPr="00AC55FE">
        <w:rPr>
          <w:rFonts w:ascii="Times New Roman" w:hAnsi="Times New Roman" w:cs="Times New Roman"/>
        </w:rPr>
        <w:t xml:space="preserve">. </w:t>
      </w:r>
      <w:r w:rsidRPr="00AC55FE">
        <w:rPr>
          <w:rFonts w:ascii="Times New Roman" w:hAnsi="Times New Roman" w:cs="Times New Roman"/>
          <w:b/>
          <w:bCs/>
        </w:rPr>
        <w:t>2009</w:t>
      </w:r>
      <w:r w:rsidRPr="00AC55FE">
        <w:rPr>
          <w:rFonts w:ascii="Times New Roman" w:hAnsi="Times New Roman" w:cs="Times New Roman"/>
        </w:rPr>
        <w:t xml:space="preserve">. </w:t>
      </w:r>
      <w:r w:rsidRPr="00872293">
        <w:rPr>
          <w:rFonts w:ascii="Times New Roman" w:hAnsi="Times New Roman" w:cs="Times New Roman"/>
        </w:rPr>
        <w:t xml:space="preserve">A decade of belowground reorganization following multiple disturbances in a subtropical wet forest. </w:t>
      </w:r>
      <w:r w:rsidRPr="00872293">
        <w:rPr>
          <w:rFonts w:ascii="Times New Roman" w:hAnsi="Times New Roman" w:cs="Times New Roman"/>
          <w:i/>
          <w:iCs/>
        </w:rPr>
        <w:t>Plant and Soil</w:t>
      </w:r>
      <w:r w:rsidRPr="00872293">
        <w:rPr>
          <w:rFonts w:ascii="Times New Roman" w:hAnsi="Times New Roman" w:cs="Times New Roman"/>
        </w:rPr>
        <w:t xml:space="preserve"> </w:t>
      </w:r>
      <w:r w:rsidRPr="00872293">
        <w:rPr>
          <w:rFonts w:ascii="Times New Roman" w:hAnsi="Times New Roman" w:cs="Times New Roman"/>
          <w:b/>
          <w:bCs/>
        </w:rPr>
        <w:t>323</w:t>
      </w:r>
      <w:r w:rsidRPr="00872293">
        <w:rPr>
          <w:rFonts w:ascii="Times New Roman" w:hAnsi="Times New Roman" w:cs="Times New Roman"/>
        </w:rPr>
        <w:t>: 197–212.</w:t>
      </w:r>
    </w:p>
    <w:p w14:paraId="6EB3D814"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Townsend AR, Asner GP, Cleveland CC</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The biogeochemical heterogeneity of tropical forests. </w:t>
      </w:r>
      <w:r w:rsidRPr="00872293">
        <w:rPr>
          <w:rFonts w:ascii="Times New Roman" w:hAnsi="Times New Roman" w:cs="Times New Roman"/>
          <w:i/>
          <w:iCs/>
          <w:noProof/>
        </w:rPr>
        <w:t>Trends in Ecology and Evolution</w:t>
      </w:r>
      <w:r w:rsidRPr="00872293">
        <w:rPr>
          <w:rFonts w:ascii="Times New Roman" w:hAnsi="Times New Roman" w:cs="Times New Roman"/>
          <w:noProof/>
        </w:rPr>
        <w:t xml:space="preserve"> </w:t>
      </w:r>
      <w:r w:rsidRPr="00872293">
        <w:rPr>
          <w:rFonts w:ascii="Times New Roman" w:hAnsi="Times New Roman" w:cs="Times New Roman"/>
          <w:b/>
          <w:bCs/>
          <w:noProof/>
        </w:rPr>
        <w:t>23</w:t>
      </w:r>
      <w:r w:rsidRPr="00872293">
        <w:rPr>
          <w:rFonts w:ascii="Times New Roman" w:hAnsi="Times New Roman" w:cs="Times New Roman"/>
          <w:noProof/>
        </w:rPr>
        <w:t>: 424–431.</w:t>
      </w:r>
    </w:p>
    <w:p w14:paraId="04755D9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Treseder KK</w:t>
      </w:r>
      <w:r w:rsidRPr="00872293">
        <w:rPr>
          <w:rFonts w:ascii="Times New Roman" w:hAnsi="Times New Roman" w:cs="Times New Roman"/>
          <w:noProof/>
        </w:rPr>
        <w:t xml:space="preserve">. </w:t>
      </w:r>
      <w:r w:rsidRPr="00872293">
        <w:rPr>
          <w:rFonts w:ascii="Times New Roman" w:hAnsi="Times New Roman" w:cs="Times New Roman"/>
          <w:b/>
          <w:bCs/>
          <w:noProof/>
        </w:rPr>
        <w:t>2013</w:t>
      </w:r>
      <w:r w:rsidRPr="00872293">
        <w:rPr>
          <w:rFonts w:ascii="Times New Roman" w:hAnsi="Times New Roman" w:cs="Times New Roman"/>
          <w:noProof/>
        </w:rPr>
        <w:t xml:space="preserve">. The extent of mycorrhizal colonization of roots and its influence on plant growth and phosphorus content. </w:t>
      </w:r>
      <w:r w:rsidRPr="00872293">
        <w:rPr>
          <w:rFonts w:ascii="Times New Roman" w:hAnsi="Times New Roman" w:cs="Times New Roman"/>
          <w:i/>
          <w:iCs/>
          <w:noProof/>
        </w:rPr>
        <w:t>Plant and Soil</w:t>
      </w:r>
      <w:r w:rsidRPr="00872293">
        <w:rPr>
          <w:rFonts w:ascii="Times New Roman" w:hAnsi="Times New Roman" w:cs="Times New Roman"/>
          <w:noProof/>
        </w:rPr>
        <w:t>.</w:t>
      </w:r>
    </w:p>
    <w:p w14:paraId="2595550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Treseder KK, Vitousek PM</w:t>
      </w:r>
      <w:r w:rsidRPr="00872293">
        <w:rPr>
          <w:rFonts w:ascii="Times New Roman" w:hAnsi="Times New Roman" w:cs="Times New Roman"/>
          <w:noProof/>
        </w:rPr>
        <w:t xml:space="preserve">. </w:t>
      </w:r>
      <w:r w:rsidRPr="00872293">
        <w:rPr>
          <w:rFonts w:ascii="Times New Roman" w:hAnsi="Times New Roman" w:cs="Times New Roman"/>
          <w:b/>
          <w:bCs/>
          <w:noProof/>
        </w:rPr>
        <w:t>2001</w:t>
      </w:r>
      <w:r w:rsidRPr="00872293">
        <w:rPr>
          <w:rFonts w:ascii="Times New Roman" w:hAnsi="Times New Roman" w:cs="Times New Roman"/>
          <w:noProof/>
        </w:rPr>
        <w:t xml:space="preserve">. Effects of soil nutrient availability on investment in acquisition of N and P in Hawaiian rain forests.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82</w:t>
      </w:r>
      <w:r w:rsidRPr="00872293">
        <w:rPr>
          <w:rFonts w:ascii="Times New Roman" w:hAnsi="Times New Roman" w:cs="Times New Roman"/>
          <w:noProof/>
        </w:rPr>
        <w:t>: 946–954.</w:t>
      </w:r>
    </w:p>
    <w:p w14:paraId="6CEBFD8D"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Turner BL</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Resource partitioning for soil phosphorus: A hypothesis.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96</w:t>
      </w:r>
      <w:r w:rsidRPr="00872293">
        <w:rPr>
          <w:rFonts w:ascii="Times New Roman" w:hAnsi="Times New Roman" w:cs="Times New Roman"/>
          <w:noProof/>
        </w:rPr>
        <w:t>: 698–702.</w:t>
      </w:r>
    </w:p>
    <w:p w14:paraId="346B0EC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lastRenderedPageBreak/>
        <w:t>Turner BL, Brenes-Arguedas T, Condit R</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Pervasive phosphorus limitation of tree species but not communities in tropical forests.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555</w:t>
      </w:r>
      <w:r w:rsidRPr="00872293">
        <w:rPr>
          <w:rFonts w:ascii="Times New Roman" w:hAnsi="Times New Roman" w:cs="Times New Roman"/>
          <w:noProof/>
        </w:rPr>
        <w:t>: 367–370.</w:t>
      </w:r>
    </w:p>
    <w:p w14:paraId="0A2281D9"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Uriarte M, Thompson J, Zimmerman JK</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Hurricane María tripled stem breaks and doubled tree mortality relative to other major storms. </w:t>
      </w:r>
      <w:r w:rsidRPr="00872293">
        <w:rPr>
          <w:rFonts w:ascii="Times New Roman" w:hAnsi="Times New Roman" w:cs="Times New Roman"/>
          <w:i/>
          <w:iCs/>
          <w:noProof/>
        </w:rPr>
        <w:t>Nature Communications</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1–7.</w:t>
      </w:r>
    </w:p>
    <w:p w14:paraId="68DC12F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shd w:val="clear" w:color="auto" w:fill="FFFFFF"/>
        </w:rPr>
        <w:t>Uriarte M., J. Zimmerman</w:t>
      </w:r>
      <w:r w:rsidRPr="00872293">
        <w:rPr>
          <w:rFonts w:ascii="Times New Roman" w:hAnsi="Times New Roman" w:cs="Times New Roman"/>
          <w:b/>
          <w:bCs/>
          <w:i/>
          <w:iCs/>
          <w:shd w:val="clear" w:color="auto" w:fill="FFFFFF"/>
        </w:rPr>
        <w:t>. 2016</w:t>
      </w:r>
      <w:r w:rsidRPr="00872293">
        <w:rPr>
          <w:rFonts w:ascii="Times New Roman" w:hAnsi="Times New Roman" w:cs="Times New Roman"/>
          <w:i/>
          <w:iCs/>
          <w:shd w:val="clear" w:color="auto" w:fill="FFFFFF"/>
        </w:rPr>
        <w:t>. </w:t>
      </w:r>
      <w:r w:rsidRPr="00872293">
        <w:rPr>
          <w:rStyle w:val="HTMLCite"/>
          <w:rFonts w:ascii="Times New Roman" w:hAnsi="Times New Roman" w:cs="Times New Roman"/>
          <w:i w:val="0"/>
          <w:iCs w:val="0"/>
          <w:shd w:val="clear" w:color="auto" w:fill="FFFFFF"/>
        </w:rPr>
        <w:t>El Yunque Chronosequence Tree Census data.</w:t>
      </w:r>
      <w:r w:rsidRPr="00872293">
        <w:rPr>
          <w:rFonts w:ascii="Times New Roman" w:hAnsi="Times New Roman" w:cs="Times New Roman"/>
          <w:i/>
          <w:iCs/>
          <w:shd w:val="clear" w:color="auto" w:fill="FFFFFF"/>
        </w:rPr>
        <w:t> Environmental Data Initiative. </w:t>
      </w:r>
      <w:hyperlink r:id="rId38" w:history="1">
        <w:r w:rsidRPr="00872293">
          <w:rPr>
            <w:rStyle w:val="Hyperlink"/>
            <w:rFonts w:ascii="Times New Roman" w:hAnsi="Times New Roman" w:cs="Times New Roman"/>
            <w:i/>
            <w:iCs/>
            <w:color w:val="auto"/>
            <w:shd w:val="clear" w:color="auto" w:fill="FFFFFF"/>
          </w:rPr>
          <w:t>https://doi.org/10.6073/pasta/7a8315e46e841e20413968144c9e3076</w:t>
        </w:r>
      </w:hyperlink>
      <w:r w:rsidRPr="00872293">
        <w:rPr>
          <w:rFonts w:ascii="Times New Roman" w:hAnsi="Times New Roman" w:cs="Times New Roman"/>
          <w:i/>
          <w:iCs/>
          <w:shd w:val="clear" w:color="auto" w:fill="FFFFFF"/>
        </w:rPr>
        <w:t>.</w:t>
      </w:r>
    </w:p>
    <w:p w14:paraId="5DD12D61"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Uriarte M, Turner BL, Thompson J, Zimmerman JK</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Linking spatial patterns of leaf litterfall and soil nutrients in a tropical forest: A neighborhood approach. </w:t>
      </w:r>
      <w:r w:rsidRPr="00872293">
        <w:rPr>
          <w:rFonts w:ascii="Times New Roman" w:hAnsi="Times New Roman" w:cs="Times New Roman"/>
          <w:i/>
          <w:iCs/>
          <w:noProof/>
        </w:rPr>
        <w:t>Ecological Applications</w:t>
      </w:r>
      <w:r w:rsidRPr="00872293">
        <w:rPr>
          <w:rFonts w:ascii="Times New Roman" w:hAnsi="Times New Roman" w:cs="Times New Roman"/>
          <w:noProof/>
        </w:rPr>
        <w:t xml:space="preserve"> </w:t>
      </w:r>
      <w:r w:rsidRPr="00872293">
        <w:rPr>
          <w:rFonts w:ascii="Times New Roman" w:hAnsi="Times New Roman" w:cs="Times New Roman"/>
          <w:b/>
          <w:bCs/>
          <w:noProof/>
        </w:rPr>
        <w:t>25</w:t>
      </w:r>
      <w:r w:rsidRPr="00872293">
        <w:rPr>
          <w:rFonts w:ascii="Times New Roman" w:hAnsi="Times New Roman" w:cs="Times New Roman"/>
          <w:noProof/>
        </w:rPr>
        <w:t>: 2022–2034.</w:t>
      </w:r>
    </w:p>
    <w:p w14:paraId="3CC6C84B"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Valverde-Barrantes OJ, Horning AL, Smemo KA, Blackwood CB</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Phylogenetically structured traits in root systems influence arbuscular mycorrhizal colonization in woody angiosperms.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404</w:t>
      </w:r>
      <w:r w:rsidRPr="00872293">
        <w:rPr>
          <w:rFonts w:ascii="Times New Roman" w:hAnsi="Times New Roman" w:cs="Times New Roman"/>
          <w:noProof/>
        </w:rPr>
        <w:t>: 1–12.</w:t>
      </w:r>
    </w:p>
    <w:p w14:paraId="30FEA7D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Valverde-Barrantes OJ, Maherali H, Baraloto C, Blackwood CB</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Independent evolutionary changes in fine-root traits among main clades during the diversification of seed plants. </w:t>
      </w:r>
      <w:r w:rsidRPr="00872293">
        <w:rPr>
          <w:rFonts w:ascii="Times New Roman" w:hAnsi="Times New Roman" w:cs="Times New Roman"/>
          <w:i/>
          <w:iCs/>
          <w:noProof/>
        </w:rPr>
        <w:t>New Phytologist</w:t>
      </w:r>
      <w:r w:rsidRPr="00872293">
        <w:rPr>
          <w:rFonts w:ascii="Times New Roman" w:hAnsi="Times New Roman" w:cs="Times New Roman"/>
          <w:noProof/>
        </w:rPr>
        <w:t>.</w:t>
      </w:r>
    </w:p>
    <w:p w14:paraId="347A68C2"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Van-der-Heijden MGA, Martin FM, Selosse MA, Sanders IR</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Mycorrhizal ecology and evolution: The past, the present, and the future.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205</w:t>
      </w:r>
      <w:r w:rsidRPr="00872293">
        <w:rPr>
          <w:rFonts w:ascii="Times New Roman" w:hAnsi="Times New Roman" w:cs="Times New Roman"/>
          <w:noProof/>
        </w:rPr>
        <w:t>: 1406–1423.</w:t>
      </w:r>
    </w:p>
    <w:p w14:paraId="5711990A"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Vitoussek PM, Sanford RL</w:t>
      </w:r>
      <w:r w:rsidRPr="00872293">
        <w:rPr>
          <w:rFonts w:ascii="Times New Roman" w:hAnsi="Times New Roman" w:cs="Times New Roman"/>
          <w:noProof/>
        </w:rPr>
        <w:t xml:space="preserve">. </w:t>
      </w:r>
      <w:r w:rsidRPr="00872293">
        <w:rPr>
          <w:rFonts w:ascii="Times New Roman" w:hAnsi="Times New Roman" w:cs="Times New Roman"/>
          <w:b/>
          <w:bCs/>
          <w:noProof/>
        </w:rPr>
        <w:t>1986</w:t>
      </w:r>
      <w:r w:rsidRPr="00872293">
        <w:rPr>
          <w:rFonts w:ascii="Times New Roman" w:hAnsi="Times New Roman" w:cs="Times New Roman"/>
          <w:noProof/>
        </w:rPr>
        <w:t xml:space="preserve">. Nutrient cycling in moist tropical forest. </w:t>
      </w:r>
      <w:r w:rsidRPr="00872293">
        <w:rPr>
          <w:rFonts w:ascii="Times New Roman" w:hAnsi="Times New Roman" w:cs="Times New Roman"/>
          <w:i/>
          <w:iCs/>
          <w:noProof/>
        </w:rPr>
        <w:t>Annual review of ecology and systematics. Vol. 17</w:t>
      </w:r>
      <w:r w:rsidRPr="00872293">
        <w:rPr>
          <w:rFonts w:ascii="Times New Roman" w:hAnsi="Times New Roman" w:cs="Times New Roman"/>
          <w:noProof/>
        </w:rPr>
        <w:t xml:space="preserve"> </w:t>
      </w:r>
      <w:r w:rsidRPr="00872293">
        <w:rPr>
          <w:rFonts w:ascii="Times New Roman" w:hAnsi="Times New Roman" w:cs="Times New Roman"/>
          <w:b/>
          <w:bCs/>
          <w:noProof/>
        </w:rPr>
        <w:t>17</w:t>
      </w:r>
      <w:r w:rsidRPr="00872293">
        <w:rPr>
          <w:rFonts w:ascii="Times New Roman" w:hAnsi="Times New Roman" w:cs="Times New Roman"/>
          <w:noProof/>
        </w:rPr>
        <w:t>: 137–167.</w:t>
      </w:r>
    </w:p>
    <w:p w14:paraId="5929082C"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Walker TW, Syers JK</w:t>
      </w:r>
      <w:r w:rsidRPr="00872293">
        <w:rPr>
          <w:rFonts w:ascii="Times New Roman" w:hAnsi="Times New Roman" w:cs="Times New Roman"/>
          <w:noProof/>
        </w:rPr>
        <w:t xml:space="preserve">. </w:t>
      </w:r>
      <w:r w:rsidRPr="00872293">
        <w:rPr>
          <w:rFonts w:ascii="Times New Roman" w:hAnsi="Times New Roman" w:cs="Times New Roman"/>
          <w:b/>
          <w:bCs/>
          <w:noProof/>
        </w:rPr>
        <w:t>1976</w:t>
      </w:r>
      <w:r w:rsidRPr="00872293">
        <w:rPr>
          <w:rFonts w:ascii="Times New Roman" w:hAnsi="Times New Roman" w:cs="Times New Roman"/>
          <w:noProof/>
        </w:rPr>
        <w:t xml:space="preserve">. The fate of phosphorus during pedogenesis. </w:t>
      </w:r>
      <w:r w:rsidRPr="00872293">
        <w:rPr>
          <w:rFonts w:ascii="Times New Roman" w:hAnsi="Times New Roman" w:cs="Times New Roman"/>
          <w:i/>
          <w:iCs/>
          <w:noProof/>
        </w:rPr>
        <w:t>Geoderma</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1–19.</w:t>
      </w:r>
    </w:p>
    <w:p w14:paraId="162B5D46"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Wang Y, Wang M, Li Y, Wu A, Huang J</w:t>
      </w:r>
      <w:r w:rsidRPr="00872293">
        <w:rPr>
          <w:rFonts w:ascii="Times New Roman" w:hAnsi="Times New Roman" w:cs="Times New Roman"/>
          <w:noProof/>
        </w:rPr>
        <w:t xml:space="preserve">. </w:t>
      </w:r>
      <w:r w:rsidRPr="00872293">
        <w:rPr>
          <w:rFonts w:ascii="Times New Roman" w:hAnsi="Times New Roman" w:cs="Times New Roman"/>
          <w:b/>
          <w:bCs/>
          <w:noProof/>
        </w:rPr>
        <w:t>2018a</w:t>
      </w:r>
      <w:r w:rsidRPr="00872293">
        <w:rPr>
          <w:rFonts w:ascii="Times New Roman" w:hAnsi="Times New Roman" w:cs="Times New Roman"/>
          <w:noProof/>
        </w:rPr>
        <w:t xml:space="preserve">. Effects of arbuscular mycorrhizal fungi on growth and nitrogen uptake of Chrysanthemum morifolium under salt stress. </w:t>
      </w:r>
      <w:r w:rsidRPr="00872293">
        <w:rPr>
          <w:rFonts w:ascii="Times New Roman" w:hAnsi="Times New Roman" w:cs="Times New Roman"/>
          <w:i/>
          <w:iCs/>
          <w:noProof/>
        </w:rPr>
        <w:t>PLoS ONE</w:t>
      </w:r>
      <w:r w:rsidRPr="00872293">
        <w:rPr>
          <w:rFonts w:ascii="Times New Roman" w:hAnsi="Times New Roman" w:cs="Times New Roman"/>
          <w:noProof/>
        </w:rPr>
        <w:t xml:space="preserve"> </w:t>
      </w:r>
      <w:r w:rsidRPr="00872293">
        <w:rPr>
          <w:rFonts w:ascii="Times New Roman" w:hAnsi="Times New Roman" w:cs="Times New Roman"/>
          <w:b/>
          <w:bCs/>
          <w:noProof/>
        </w:rPr>
        <w:t>13</w:t>
      </w:r>
      <w:r w:rsidRPr="00872293">
        <w:rPr>
          <w:rFonts w:ascii="Times New Roman" w:hAnsi="Times New Roman" w:cs="Times New Roman"/>
          <w:noProof/>
        </w:rPr>
        <w:t>.</w:t>
      </w:r>
    </w:p>
    <w:p w14:paraId="18A5FF61"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Wang R, Wang Q, Zhao N, Xu Z, Zhu X, Jiao C, Yu G, He N</w:t>
      </w:r>
      <w:r w:rsidRPr="00872293">
        <w:rPr>
          <w:rFonts w:ascii="Times New Roman" w:hAnsi="Times New Roman" w:cs="Times New Roman"/>
          <w:noProof/>
        </w:rPr>
        <w:t xml:space="preserve">. </w:t>
      </w:r>
      <w:r w:rsidRPr="00872293">
        <w:rPr>
          <w:rFonts w:ascii="Times New Roman" w:hAnsi="Times New Roman" w:cs="Times New Roman"/>
          <w:b/>
          <w:bCs/>
          <w:noProof/>
        </w:rPr>
        <w:t>2018b</w:t>
      </w:r>
      <w:r w:rsidRPr="00872293">
        <w:rPr>
          <w:rFonts w:ascii="Times New Roman" w:hAnsi="Times New Roman" w:cs="Times New Roman"/>
          <w:noProof/>
        </w:rPr>
        <w:t xml:space="preserve">. Different phylogenetic and environmental controls of first-order root morphological and nutrient traits: Evidence of </w:t>
      </w:r>
      <w:r w:rsidRPr="00872293">
        <w:rPr>
          <w:rFonts w:ascii="Times New Roman" w:hAnsi="Times New Roman" w:cs="Times New Roman"/>
          <w:noProof/>
        </w:rPr>
        <w:lastRenderedPageBreak/>
        <w:t xml:space="preserve">multidimensional root traits. </w:t>
      </w:r>
      <w:r w:rsidRPr="00872293">
        <w:rPr>
          <w:rFonts w:ascii="Times New Roman" w:hAnsi="Times New Roman" w:cs="Times New Roman"/>
          <w:i/>
          <w:iCs/>
          <w:noProof/>
        </w:rPr>
        <w:t>Functional Ecology</w:t>
      </w:r>
      <w:r w:rsidRPr="00872293">
        <w:rPr>
          <w:rFonts w:ascii="Times New Roman" w:hAnsi="Times New Roman" w:cs="Times New Roman"/>
          <w:noProof/>
        </w:rPr>
        <w:t xml:space="preserve"> </w:t>
      </w:r>
      <w:r w:rsidRPr="00872293">
        <w:rPr>
          <w:rFonts w:ascii="Times New Roman" w:hAnsi="Times New Roman" w:cs="Times New Roman"/>
          <w:b/>
          <w:bCs/>
          <w:noProof/>
        </w:rPr>
        <w:t>32</w:t>
      </w:r>
      <w:r w:rsidRPr="00872293">
        <w:rPr>
          <w:rFonts w:ascii="Times New Roman" w:hAnsi="Times New Roman" w:cs="Times New Roman"/>
          <w:noProof/>
        </w:rPr>
        <w:t>: 29–39.</w:t>
      </w:r>
    </w:p>
    <w:p w14:paraId="3342E183"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Weemstra M, Mommer L, Visser EJW, van Ruijven J, Kuyper TW, Mohren GMJ, Sterck FJ</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Towards a multidimensional root trait framework: a tree root review. </w:t>
      </w:r>
      <w:r w:rsidRPr="00872293">
        <w:rPr>
          <w:rFonts w:ascii="Times New Roman" w:hAnsi="Times New Roman" w:cs="Times New Roman"/>
          <w:i/>
          <w:iCs/>
          <w:noProof/>
        </w:rPr>
        <w:t>The New phytologist</w:t>
      </w:r>
      <w:r w:rsidRPr="00872293">
        <w:rPr>
          <w:rFonts w:ascii="Times New Roman" w:hAnsi="Times New Roman" w:cs="Times New Roman"/>
          <w:noProof/>
        </w:rPr>
        <w:t xml:space="preserve"> </w:t>
      </w:r>
      <w:r w:rsidRPr="00872293">
        <w:rPr>
          <w:rFonts w:ascii="Times New Roman" w:hAnsi="Times New Roman" w:cs="Times New Roman"/>
          <w:b/>
          <w:bCs/>
          <w:noProof/>
        </w:rPr>
        <w:t>211</w:t>
      </w:r>
      <w:r w:rsidRPr="00872293">
        <w:rPr>
          <w:rFonts w:ascii="Times New Roman" w:hAnsi="Times New Roman" w:cs="Times New Roman"/>
          <w:noProof/>
        </w:rPr>
        <w:t>: 1159–1169.</w:t>
      </w:r>
    </w:p>
    <w:p w14:paraId="27D23E0D"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 xml:space="preserve">Wright IJ, Reich PB, Westoby M, Ackerly DD, Baruch Z, Bongers F, Cavender-Bares J, Chapin T, Cornellssen JHC, Diemer 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The worldwide leaf economics spectrum.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428</w:t>
      </w:r>
      <w:r w:rsidRPr="00872293">
        <w:rPr>
          <w:rFonts w:ascii="Times New Roman" w:hAnsi="Times New Roman" w:cs="Times New Roman"/>
          <w:noProof/>
        </w:rPr>
        <w:t>: 829–827.</w:t>
      </w:r>
    </w:p>
    <w:p w14:paraId="47A33BEF" w14:textId="77777777" w:rsidR="0075656C" w:rsidRPr="00872293" w:rsidRDefault="0075656C"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Xia M, Guo D, Pregitzer KS</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Ephemeral root modules in fraxinus mandshurica. </w:t>
      </w:r>
      <w:r w:rsidRPr="00872293">
        <w:rPr>
          <w:rFonts w:ascii="Times New Roman" w:hAnsi="Times New Roman" w:cs="Times New Roman"/>
          <w:i/>
          <w:iCs/>
          <w:noProof/>
        </w:rPr>
        <w:t>New Phytologist</w:t>
      </w:r>
      <w:r w:rsidRPr="00872293">
        <w:rPr>
          <w:rFonts w:ascii="Times New Roman" w:hAnsi="Times New Roman" w:cs="Times New Roman"/>
          <w:noProof/>
        </w:rPr>
        <w:t>.</w:t>
      </w:r>
    </w:p>
    <w:p w14:paraId="5C3F170A" w14:textId="76BB2E9C" w:rsidR="0075656C" w:rsidRPr="00872293" w:rsidRDefault="009446A5" w:rsidP="0075656C">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rPr>
        <w:t xml:space="preserve">[dataset] </w:t>
      </w:r>
      <w:r w:rsidR="0075656C" w:rsidRPr="00872293">
        <w:rPr>
          <w:rFonts w:ascii="Times New Roman" w:hAnsi="Times New Roman" w:cs="Times New Roman"/>
          <w:b/>
          <w:bCs/>
          <w:noProof/>
        </w:rPr>
        <w:t>Yaffar D, Norby RJ. 2018</w:t>
      </w:r>
      <w:r w:rsidR="0075656C" w:rsidRPr="00872293">
        <w:rPr>
          <w:rFonts w:ascii="Times New Roman" w:hAnsi="Times New Roman" w:cs="Times New Roman"/>
          <w:noProof/>
        </w:rPr>
        <w:t xml:space="preserve">. </w:t>
      </w:r>
      <w:r w:rsidR="0075656C" w:rsidRPr="007515B5">
        <w:rPr>
          <w:rFonts w:ascii="Times New Roman" w:hAnsi="Times New Roman" w:cs="Times New Roman"/>
          <w:noProof/>
        </w:rPr>
        <w:t xml:space="preserve">Root Traits El Verde_PR. Dataset. </w:t>
      </w:r>
      <w:r w:rsidR="0075656C" w:rsidRPr="00872293">
        <w:rPr>
          <w:rFonts w:ascii="Times New Roman" w:hAnsi="Times New Roman" w:cs="Times New Roman"/>
          <w:shd w:val="clear" w:color="auto" w:fill="FFFFFF"/>
        </w:rPr>
        <w:t>NGT0063</w:t>
      </w:r>
    </w:p>
    <w:p w14:paraId="7B63C4F4" w14:textId="352DC1DE" w:rsidR="0075656C" w:rsidRPr="00B20646" w:rsidRDefault="0075656C" w:rsidP="0075656C">
      <w:pPr>
        <w:spacing w:before="240" w:line="360" w:lineRule="auto"/>
        <w:rPr>
          <w:rFonts w:ascii="Times New Roman" w:hAnsi="Times New Roman" w:cs="Times New Roman"/>
          <w:sz w:val="27"/>
          <w:szCs w:val="27"/>
          <w:shd w:val="clear" w:color="auto" w:fill="FCFCFC"/>
        </w:rPr>
      </w:pPr>
      <w:r w:rsidRPr="00872293">
        <w:rPr>
          <w:rFonts w:ascii="Times New Roman" w:hAnsi="Times New Roman" w:cs="Times New Roman"/>
          <w:shd w:val="clear" w:color="auto" w:fill="FCFCFC"/>
        </w:rPr>
        <w:fldChar w:fldCharType="end"/>
      </w:r>
      <w:r w:rsidR="00B20646" w:rsidRPr="00B20646">
        <w:rPr>
          <w:rFonts w:ascii="Times New Roman" w:hAnsi="Times New Roman" w:cs="Times New Roman"/>
          <w:b/>
          <w:bCs/>
        </w:rPr>
        <w:t xml:space="preserve"> Yang X, Post WM, Thornton PE, Jain A</w:t>
      </w:r>
      <w:r w:rsidR="00B20646" w:rsidRPr="00B20646">
        <w:rPr>
          <w:rFonts w:ascii="Times New Roman" w:hAnsi="Times New Roman" w:cs="Times New Roman"/>
        </w:rPr>
        <w:t xml:space="preserve">. </w:t>
      </w:r>
      <w:r w:rsidR="00B20646" w:rsidRPr="00B20646">
        <w:rPr>
          <w:rFonts w:ascii="Times New Roman" w:hAnsi="Times New Roman" w:cs="Times New Roman"/>
          <w:b/>
          <w:bCs/>
        </w:rPr>
        <w:t>2013</w:t>
      </w:r>
      <w:r w:rsidR="00B20646" w:rsidRPr="00B20646">
        <w:rPr>
          <w:rFonts w:ascii="Times New Roman" w:hAnsi="Times New Roman" w:cs="Times New Roman"/>
        </w:rPr>
        <w:t xml:space="preserve">. The distribution of soil phosphorus for global biogeochemical modeling. </w:t>
      </w:r>
      <w:proofErr w:type="spellStart"/>
      <w:r w:rsidR="00B20646" w:rsidRPr="00B20646">
        <w:rPr>
          <w:rFonts w:ascii="Times New Roman" w:hAnsi="Times New Roman" w:cs="Times New Roman"/>
          <w:i/>
          <w:iCs/>
        </w:rPr>
        <w:t>Biogeosciences</w:t>
      </w:r>
      <w:proofErr w:type="spellEnd"/>
      <w:r w:rsidR="00B20646" w:rsidRPr="00B20646">
        <w:rPr>
          <w:rFonts w:ascii="Times New Roman" w:hAnsi="Times New Roman" w:cs="Times New Roman"/>
        </w:rPr>
        <w:t xml:space="preserve"> </w:t>
      </w:r>
      <w:r w:rsidR="00B20646" w:rsidRPr="00B20646">
        <w:rPr>
          <w:rFonts w:ascii="Times New Roman" w:hAnsi="Times New Roman" w:cs="Times New Roman"/>
          <w:b/>
          <w:bCs/>
        </w:rPr>
        <w:t>10</w:t>
      </w:r>
      <w:r w:rsidR="00B20646" w:rsidRPr="00B20646">
        <w:rPr>
          <w:rFonts w:ascii="Times New Roman" w:hAnsi="Times New Roman" w:cs="Times New Roman"/>
        </w:rPr>
        <w:t>: 2525–2537.</w:t>
      </w:r>
    </w:p>
    <w:p w14:paraId="0241D938" w14:textId="3336E002" w:rsidR="00C65F18" w:rsidRPr="00B20646" w:rsidRDefault="00F47796">
      <w:pPr>
        <w:rPr>
          <w:rFonts w:ascii="Times New Roman" w:hAnsi="Times New Roman" w:cs="Times New Roman"/>
          <w:b/>
          <w:bCs/>
        </w:rPr>
      </w:pPr>
      <w:r w:rsidRPr="00B20646">
        <w:rPr>
          <w:rFonts w:ascii="Times New Roman" w:hAnsi="Times New Roman" w:cs="Times New Roman"/>
          <w:b/>
          <w:bCs/>
        </w:rPr>
        <w:br w:type="page"/>
      </w:r>
    </w:p>
    <w:p w14:paraId="10D83F98" w14:textId="1B5C7BF2" w:rsidR="00C65F18" w:rsidRPr="00872293" w:rsidRDefault="00C65F18" w:rsidP="003A10D2">
      <w:pPr>
        <w:pStyle w:val="Heading2"/>
        <w:spacing w:before="0" w:after="0" w:line="360" w:lineRule="auto"/>
        <w:rPr>
          <w:rFonts w:cs="Times New Roman"/>
        </w:rPr>
      </w:pPr>
      <w:bookmarkStart w:id="160" w:name="_Toc53689118"/>
      <w:r w:rsidRPr="00872293">
        <w:rPr>
          <w:rFonts w:cs="Times New Roman"/>
        </w:rPr>
        <w:lastRenderedPageBreak/>
        <w:t>Appendix</w:t>
      </w:r>
      <w:bookmarkEnd w:id="160"/>
    </w:p>
    <w:p w14:paraId="1B793297" w14:textId="73D46CA4" w:rsidR="00C65F18" w:rsidRPr="00872293" w:rsidRDefault="00933E5F" w:rsidP="003A10D2">
      <w:pPr>
        <w:pStyle w:val="Caption"/>
        <w:spacing w:before="240" w:after="240"/>
        <w:rPr>
          <w:rFonts w:ascii="Times New Roman" w:hAnsi="Times New Roman" w:cs="Times New Roman"/>
          <w:color w:val="auto"/>
          <w:sz w:val="24"/>
          <w:szCs w:val="24"/>
        </w:rPr>
      </w:pPr>
      <w:bookmarkStart w:id="161" w:name="_Toc53755750"/>
      <w:r w:rsidRPr="00872293">
        <w:rPr>
          <w:rFonts w:ascii="Times New Roman" w:hAnsi="Times New Roman" w:cs="Times New Roman"/>
          <w:color w:val="auto"/>
          <w:sz w:val="24"/>
          <w:szCs w:val="24"/>
        </w:rPr>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8</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P-value results from one-way ANOVA comparing root traits: root diameter (RD), root branching ratio (RBR), root branching intensity (RBI), mycorrhizal colonization percentage (AM col.), root phosphatase activity (PME), root phosphorus percentage (RP), specific root length (SRL), A) between sites for each species that are repeated in sites, and B) between species within each site. *Significant values.</w:t>
      </w:r>
      <w:bookmarkEnd w:id="161"/>
      <w:r w:rsidRPr="00872293">
        <w:rPr>
          <w:rFonts w:ascii="Times New Roman" w:hAnsi="Times New Roman" w:cs="Times New Roman"/>
          <w:color w:val="auto"/>
          <w:sz w:val="24"/>
          <w:szCs w:val="24"/>
        </w:rPr>
        <w:t xml:space="preserve"> </w:t>
      </w:r>
    </w:p>
    <w:tbl>
      <w:tblPr>
        <w:tblW w:w="728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3"/>
        <w:gridCol w:w="984"/>
        <w:gridCol w:w="841"/>
        <w:gridCol w:w="841"/>
        <w:gridCol w:w="955"/>
        <w:gridCol w:w="984"/>
        <w:gridCol w:w="711"/>
        <w:gridCol w:w="711"/>
      </w:tblGrid>
      <w:tr w:rsidR="00872293" w:rsidRPr="00872293" w14:paraId="0DB92743" w14:textId="77777777" w:rsidTr="0085110E">
        <w:trPr>
          <w:trHeight w:val="620"/>
          <w:jc w:val="center"/>
        </w:trPr>
        <w:tc>
          <w:tcPr>
            <w:tcW w:w="7285" w:type="dxa"/>
            <w:gridSpan w:val="8"/>
            <w:tcBorders>
              <w:top w:val="single" w:sz="4" w:space="0" w:color="auto"/>
              <w:left w:val="single" w:sz="4" w:space="0" w:color="auto"/>
              <w:bottom w:val="nil"/>
              <w:right w:val="single" w:sz="4" w:space="0" w:color="auto"/>
            </w:tcBorders>
            <w:shd w:val="clear" w:color="auto" w:fill="auto"/>
            <w:noWrap/>
            <w:vAlign w:val="center"/>
            <w:hideMark/>
          </w:tcPr>
          <w:p w14:paraId="0824FAE0" w14:textId="77777777" w:rsidR="0033648E" w:rsidRPr="00872293" w:rsidRDefault="0033648E" w:rsidP="0033648E">
            <w:pPr>
              <w:pStyle w:val="ListParagraph"/>
              <w:numPr>
                <w:ilvl w:val="0"/>
                <w:numId w:val="13"/>
              </w:numP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 xml:space="preserve">Root trait differences between sites for each species </w:t>
            </w:r>
          </w:p>
        </w:tc>
      </w:tr>
      <w:tr w:rsidR="00872293" w:rsidRPr="00872293" w14:paraId="1CF5D93D" w14:textId="77777777" w:rsidTr="0085110E">
        <w:trPr>
          <w:trHeight w:val="290"/>
          <w:jc w:val="center"/>
        </w:trPr>
        <w:tc>
          <w:tcPr>
            <w:tcW w:w="1286" w:type="dxa"/>
            <w:tcBorders>
              <w:top w:val="nil"/>
              <w:left w:val="single" w:sz="4" w:space="0" w:color="auto"/>
              <w:bottom w:val="single" w:sz="4" w:space="0" w:color="auto"/>
            </w:tcBorders>
            <w:shd w:val="clear" w:color="auto" w:fill="auto"/>
            <w:noWrap/>
            <w:vAlign w:val="bottom"/>
            <w:hideMark/>
          </w:tcPr>
          <w:p w14:paraId="1323FE8C"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Species</w:t>
            </w:r>
          </w:p>
        </w:tc>
        <w:tc>
          <w:tcPr>
            <w:tcW w:w="984" w:type="dxa"/>
            <w:tcBorders>
              <w:top w:val="nil"/>
              <w:bottom w:val="single" w:sz="4" w:space="0" w:color="auto"/>
            </w:tcBorders>
            <w:shd w:val="clear" w:color="auto" w:fill="auto"/>
            <w:noWrap/>
            <w:vAlign w:val="bottom"/>
            <w:hideMark/>
          </w:tcPr>
          <w:p w14:paraId="66E90617"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RD</w:t>
            </w:r>
          </w:p>
        </w:tc>
        <w:tc>
          <w:tcPr>
            <w:tcW w:w="841" w:type="dxa"/>
            <w:tcBorders>
              <w:top w:val="nil"/>
              <w:bottom w:val="single" w:sz="4" w:space="0" w:color="auto"/>
            </w:tcBorders>
            <w:shd w:val="clear" w:color="auto" w:fill="auto"/>
            <w:noWrap/>
            <w:vAlign w:val="bottom"/>
            <w:hideMark/>
          </w:tcPr>
          <w:p w14:paraId="149B9A44"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RBR</w:t>
            </w:r>
          </w:p>
        </w:tc>
        <w:tc>
          <w:tcPr>
            <w:tcW w:w="841" w:type="dxa"/>
            <w:tcBorders>
              <w:top w:val="nil"/>
              <w:bottom w:val="single" w:sz="4" w:space="0" w:color="auto"/>
            </w:tcBorders>
            <w:shd w:val="clear" w:color="auto" w:fill="auto"/>
            <w:noWrap/>
            <w:vAlign w:val="bottom"/>
            <w:hideMark/>
          </w:tcPr>
          <w:p w14:paraId="3079EA7C"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RBI</w:t>
            </w:r>
          </w:p>
        </w:tc>
        <w:tc>
          <w:tcPr>
            <w:tcW w:w="955" w:type="dxa"/>
            <w:tcBorders>
              <w:top w:val="nil"/>
              <w:bottom w:val="single" w:sz="4" w:space="0" w:color="auto"/>
            </w:tcBorders>
            <w:shd w:val="clear" w:color="auto" w:fill="auto"/>
            <w:noWrap/>
            <w:vAlign w:val="bottom"/>
            <w:hideMark/>
          </w:tcPr>
          <w:p w14:paraId="50257156"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AM col.</w:t>
            </w:r>
          </w:p>
        </w:tc>
        <w:tc>
          <w:tcPr>
            <w:tcW w:w="984" w:type="dxa"/>
            <w:tcBorders>
              <w:top w:val="nil"/>
              <w:bottom w:val="single" w:sz="4" w:space="0" w:color="auto"/>
            </w:tcBorders>
            <w:shd w:val="clear" w:color="auto" w:fill="auto"/>
            <w:noWrap/>
            <w:vAlign w:val="bottom"/>
            <w:hideMark/>
          </w:tcPr>
          <w:p w14:paraId="4779C55C"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PME</w:t>
            </w:r>
          </w:p>
        </w:tc>
        <w:tc>
          <w:tcPr>
            <w:tcW w:w="697" w:type="dxa"/>
            <w:tcBorders>
              <w:top w:val="nil"/>
              <w:bottom w:val="single" w:sz="4" w:space="0" w:color="auto"/>
            </w:tcBorders>
            <w:shd w:val="clear" w:color="auto" w:fill="auto"/>
            <w:noWrap/>
            <w:vAlign w:val="bottom"/>
            <w:hideMark/>
          </w:tcPr>
          <w:p w14:paraId="25954173"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RP</w:t>
            </w:r>
          </w:p>
        </w:tc>
        <w:tc>
          <w:tcPr>
            <w:tcW w:w="697" w:type="dxa"/>
            <w:tcBorders>
              <w:top w:val="nil"/>
              <w:bottom w:val="single" w:sz="4" w:space="0" w:color="auto"/>
              <w:right w:val="single" w:sz="4" w:space="0" w:color="auto"/>
            </w:tcBorders>
            <w:shd w:val="clear" w:color="auto" w:fill="auto"/>
            <w:noWrap/>
            <w:vAlign w:val="bottom"/>
            <w:hideMark/>
          </w:tcPr>
          <w:p w14:paraId="69FCA940"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SRL</w:t>
            </w:r>
          </w:p>
        </w:tc>
      </w:tr>
      <w:tr w:rsidR="00872293" w:rsidRPr="00872293" w14:paraId="7CDB5BA2" w14:textId="77777777" w:rsidTr="0085110E">
        <w:trPr>
          <w:trHeight w:val="520"/>
          <w:jc w:val="center"/>
        </w:trPr>
        <w:tc>
          <w:tcPr>
            <w:tcW w:w="1286" w:type="dxa"/>
            <w:tcBorders>
              <w:top w:val="single" w:sz="4" w:space="0" w:color="auto"/>
              <w:bottom w:val="single" w:sz="4" w:space="0" w:color="auto"/>
            </w:tcBorders>
            <w:shd w:val="clear" w:color="auto" w:fill="auto"/>
            <w:vAlign w:val="center"/>
            <w:hideMark/>
          </w:tcPr>
          <w:p w14:paraId="1E9BBC99" w14:textId="77777777" w:rsidR="0033648E" w:rsidRPr="00872293" w:rsidRDefault="0033648E" w:rsidP="00886F84">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Prestoea</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montana</w:t>
            </w:r>
            <w:proofErr w:type="spellEnd"/>
          </w:p>
        </w:tc>
        <w:tc>
          <w:tcPr>
            <w:tcW w:w="984" w:type="dxa"/>
            <w:tcBorders>
              <w:top w:val="single" w:sz="4" w:space="0" w:color="auto"/>
              <w:bottom w:val="single" w:sz="4" w:space="0" w:color="auto"/>
            </w:tcBorders>
            <w:shd w:val="clear" w:color="auto" w:fill="auto"/>
            <w:noWrap/>
            <w:vAlign w:val="bottom"/>
            <w:hideMark/>
          </w:tcPr>
          <w:p w14:paraId="579EFF57"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0.092</w:t>
            </w:r>
          </w:p>
        </w:tc>
        <w:tc>
          <w:tcPr>
            <w:tcW w:w="841" w:type="dxa"/>
            <w:tcBorders>
              <w:top w:val="single" w:sz="4" w:space="0" w:color="auto"/>
              <w:bottom w:val="single" w:sz="4" w:space="0" w:color="auto"/>
            </w:tcBorders>
            <w:shd w:val="clear" w:color="auto" w:fill="auto"/>
            <w:noWrap/>
            <w:vAlign w:val="bottom"/>
            <w:hideMark/>
          </w:tcPr>
          <w:p w14:paraId="09B68A92"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0.633</w:t>
            </w:r>
          </w:p>
        </w:tc>
        <w:tc>
          <w:tcPr>
            <w:tcW w:w="841" w:type="dxa"/>
            <w:tcBorders>
              <w:top w:val="single" w:sz="4" w:space="0" w:color="auto"/>
              <w:bottom w:val="single" w:sz="4" w:space="0" w:color="auto"/>
            </w:tcBorders>
            <w:shd w:val="clear" w:color="auto" w:fill="auto"/>
            <w:noWrap/>
            <w:vAlign w:val="bottom"/>
            <w:hideMark/>
          </w:tcPr>
          <w:p w14:paraId="3AEEADF9"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0.071</w:t>
            </w:r>
          </w:p>
        </w:tc>
        <w:tc>
          <w:tcPr>
            <w:tcW w:w="955" w:type="dxa"/>
            <w:tcBorders>
              <w:top w:val="single" w:sz="4" w:space="0" w:color="auto"/>
              <w:bottom w:val="single" w:sz="4" w:space="0" w:color="auto"/>
            </w:tcBorders>
            <w:shd w:val="clear" w:color="auto" w:fill="auto"/>
            <w:noWrap/>
            <w:vAlign w:val="bottom"/>
            <w:hideMark/>
          </w:tcPr>
          <w:p w14:paraId="7195065E"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0.625</w:t>
            </w:r>
          </w:p>
        </w:tc>
        <w:tc>
          <w:tcPr>
            <w:tcW w:w="984" w:type="dxa"/>
            <w:tcBorders>
              <w:top w:val="single" w:sz="4" w:space="0" w:color="auto"/>
              <w:bottom w:val="single" w:sz="4" w:space="0" w:color="auto"/>
            </w:tcBorders>
            <w:shd w:val="clear" w:color="auto" w:fill="auto"/>
            <w:noWrap/>
            <w:vAlign w:val="bottom"/>
            <w:hideMark/>
          </w:tcPr>
          <w:p w14:paraId="7D2226FA"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0.028*</w:t>
            </w:r>
          </w:p>
        </w:tc>
        <w:tc>
          <w:tcPr>
            <w:tcW w:w="697" w:type="dxa"/>
            <w:tcBorders>
              <w:top w:val="single" w:sz="4" w:space="0" w:color="auto"/>
              <w:bottom w:val="single" w:sz="4" w:space="0" w:color="auto"/>
            </w:tcBorders>
            <w:shd w:val="clear" w:color="auto" w:fill="auto"/>
            <w:noWrap/>
            <w:vAlign w:val="bottom"/>
            <w:hideMark/>
          </w:tcPr>
          <w:p w14:paraId="223E3524"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0.404</w:t>
            </w:r>
          </w:p>
        </w:tc>
        <w:tc>
          <w:tcPr>
            <w:tcW w:w="697" w:type="dxa"/>
            <w:tcBorders>
              <w:top w:val="single" w:sz="4" w:space="0" w:color="auto"/>
              <w:bottom w:val="single" w:sz="4" w:space="0" w:color="auto"/>
            </w:tcBorders>
            <w:shd w:val="clear" w:color="auto" w:fill="auto"/>
            <w:noWrap/>
            <w:vAlign w:val="bottom"/>
            <w:hideMark/>
          </w:tcPr>
          <w:p w14:paraId="4789645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0.627</w:t>
            </w:r>
          </w:p>
        </w:tc>
      </w:tr>
      <w:tr w:rsidR="00872293" w:rsidRPr="00872293" w14:paraId="1A3C8DE4" w14:textId="77777777" w:rsidTr="0085110E">
        <w:trPr>
          <w:trHeight w:val="520"/>
          <w:jc w:val="center"/>
        </w:trPr>
        <w:tc>
          <w:tcPr>
            <w:tcW w:w="1286" w:type="dxa"/>
            <w:tcBorders>
              <w:top w:val="single" w:sz="4" w:space="0" w:color="auto"/>
              <w:bottom w:val="single" w:sz="4" w:space="0" w:color="auto"/>
            </w:tcBorders>
            <w:shd w:val="clear" w:color="auto" w:fill="auto"/>
            <w:vAlign w:val="center"/>
            <w:hideMark/>
          </w:tcPr>
          <w:p w14:paraId="065743A0" w14:textId="77777777" w:rsidR="0033648E" w:rsidRPr="00872293" w:rsidRDefault="0033648E" w:rsidP="00886F84">
            <w:pPr>
              <w:jc w:val="center"/>
              <w:rPr>
                <w:rFonts w:ascii="Times New Roman" w:eastAsia="Times New Roman" w:hAnsi="Times New Roman" w:cs="Times New Roman"/>
                <w:i/>
                <w:iCs/>
                <w:sz w:val="22"/>
                <w:szCs w:val="22"/>
              </w:rPr>
            </w:pPr>
            <w:r w:rsidRPr="00872293">
              <w:rPr>
                <w:rFonts w:ascii="Times New Roman" w:eastAsia="Times New Roman" w:hAnsi="Times New Roman" w:cs="Times New Roman"/>
                <w:i/>
                <w:iCs/>
                <w:sz w:val="22"/>
                <w:szCs w:val="22"/>
              </w:rPr>
              <w:t xml:space="preserve">Cecropia </w:t>
            </w:r>
            <w:proofErr w:type="spellStart"/>
            <w:r w:rsidRPr="00872293">
              <w:rPr>
                <w:rFonts w:ascii="Times New Roman" w:eastAsia="Times New Roman" w:hAnsi="Times New Roman" w:cs="Times New Roman"/>
                <w:i/>
                <w:iCs/>
                <w:sz w:val="22"/>
                <w:szCs w:val="22"/>
              </w:rPr>
              <w:t>scheberiana</w:t>
            </w:r>
            <w:proofErr w:type="spellEnd"/>
            <w:r w:rsidRPr="00872293">
              <w:rPr>
                <w:rFonts w:ascii="Times New Roman" w:eastAsia="Times New Roman" w:hAnsi="Times New Roman" w:cs="Times New Roman"/>
                <w:i/>
                <w:iCs/>
                <w:sz w:val="22"/>
                <w:szCs w:val="22"/>
              </w:rPr>
              <w:t xml:space="preserve"> </w:t>
            </w:r>
          </w:p>
        </w:tc>
        <w:tc>
          <w:tcPr>
            <w:tcW w:w="984" w:type="dxa"/>
            <w:tcBorders>
              <w:top w:val="single" w:sz="4" w:space="0" w:color="auto"/>
              <w:bottom w:val="single" w:sz="4" w:space="0" w:color="auto"/>
            </w:tcBorders>
            <w:shd w:val="clear" w:color="auto" w:fill="auto"/>
            <w:noWrap/>
            <w:vAlign w:val="bottom"/>
            <w:hideMark/>
          </w:tcPr>
          <w:p w14:paraId="5CCA08A5"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0.481</w:t>
            </w:r>
          </w:p>
        </w:tc>
        <w:tc>
          <w:tcPr>
            <w:tcW w:w="841" w:type="dxa"/>
            <w:tcBorders>
              <w:top w:val="single" w:sz="4" w:space="0" w:color="auto"/>
              <w:bottom w:val="single" w:sz="4" w:space="0" w:color="auto"/>
            </w:tcBorders>
            <w:shd w:val="clear" w:color="auto" w:fill="auto"/>
            <w:noWrap/>
            <w:vAlign w:val="bottom"/>
            <w:hideMark/>
          </w:tcPr>
          <w:p w14:paraId="4DBA92A2"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0.295</w:t>
            </w:r>
          </w:p>
        </w:tc>
        <w:tc>
          <w:tcPr>
            <w:tcW w:w="841" w:type="dxa"/>
            <w:tcBorders>
              <w:top w:val="single" w:sz="4" w:space="0" w:color="auto"/>
              <w:bottom w:val="single" w:sz="4" w:space="0" w:color="auto"/>
            </w:tcBorders>
            <w:shd w:val="clear" w:color="auto" w:fill="auto"/>
            <w:noWrap/>
            <w:vAlign w:val="bottom"/>
            <w:hideMark/>
          </w:tcPr>
          <w:p w14:paraId="099831E3"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0.350</w:t>
            </w:r>
          </w:p>
        </w:tc>
        <w:tc>
          <w:tcPr>
            <w:tcW w:w="955" w:type="dxa"/>
            <w:tcBorders>
              <w:top w:val="single" w:sz="4" w:space="0" w:color="auto"/>
              <w:bottom w:val="single" w:sz="4" w:space="0" w:color="auto"/>
            </w:tcBorders>
            <w:shd w:val="clear" w:color="auto" w:fill="auto"/>
            <w:noWrap/>
            <w:vAlign w:val="bottom"/>
            <w:hideMark/>
          </w:tcPr>
          <w:p w14:paraId="2EBE8D8F"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0.323</w:t>
            </w:r>
          </w:p>
        </w:tc>
        <w:tc>
          <w:tcPr>
            <w:tcW w:w="984" w:type="dxa"/>
            <w:tcBorders>
              <w:top w:val="single" w:sz="4" w:space="0" w:color="auto"/>
              <w:bottom w:val="single" w:sz="4" w:space="0" w:color="auto"/>
            </w:tcBorders>
            <w:shd w:val="clear" w:color="auto" w:fill="auto"/>
            <w:noWrap/>
            <w:vAlign w:val="bottom"/>
            <w:hideMark/>
          </w:tcPr>
          <w:p w14:paraId="5F497459"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0.317</w:t>
            </w:r>
          </w:p>
        </w:tc>
        <w:tc>
          <w:tcPr>
            <w:tcW w:w="697" w:type="dxa"/>
            <w:tcBorders>
              <w:top w:val="single" w:sz="4" w:space="0" w:color="auto"/>
              <w:bottom w:val="single" w:sz="4" w:space="0" w:color="auto"/>
            </w:tcBorders>
            <w:shd w:val="clear" w:color="auto" w:fill="auto"/>
            <w:noWrap/>
            <w:vAlign w:val="bottom"/>
            <w:hideMark/>
          </w:tcPr>
          <w:p w14:paraId="20016C86"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0.097</w:t>
            </w:r>
          </w:p>
        </w:tc>
        <w:tc>
          <w:tcPr>
            <w:tcW w:w="697" w:type="dxa"/>
            <w:tcBorders>
              <w:top w:val="single" w:sz="4" w:space="0" w:color="auto"/>
              <w:bottom w:val="single" w:sz="4" w:space="0" w:color="auto"/>
            </w:tcBorders>
            <w:shd w:val="clear" w:color="auto" w:fill="auto"/>
            <w:noWrap/>
            <w:vAlign w:val="bottom"/>
            <w:hideMark/>
          </w:tcPr>
          <w:p w14:paraId="71AD239F"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0.333</w:t>
            </w:r>
          </w:p>
        </w:tc>
      </w:tr>
      <w:tr w:rsidR="00872293" w:rsidRPr="00872293" w14:paraId="10AA0C54" w14:textId="77777777" w:rsidTr="0085110E">
        <w:trPr>
          <w:trHeight w:val="252"/>
          <w:jc w:val="center"/>
        </w:trPr>
        <w:tc>
          <w:tcPr>
            <w:tcW w:w="1286" w:type="dxa"/>
            <w:tcBorders>
              <w:top w:val="single" w:sz="4" w:space="0" w:color="auto"/>
              <w:bottom w:val="single" w:sz="4" w:space="0" w:color="auto"/>
            </w:tcBorders>
            <w:shd w:val="clear" w:color="auto" w:fill="auto"/>
            <w:vAlign w:val="center"/>
            <w:hideMark/>
          </w:tcPr>
          <w:p w14:paraId="201C1283" w14:textId="77777777" w:rsidR="0033648E" w:rsidRPr="00872293" w:rsidRDefault="0033648E" w:rsidP="00886F84">
            <w:pPr>
              <w:jc w:val="center"/>
              <w:rPr>
                <w:rFonts w:ascii="Times New Roman" w:eastAsia="Times New Roman" w:hAnsi="Times New Roman" w:cs="Times New Roman"/>
                <w:i/>
                <w:iCs/>
                <w:sz w:val="22"/>
                <w:szCs w:val="22"/>
              </w:rPr>
            </w:pPr>
            <w:proofErr w:type="spellStart"/>
            <w:r w:rsidRPr="00872293">
              <w:rPr>
                <w:rFonts w:ascii="Times New Roman" w:eastAsia="Times New Roman" w:hAnsi="Times New Roman" w:cs="Times New Roman"/>
                <w:i/>
                <w:iCs/>
                <w:sz w:val="22"/>
                <w:szCs w:val="22"/>
              </w:rPr>
              <w:t>Calophyllum</w:t>
            </w:r>
            <w:proofErr w:type="spellEnd"/>
            <w:r w:rsidRPr="00872293">
              <w:rPr>
                <w:rFonts w:ascii="Times New Roman" w:eastAsia="Times New Roman" w:hAnsi="Times New Roman" w:cs="Times New Roman"/>
                <w:i/>
                <w:iCs/>
                <w:sz w:val="22"/>
                <w:szCs w:val="22"/>
              </w:rPr>
              <w:t xml:space="preserve"> </w:t>
            </w:r>
            <w:proofErr w:type="spellStart"/>
            <w:r w:rsidRPr="00872293">
              <w:rPr>
                <w:rFonts w:ascii="Times New Roman" w:eastAsia="Times New Roman" w:hAnsi="Times New Roman" w:cs="Times New Roman"/>
                <w:i/>
                <w:iCs/>
                <w:sz w:val="22"/>
                <w:szCs w:val="22"/>
              </w:rPr>
              <w:t>calaba</w:t>
            </w:r>
            <w:proofErr w:type="spellEnd"/>
          </w:p>
        </w:tc>
        <w:tc>
          <w:tcPr>
            <w:tcW w:w="984" w:type="dxa"/>
            <w:tcBorders>
              <w:top w:val="single" w:sz="4" w:space="0" w:color="auto"/>
              <w:bottom w:val="single" w:sz="4" w:space="0" w:color="auto"/>
            </w:tcBorders>
            <w:shd w:val="clear" w:color="auto" w:fill="auto"/>
            <w:noWrap/>
            <w:vAlign w:val="bottom"/>
            <w:hideMark/>
          </w:tcPr>
          <w:p w14:paraId="6FFEE54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0.051</w:t>
            </w:r>
          </w:p>
        </w:tc>
        <w:tc>
          <w:tcPr>
            <w:tcW w:w="841" w:type="dxa"/>
            <w:tcBorders>
              <w:top w:val="single" w:sz="4" w:space="0" w:color="auto"/>
              <w:bottom w:val="single" w:sz="4" w:space="0" w:color="auto"/>
            </w:tcBorders>
            <w:shd w:val="clear" w:color="auto" w:fill="auto"/>
            <w:noWrap/>
            <w:vAlign w:val="bottom"/>
            <w:hideMark/>
          </w:tcPr>
          <w:p w14:paraId="20AEF61E"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0.016*</w:t>
            </w:r>
          </w:p>
        </w:tc>
        <w:tc>
          <w:tcPr>
            <w:tcW w:w="841" w:type="dxa"/>
            <w:tcBorders>
              <w:top w:val="single" w:sz="4" w:space="0" w:color="auto"/>
              <w:bottom w:val="single" w:sz="4" w:space="0" w:color="auto"/>
            </w:tcBorders>
            <w:shd w:val="clear" w:color="auto" w:fill="auto"/>
            <w:noWrap/>
            <w:vAlign w:val="bottom"/>
            <w:hideMark/>
          </w:tcPr>
          <w:p w14:paraId="7324933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0.221</w:t>
            </w:r>
          </w:p>
        </w:tc>
        <w:tc>
          <w:tcPr>
            <w:tcW w:w="955" w:type="dxa"/>
            <w:tcBorders>
              <w:top w:val="single" w:sz="4" w:space="0" w:color="auto"/>
              <w:bottom w:val="single" w:sz="4" w:space="0" w:color="auto"/>
            </w:tcBorders>
            <w:shd w:val="clear" w:color="auto" w:fill="auto"/>
            <w:noWrap/>
            <w:vAlign w:val="bottom"/>
            <w:hideMark/>
          </w:tcPr>
          <w:p w14:paraId="5D30BFA2"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0.097</w:t>
            </w:r>
          </w:p>
        </w:tc>
        <w:tc>
          <w:tcPr>
            <w:tcW w:w="984" w:type="dxa"/>
            <w:tcBorders>
              <w:top w:val="single" w:sz="4" w:space="0" w:color="auto"/>
              <w:bottom w:val="single" w:sz="4" w:space="0" w:color="auto"/>
            </w:tcBorders>
            <w:shd w:val="clear" w:color="auto" w:fill="auto"/>
            <w:noWrap/>
            <w:vAlign w:val="bottom"/>
            <w:hideMark/>
          </w:tcPr>
          <w:p w14:paraId="3234801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0.276</w:t>
            </w:r>
          </w:p>
        </w:tc>
        <w:tc>
          <w:tcPr>
            <w:tcW w:w="697" w:type="dxa"/>
            <w:tcBorders>
              <w:top w:val="single" w:sz="4" w:space="0" w:color="auto"/>
              <w:bottom w:val="single" w:sz="4" w:space="0" w:color="auto"/>
            </w:tcBorders>
            <w:shd w:val="clear" w:color="auto" w:fill="auto"/>
            <w:noWrap/>
            <w:vAlign w:val="bottom"/>
            <w:hideMark/>
          </w:tcPr>
          <w:p w14:paraId="2322F52F"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0.115</w:t>
            </w:r>
          </w:p>
        </w:tc>
        <w:tc>
          <w:tcPr>
            <w:tcW w:w="697" w:type="dxa"/>
            <w:tcBorders>
              <w:top w:val="single" w:sz="4" w:space="0" w:color="auto"/>
              <w:bottom w:val="single" w:sz="4" w:space="0" w:color="auto"/>
            </w:tcBorders>
            <w:shd w:val="clear" w:color="auto" w:fill="auto"/>
            <w:noWrap/>
            <w:vAlign w:val="bottom"/>
            <w:hideMark/>
          </w:tcPr>
          <w:p w14:paraId="0F24C519"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0.632</w:t>
            </w:r>
          </w:p>
        </w:tc>
      </w:tr>
      <w:tr w:rsidR="00872293" w:rsidRPr="00872293" w14:paraId="48D1505C" w14:textId="77777777" w:rsidTr="0085110E">
        <w:trPr>
          <w:trHeight w:val="675"/>
          <w:jc w:val="center"/>
        </w:trPr>
        <w:tc>
          <w:tcPr>
            <w:tcW w:w="7285" w:type="dxa"/>
            <w:gridSpan w:val="8"/>
            <w:tcBorders>
              <w:top w:val="single" w:sz="4" w:space="0" w:color="auto"/>
              <w:bottom w:val="nil"/>
            </w:tcBorders>
            <w:shd w:val="clear" w:color="auto" w:fill="auto"/>
            <w:noWrap/>
            <w:vAlign w:val="center"/>
            <w:hideMark/>
          </w:tcPr>
          <w:p w14:paraId="66A7A77D" w14:textId="77777777" w:rsidR="0033648E" w:rsidRPr="00872293" w:rsidRDefault="0033648E" w:rsidP="0033648E">
            <w:pPr>
              <w:pStyle w:val="ListParagraph"/>
              <w:numPr>
                <w:ilvl w:val="0"/>
                <w:numId w:val="13"/>
              </w:numP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Root trait differences between species for each site</w:t>
            </w:r>
          </w:p>
        </w:tc>
      </w:tr>
      <w:tr w:rsidR="00872293" w:rsidRPr="00872293" w14:paraId="5B576D14" w14:textId="77777777" w:rsidTr="0085110E">
        <w:trPr>
          <w:trHeight w:val="290"/>
          <w:jc w:val="center"/>
        </w:trPr>
        <w:tc>
          <w:tcPr>
            <w:tcW w:w="1286" w:type="dxa"/>
            <w:tcBorders>
              <w:top w:val="nil"/>
              <w:bottom w:val="single" w:sz="4" w:space="0" w:color="auto"/>
            </w:tcBorders>
            <w:shd w:val="clear" w:color="auto" w:fill="auto"/>
            <w:vAlign w:val="center"/>
            <w:hideMark/>
          </w:tcPr>
          <w:p w14:paraId="2104AD1E"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Site</w:t>
            </w:r>
          </w:p>
        </w:tc>
        <w:tc>
          <w:tcPr>
            <w:tcW w:w="984" w:type="dxa"/>
            <w:tcBorders>
              <w:top w:val="nil"/>
              <w:bottom w:val="single" w:sz="4" w:space="0" w:color="auto"/>
            </w:tcBorders>
            <w:shd w:val="clear" w:color="auto" w:fill="auto"/>
            <w:noWrap/>
            <w:vAlign w:val="bottom"/>
            <w:hideMark/>
          </w:tcPr>
          <w:p w14:paraId="4B722D9E"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RD</w:t>
            </w:r>
          </w:p>
        </w:tc>
        <w:tc>
          <w:tcPr>
            <w:tcW w:w="841" w:type="dxa"/>
            <w:tcBorders>
              <w:top w:val="nil"/>
              <w:bottom w:val="single" w:sz="4" w:space="0" w:color="auto"/>
            </w:tcBorders>
            <w:shd w:val="clear" w:color="auto" w:fill="auto"/>
            <w:noWrap/>
            <w:vAlign w:val="bottom"/>
            <w:hideMark/>
          </w:tcPr>
          <w:p w14:paraId="764CD871"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RBR</w:t>
            </w:r>
          </w:p>
        </w:tc>
        <w:tc>
          <w:tcPr>
            <w:tcW w:w="841" w:type="dxa"/>
            <w:tcBorders>
              <w:top w:val="nil"/>
              <w:bottom w:val="single" w:sz="4" w:space="0" w:color="auto"/>
            </w:tcBorders>
            <w:shd w:val="clear" w:color="auto" w:fill="auto"/>
            <w:noWrap/>
            <w:vAlign w:val="bottom"/>
            <w:hideMark/>
          </w:tcPr>
          <w:p w14:paraId="7D186347"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RBI</w:t>
            </w:r>
          </w:p>
        </w:tc>
        <w:tc>
          <w:tcPr>
            <w:tcW w:w="955" w:type="dxa"/>
            <w:tcBorders>
              <w:top w:val="nil"/>
              <w:bottom w:val="single" w:sz="4" w:space="0" w:color="auto"/>
            </w:tcBorders>
            <w:shd w:val="clear" w:color="auto" w:fill="auto"/>
            <w:noWrap/>
            <w:vAlign w:val="bottom"/>
            <w:hideMark/>
          </w:tcPr>
          <w:p w14:paraId="2BA5A14A"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AM col.</w:t>
            </w:r>
          </w:p>
        </w:tc>
        <w:tc>
          <w:tcPr>
            <w:tcW w:w="984" w:type="dxa"/>
            <w:tcBorders>
              <w:top w:val="nil"/>
              <w:bottom w:val="single" w:sz="4" w:space="0" w:color="auto"/>
            </w:tcBorders>
            <w:shd w:val="clear" w:color="auto" w:fill="auto"/>
            <w:noWrap/>
            <w:vAlign w:val="bottom"/>
            <w:hideMark/>
          </w:tcPr>
          <w:p w14:paraId="0C296F86"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PME</w:t>
            </w:r>
          </w:p>
        </w:tc>
        <w:tc>
          <w:tcPr>
            <w:tcW w:w="697" w:type="dxa"/>
            <w:tcBorders>
              <w:top w:val="nil"/>
              <w:bottom w:val="single" w:sz="4" w:space="0" w:color="auto"/>
            </w:tcBorders>
            <w:shd w:val="clear" w:color="auto" w:fill="auto"/>
            <w:noWrap/>
            <w:vAlign w:val="bottom"/>
            <w:hideMark/>
          </w:tcPr>
          <w:p w14:paraId="2CA820C7"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RP</w:t>
            </w:r>
          </w:p>
        </w:tc>
        <w:tc>
          <w:tcPr>
            <w:tcW w:w="697" w:type="dxa"/>
            <w:tcBorders>
              <w:top w:val="nil"/>
              <w:bottom w:val="single" w:sz="4" w:space="0" w:color="auto"/>
            </w:tcBorders>
            <w:shd w:val="clear" w:color="auto" w:fill="auto"/>
            <w:noWrap/>
            <w:vAlign w:val="bottom"/>
            <w:hideMark/>
          </w:tcPr>
          <w:p w14:paraId="48FE3581" w14:textId="77777777" w:rsidR="0033648E" w:rsidRPr="00872293" w:rsidRDefault="0033648E" w:rsidP="00886F84">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SRL</w:t>
            </w:r>
          </w:p>
        </w:tc>
      </w:tr>
      <w:tr w:rsidR="00872293" w:rsidRPr="00872293" w14:paraId="72D1CAED" w14:textId="77777777" w:rsidTr="0085110E">
        <w:trPr>
          <w:trHeight w:val="459"/>
          <w:jc w:val="center"/>
        </w:trPr>
        <w:tc>
          <w:tcPr>
            <w:tcW w:w="1286" w:type="dxa"/>
            <w:tcBorders>
              <w:top w:val="single" w:sz="4" w:space="0" w:color="auto"/>
              <w:bottom w:val="single" w:sz="4" w:space="0" w:color="auto"/>
            </w:tcBorders>
            <w:shd w:val="clear" w:color="auto" w:fill="auto"/>
            <w:vAlign w:val="center"/>
            <w:hideMark/>
          </w:tcPr>
          <w:p w14:paraId="44008297"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EVS</w:t>
            </w:r>
          </w:p>
        </w:tc>
        <w:tc>
          <w:tcPr>
            <w:tcW w:w="984" w:type="dxa"/>
            <w:tcBorders>
              <w:top w:val="single" w:sz="4" w:space="0" w:color="auto"/>
              <w:bottom w:val="single" w:sz="4" w:space="0" w:color="auto"/>
            </w:tcBorders>
            <w:shd w:val="clear" w:color="auto" w:fill="auto"/>
            <w:noWrap/>
            <w:vAlign w:val="bottom"/>
            <w:hideMark/>
          </w:tcPr>
          <w:p w14:paraId="629EAB07"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&lt;0.001*</w:t>
            </w:r>
          </w:p>
        </w:tc>
        <w:tc>
          <w:tcPr>
            <w:tcW w:w="841" w:type="dxa"/>
            <w:tcBorders>
              <w:top w:val="single" w:sz="4" w:space="0" w:color="auto"/>
              <w:bottom w:val="single" w:sz="4" w:space="0" w:color="auto"/>
            </w:tcBorders>
            <w:shd w:val="clear" w:color="auto" w:fill="auto"/>
            <w:noWrap/>
            <w:vAlign w:val="bottom"/>
            <w:hideMark/>
          </w:tcPr>
          <w:p w14:paraId="7C141304"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0.007*</w:t>
            </w:r>
          </w:p>
        </w:tc>
        <w:tc>
          <w:tcPr>
            <w:tcW w:w="841" w:type="dxa"/>
            <w:tcBorders>
              <w:top w:val="single" w:sz="4" w:space="0" w:color="auto"/>
              <w:bottom w:val="single" w:sz="4" w:space="0" w:color="auto"/>
            </w:tcBorders>
            <w:shd w:val="clear" w:color="auto" w:fill="auto"/>
            <w:noWrap/>
            <w:vAlign w:val="bottom"/>
            <w:hideMark/>
          </w:tcPr>
          <w:p w14:paraId="292A7ABD"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0.016*</w:t>
            </w:r>
          </w:p>
        </w:tc>
        <w:tc>
          <w:tcPr>
            <w:tcW w:w="955" w:type="dxa"/>
            <w:tcBorders>
              <w:top w:val="single" w:sz="4" w:space="0" w:color="auto"/>
              <w:bottom w:val="single" w:sz="4" w:space="0" w:color="auto"/>
            </w:tcBorders>
            <w:shd w:val="clear" w:color="auto" w:fill="auto"/>
            <w:noWrap/>
            <w:vAlign w:val="bottom"/>
            <w:hideMark/>
          </w:tcPr>
          <w:p w14:paraId="5DB368EB"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0.002*</w:t>
            </w:r>
          </w:p>
        </w:tc>
        <w:tc>
          <w:tcPr>
            <w:tcW w:w="984" w:type="dxa"/>
            <w:tcBorders>
              <w:top w:val="single" w:sz="4" w:space="0" w:color="auto"/>
              <w:bottom w:val="single" w:sz="4" w:space="0" w:color="auto"/>
            </w:tcBorders>
            <w:shd w:val="clear" w:color="auto" w:fill="auto"/>
            <w:noWrap/>
            <w:vAlign w:val="bottom"/>
            <w:hideMark/>
          </w:tcPr>
          <w:p w14:paraId="46CCEB6B"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&lt;0.001*</w:t>
            </w:r>
          </w:p>
        </w:tc>
        <w:tc>
          <w:tcPr>
            <w:tcW w:w="697" w:type="dxa"/>
            <w:tcBorders>
              <w:top w:val="single" w:sz="4" w:space="0" w:color="auto"/>
              <w:bottom w:val="single" w:sz="4" w:space="0" w:color="auto"/>
            </w:tcBorders>
            <w:shd w:val="clear" w:color="auto" w:fill="auto"/>
            <w:noWrap/>
            <w:vAlign w:val="bottom"/>
            <w:hideMark/>
          </w:tcPr>
          <w:p w14:paraId="3E703EDD"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0.220</w:t>
            </w:r>
          </w:p>
        </w:tc>
        <w:tc>
          <w:tcPr>
            <w:tcW w:w="697" w:type="dxa"/>
            <w:tcBorders>
              <w:top w:val="single" w:sz="4" w:space="0" w:color="auto"/>
              <w:bottom w:val="single" w:sz="4" w:space="0" w:color="auto"/>
            </w:tcBorders>
            <w:shd w:val="clear" w:color="auto" w:fill="auto"/>
            <w:noWrap/>
            <w:vAlign w:val="bottom"/>
            <w:hideMark/>
          </w:tcPr>
          <w:p w14:paraId="732879B3"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0.343</w:t>
            </w:r>
          </w:p>
        </w:tc>
      </w:tr>
      <w:tr w:rsidR="00872293" w:rsidRPr="00872293" w14:paraId="20A340F1" w14:textId="77777777" w:rsidTr="0085110E">
        <w:trPr>
          <w:trHeight w:val="513"/>
          <w:jc w:val="center"/>
        </w:trPr>
        <w:tc>
          <w:tcPr>
            <w:tcW w:w="1286" w:type="dxa"/>
            <w:tcBorders>
              <w:top w:val="single" w:sz="4" w:space="0" w:color="auto"/>
              <w:bottom w:val="single" w:sz="4" w:space="0" w:color="auto"/>
            </w:tcBorders>
            <w:shd w:val="clear" w:color="auto" w:fill="auto"/>
            <w:vAlign w:val="center"/>
            <w:hideMark/>
          </w:tcPr>
          <w:p w14:paraId="7562CC86"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EV1</w:t>
            </w:r>
          </w:p>
        </w:tc>
        <w:tc>
          <w:tcPr>
            <w:tcW w:w="984" w:type="dxa"/>
            <w:tcBorders>
              <w:top w:val="single" w:sz="4" w:space="0" w:color="auto"/>
              <w:bottom w:val="single" w:sz="4" w:space="0" w:color="auto"/>
            </w:tcBorders>
            <w:shd w:val="clear" w:color="auto" w:fill="auto"/>
            <w:noWrap/>
            <w:vAlign w:val="bottom"/>
            <w:hideMark/>
          </w:tcPr>
          <w:p w14:paraId="6A4D1635"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&lt;0.001*</w:t>
            </w:r>
          </w:p>
        </w:tc>
        <w:tc>
          <w:tcPr>
            <w:tcW w:w="841" w:type="dxa"/>
            <w:tcBorders>
              <w:top w:val="single" w:sz="4" w:space="0" w:color="auto"/>
              <w:bottom w:val="single" w:sz="4" w:space="0" w:color="auto"/>
            </w:tcBorders>
            <w:shd w:val="clear" w:color="auto" w:fill="auto"/>
            <w:noWrap/>
            <w:vAlign w:val="bottom"/>
            <w:hideMark/>
          </w:tcPr>
          <w:p w14:paraId="2A59CDE4"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0.024*</w:t>
            </w:r>
          </w:p>
        </w:tc>
        <w:tc>
          <w:tcPr>
            <w:tcW w:w="841" w:type="dxa"/>
            <w:tcBorders>
              <w:top w:val="single" w:sz="4" w:space="0" w:color="auto"/>
              <w:bottom w:val="single" w:sz="4" w:space="0" w:color="auto"/>
            </w:tcBorders>
            <w:shd w:val="clear" w:color="auto" w:fill="auto"/>
            <w:noWrap/>
            <w:vAlign w:val="bottom"/>
            <w:hideMark/>
          </w:tcPr>
          <w:p w14:paraId="523C671D"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0.250</w:t>
            </w:r>
          </w:p>
        </w:tc>
        <w:tc>
          <w:tcPr>
            <w:tcW w:w="955" w:type="dxa"/>
            <w:tcBorders>
              <w:top w:val="single" w:sz="4" w:space="0" w:color="auto"/>
              <w:bottom w:val="single" w:sz="4" w:space="0" w:color="auto"/>
            </w:tcBorders>
            <w:shd w:val="clear" w:color="auto" w:fill="auto"/>
            <w:noWrap/>
            <w:vAlign w:val="bottom"/>
            <w:hideMark/>
          </w:tcPr>
          <w:p w14:paraId="724CA1B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0.004*</w:t>
            </w:r>
          </w:p>
        </w:tc>
        <w:tc>
          <w:tcPr>
            <w:tcW w:w="984" w:type="dxa"/>
            <w:tcBorders>
              <w:top w:val="single" w:sz="4" w:space="0" w:color="auto"/>
              <w:bottom w:val="single" w:sz="4" w:space="0" w:color="auto"/>
            </w:tcBorders>
            <w:shd w:val="clear" w:color="auto" w:fill="auto"/>
            <w:noWrap/>
            <w:vAlign w:val="bottom"/>
            <w:hideMark/>
          </w:tcPr>
          <w:p w14:paraId="00E4F60D"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0.284</w:t>
            </w:r>
          </w:p>
        </w:tc>
        <w:tc>
          <w:tcPr>
            <w:tcW w:w="697" w:type="dxa"/>
            <w:tcBorders>
              <w:top w:val="single" w:sz="4" w:space="0" w:color="auto"/>
              <w:bottom w:val="single" w:sz="4" w:space="0" w:color="auto"/>
            </w:tcBorders>
            <w:shd w:val="clear" w:color="auto" w:fill="auto"/>
            <w:noWrap/>
            <w:vAlign w:val="bottom"/>
            <w:hideMark/>
          </w:tcPr>
          <w:p w14:paraId="6ABFFAE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0.079</w:t>
            </w:r>
          </w:p>
        </w:tc>
        <w:tc>
          <w:tcPr>
            <w:tcW w:w="697" w:type="dxa"/>
            <w:tcBorders>
              <w:top w:val="single" w:sz="4" w:space="0" w:color="auto"/>
              <w:bottom w:val="single" w:sz="4" w:space="0" w:color="auto"/>
            </w:tcBorders>
            <w:shd w:val="clear" w:color="auto" w:fill="auto"/>
            <w:noWrap/>
            <w:vAlign w:val="bottom"/>
            <w:hideMark/>
          </w:tcPr>
          <w:p w14:paraId="62097A3C"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r w:rsidR="00872293" w:rsidRPr="00872293" w14:paraId="5DCBB910" w14:textId="77777777" w:rsidTr="0085110E">
        <w:trPr>
          <w:trHeight w:val="540"/>
          <w:jc w:val="center"/>
        </w:trPr>
        <w:tc>
          <w:tcPr>
            <w:tcW w:w="1286" w:type="dxa"/>
            <w:tcBorders>
              <w:top w:val="single" w:sz="4" w:space="0" w:color="auto"/>
            </w:tcBorders>
            <w:shd w:val="clear" w:color="auto" w:fill="auto"/>
            <w:vAlign w:val="center"/>
            <w:hideMark/>
          </w:tcPr>
          <w:p w14:paraId="31FF1BAB"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SB2</w:t>
            </w:r>
          </w:p>
        </w:tc>
        <w:tc>
          <w:tcPr>
            <w:tcW w:w="984" w:type="dxa"/>
            <w:tcBorders>
              <w:top w:val="single" w:sz="4" w:space="0" w:color="auto"/>
            </w:tcBorders>
            <w:shd w:val="clear" w:color="auto" w:fill="auto"/>
            <w:noWrap/>
            <w:vAlign w:val="bottom"/>
            <w:hideMark/>
          </w:tcPr>
          <w:p w14:paraId="22D538DA"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0.310</w:t>
            </w:r>
          </w:p>
        </w:tc>
        <w:tc>
          <w:tcPr>
            <w:tcW w:w="841" w:type="dxa"/>
            <w:tcBorders>
              <w:top w:val="single" w:sz="4" w:space="0" w:color="auto"/>
            </w:tcBorders>
            <w:shd w:val="clear" w:color="auto" w:fill="auto"/>
            <w:noWrap/>
            <w:vAlign w:val="bottom"/>
            <w:hideMark/>
          </w:tcPr>
          <w:p w14:paraId="68F2D2D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0.043*</w:t>
            </w:r>
          </w:p>
        </w:tc>
        <w:tc>
          <w:tcPr>
            <w:tcW w:w="841" w:type="dxa"/>
            <w:tcBorders>
              <w:top w:val="single" w:sz="4" w:space="0" w:color="auto"/>
            </w:tcBorders>
            <w:shd w:val="clear" w:color="auto" w:fill="auto"/>
            <w:noWrap/>
            <w:vAlign w:val="bottom"/>
            <w:hideMark/>
          </w:tcPr>
          <w:p w14:paraId="468F8588"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0.006*</w:t>
            </w:r>
          </w:p>
        </w:tc>
        <w:tc>
          <w:tcPr>
            <w:tcW w:w="955" w:type="dxa"/>
            <w:tcBorders>
              <w:top w:val="single" w:sz="4" w:space="0" w:color="auto"/>
            </w:tcBorders>
            <w:shd w:val="clear" w:color="auto" w:fill="auto"/>
            <w:noWrap/>
            <w:vAlign w:val="bottom"/>
            <w:hideMark/>
          </w:tcPr>
          <w:p w14:paraId="0B027CD0"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0.001*</w:t>
            </w:r>
          </w:p>
        </w:tc>
        <w:tc>
          <w:tcPr>
            <w:tcW w:w="984" w:type="dxa"/>
            <w:tcBorders>
              <w:top w:val="single" w:sz="4" w:space="0" w:color="auto"/>
            </w:tcBorders>
            <w:shd w:val="clear" w:color="auto" w:fill="auto"/>
            <w:noWrap/>
            <w:vAlign w:val="bottom"/>
            <w:hideMark/>
          </w:tcPr>
          <w:p w14:paraId="797AF932"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0.095</w:t>
            </w:r>
          </w:p>
        </w:tc>
        <w:tc>
          <w:tcPr>
            <w:tcW w:w="697" w:type="dxa"/>
            <w:tcBorders>
              <w:top w:val="single" w:sz="4" w:space="0" w:color="auto"/>
            </w:tcBorders>
            <w:shd w:val="clear" w:color="auto" w:fill="auto"/>
            <w:noWrap/>
            <w:vAlign w:val="bottom"/>
            <w:hideMark/>
          </w:tcPr>
          <w:p w14:paraId="7DB6F7DC"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0.282</w:t>
            </w:r>
          </w:p>
        </w:tc>
        <w:tc>
          <w:tcPr>
            <w:tcW w:w="697" w:type="dxa"/>
            <w:tcBorders>
              <w:top w:val="single" w:sz="4" w:space="0" w:color="auto"/>
            </w:tcBorders>
            <w:shd w:val="clear" w:color="auto" w:fill="auto"/>
            <w:noWrap/>
            <w:vAlign w:val="bottom"/>
            <w:hideMark/>
          </w:tcPr>
          <w:p w14:paraId="6F4FA722" w14:textId="77777777" w:rsidR="0033648E" w:rsidRPr="00872293" w:rsidRDefault="0033648E" w:rsidP="00886F84">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0.180</w:t>
            </w:r>
          </w:p>
        </w:tc>
      </w:tr>
    </w:tbl>
    <w:p w14:paraId="2F87BFE7" w14:textId="17C311F0" w:rsidR="006B7705" w:rsidRPr="00872293" w:rsidRDefault="006B7705" w:rsidP="003C456F">
      <w:pPr>
        <w:spacing w:line="360" w:lineRule="auto"/>
        <w:jc w:val="center"/>
        <w:rPr>
          <w:rFonts w:ascii="Times New Roman" w:hAnsi="Times New Roman" w:cs="Times New Roman"/>
          <w:b/>
          <w:bCs/>
        </w:rPr>
      </w:pPr>
    </w:p>
    <w:p w14:paraId="1EB819D0" w14:textId="7D8F3734" w:rsidR="0028643A" w:rsidRPr="00872293" w:rsidRDefault="006B7705" w:rsidP="00D13407">
      <w:pPr>
        <w:rPr>
          <w:rFonts w:ascii="Times New Roman" w:hAnsi="Times New Roman" w:cs="Times New Roman"/>
          <w:b/>
          <w:bCs/>
        </w:rPr>
      </w:pPr>
      <w:r w:rsidRPr="00872293">
        <w:rPr>
          <w:rFonts w:ascii="Times New Roman" w:hAnsi="Times New Roman" w:cs="Times New Roman"/>
          <w:b/>
          <w:bCs/>
        </w:rPr>
        <w:br w:type="page"/>
      </w:r>
    </w:p>
    <w:p w14:paraId="6509EFEC" w14:textId="27BDED2A" w:rsidR="0033648E" w:rsidRPr="00872293" w:rsidRDefault="00831566" w:rsidP="00932058">
      <w:pPr>
        <w:pStyle w:val="Caption"/>
        <w:spacing w:before="240" w:after="240"/>
        <w:rPr>
          <w:rFonts w:ascii="Times New Roman" w:hAnsi="Times New Roman" w:cs="Times New Roman"/>
          <w:b/>
          <w:bCs/>
          <w:color w:val="auto"/>
          <w:sz w:val="24"/>
          <w:szCs w:val="24"/>
        </w:rPr>
      </w:pPr>
      <w:bookmarkStart w:id="162" w:name="_Toc53755751"/>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006B7705" w:rsidRPr="00872293">
        <w:rPr>
          <w:rFonts w:ascii="Times New Roman" w:hAnsi="Times New Roman" w:cs="Times New Roman"/>
          <w:noProof/>
          <w:color w:val="auto"/>
          <w:sz w:val="24"/>
          <w:szCs w:val="24"/>
        </w:rPr>
        <w:t>9</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33648E" w:rsidRPr="00872293">
        <w:rPr>
          <w:rFonts w:ascii="Times New Roman" w:eastAsia="Times New Roman" w:hAnsi="Times New Roman" w:cs="Times New Roman"/>
          <w:color w:val="auto"/>
          <w:sz w:val="24"/>
          <w:szCs w:val="24"/>
        </w:rPr>
        <w:t>Mixed effect models; dependent variables; fixed effects; random effects; P values; R</w:t>
      </w:r>
      <w:r w:rsidR="0033648E" w:rsidRPr="00872293">
        <w:rPr>
          <w:rFonts w:ascii="Times New Roman" w:eastAsia="Times New Roman" w:hAnsi="Times New Roman" w:cs="Times New Roman"/>
          <w:color w:val="auto"/>
          <w:sz w:val="24"/>
          <w:szCs w:val="24"/>
          <w:vertAlign w:val="superscript"/>
        </w:rPr>
        <w:t>2</w:t>
      </w:r>
      <w:r w:rsidR="0033648E" w:rsidRPr="00872293">
        <w:rPr>
          <w:rFonts w:ascii="Times New Roman" w:eastAsia="Times New Roman" w:hAnsi="Times New Roman" w:cs="Times New Roman"/>
          <w:color w:val="auto"/>
          <w:sz w:val="24"/>
          <w:szCs w:val="24"/>
        </w:rPr>
        <w:t xml:space="preserve"> marginal and R</w:t>
      </w:r>
      <w:r w:rsidR="0033648E" w:rsidRPr="00872293">
        <w:rPr>
          <w:rFonts w:ascii="Times New Roman" w:eastAsia="Times New Roman" w:hAnsi="Times New Roman" w:cs="Times New Roman"/>
          <w:color w:val="auto"/>
          <w:sz w:val="24"/>
          <w:szCs w:val="24"/>
          <w:vertAlign w:val="superscript"/>
        </w:rPr>
        <w:t>2</w:t>
      </w:r>
      <w:r w:rsidR="0033648E" w:rsidRPr="00872293">
        <w:rPr>
          <w:rFonts w:ascii="Times New Roman" w:eastAsia="Times New Roman" w:hAnsi="Times New Roman" w:cs="Times New Roman"/>
          <w:color w:val="auto"/>
          <w:sz w:val="24"/>
          <w:szCs w:val="24"/>
        </w:rPr>
        <w:t xml:space="preserve"> conditional; coefficient estimates.</w:t>
      </w:r>
      <w:bookmarkEnd w:id="162"/>
    </w:p>
    <w:tbl>
      <w:tblPr>
        <w:tblW w:w="89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0"/>
        <w:gridCol w:w="1304"/>
        <w:gridCol w:w="1304"/>
        <w:gridCol w:w="1365"/>
        <w:gridCol w:w="734"/>
        <w:gridCol w:w="1048"/>
        <w:gridCol w:w="1047"/>
      </w:tblGrid>
      <w:tr w:rsidR="00D13407" w:rsidRPr="00872293" w14:paraId="259CDC48" w14:textId="77777777" w:rsidTr="00ED6BCD">
        <w:trPr>
          <w:trHeight w:val="470"/>
        </w:trPr>
        <w:tc>
          <w:tcPr>
            <w:tcW w:w="2120" w:type="dxa"/>
            <w:vMerge w:val="restart"/>
            <w:tcBorders>
              <w:top w:val="single" w:sz="4" w:space="0" w:color="auto"/>
              <w:bottom w:val="single" w:sz="4" w:space="0" w:color="auto"/>
            </w:tcBorders>
            <w:shd w:val="clear" w:color="auto" w:fill="auto"/>
            <w:vAlign w:val="center"/>
            <w:hideMark/>
          </w:tcPr>
          <w:p w14:paraId="1DC4690B"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Model (</w:t>
            </w:r>
            <w:proofErr w:type="spellStart"/>
            <w:r w:rsidRPr="00872293">
              <w:rPr>
                <w:rFonts w:ascii="Times New Roman" w:eastAsia="Times New Roman" w:hAnsi="Times New Roman" w:cs="Times New Roman"/>
                <w:b/>
                <w:bCs/>
                <w:sz w:val="22"/>
                <w:szCs w:val="22"/>
              </w:rPr>
              <w:t>lmer</w:t>
            </w:r>
            <w:proofErr w:type="spellEnd"/>
            <w:r w:rsidRPr="00872293">
              <w:rPr>
                <w:rFonts w:ascii="Times New Roman" w:eastAsia="Times New Roman" w:hAnsi="Times New Roman" w:cs="Times New Roman"/>
                <w:b/>
                <w:bCs/>
                <w:sz w:val="22"/>
                <w:szCs w:val="22"/>
              </w:rPr>
              <w:t>)</w:t>
            </w:r>
          </w:p>
        </w:tc>
        <w:tc>
          <w:tcPr>
            <w:tcW w:w="1304" w:type="dxa"/>
            <w:vMerge w:val="restart"/>
            <w:tcBorders>
              <w:top w:val="single" w:sz="4" w:space="0" w:color="auto"/>
              <w:bottom w:val="single" w:sz="4" w:space="0" w:color="auto"/>
            </w:tcBorders>
            <w:shd w:val="clear" w:color="auto" w:fill="auto"/>
            <w:vAlign w:val="center"/>
            <w:hideMark/>
          </w:tcPr>
          <w:p w14:paraId="12FE9315"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Dependent variable</w:t>
            </w:r>
          </w:p>
        </w:tc>
        <w:tc>
          <w:tcPr>
            <w:tcW w:w="1304" w:type="dxa"/>
            <w:vMerge w:val="restart"/>
            <w:tcBorders>
              <w:top w:val="single" w:sz="4" w:space="0" w:color="auto"/>
              <w:bottom w:val="single" w:sz="4" w:space="0" w:color="auto"/>
            </w:tcBorders>
            <w:shd w:val="clear" w:color="auto" w:fill="auto"/>
            <w:vAlign w:val="center"/>
            <w:hideMark/>
          </w:tcPr>
          <w:p w14:paraId="4B5D3610"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Fixed effects</w:t>
            </w:r>
          </w:p>
        </w:tc>
        <w:tc>
          <w:tcPr>
            <w:tcW w:w="1365" w:type="dxa"/>
            <w:vMerge w:val="restart"/>
            <w:tcBorders>
              <w:top w:val="single" w:sz="4" w:space="0" w:color="auto"/>
              <w:bottom w:val="single" w:sz="4" w:space="0" w:color="auto"/>
            </w:tcBorders>
            <w:shd w:val="clear" w:color="auto" w:fill="auto"/>
            <w:vAlign w:val="center"/>
            <w:hideMark/>
          </w:tcPr>
          <w:p w14:paraId="51EFEECF"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Random effect</w:t>
            </w:r>
          </w:p>
        </w:tc>
        <w:tc>
          <w:tcPr>
            <w:tcW w:w="734" w:type="dxa"/>
            <w:vMerge w:val="restart"/>
            <w:tcBorders>
              <w:top w:val="single" w:sz="4" w:space="0" w:color="auto"/>
              <w:bottom w:val="single" w:sz="4" w:space="0" w:color="auto"/>
            </w:tcBorders>
            <w:shd w:val="clear" w:color="auto" w:fill="auto"/>
            <w:vAlign w:val="center"/>
            <w:hideMark/>
          </w:tcPr>
          <w:p w14:paraId="7CA963B9"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 value</w:t>
            </w:r>
          </w:p>
        </w:tc>
        <w:tc>
          <w:tcPr>
            <w:tcW w:w="1048" w:type="dxa"/>
            <w:vMerge w:val="restart"/>
            <w:tcBorders>
              <w:top w:val="single" w:sz="4" w:space="0" w:color="auto"/>
              <w:bottom w:val="single" w:sz="4" w:space="0" w:color="auto"/>
            </w:tcBorders>
            <w:shd w:val="clear" w:color="auto" w:fill="auto"/>
            <w:vAlign w:val="center"/>
            <w:hideMark/>
          </w:tcPr>
          <w:p w14:paraId="096398F6"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m/R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c</w:t>
            </w:r>
          </w:p>
        </w:tc>
        <w:tc>
          <w:tcPr>
            <w:tcW w:w="1047" w:type="dxa"/>
            <w:vMerge w:val="restart"/>
            <w:tcBorders>
              <w:top w:val="single" w:sz="4" w:space="0" w:color="auto"/>
              <w:bottom w:val="single" w:sz="4" w:space="0" w:color="auto"/>
            </w:tcBorders>
            <w:shd w:val="clear" w:color="auto" w:fill="auto"/>
            <w:vAlign w:val="center"/>
            <w:hideMark/>
          </w:tcPr>
          <w:p w14:paraId="4CEFC672" w14:textId="77777777" w:rsidR="00D13407" w:rsidRPr="00872293" w:rsidRDefault="00D13407" w:rsidP="00ED6BCD">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Estimate</w:t>
            </w:r>
          </w:p>
        </w:tc>
      </w:tr>
      <w:tr w:rsidR="00872293" w:rsidRPr="00872293" w14:paraId="616FC214" w14:textId="77777777" w:rsidTr="00EE755C">
        <w:trPr>
          <w:trHeight w:val="293"/>
        </w:trPr>
        <w:tc>
          <w:tcPr>
            <w:tcW w:w="2120" w:type="dxa"/>
            <w:vMerge/>
            <w:tcBorders>
              <w:top w:val="nil"/>
              <w:bottom w:val="single" w:sz="4" w:space="0" w:color="auto"/>
            </w:tcBorders>
            <w:vAlign w:val="center"/>
            <w:hideMark/>
          </w:tcPr>
          <w:p w14:paraId="0DBB79F8" w14:textId="77777777" w:rsidR="00D13407" w:rsidRPr="00872293" w:rsidRDefault="00D13407" w:rsidP="00ED6BCD">
            <w:pPr>
              <w:rPr>
                <w:rFonts w:ascii="Times New Roman" w:eastAsia="Times New Roman" w:hAnsi="Times New Roman" w:cs="Times New Roman"/>
                <w:b/>
                <w:bCs/>
                <w:sz w:val="22"/>
                <w:szCs w:val="22"/>
              </w:rPr>
            </w:pPr>
          </w:p>
        </w:tc>
        <w:tc>
          <w:tcPr>
            <w:tcW w:w="1304" w:type="dxa"/>
            <w:vMerge/>
            <w:tcBorders>
              <w:top w:val="nil"/>
              <w:bottom w:val="single" w:sz="4" w:space="0" w:color="auto"/>
            </w:tcBorders>
            <w:vAlign w:val="center"/>
            <w:hideMark/>
          </w:tcPr>
          <w:p w14:paraId="6C42E154" w14:textId="77777777" w:rsidR="00D13407" w:rsidRPr="00872293" w:rsidRDefault="00D13407" w:rsidP="00ED6BCD">
            <w:pPr>
              <w:rPr>
                <w:rFonts w:ascii="Times New Roman" w:eastAsia="Times New Roman" w:hAnsi="Times New Roman" w:cs="Times New Roman"/>
                <w:b/>
                <w:bCs/>
                <w:sz w:val="22"/>
                <w:szCs w:val="22"/>
              </w:rPr>
            </w:pPr>
          </w:p>
        </w:tc>
        <w:tc>
          <w:tcPr>
            <w:tcW w:w="1304" w:type="dxa"/>
            <w:vMerge/>
            <w:tcBorders>
              <w:top w:val="nil"/>
              <w:bottom w:val="single" w:sz="4" w:space="0" w:color="auto"/>
            </w:tcBorders>
            <w:vAlign w:val="center"/>
            <w:hideMark/>
          </w:tcPr>
          <w:p w14:paraId="5CCB433B" w14:textId="77777777" w:rsidR="00D13407" w:rsidRPr="00872293" w:rsidRDefault="00D13407" w:rsidP="00ED6BCD">
            <w:pPr>
              <w:rPr>
                <w:rFonts w:ascii="Times New Roman" w:eastAsia="Times New Roman" w:hAnsi="Times New Roman" w:cs="Times New Roman"/>
                <w:b/>
                <w:bCs/>
                <w:sz w:val="22"/>
                <w:szCs w:val="22"/>
              </w:rPr>
            </w:pPr>
          </w:p>
        </w:tc>
        <w:tc>
          <w:tcPr>
            <w:tcW w:w="1365" w:type="dxa"/>
            <w:vMerge/>
            <w:tcBorders>
              <w:top w:val="nil"/>
              <w:bottom w:val="single" w:sz="4" w:space="0" w:color="auto"/>
            </w:tcBorders>
            <w:vAlign w:val="center"/>
            <w:hideMark/>
          </w:tcPr>
          <w:p w14:paraId="7CDF280A" w14:textId="77777777" w:rsidR="00D13407" w:rsidRPr="00872293" w:rsidRDefault="00D13407" w:rsidP="00ED6BCD">
            <w:pPr>
              <w:rPr>
                <w:rFonts w:ascii="Times New Roman" w:eastAsia="Times New Roman" w:hAnsi="Times New Roman" w:cs="Times New Roman"/>
                <w:b/>
                <w:bCs/>
                <w:sz w:val="22"/>
                <w:szCs w:val="22"/>
              </w:rPr>
            </w:pPr>
          </w:p>
        </w:tc>
        <w:tc>
          <w:tcPr>
            <w:tcW w:w="734" w:type="dxa"/>
            <w:vMerge/>
            <w:tcBorders>
              <w:top w:val="nil"/>
              <w:bottom w:val="single" w:sz="4" w:space="0" w:color="auto"/>
            </w:tcBorders>
            <w:vAlign w:val="center"/>
            <w:hideMark/>
          </w:tcPr>
          <w:p w14:paraId="18100045" w14:textId="77777777" w:rsidR="00D13407" w:rsidRPr="00872293" w:rsidRDefault="00D13407" w:rsidP="00ED6BCD">
            <w:pPr>
              <w:rPr>
                <w:rFonts w:ascii="Times New Roman" w:eastAsia="Times New Roman" w:hAnsi="Times New Roman" w:cs="Times New Roman"/>
                <w:b/>
                <w:bCs/>
                <w:sz w:val="22"/>
                <w:szCs w:val="22"/>
              </w:rPr>
            </w:pPr>
          </w:p>
        </w:tc>
        <w:tc>
          <w:tcPr>
            <w:tcW w:w="1048" w:type="dxa"/>
            <w:vMerge/>
            <w:tcBorders>
              <w:top w:val="nil"/>
              <w:bottom w:val="single" w:sz="4" w:space="0" w:color="auto"/>
            </w:tcBorders>
            <w:vAlign w:val="center"/>
            <w:hideMark/>
          </w:tcPr>
          <w:p w14:paraId="38E71BA0" w14:textId="77777777" w:rsidR="00D13407" w:rsidRPr="00872293" w:rsidRDefault="00D13407" w:rsidP="00ED6BCD">
            <w:pPr>
              <w:rPr>
                <w:rFonts w:ascii="Times New Roman" w:eastAsia="Times New Roman" w:hAnsi="Times New Roman" w:cs="Times New Roman"/>
                <w:b/>
                <w:bCs/>
                <w:sz w:val="22"/>
                <w:szCs w:val="22"/>
              </w:rPr>
            </w:pPr>
          </w:p>
        </w:tc>
        <w:tc>
          <w:tcPr>
            <w:tcW w:w="1047" w:type="dxa"/>
            <w:vMerge/>
            <w:tcBorders>
              <w:top w:val="nil"/>
              <w:bottom w:val="single" w:sz="4" w:space="0" w:color="auto"/>
            </w:tcBorders>
            <w:vAlign w:val="center"/>
            <w:hideMark/>
          </w:tcPr>
          <w:p w14:paraId="151BAAAF" w14:textId="77777777" w:rsidR="00D13407" w:rsidRPr="00872293" w:rsidRDefault="00D13407" w:rsidP="00ED6BCD">
            <w:pPr>
              <w:rPr>
                <w:rFonts w:ascii="Times New Roman" w:eastAsia="Times New Roman" w:hAnsi="Times New Roman" w:cs="Times New Roman"/>
                <w:b/>
                <w:bCs/>
                <w:sz w:val="22"/>
                <w:szCs w:val="22"/>
              </w:rPr>
            </w:pPr>
          </w:p>
        </w:tc>
      </w:tr>
      <w:tr w:rsidR="00872293" w:rsidRPr="00872293" w14:paraId="0BABD441" w14:textId="77777777" w:rsidTr="00B63031">
        <w:trPr>
          <w:trHeight w:val="620"/>
        </w:trPr>
        <w:tc>
          <w:tcPr>
            <w:tcW w:w="2120" w:type="dxa"/>
            <w:tcBorders>
              <w:top w:val="single" w:sz="4" w:space="0" w:color="auto"/>
              <w:bottom w:val="single" w:sz="4" w:space="0" w:color="auto"/>
            </w:tcBorders>
            <w:shd w:val="clear" w:color="auto" w:fill="auto"/>
            <w:vAlign w:val="bottom"/>
            <w:hideMark/>
          </w:tcPr>
          <w:p w14:paraId="2494E5BD" w14:textId="77777777" w:rsidR="00752B55" w:rsidRPr="00872293" w:rsidRDefault="00752B55" w:rsidP="00ED6BCD">
            <w:pPr>
              <w:jc w:val="center"/>
              <w:rPr>
                <w:rFonts w:ascii="Times New Roman" w:eastAsia="Times New Roman" w:hAnsi="Times New Roman" w:cs="Times New Roman"/>
                <w:sz w:val="16"/>
                <w:szCs w:val="16"/>
              </w:rPr>
            </w:pPr>
          </w:p>
          <w:p w14:paraId="1775768C" w14:textId="1E5100B5"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PME~SRL+ (1|Site)</w:t>
            </w:r>
          </w:p>
        </w:tc>
        <w:tc>
          <w:tcPr>
            <w:tcW w:w="1304" w:type="dxa"/>
            <w:tcBorders>
              <w:top w:val="single" w:sz="4" w:space="0" w:color="auto"/>
              <w:bottom w:val="single" w:sz="4" w:space="0" w:color="auto"/>
            </w:tcBorders>
            <w:shd w:val="clear" w:color="auto" w:fill="auto"/>
            <w:vAlign w:val="center"/>
            <w:hideMark/>
          </w:tcPr>
          <w:p w14:paraId="1051A75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278C625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tcBorders>
              <w:top w:val="single" w:sz="4" w:space="0" w:color="auto"/>
              <w:bottom w:val="single" w:sz="4" w:space="0" w:color="auto"/>
            </w:tcBorders>
            <w:shd w:val="clear" w:color="auto" w:fill="auto"/>
            <w:vAlign w:val="center"/>
            <w:hideMark/>
          </w:tcPr>
          <w:p w14:paraId="4FA6230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(1|Site)</w:t>
            </w:r>
          </w:p>
        </w:tc>
        <w:tc>
          <w:tcPr>
            <w:tcW w:w="734" w:type="dxa"/>
            <w:tcBorders>
              <w:top w:val="single" w:sz="4" w:space="0" w:color="auto"/>
              <w:bottom w:val="single" w:sz="4" w:space="0" w:color="auto"/>
            </w:tcBorders>
            <w:shd w:val="clear" w:color="auto" w:fill="auto"/>
            <w:vAlign w:val="center"/>
            <w:hideMark/>
          </w:tcPr>
          <w:p w14:paraId="339AF247"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0.89</w:t>
            </w:r>
          </w:p>
        </w:tc>
        <w:tc>
          <w:tcPr>
            <w:tcW w:w="1048" w:type="dxa"/>
            <w:tcBorders>
              <w:top w:val="single" w:sz="4" w:space="0" w:color="auto"/>
              <w:bottom w:val="single" w:sz="4" w:space="0" w:color="auto"/>
            </w:tcBorders>
            <w:shd w:val="clear" w:color="auto" w:fill="auto"/>
            <w:vAlign w:val="center"/>
            <w:hideMark/>
          </w:tcPr>
          <w:p w14:paraId="5A4D57BF"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0.00/0.19</w:t>
            </w:r>
          </w:p>
        </w:tc>
        <w:tc>
          <w:tcPr>
            <w:tcW w:w="1047" w:type="dxa"/>
            <w:tcBorders>
              <w:top w:val="single" w:sz="4" w:space="0" w:color="auto"/>
              <w:bottom w:val="single" w:sz="4" w:space="0" w:color="auto"/>
            </w:tcBorders>
            <w:shd w:val="clear" w:color="auto" w:fill="auto"/>
            <w:vAlign w:val="center"/>
            <w:hideMark/>
          </w:tcPr>
          <w:p w14:paraId="642C1EF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-0.65</w:t>
            </w:r>
          </w:p>
        </w:tc>
      </w:tr>
      <w:tr w:rsidR="00872293" w:rsidRPr="00872293" w14:paraId="4FF9DBEC" w14:textId="77777777" w:rsidTr="00B63031">
        <w:trPr>
          <w:trHeight w:val="710"/>
        </w:trPr>
        <w:tc>
          <w:tcPr>
            <w:tcW w:w="2120" w:type="dxa"/>
            <w:tcBorders>
              <w:top w:val="single" w:sz="4" w:space="0" w:color="auto"/>
              <w:bottom w:val="single" w:sz="4" w:space="0" w:color="auto"/>
            </w:tcBorders>
            <w:shd w:val="clear" w:color="auto" w:fill="auto"/>
            <w:vAlign w:val="bottom"/>
            <w:hideMark/>
          </w:tcPr>
          <w:p w14:paraId="14962032" w14:textId="77777777" w:rsidR="00752B55" w:rsidRPr="00872293" w:rsidRDefault="00752B55" w:rsidP="00ED6BCD">
            <w:pPr>
              <w:jc w:val="center"/>
              <w:rPr>
                <w:rFonts w:ascii="Times New Roman" w:eastAsia="Times New Roman" w:hAnsi="Times New Roman" w:cs="Times New Roman"/>
                <w:sz w:val="16"/>
                <w:szCs w:val="16"/>
              </w:rPr>
            </w:pPr>
          </w:p>
          <w:p w14:paraId="59FA66C7" w14:textId="7F3E5029"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PME~SRL+ (1 | Site/Species)</w:t>
            </w:r>
          </w:p>
        </w:tc>
        <w:tc>
          <w:tcPr>
            <w:tcW w:w="1304" w:type="dxa"/>
            <w:tcBorders>
              <w:top w:val="single" w:sz="4" w:space="0" w:color="auto"/>
              <w:bottom w:val="single" w:sz="4" w:space="0" w:color="auto"/>
            </w:tcBorders>
            <w:shd w:val="clear" w:color="auto" w:fill="auto"/>
            <w:vAlign w:val="center"/>
            <w:hideMark/>
          </w:tcPr>
          <w:p w14:paraId="7645BDBA"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6C8C75D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tcBorders>
              <w:top w:val="single" w:sz="4" w:space="0" w:color="auto"/>
              <w:bottom w:val="single" w:sz="4" w:space="0" w:color="auto"/>
            </w:tcBorders>
            <w:shd w:val="clear" w:color="auto" w:fill="auto"/>
            <w:vAlign w:val="center"/>
            <w:hideMark/>
          </w:tcPr>
          <w:p w14:paraId="6390A678"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vAlign w:val="center"/>
            <w:hideMark/>
          </w:tcPr>
          <w:p w14:paraId="3F4F37D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0.84</w:t>
            </w:r>
          </w:p>
        </w:tc>
        <w:tc>
          <w:tcPr>
            <w:tcW w:w="1048" w:type="dxa"/>
            <w:tcBorders>
              <w:top w:val="single" w:sz="4" w:space="0" w:color="auto"/>
              <w:bottom w:val="single" w:sz="4" w:space="0" w:color="auto"/>
            </w:tcBorders>
            <w:shd w:val="clear" w:color="auto" w:fill="auto"/>
            <w:vAlign w:val="center"/>
            <w:hideMark/>
          </w:tcPr>
          <w:p w14:paraId="5D1D07D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0.00/0.95</w:t>
            </w:r>
          </w:p>
        </w:tc>
        <w:tc>
          <w:tcPr>
            <w:tcW w:w="1047" w:type="dxa"/>
            <w:tcBorders>
              <w:top w:val="single" w:sz="4" w:space="0" w:color="auto"/>
              <w:bottom w:val="single" w:sz="4" w:space="0" w:color="auto"/>
            </w:tcBorders>
            <w:shd w:val="clear" w:color="auto" w:fill="auto"/>
            <w:vAlign w:val="center"/>
            <w:hideMark/>
          </w:tcPr>
          <w:p w14:paraId="3DC1D44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-0.16</w:t>
            </w:r>
          </w:p>
        </w:tc>
      </w:tr>
      <w:tr w:rsidR="00872293" w:rsidRPr="00872293" w14:paraId="1BEDA5C5" w14:textId="77777777" w:rsidTr="00B63031">
        <w:trPr>
          <w:trHeight w:val="890"/>
        </w:trPr>
        <w:tc>
          <w:tcPr>
            <w:tcW w:w="2120" w:type="dxa"/>
            <w:tcBorders>
              <w:top w:val="single" w:sz="4" w:space="0" w:color="auto"/>
              <w:bottom w:val="single" w:sz="4" w:space="0" w:color="auto"/>
            </w:tcBorders>
            <w:shd w:val="clear" w:color="auto" w:fill="auto"/>
            <w:hideMark/>
          </w:tcPr>
          <w:p w14:paraId="50E14B02" w14:textId="77777777" w:rsidR="00752B55" w:rsidRPr="00872293" w:rsidRDefault="00752B55" w:rsidP="00752B55">
            <w:pPr>
              <w:rPr>
                <w:rFonts w:ascii="Times New Roman" w:eastAsia="Times New Roman" w:hAnsi="Times New Roman" w:cs="Times New Roman"/>
                <w:sz w:val="16"/>
                <w:szCs w:val="16"/>
              </w:rPr>
            </w:pPr>
          </w:p>
          <w:p w14:paraId="3F76B9B0" w14:textId="5E5DD5D6" w:rsidR="00D13407" w:rsidRPr="00872293" w:rsidRDefault="00D13407" w:rsidP="00B63031">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PME </w:t>
            </w:r>
            <w:proofErr w:type="gramStart"/>
            <w:r w:rsidRPr="00872293">
              <w:rPr>
                <w:rFonts w:ascii="Times New Roman" w:eastAsia="Times New Roman" w:hAnsi="Times New Roman" w:cs="Times New Roman"/>
                <w:sz w:val="22"/>
                <w:szCs w:val="22"/>
              </w:rPr>
              <w:t>~  Mycorrhizal</w:t>
            </w:r>
            <w:proofErr w:type="gramEnd"/>
            <w:r w:rsidRPr="00872293">
              <w:rPr>
                <w:rFonts w:ascii="Times New Roman" w:eastAsia="Times New Roman" w:hAnsi="Times New Roman" w:cs="Times New Roman"/>
                <w:sz w:val="22"/>
                <w:szCs w:val="22"/>
              </w:rPr>
              <w:t xml:space="preserve"> col +(1|Site)</w:t>
            </w:r>
          </w:p>
        </w:tc>
        <w:tc>
          <w:tcPr>
            <w:tcW w:w="1304" w:type="dxa"/>
            <w:tcBorders>
              <w:top w:val="single" w:sz="4" w:space="0" w:color="auto"/>
              <w:bottom w:val="single" w:sz="4" w:space="0" w:color="auto"/>
            </w:tcBorders>
            <w:shd w:val="clear" w:color="auto" w:fill="auto"/>
            <w:vAlign w:val="center"/>
            <w:hideMark/>
          </w:tcPr>
          <w:p w14:paraId="48BE5D5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4A0ED81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65" w:type="dxa"/>
            <w:tcBorders>
              <w:top w:val="single" w:sz="4" w:space="0" w:color="auto"/>
              <w:bottom w:val="single" w:sz="4" w:space="0" w:color="auto"/>
            </w:tcBorders>
            <w:shd w:val="clear" w:color="auto" w:fill="auto"/>
            <w:vAlign w:val="center"/>
            <w:hideMark/>
          </w:tcPr>
          <w:p w14:paraId="3685119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(1|Site)</w:t>
            </w:r>
          </w:p>
        </w:tc>
        <w:tc>
          <w:tcPr>
            <w:tcW w:w="734" w:type="dxa"/>
            <w:tcBorders>
              <w:top w:val="single" w:sz="4" w:space="0" w:color="auto"/>
              <w:bottom w:val="single" w:sz="4" w:space="0" w:color="auto"/>
            </w:tcBorders>
            <w:shd w:val="clear" w:color="auto" w:fill="auto"/>
            <w:vAlign w:val="center"/>
            <w:hideMark/>
          </w:tcPr>
          <w:p w14:paraId="2A00DE3E"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c>
          <w:tcPr>
            <w:tcW w:w="1048" w:type="dxa"/>
            <w:tcBorders>
              <w:top w:val="single" w:sz="4" w:space="0" w:color="auto"/>
              <w:bottom w:val="single" w:sz="4" w:space="0" w:color="auto"/>
            </w:tcBorders>
            <w:shd w:val="clear" w:color="auto" w:fill="auto"/>
            <w:vAlign w:val="center"/>
            <w:hideMark/>
          </w:tcPr>
          <w:p w14:paraId="7E5ACB2F"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0.2/0.38</w:t>
            </w:r>
          </w:p>
        </w:tc>
        <w:tc>
          <w:tcPr>
            <w:tcW w:w="1047" w:type="dxa"/>
            <w:tcBorders>
              <w:top w:val="single" w:sz="4" w:space="0" w:color="auto"/>
              <w:bottom w:val="single" w:sz="4" w:space="0" w:color="auto"/>
            </w:tcBorders>
            <w:shd w:val="clear" w:color="auto" w:fill="auto"/>
            <w:vAlign w:val="center"/>
            <w:hideMark/>
          </w:tcPr>
          <w:p w14:paraId="7C31C208"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25.90</w:t>
            </w:r>
          </w:p>
        </w:tc>
      </w:tr>
      <w:tr w:rsidR="00872293" w:rsidRPr="00872293" w14:paraId="12CFF7D9" w14:textId="77777777" w:rsidTr="00B63031">
        <w:trPr>
          <w:trHeight w:val="917"/>
        </w:trPr>
        <w:tc>
          <w:tcPr>
            <w:tcW w:w="2120" w:type="dxa"/>
            <w:tcBorders>
              <w:top w:val="single" w:sz="4" w:space="0" w:color="auto"/>
              <w:bottom w:val="single" w:sz="4" w:space="0" w:color="auto"/>
            </w:tcBorders>
            <w:shd w:val="clear" w:color="auto" w:fill="auto"/>
            <w:hideMark/>
          </w:tcPr>
          <w:p w14:paraId="6FDED033" w14:textId="77777777" w:rsidR="00B63031" w:rsidRPr="00872293" w:rsidRDefault="00B63031" w:rsidP="00ED6BCD">
            <w:pPr>
              <w:jc w:val="center"/>
              <w:rPr>
                <w:rFonts w:ascii="Times New Roman" w:eastAsia="Times New Roman" w:hAnsi="Times New Roman" w:cs="Times New Roman"/>
                <w:sz w:val="16"/>
                <w:szCs w:val="16"/>
              </w:rPr>
            </w:pPr>
          </w:p>
          <w:p w14:paraId="06FD2999" w14:textId="0B484DD6"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PME </w:t>
            </w:r>
            <w:proofErr w:type="gramStart"/>
            <w:r w:rsidRPr="00872293">
              <w:rPr>
                <w:rFonts w:ascii="Times New Roman" w:eastAsia="Times New Roman" w:hAnsi="Times New Roman" w:cs="Times New Roman"/>
                <w:sz w:val="22"/>
                <w:szCs w:val="22"/>
              </w:rPr>
              <w:t>~  Mycorrhizal</w:t>
            </w:r>
            <w:proofErr w:type="gramEnd"/>
            <w:r w:rsidRPr="00872293">
              <w:rPr>
                <w:rFonts w:ascii="Times New Roman" w:eastAsia="Times New Roman" w:hAnsi="Times New Roman" w:cs="Times New Roman"/>
                <w:sz w:val="22"/>
                <w:szCs w:val="22"/>
              </w:rPr>
              <w:t xml:space="preserve"> col +(1|Site/Species)</w:t>
            </w:r>
          </w:p>
        </w:tc>
        <w:tc>
          <w:tcPr>
            <w:tcW w:w="1304" w:type="dxa"/>
            <w:tcBorders>
              <w:top w:val="single" w:sz="4" w:space="0" w:color="auto"/>
              <w:bottom w:val="single" w:sz="4" w:space="0" w:color="auto"/>
            </w:tcBorders>
            <w:shd w:val="clear" w:color="auto" w:fill="auto"/>
            <w:vAlign w:val="center"/>
            <w:hideMark/>
          </w:tcPr>
          <w:p w14:paraId="39317A72"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3A33332B"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65" w:type="dxa"/>
            <w:tcBorders>
              <w:top w:val="single" w:sz="4" w:space="0" w:color="auto"/>
              <w:bottom w:val="single" w:sz="4" w:space="0" w:color="auto"/>
            </w:tcBorders>
            <w:shd w:val="clear" w:color="auto" w:fill="auto"/>
            <w:vAlign w:val="center"/>
            <w:hideMark/>
          </w:tcPr>
          <w:p w14:paraId="593EC49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vAlign w:val="center"/>
            <w:hideMark/>
          </w:tcPr>
          <w:p w14:paraId="58090277"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0.22</w:t>
            </w:r>
          </w:p>
        </w:tc>
        <w:tc>
          <w:tcPr>
            <w:tcW w:w="1048" w:type="dxa"/>
            <w:tcBorders>
              <w:top w:val="single" w:sz="4" w:space="0" w:color="auto"/>
              <w:bottom w:val="single" w:sz="4" w:space="0" w:color="auto"/>
            </w:tcBorders>
            <w:shd w:val="clear" w:color="auto" w:fill="auto"/>
            <w:vAlign w:val="center"/>
            <w:hideMark/>
          </w:tcPr>
          <w:p w14:paraId="6CB063BF"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0.08/0.55</w:t>
            </w:r>
          </w:p>
        </w:tc>
        <w:tc>
          <w:tcPr>
            <w:tcW w:w="1047" w:type="dxa"/>
            <w:tcBorders>
              <w:top w:val="single" w:sz="4" w:space="0" w:color="auto"/>
              <w:bottom w:val="single" w:sz="4" w:space="0" w:color="auto"/>
            </w:tcBorders>
            <w:shd w:val="clear" w:color="auto" w:fill="auto"/>
            <w:vAlign w:val="center"/>
            <w:hideMark/>
          </w:tcPr>
          <w:p w14:paraId="45EF9265"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16.60</w:t>
            </w:r>
          </w:p>
        </w:tc>
      </w:tr>
      <w:tr w:rsidR="00872293" w:rsidRPr="00872293" w14:paraId="501C69AD" w14:textId="77777777" w:rsidTr="00B63031">
        <w:trPr>
          <w:trHeight w:val="962"/>
        </w:trPr>
        <w:tc>
          <w:tcPr>
            <w:tcW w:w="2120" w:type="dxa"/>
            <w:tcBorders>
              <w:top w:val="single" w:sz="4" w:space="0" w:color="auto"/>
              <w:bottom w:val="single" w:sz="4" w:space="0" w:color="auto"/>
            </w:tcBorders>
            <w:shd w:val="clear" w:color="auto" w:fill="auto"/>
            <w:hideMark/>
          </w:tcPr>
          <w:p w14:paraId="03F284C1" w14:textId="77777777" w:rsidR="00B63031" w:rsidRPr="00872293" w:rsidRDefault="00B63031" w:rsidP="00ED6BCD">
            <w:pPr>
              <w:jc w:val="center"/>
              <w:rPr>
                <w:rFonts w:ascii="Times New Roman" w:eastAsia="Times New Roman" w:hAnsi="Times New Roman" w:cs="Times New Roman"/>
                <w:sz w:val="16"/>
                <w:szCs w:val="16"/>
              </w:rPr>
            </w:pPr>
          </w:p>
          <w:p w14:paraId="4F63FA6D" w14:textId="51E61CFA"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PME ~ Root </w:t>
            </w:r>
            <w:proofErr w:type="spellStart"/>
            <w:r w:rsidRPr="00872293">
              <w:rPr>
                <w:rFonts w:ascii="Times New Roman" w:eastAsia="Times New Roman" w:hAnsi="Times New Roman" w:cs="Times New Roman"/>
                <w:sz w:val="22"/>
                <w:szCs w:val="22"/>
              </w:rPr>
              <w:t>brancing</w:t>
            </w:r>
            <w:proofErr w:type="spellEnd"/>
            <w:r w:rsidRPr="00872293">
              <w:rPr>
                <w:rFonts w:ascii="Times New Roman" w:eastAsia="Times New Roman" w:hAnsi="Times New Roman" w:cs="Times New Roman"/>
                <w:sz w:val="22"/>
                <w:szCs w:val="22"/>
              </w:rPr>
              <w:t xml:space="preserve"> ratio +(1|Site)</w:t>
            </w:r>
          </w:p>
        </w:tc>
        <w:tc>
          <w:tcPr>
            <w:tcW w:w="1304" w:type="dxa"/>
            <w:tcBorders>
              <w:top w:val="single" w:sz="4" w:space="0" w:color="auto"/>
              <w:bottom w:val="single" w:sz="4" w:space="0" w:color="auto"/>
            </w:tcBorders>
            <w:shd w:val="clear" w:color="auto" w:fill="auto"/>
            <w:vAlign w:val="center"/>
            <w:hideMark/>
          </w:tcPr>
          <w:p w14:paraId="498B0316"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7502348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tcBorders>
              <w:top w:val="single" w:sz="4" w:space="0" w:color="auto"/>
              <w:bottom w:val="single" w:sz="4" w:space="0" w:color="auto"/>
            </w:tcBorders>
            <w:shd w:val="clear" w:color="auto" w:fill="auto"/>
            <w:vAlign w:val="center"/>
            <w:hideMark/>
          </w:tcPr>
          <w:p w14:paraId="70A57767"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(1|Site)</w:t>
            </w:r>
          </w:p>
        </w:tc>
        <w:tc>
          <w:tcPr>
            <w:tcW w:w="734" w:type="dxa"/>
            <w:tcBorders>
              <w:top w:val="single" w:sz="4" w:space="0" w:color="auto"/>
              <w:bottom w:val="single" w:sz="4" w:space="0" w:color="auto"/>
            </w:tcBorders>
            <w:shd w:val="clear" w:color="auto" w:fill="auto"/>
            <w:vAlign w:val="center"/>
            <w:hideMark/>
          </w:tcPr>
          <w:p w14:paraId="16E2A754"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w:t>
            </w:r>
          </w:p>
        </w:tc>
        <w:tc>
          <w:tcPr>
            <w:tcW w:w="1048" w:type="dxa"/>
            <w:tcBorders>
              <w:top w:val="single" w:sz="4" w:space="0" w:color="auto"/>
              <w:bottom w:val="single" w:sz="4" w:space="0" w:color="auto"/>
            </w:tcBorders>
            <w:shd w:val="clear" w:color="auto" w:fill="auto"/>
            <w:vAlign w:val="center"/>
            <w:hideMark/>
          </w:tcPr>
          <w:p w14:paraId="1039ED34"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0.09/0.36</w:t>
            </w:r>
          </w:p>
        </w:tc>
        <w:tc>
          <w:tcPr>
            <w:tcW w:w="1047" w:type="dxa"/>
            <w:tcBorders>
              <w:top w:val="single" w:sz="4" w:space="0" w:color="auto"/>
              <w:bottom w:val="single" w:sz="4" w:space="0" w:color="auto"/>
            </w:tcBorders>
            <w:shd w:val="clear" w:color="auto" w:fill="auto"/>
            <w:vAlign w:val="center"/>
            <w:hideMark/>
          </w:tcPr>
          <w:p w14:paraId="194D9366"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-10.80</w:t>
            </w:r>
          </w:p>
        </w:tc>
      </w:tr>
      <w:tr w:rsidR="00872293" w:rsidRPr="00872293" w14:paraId="72F0D2A6" w14:textId="77777777" w:rsidTr="00B63031">
        <w:trPr>
          <w:trHeight w:val="890"/>
        </w:trPr>
        <w:tc>
          <w:tcPr>
            <w:tcW w:w="2120" w:type="dxa"/>
            <w:tcBorders>
              <w:top w:val="single" w:sz="4" w:space="0" w:color="auto"/>
              <w:bottom w:val="single" w:sz="4" w:space="0" w:color="auto"/>
            </w:tcBorders>
            <w:shd w:val="clear" w:color="auto" w:fill="auto"/>
            <w:hideMark/>
          </w:tcPr>
          <w:p w14:paraId="705B7560" w14:textId="77777777" w:rsidR="00B63031" w:rsidRPr="00872293" w:rsidRDefault="00B63031" w:rsidP="00ED6BCD">
            <w:pPr>
              <w:jc w:val="center"/>
              <w:rPr>
                <w:rFonts w:ascii="Times New Roman" w:eastAsia="Times New Roman" w:hAnsi="Times New Roman" w:cs="Times New Roman"/>
                <w:sz w:val="16"/>
                <w:szCs w:val="16"/>
              </w:rPr>
            </w:pPr>
          </w:p>
          <w:p w14:paraId="6D0EDF79" w14:textId="4767B36F"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PME ~ Root </w:t>
            </w:r>
            <w:proofErr w:type="spellStart"/>
            <w:r w:rsidRPr="00872293">
              <w:rPr>
                <w:rFonts w:ascii="Times New Roman" w:eastAsia="Times New Roman" w:hAnsi="Times New Roman" w:cs="Times New Roman"/>
                <w:sz w:val="22"/>
                <w:szCs w:val="22"/>
              </w:rPr>
              <w:t>brancing</w:t>
            </w:r>
            <w:proofErr w:type="spellEnd"/>
            <w:r w:rsidRPr="00872293">
              <w:rPr>
                <w:rFonts w:ascii="Times New Roman" w:eastAsia="Times New Roman" w:hAnsi="Times New Roman" w:cs="Times New Roman"/>
                <w:sz w:val="22"/>
                <w:szCs w:val="22"/>
              </w:rPr>
              <w:t xml:space="preserve"> ratio +(1|Site/Species)</w:t>
            </w:r>
          </w:p>
        </w:tc>
        <w:tc>
          <w:tcPr>
            <w:tcW w:w="1304" w:type="dxa"/>
            <w:tcBorders>
              <w:top w:val="single" w:sz="4" w:space="0" w:color="auto"/>
              <w:bottom w:val="single" w:sz="4" w:space="0" w:color="auto"/>
            </w:tcBorders>
            <w:shd w:val="clear" w:color="auto" w:fill="auto"/>
            <w:vAlign w:val="center"/>
            <w:hideMark/>
          </w:tcPr>
          <w:p w14:paraId="6EA005B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0C071DF6"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tcBorders>
              <w:top w:val="single" w:sz="4" w:space="0" w:color="auto"/>
              <w:bottom w:val="single" w:sz="4" w:space="0" w:color="auto"/>
            </w:tcBorders>
            <w:shd w:val="clear" w:color="auto" w:fill="auto"/>
            <w:vAlign w:val="center"/>
            <w:hideMark/>
          </w:tcPr>
          <w:p w14:paraId="081524F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vAlign w:val="center"/>
            <w:hideMark/>
          </w:tcPr>
          <w:p w14:paraId="2E36B20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0.11</w:t>
            </w:r>
          </w:p>
        </w:tc>
        <w:tc>
          <w:tcPr>
            <w:tcW w:w="1048" w:type="dxa"/>
            <w:tcBorders>
              <w:top w:val="single" w:sz="4" w:space="0" w:color="auto"/>
              <w:bottom w:val="single" w:sz="4" w:space="0" w:color="auto"/>
            </w:tcBorders>
            <w:shd w:val="clear" w:color="auto" w:fill="auto"/>
            <w:vAlign w:val="center"/>
            <w:hideMark/>
          </w:tcPr>
          <w:p w14:paraId="0357874A"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0.07/0.72</w:t>
            </w:r>
          </w:p>
        </w:tc>
        <w:tc>
          <w:tcPr>
            <w:tcW w:w="1047" w:type="dxa"/>
            <w:tcBorders>
              <w:top w:val="single" w:sz="4" w:space="0" w:color="auto"/>
              <w:bottom w:val="single" w:sz="4" w:space="0" w:color="auto"/>
            </w:tcBorders>
            <w:shd w:val="clear" w:color="auto" w:fill="auto"/>
            <w:vAlign w:val="center"/>
            <w:hideMark/>
          </w:tcPr>
          <w:p w14:paraId="4FEDDAD4"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-10.00</w:t>
            </w:r>
          </w:p>
        </w:tc>
      </w:tr>
      <w:tr w:rsidR="00872293" w:rsidRPr="00872293" w14:paraId="4B0541D0" w14:textId="77777777" w:rsidTr="00B63031">
        <w:trPr>
          <w:trHeight w:val="746"/>
        </w:trPr>
        <w:tc>
          <w:tcPr>
            <w:tcW w:w="2120" w:type="dxa"/>
            <w:tcBorders>
              <w:top w:val="single" w:sz="4" w:space="0" w:color="auto"/>
              <w:bottom w:val="single" w:sz="4" w:space="0" w:color="auto"/>
            </w:tcBorders>
            <w:shd w:val="clear" w:color="auto" w:fill="auto"/>
            <w:hideMark/>
          </w:tcPr>
          <w:p w14:paraId="35CAD9DE" w14:textId="77777777" w:rsidR="00B63031" w:rsidRPr="00872293" w:rsidRDefault="00B63031" w:rsidP="00ED6BCD">
            <w:pPr>
              <w:jc w:val="center"/>
              <w:rPr>
                <w:rFonts w:ascii="Times New Roman" w:eastAsia="Times New Roman" w:hAnsi="Times New Roman" w:cs="Times New Roman"/>
                <w:sz w:val="16"/>
                <w:szCs w:val="16"/>
              </w:rPr>
            </w:pPr>
          </w:p>
          <w:p w14:paraId="1BCE3021" w14:textId="52522E66"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 ~ Soil available P +(1|Site)</w:t>
            </w:r>
          </w:p>
        </w:tc>
        <w:tc>
          <w:tcPr>
            <w:tcW w:w="1304" w:type="dxa"/>
            <w:tcBorders>
              <w:top w:val="single" w:sz="4" w:space="0" w:color="auto"/>
              <w:bottom w:val="single" w:sz="4" w:space="0" w:color="auto"/>
            </w:tcBorders>
            <w:shd w:val="clear" w:color="auto" w:fill="auto"/>
            <w:vAlign w:val="center"/>
            <w:hideMark/>
          </w:tcPr>
          <w:p w14:paraId="5019255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6FBAAC7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Soil available P</w:t>
            </w:r>
          </w:p>
        </w:tc>
        <w:tc>
          <w:tcPr>
            <w:tcW w:w="1365" w:type="dxa"/>
            <w:tcBorders>
              <w:top w:val="single" w:sz="4" w:space="0" w:color="auto"/>
              <w:bottom w:val="single" w:sz="4" w:space="0" w:color="auto"/>
            </w:tcBorders>
            <w:shd w:val="clear" w:color="auto" w:fill="auto"/>
            <w:vAlign w:val="center"/>
            <w:hideMark/>
          </w:tcPr>
          <w:p w14:paraId="6777F32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tcBorders>
              <w:top w:val="single" w:sz="4" w:space="0" w:color="auto"/>
              <w:bottom w:val="single" w:sz="4" w:space="0" w:color="auto"/>
            </w:tcBorders>
            <w:shd w:val="clear" w:color="auto" w:fill="auto"/>
            <w:vAlign w:val="center"/>
            <w:hideMark/>
          </w:tcPr>
          <w:p w14:paraId="7FB709FB"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0.75</w:t>
            </w:r>
          </w:p>
        </w:tc>
        <w:tc>
          <w:tcPr>
            <w:tcW w:w="1048" w:type="dxa"/>
            <w:tcBorders>
              <w:top w:val="single" w:sz="4" w:space="0" w:color="auto"/>
              <w:bottom w:val="single" w:sz="4" w:space="0" w:color="auto"/>
            </w:tcBorders>
            <w:shd w:val="clear" w:color="auto" w:fill="auto"/>
            <w:noWrap/>
            <w:vAlign w:val="center"/>
            <w:hideMark/>
          </w:tcPr>
          <w:p w14:paraId="2C06EFF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0.01/0.26</w:t>
            </w:r>
          </w:p>
        </w:tc>
        <w:tc>
          <w:tcPr>
            <w:tcW w:w="1047" w:type="dxa"/>
            <w:tcBorders>
              <w:top w:val="single" w:sz="4" w:space="0" w:color="auto"/>
              <w:bottom w:val="single" w:sz="4" w:space="0" w:color="auto"/>
            </w:tcBorders>
            <w:shd w:val="clear" w:color="auto" w:fill="auto"/>
            <w:vAlign w:val="center"/>
            <w:hideMark/>
          </w:tcPr>
          <w:p w14:paraId="21300A3B"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-18.73</w:t>
            </w:r>
          </w:p>
        </w:tc>
      </w:tr>
      <w:tr w:rsidR="00872293" w:rsidRPr="00872293" w14:paraId="5B700C8D" w14:textId="77777777" w:rsidTr="00EE755C">
        <w:trPr>
          <w:trHeight w:val="870"/>
        </w:trPr>
        <w:tc>
          <w:tcPr>
            <w:tcW w:w="2120" w:type="dxa"/>
            <w:tcBorders>
              <w:top w:val="single" w:sz="4" w:space="0" w:color="auto"/>
              <w:bottom w:val="single" w:sz="4" w:space="0" w:color="auto"/>
            </w:tcBorders>
            <w:shd w:val="clear" w:color="auto" w:fill="auto"/>
            <w:hideMark/>
          </w:tcPr>
          <w:p w14:paraId="27E3089E" w14:textId="77777777" w:rsidR="00B63031" w:rsidRPr="00872293" w:rsidRDefault="00B63031" w:rsidP="00ED6BCD">
            <w:pPr>
              <w:jc w:val="center"/>
              <w:rPr>
                <w:rFonts w:ascii="Times New Roman" w:eastAsia="Times New Roman" w:hAnsi="Times New Roman" w:cs="Times New Roman"/>
                <w:sz w:val="16"/>
                <w:szCs w:val="16"/>
              </w:rPr>
            </w:pPr>
          </w:p>
          <w:p w14:paraId="23BAB43D" w14:textId="5F4652CA"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 ~ Soil available P +(1|Site/Species)</w:t>
            </w:r>
          </w:p>
        </w:tc>
        <w:tc>
          <w:tcPr>
            <w:tcW w:w="1304" w:type="dxa"/>
            <w:tcBorders>
              <w:top w:val="single" w:sz="4" w:space="0" w:color="auto"/>
              <w:bottom w:val="single" w:sz="4" w:space="0" w:color="auto"/>
            </w:tcBorders>
            <w:shd w:val="clear" w:color="auto" w:fill="auto"/>
            <w:vAlign w:val="center"/>
            <w:hideMark/>
          </w:tcPr>
          <w:p w14:paraId="4CA13C4F"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60938CB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Soil available P</w:t>
            </w:r>
          </w:p>
        </w:tc>
        <w:tc>
          <w:tcPr>
            <w:tcW w:w="1365" w:type="dxa"/>
            <w:tcBorders>
              <w:top w:val="single" w:sz="4" w:space="0" w:color="auto"/>
              <w:bottom w:val="single" w:sz="4" w:space="0" w:color="auto"/>
            </w:tcBorders>
            <w:shd w:val="clear" w:color="auto" w:fill="auto"/>
            <w:vAlign w:val="center"/>
            <w:hideMark/>
          </w:tcPr>
          <w:p w14:paraId="178A6FE0"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noWrap/>
            <w:vAlign w:val="center"/>
            <w:hideMark/>
          </w:tcPr>
          <w:p w14:paraId="34F28F9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0.23</w:t>
            </w:r>
          </w:p>
        </w:tc>
        <w:tc>
          <w:tcPr>
            <w:tcW w:w="1048" w:type="dxa"/>
            <w:tcBorders>
              <w:top w:val="single" w:sz="4" w:space="0" w:color="auto"/>
              <w:bottom w:val="single" w:sz="4" w:space="0" w:color="auto"/>
            </w:tcBorders>
            <w:shd w:val="clear" w:color="auto" w:fill="auto"/>
            <w:vAlign w:val="center"/>
            <w:hideMark/>
          </w:tcPr>
          <w:p w14:paraId="587C2618"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0.02/0.74</w:t>
            </w:r>
          </w:p>
        </w:tc>
        <w:tc>
          <w:tcPr>
            <w:tcW w:w="1047" w:type="dxa"/>
            <w:tcBorders>
              <w:top w:val="single" w:sz="4" w:space="0" w:color="auto"/>
              <w:bottom w:val="single" w:sz="4" w:space="0" w:color="auto"/>
            </w:tcBorders>
            <w:shd w:val="clear" w:color="auto" w:fill="auto"/>
            <w:vAlign w:val="center"/>
            <w:hideMark/>
          </w:tcPr>
          <w:p w14:paraId="2DCE391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-52.11</w:t>
            </w:r>
          </w:p>
        </w:tc>
      </w:tr>
      <w:tr w:rsidR="00872293" w:rsidRPr="00872293" w14:paraId="0F52BA55" w14:textId="77777777" w:rsidTr="00EE755C">
        <w:trPr>
          <w:trHeight w:val="580"/>
        </w:trPr>
        <w:tc>
          <w:tcPr>
            <w:tcW w:w="2120" w:type="dxa"/>
            <w:tcBorders>
              <w:top w:val="single" w:sz="4" w:space="0" w:color="auto"/>
              <w:bottom w:val="single" w:sz="4" w:space="0" w:color="auto"/>
            </w:tcBorders>
            <w:shd w:val="clear" w:color="auto" w:fill="auto"/>
            <w:hideMark/>
          </w:tcPr>
          <w:p w14:paraId="3E5D5DD1" w14:textId="77777777" w:rsidR="00F62434" w:rsidRPr="00872293" w:rsidRDefault="00F62434" w:rsidP="00ED6BCD">
            <w:pPr>
              <w:jc w:val="center"/>
              <w:rPr>
                <w:rFonts w:ascii="Times New Roman" w:eastAsia="Times New Roman" w:hAnsi="Times New Roman" w:cs="Times New Roman"/>
                <w:sz w:val="22"/>
                <w:szCs w:val="22"/>
              </w:rPr>
            </w:pPr>
          </w:p>
          <w:p w14:paraId="749E7315" w14:textId="1FC75D92"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 ~ Soil organic P +(1|Site)</w:t>
            </w:r>
          </w:p>
        </w:tc>
        <w:tc>
          <w:tcPr>
            <w:tcW w:w="1304" w:type="dxa"/>
            <w:tcBorders>
              <w:top w:val="single" w:sz="4" w:space="0" w:color="auto"/>
              <w:bottom w:val="single" w:sz="4" w:space="0" w:color="auto"/>
            </w:tcBorders>
            <w:shd w:val="clear" w:color="auto" w:fill="auto"/>
            <w:vAlign w:val="center"/>
            <w:hideMark/>
          </w:tcPr>
          <w:p w14:paraId="7DB1E21D"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2C3C6B8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Soil organic P</w:t>
            </w:r>
          </w:p>
        </w:tc>
        <w:tc>
          <w:tcPr>
            <w:tcW w:w="1365" w:type="dxa"/>
            <w:tcBorders>
              <w:top w:val="single" w:sz="4" w:space="0" w:color="auto"/>
              <w:bottom w:val="single" w:sz="4" w:space="0" w:color="auto"/>
            </w:tcBorders>
            <w:shd w:val="clear" w:color="auto" w:fill="auto"/>
            <w:vAlign w:val="center"/>
            <w:hideMark/>
          </w:tcPr>
          <w:p w14:paraId="24F69AD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tcBorders>
              <w:top w:val="single" w:sz="4" w:space="0" w:color="auto"/>
              <w:bottom w:val="single" w:sz="4" w:space="0" w:color="auto"/>
            </w:tcBorders>
            <w:shd w:val="clear" w:color="auto" w:fill="auto"/>
            <w:noWrap/>
            <w:vAlign w:val="center"/>
            <w:hideMark/>
          </w:tcPr>
          <w:p w14:paraId="239E56A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0.94</w:t>
            </w:r>
          </w:p>
        </w:tc>
        <w:tc>
          <w:tcPr>
            <w:tcW w:w="1048" w:type="dxa"/>
            <w:tcBorders>
              <w:top w:val="single" w:sz="4" w:space="0" w:color="auto"/>
              <w:bottom w:val="single" w:sz="4" w:space="0" w:color="auto"/>
            </w:tcBorders>
            <w:shd w:val="clear" w:color="auto" w:fill="auto"/>
            <w:vAlign w:val="center"/>
            <w:hideMark/>
          </w:tcPr>
          <w:p w14:paraId="0C6E77B8"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0.00/0.38</w:t>
            </w:r>
          </w:p>
        </w:tc>
        <w:tc>
          <w:tcPr>
            <w:tcW w:w="1047" w:type="dxa"/>
            <w:tcBorders>
              <w:top w:val="single" w:sz="4" w:space="0" w:color="auto"/>
              <w:bottom w:val="single" w:sz="4" w:space="0" w:color="auto"/>
            </w:tcBorders>
            <w:shd w:val="clear" w:color="auto" w:fill="auto"/>
            <w:vAlign w:val="center"/>
            <w:hideMark/>
          </w:tcPr>
          <w:p w14:paraId="04F392C8"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674C4722" w14:textId="77777777" w:rsidTr="00EE755C">
        <w:trPr>
          <w:trHeight w:val="870"/>
        </w:trPr>
        <w:tc>
          <w:tcPr>
            <w:tcW w:w="2120" w:type="dxa"/>
            <w:tcBorders>
              <w:top w:val="single" w:sz="4" w:space="0" w:color="auto"/>
              <w:bottom w:val="single" w:sz="4" w:space="0" w:color="auto"/>
            </w:tcBorders>
            <w:shd w:val="clear" w:color="auto" w:fill="auto"/>
            <w:hideMark/>
          </w:tcPr>
          <w:p w14:paraId="4DC31514" w14:textId="77777777" w:rsidR="00F62434" w:rsidRPr="00872293" w:rsidRDefault="00F62434" w:rsidP="00ED6BCD">
            <w:pPr>
              <w:jc w:val="center"/>
              <w:rPr>
                <w:rFonts w:ascii="Times New Roman" w:eastAsia="Times New Roman" w:hAnsi="Times New Roman" w:cs="Times New Roman"/>
                <w:sz w:val="16"/>
                <w:szCs w:val="16"/>
              </w:rPr>
            </w:pPr>
          </w:p>
          <w:p w14:paraId="73C300C7" w14:textId="1EE4E21C"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 ~ Soil organic P +(1|Site/Species)</w:t>
            </w:r>
          </w:p>
        </w:tc>
        <w:tc>
          <w:tcPr>
            <w:tcW w:w="1304" w:type="dxa"/>
            <w:tcBorders>
              <w:top w:val="single" w:sz="4" w:space="0" w:color="auto"/>
              <w:bottom w:val="single" w:sz="4" w:space="0" w:color="auto"/>
            </w:tcBorders>
            <w:shd w:val="clear" w:color="auto" w:fill="auto"/>
            <w:vAlign w:val="center"/>
            <w:hideMark/>
          </w:tcPr>
          <w:p w14:paraId="1B01D17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04" w:type="dxa"/>
            <w:tcBorders>
              <w:top w:val="single" w:sz="4" w:space="0" w:color="auto"/>
              <w:bottom w:val="single" w:sz="4" w:space="0" w:color="auto"/>
            </w:tcBorders>
            <w:shd w:val="clear" w:color="auto" w:fill="auto"/>
            <w:vAlign w:val="center"/>
            <w:hideMark/>
          </w:tcPr>
          <w:p w14:paraId="2FCCE5B2"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Soil organic P</w:t>
            </w:r>
          </w:p>
        </w:tc>
        <w:tc>
          <w:tcPr>
            <w:tcW w:w="1365" w:type="dxa"/>
            <w:tcBorders>
              <w:top w:val="single" w:sz="4" w:space="0" w:color="auto"/>
              <w:bottom w:val="single" w:sz="4" w:space="0" w:color="auto"/>
            </w:tcBorders>
            <w:shd w:val="clear" w:color="auto" w:fill="auto"/>
            <w:vAlign w:val="center"/>
            <w:hideMark/>
          </w:tcPr>
          <w:p w14:paraId="6294AAFD"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noWrap/>
            <w:vAlign w:val="center"/>
            <w:hideMark/>
          </w:tcPr>
          <w:p w14:paraId="7C70972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0.94</w:t>
            </w:r>
          </w:p>
        </w:tc>
        <w:tc>
          <w:tcPr>
            <w:tcW w:w="1048" w:type="dxa"/>
            <w:tcBorders>
              <w:top w:val="single" w:sz="4" w:space="0" w:color="auto"/>
              <w:bottom w:val="single" w:sz="4" w:space="0" w:color="auto"/>
            </w:tcBorders>
            <w:shd w:val="clear" w:color="auto" w:fill="auto"/>
            <w:vAlign w:val="center"/>
            <w:hideMark/>
          </w:tcPr>
          <w:p w14:paraId="0662CA6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0.00/0.38</w:t>
            </w:r>
          </w:p>
        </w:tc>
        <w:tc>
          <w:tcPr>
            <w:tcW w:w="1047" w:type="dxa"/>
            <w:tcBorders>
              <w:top w:val="single" w:sz="4" w:space="0" w:color="auto"/>
              <w:bottom w:val="single" w:sz="4" w:space="0" w:color="auto"/>
            </w:tcBorders>
            <w:shd w:val="clear" w:color="auto" w:fill="auto"/>
            <w:vAlign w:val="center"/>
            <w:hideMark/>
          </w:tcPr>
          <w:p w14:paraId="16FC4769"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20833DAE" w14:textId="77777777" w:rsidTr="00EE755C">
        <w:trPr>
          <w:trHeight w:val="580"/>
        </w:trPr>
        <w:tc>
          <w:tcPr>
            <w:tcW w:w="2120" w:type="dxa"/>
            <w:tcBorders>
              <w:top w:val="single" w:sz="4" w:space="0" w:color="auto"/>
              <w:bottom w:val="single" w:sz="4" w:space="0" w:color="auto"/>
            </w:tcBorders>
            <w:shd w:val="clear" w:color="auto" w:fill="auto"/>
            <w:hideMark/>
          </w:tcPr>
          <w:p w14:paraId="083120F1" w14:textId="77777777" w:rsidR="00F62434" w:rsidRPr="00872293" w:rsidRDefault="00F62434" w:rsidP="00ED6BCD">
            <w:pPr>
              <w:jc w:val="center"/>
              <w:rPr>
                <w:rFonts w:ascii="Times New Roman" w:eastAsia="Times New Roman" w:hAnsi="Times New Roman" w:cs="Times New Roman"/>
                <w:sz w:val="16"/>
                <w:szCs w:val="16"/>
              </w:rPr>
            </w:pPr>
          </w:p>
          <w:p w14:paraId="7451C1D5" w14:textId="500C6FFD"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 Root PME +(1|Site)</w:t>
            </w:r>
          </w:p>
        </w:tc>
        <w:tc>
          <w:tcPr>
            <w:tcW w:w="1304" w:type="dxa"/>
            <w:tcBorders>
              <w:top w:val="single" w:sz="4" w:space="0" w:color="auto"/>
              <w:bottom w:val="single" w:sz="4" w:space="0" w:color="auto"/>
            </w:tcBorders>
            <w:shd w:val="clear" w:color="auto" w:fill="auto"/>
            <w:vAlign w:val="center"/>
            <w:hideMark/>
          </w:tcPr>
          <w:p w14:paraId="7F860A7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tcBorders>
              <w:top w:val="single" w:sz="4" w:space="0" w:color="auto"/>
              <w:bottom w:val="single" w:sz="4" w:space="0" w:color="auto"/>
            </w:tcBorders>
            <w:shd w:val="clear" w:color="auto" w:fill="auto"/>
            <w:vAlign w:val="center"/>
            <w:hideMark/>
          </w:tcPr>
          <w:p w14:paraId="544BEA9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65" w:type="dxa"/>
            <w:tcBorders>
              <w:top w:val="single" w:sz="4" w:space="0" w:color="auto"/>
              <w:bottom w:val="single" w:sz="4" w:space="0" w:color="auto"/>
            </w:tcBorders>
            <w:shd w:val="clear" w:color="auto" w:fill="auto"/>
            <w:vAlign w:val="center"/>
            <w:hideMark/>
          </w:tcPr>
          <w:p w14:paraId="7F72A23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tcBorders>
              <w:top w:val="single" w:sz="4" w:space="0" w:color="auto"/>
              <w:bottom w:val="single" w:sz="4" w:space="0" w:color="auto"/>
            </w:tcBorders>
            <w:shd w:val="clear" w:color="auto" w:fill="auto"/>
            <w:noWrap/>
            <w:vAlign w:val="center"/>
            <w:hideMark/>
          </w:tcPr>
          <w:p w14:paraId="6BC58373"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0.30</w:t>
            </w:r>
          </w:p>
        </w:tc>
        <w:tc>
          <w:tcPr>
            <w:tcW w:w="1048" w:type="dxa"/>
            <w:tcBorders>
              <w:top w:val="single" w:sz="4" w:space="0" w:color="auto"/>
              <w:bottom w:val="single" w:sz="4" w:space="0" w:color="auto"/>
            </w:tcBorders>
            <w:shd w:val="clear" w:color="auto" w:fill="auto"/>
            <w:vAlign w:val="center"/>
            <w:hideMark/>
          </w:tcPr>
          <w:p w14:paraId="1350B59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0.05/0.21</w:t>
            </w:r>
          </w:p>
        </w:tc>
        <w:tc>
          <w:tcPr>
            <w:tcW w:w="1047" w:type="dxa"/>
            <w:tcBorders>
              <w:top w:val="single" w:sz="4" w:space="0" w:color="auto"/>
              <w:bottom w:val="single" w:sz="4" w:space="0" w:color="auto"/>
            </w:tcBorders>
            <w:shd w:val="clear" w:color="auto" w:fill="auto"/>
            <w:vAlign w:val="center"/>
            <w:hideMark/>
          </w:tcPr>
          <w:p w14:paraId="1A53EBA1"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505196DB" w14:textId="77777777" w:rsidTr="00F62434">
        <w:trPr>
          <w:trHeight w:val="764"/>
        </w:trPr>
        <w:tc>
          <w:tcPr>
            <w:tcW w:w="2120" w:type="dxa"/>
            <w:tcBorders>
              <w:top w:val="single" w:sz="4" w:space="0" w:color="auto"/>
              <w:bottom w:val="single" w:sz="4" w:space="0" w:color="auto"/>
            </w:tcBorders>
            <w:shd w:val="clear" w:color="auto" w:fill="auto"/>
            <w:hideMark/>
          </w:tcPr>
          <w:p w14:paraId="50D36AC1" w14:textId="77777777" w:rsidR="00F62434" w:rsidRPr="00872293" w:rsidRDefault="00F62434" w:rsidP="00ED6BCD">
            <w:pPr>
              <w:jc w:val="center"/>
              <w:rPr>
                <w:rFonts w:ascii="Times New Roman" w:eastAsia="Times New Roman" w:hAnsi="Times New Roman" w:cs="Times New Roman"/>
                <w:sz w:val="16"/>
                <w:szCs w:val="16"/>
              </w:rPr>
            </w:pPr>
          </w:p>
          <w:p w14:paraId="65E20CE8" w14:textId="5FC983D5"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~Root PME +(1|Site/Species)</w:t>
            </w:r>
          </w:p>
        </w:tc>
        <w:tc>
          <w:tcPr>
            <w:tcW w:w="1304" w:type="dxa"/>
            <w:tcBorders>
              <w:top w:val="single" w:sz="4" w:space="0" w:color="auto"/>
              <w:bottom w:val="single" w:sz="4" w:space="0" w:color="auto"/>
            </w:tcBorders>
            <w:shd w:val="clear" w:color="auto" w:fill="auto"/>
            <w:vAlign w:val="center"/>
            <w:hideMark/>
          </w:tcPr>
          <w:p w14:paraId="2C16122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tcBorders>
              <w:top w:val="single" w:sz="4" w:space="0" w:color="auto"/>
              <w:bottom w:val="single" w:sz="4" w:space="0" w:color="auto"/>
            </w:tcBorders>
            <w:shd w:val="clear" w:color="auto" w:fill="auto"/>
            <w:vAlign w:val="center"/>
            <w:hideMark/>
          </w:tcPr>
          <w:p w14:paraId="65C3FF6B"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PME</w:t>
            </w:r>
          </w:p>
        </w:tc>
        <w:tc>
          <w:tcPr>
            <w:tcW w:w="1365" w:type="dxa"/>
            <w:tcBorders>
              <w:top w:val="single" w:sz="4" w:space="0" w:color="auto"/>
              <w:bottom w:val="single" w:sz="4" w:space="0" w:color="auto"/>
            </w:tcBorders>
            <w:shd w:val="clear" w:color="auto" w:fill="auto"/>
            <w:vAlign w:val="center"/>
            <w:hideMark/>
          </w:tcPr>
          <w:p w14:paraId="2B2A991E"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tcBorders>
              <w:top w:val="single" w:sz="4" w:space="0" w:color="auto"/>
              <w:bottom w:val="single" w:sz="4" w:space="0" w:color="auto"/>
            </w:tcBorders>
            <w:shd w:val="clear" w:color="auto" w:fill="auto"/>
            <w:noWrap/>
            <w:vAlign w:val="center"/>
            <w:hideMark/>
          </w:tcPr>
          <w:p w14:paraId="1C40E74C"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0.30</w:t>
            </w:r>
          </w:p>
        </w:tc>
        <w:tc>
          <w:tcPr>
            <w:tcW w:w="1048" w:type="dxa"/>
            <w:tcBorders>
              <w:top w:val="single" w:sz="4" w:space="0" w:color="auto"/>
              <w:bottom w:val="single" w:sz="4" w:space="0" w:color="auto"/>
            </w:tcBorders>
            <w:shd w:val="clear" w:color="auto" w:fill="auto"/>
            <w:vAlign w:val="center"/>
            <w:hideMark/>
          </w:tcPr>
          <w:p w14:paraId="00F60875"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0.05/0.21</w:t>
            </w:r>
          </w:p>
        </w:tc>
        <w:tc>
          <w:tcPr>
            <w:tcW w:w="1047" w:type="dxa"/>
            <w:tcBorders>
              <w:top w:val="single" w:sz="4" w:space="0" w:color="auto"/>
              <w:bottom w:val="single" w:sz="4" w:space="0" w:color="auto"/>
            </w:tcBorders>
            <w:shd w:val="clear" w:color="auto" w:fill="auto"/>
            <w:vAlign w:val="center"/>
            <w:hideMark/>
          </w:tcPr>
          <w:p w14:paraId="79AF2CAB" w14:textId="77777777" w:rsidR="00D13407" w:rsidRPr="00872293" w:rsidRDefault="00D13407" w:rsidP="00ED6BCD">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bl>
    <w:p w14:paraId="1A3627AE" w14:textId="77777777" w:rsidR="00F62434" w:rsidRPr="00872293" w:rsidRDefault="00F62434">
      <w:r w:rsidRPr="00872293">
        <w:br w:type="page"/>
      </w:r>
    </w:p>
    <w:tbl>
      <w:tblPr>
        <w:tblW w:w="892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0"/>
        <w:gridCol w:w="1304"/>
        <w:gridCol w:w="61"/>
        <w:gridCol w:w="734"/>
        <w:gridCol w:w="509"/>
        <w:gridCol w:w="539"/>
        <w:gridCol w:w="826"/>
        <w:gridCol w:w="221"/>
        <w:gridCol w:w="513"/>
        <w:gridCol w:w="1048"/>
        <w:gridCol w:w="1047"/>
      </w:tblGrid>
      <w:tr w:rsidR="00872293" w:rsidRPr="00872293" w14:paraId="0F0DB219" w14:textId="77777777" w:rsidTr="00AC55FE">
        <w:trPr>
          <w:gridAfter w:val="3"/>
          <w:wAfter w:w="2608" w:type="dxa"/>
          <w:trHeight w:val="360"/>
        </w:trPr>
        <w:tc>
          <w:tcPr>
            <w:tcW w:w="2120" w:type="dxa"/>
            <w:tcBorders>
              <w:top w:val="nil"/>
              <w:left w:val="nil"/>
              <w:bottom w:val="single" w:sz="4" w:space="0" w:color="auto"/>
            </w:tcBorders>
            <w:shd w:val="clear" w:color="auto" w:fill="auto"/>
          </w:tcPr>
          <w:p w14:paraId="2A1E9FFB" w14:textId="77777777" w:rsidR="00BF559B" w:rsidRPr="00872293" w:rsidRDefault="00BF559B" w:rsidP="00932058">
            <w:pPr>
              <w:spacing w:before="240" w:after="240"/>
              <w:rPr>
                <w:rFonts w:ascii="Times New Roman" w:eastAsia="Times New Roman" w:hAnsi="Times New Roman" w:cs="Times New Roman"/>
                <w:i/>
                <w:iCs/>
              </w:rPr>
            </w:pPr>
            <w:bookmarkStart w:id="163" w:name="_Toc53755752"/>
            <w:r w:rsidRPr="00872293">
              <w:rPr>
                <w:rFonts w:ascii="Times New Roman" w:eastAsia="Times New Roman" w:hAnsi="Times New Roman" w:cs="Times New Roman"/>
                <w:i/>
                <w:iCs/>
              </w:rPr>
              <w:lastRenderedPageBreak/>
              <w:t>Table 9 (continued)</w:t>
            </w:r>
          </w:p>
        </w:tc>
        <w:tc>
          <w:tcPr>
            <w:tcW w:w="1365" w:type="dxa"/>
            <w:gridSpan w:val="2"/>
            <w:tcBorders>
              <w:top w:val="nil"/>
              <w:bottom w:val="single" w:sz="4" w:space="0" w:color="auto"/>
            </w:tcBorders>
            <w:shd w:val="clear" w:color="auto" w:fill="auto"/>
            <w:vAlign w:val="center"/>
          </w:tcPr>
          <w:p w14:paraId="73EC3719" w14:textId="77777777" w:rsidR="00BF559B" w:rsidRPr="00872293" w:rsidRDefault="00BF559B" w:rsidP="00AC55FE">
            <w:pPr>
              <w:jc w:val="center"/>
              <w:rPr>
                <w:rFonts w:ascii="Times New Roman" w:eastAsia="Times New Roman" w:hAnsi="Times New Roman" w:cs="Times New Roman"/>
                <w:sz w:val="22"/>
                <w:szCs w:val="22"/>
              </w:rPr>
            </w:pPr>
          </w:p>
        </w:tc>
        <w:tc>
          <w:tcPr>
            <w:tcW w:w="734" w:type="dxa"/>
            <w:tcBorders>
              <w:top w:val="nil"/>
              <w:bottom w:val="single" w:sz="4" w:space="0" w:color="auto"/>
            </w:tcBorders>
            <w:shd w:val="clear" w:color="auto" w:fill="auto"/>
            <w:noWrap/>
            <w:vAlign w:val="center"/>
          </w:tcPr>
          <w:p w14:paraId="480AAEE5" w14:textId="77777777" w:rsidR="00BF559B" w:rsidRPr="00872293" w:rsidRDefault="00BF559B" w:rsidP="00AC55FE">
            <w:pPr>
              <w:jc w:val="center"/>
              <w:rPr>
                <w:rFonts w:ascii="Times New Roman" w:eastAsia="Times New Roman" w:hAnsi="Times New Roman" w:cs="Times New Roman"/>
                <w:sz w:val="22"/>
                <w:szCs w:val="22"/>
              </w:rPr>
            </w:pPr>
          </w:p>
        </w:tc>
        <w:tc>
          <w:tcPr>
            <w:tcW w:w="1048" w:type="dxa"/>
            <w:gridSpan w:val="2"/>
            <w:tcBorders>
              <w:top w:val="nil"/>
              <w:bottom w:val="single" w:sz="4" w:space="0" w:color="auto"/>
            </w:tcBorders>
            <w:shd w:val="clear" w:color="auto" w:fill="auto"/>
            <w:vAlign w:val="center"/>
          </w:tcPr>
          <w:p w14:paraId="5CE467EC" w14:textId="77777777" w:rsidR="00BF559B" w:rsidRPr="00872293" w:rsidRDefault="00BF559B" w:rsidP="00AC55FE">
            <w:pPr>
              <w:jc w:val="center"/>
              <w:rPr>
                <w:rFonts w:ascii="Times New Roman" w:eastAsia="Times New Roman" w:hAnsi="Times New Roman" w:cs="Times New Roman"/>
                <w:sz w:val="22"/>
                <w:szCs w:val="22"/>
              </w:rPr>
            </w:pPr>
          </w:p>
        </w:tc>
        <w:tc>
          <w:tcPr>
            <w:tcW w:w="1047" w:type="dxa"/>
            <w:gridSpan w:val="2"/>
            <w:tcBorders>
              <w:top w:val="nil"/>
              <w:bottom w:val="single" w:sz="4" w:space="0" w:color="auto"/>
              <w:right w:val="nil"/>
            </w:tcBorders>
            <w:shd w:val="clear" w:color="auto" w:fill="auto"/>
            <w:vAlign w:val="center"/>
          </w:tcPr>
          <w:p w14:paraId="4173B5AE" w14:textId="77777777" w:rsidR="00BF559B" w:rsidRPr="00872293" w:rsidRDefault="00BF559B" w:rsidP="00AC55FE">
            <w:pPr>
              <w:jc w:val="center"/>
              <w:rPr>
                <w:rFonts w:ascii="Times New Roman" w:eastAsia="Times New Roman" w:hAnsi="Times New Roman" w:cs="Times New Roman"/>
                <w:sz w:val="22"/>
                <w:szCs w:val="22"/>
              </w:rPr>
            </w:pPr>
          </w:p>
        </w:tc>
      </w:tr>
      <w:tr w:rsidR="00872293" w:rsidRPr="00872293" w14:paraId="299DABB0" w14:textId="77777777" w:rsidTr="00AC55FE">
        <w:trPr>
          <w:trHeight w:val="470"/>
        </w:trPr>
        <w:tc>
          <w:tcPr>
            <w:tcW w:w="2120" w:type="dxa"/>
            <w:vMerge w:val="restart"/>
            <w:tcBorders>
              <w:top w:val="single" w:sz="4" w:space="0" w:color="auto"/>
              <w:bottom w:val="single" w:sz="4" w:space="0" w:color="auto"/>
            </w:tcBorders>
            <w:shd w:val="clear" w:color="auto" w:fill="auto"/>
            <w:vAlign w:val="center"/>
            <w:hideMark/>
          </w:tcPr>
          <w:p w14:paraId="1B76336A"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Model (</w:t>
            </w:r>
            <w:proofErr w:type="spellStart"/>
            <w:r w:rsidRPr="00872293">
              <w:rPr>
                <w:rFonts w:ascii="Times New Roman" w:eastAsia="Times New Roman" w:hAnsi="Times New Roman" w:cs="Times New Roman"/>
                <w:b/>
                <w:bCs/>
                <w:sz w:val="22"/>
                <w:szCs w:val="22"/>
              </w:rPr>
              <w:t>lmer</w:t>
            </w:r>
            <w:proofErr w:type="spellEnd"/>
            <w:r w:rsidRPr="00872293">
              <w:rPr>
                <w:rFonts w:ascii="Times New Roman" w:eastAsia="Times New Roman" w:hAnsi="Times New Roman" w:cs="Times New Roman"/>
                <w:b/>
                <w:bCs/>
                <w:sz w:val="22"/>
                <w:szCs w:val="22"/>
              </w:rPr>
              <w:t>)</w:t>
            </w:r>
          </w:p>
        </w:tc>
        <w:tc>
          <w:tcPr>
            <w:tcW w:w="1304" w:type="dxa"/>
            <w:vMerge w:val="restart"/>
            <w:tcBorders>
              <w:top w:val="single" w:sz="4" w:space="0" w:color="auto"/>
              <w:bottom w:val="single" w:sz="4" w:space="0" w:color="auto"/>
            </w:tcBorders>
            <w:shd w:val="clear" w:color="auto" w:fill="auto"/>
            <w:vAlign w:val="center"/>
            <w:hideMark/>
          </w:tcPr>
          <w:p w14:paraId="209F242E"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Dependent variable</w:t>
            </w:r>
          </w:p>
        </w:tc>
        <w:tc>
          <w:tcPr>
            <w:tcW w:w="1304" w:type="dxa"/>
            <w:gridSpan w:val="3"/>
            <w:vMerge w:val="restart"/>
            <w:tcBorders>
              <w:top w:val="single" w:sz="4" w:space="0" w:color="auto"/>
              <w:bottom w:val="single" w:sz="4" w:space="0" w:color="auto"/>
            </w:tcBorders>
            <w:shd w:val="clear" w:color="auto" w:fill="auto"/>
            <w:vAlign w:val="center"/>
            <w:hideMark/>
          </w:tcPr>
          <w:p w14:paraId="143BB4CE"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Fixed effects</w:t>
            </w:r>
          </w:p>
        </w:tc>
        <w:tc>
          <w:tcPr>
            <w:tcW w:w="1365" w:type="dxa"/>
            <w:gridSpan w:val="2"/>
            <w:vMerge w:val="restart"/>
            <w:tcBorders>
              <w:top w:val="single" w:sz="4" w:space="0" w:color="auto"/>
              <w:bottom w:val="single" w:sz="4" w:space="0" w:color="auto"/>
            </w:tcBorders>
            <w:shd w:val="clear" w:color="auto" w:fill="auto"/>
            <w:vAlign w:val="center"/>
            <w:hideMark/>
          </w:tcPr>
          <w:p w14:paraId="5194103C"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Random effect</w:t>
            </w:r>
          </w:p>
        </w:tc>
        <w:tc>
          <w:tcPr>
            <w:tcW w:w="734" w:type="dxa"/>
            <w:gridSpan w:val="2"/>
            <w:vMerge w:val="restart"/>
            <w:tcBorders>
              <w:top w:val="single" w:sz="4" w:space="0" w:color="auto"/>
              <w:bottom w:val="single" w:sz="4" w:space="0" w:color="auto"/>
            </w:tcBorders>
            <w:shd w:val="clear" w:color="auto" w:fill="auto"/>
            <w:vAlign w:val="center"/>
            <w:hideMark/>
          </w:tcPr>
          <w:p w14:paraId="383FBFFD"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P value</w:t>
            </w:r>
          </w:p>
        </w:tc>
        <w:tc>
          <w:tcPr>
            <w:tcW w:w="1048" w:type="dxa"/>
            <w:vMerge w:val="restart"/>
            <w:tcBorders>
              <w:top w:val="single" w:sz="4" w:space="0" w:color="auto"/>
              <w:bottom w:val="single" w:sz="4" w:space="0" w:color="auto"/>
            </w:tcBorders>
            <w:shd w:val="clear" w:color="auto" w:fill="auto"/>
            <w:vAlign w:val="center"/>
            <w:hideMark/>
          </w:tcPr>
          <w:p w14:paraId="00B51FDC"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m/R</w:t>
            </w:r>
            <w:r w:rsidRPr="00872293">
              <w:rPr>
                <w:rFonts w:ascii="Times New Roman" w:eastAsia="Times New Roman" w:hAnsi="Times New Roman" w:cs="Times New Roman"/>
                <w:b/>
                <w:bCs/>
                <w:sz w:val="22"/>
                <w:szCs w:val="22"/>
                <w:vertAlign w:val="superscript"/>
              </w:rPr>
              <w:t>2</w:t>
            </w:r>
            <w:r w:rsidRPr="00872293">
              <w:rPr>
                <w:rFonts w:ascii="Times New Roman" w:eastAsia="Times New Roman" w:hAnsi="Times New Roman" w:cs="Times New Roman"/>
                <w:b/>
                <w:bCs/>
                <w:sz w:val="22"/>
                <w:szCs w:val="22"/>
              </w:rPr>
              <w:t>c</w:t>
            </w:r>
          </w:p>
        </w:tc>
        <w:tc>
          <w:tcPr>
            <w:tcW w:w="1047" w:type="dxa"/>
            <w:vMerge w:val="restart"/>
            <w:tcBorders>
              <w:top w:val="single" w:sz="4" w:space="0" w:color="auto"/>
              <w:bottom w:val="single" w:sz="4" w:space="0" w:color="auto"/>
            </w:tcBorders>
            <w:shd w:val="clear" w:color="auto" w:fill="auto"/>
            <w:vAlign w:val="center"/>
            <w:hideMark/>
          </w:tcPr>
          <w:p w14:paraId="3F93F152" w14:textId="77777777" w:rsidR="00BF559B" w:rsidRPr="00872293" w:rsidRDefault="00BF559B" w:rsidP="00AC55FE">
            <w:pPr>
              <w:jc w:val="center"/>
              <w:rPr>
                <w:rFonts w:ascii="Times New Roman" w:eastAsia="Times New Roman" w:hAnsi="Times New Roman" w:cs="Times New Roman"/>
                <w:b/>
                <w:bCs/>
                <w:sz w:val="22"/>
                <w:szCs w:val="22"/>
              </w:rPr>
            </w:pPr>
            <w:r w:rsidRPr="00872293">
              <w:rPr>
                <w:rFonts w:ascii="Times New Roman" w:eastAsia="Times New Roman" w:hAnsi="Times New Roman" w:cs="Times New Roman"/>
                <w:b/>
                <w:bCs/>
                <w:sz w:val="22"/>
                <w:szCs w:val="22"/>
              </w:rPr>
              <w:t>Estimate</w:t>
            </w:r>
          </w:p>
        </w:tc>
      </w:tr>
      <w:tr w:rsidR="00872293" w:rsidRPr="00872293" w14:paraId="2946837F" w14:textId="77777777" w:rsidTr="00AC55FE">
        <w:trPr>
          <w:trHeight w:val="293"/>
        </w:trPr>
        <w:tc>
          <w:tcPr>
            <w:tcW w:w="2120" w:type="dxa"/>
            <w:vMerge/>
            <w:tcBorders>
              <w:top w:val="nil"/>
              <w:bottom w:val="single" w:sz="4" w:space="0" w:color="auto"/>
            </w:tcBorders>
            <w:vAlign w:val="center"/>
            <w:hideMark/>
          </w:tcPr>
          <w:p w14:paraId="20D03629" w14:textId="77777777" w:rsidR="00BF559B" w:rsidRPr="00872293" w:rsidRDefault="00BF559B" w:rsidP="00AC55FE">
            <w:pPr>
              <w:rPr>
                <w:rFonts w:ascii="Times New Roman" w:eastAsia="Times New Roman" w:hAnsi="Times New Roman" w:cs="Times New Roman"/>
                <w:b/>
                <w:bCs/>
                <w:sz w:val="22"/>
                <w:szCs w:val="22"/>
              </w:rPr>
            </w:pPr>
          </w:p>
        </w:tc>
        <w:tc>
          <w:tcPr>
            <w:tcW w:w="1304" w:type="dxa"/>
            <w:vMerge/>
            <w:tcBorders>
              <w:top w:val="nil"/>
              <w:bottom w:val="single" w:sz="4" w:space="0" w:color="auto"/>
            </w:tcBorders>
            <w:vAlign w:val="center"/>
            <w:hideMark/>
          </w:tcPr>
          <w:p w14:paraId="6EBA97B6" w14:textId="77777777" w:rsidR="00BF559B" w:rsidRPr="00872293" w:rsidRDefault="00BF559B" w:rsidP="00AC55FE">
            <w:pPr>
              <w:rPr>
                <w:rFonts w:ascii="Times New Roman" w:eastAsia="Times New Roman" w:hAnsi="Times New Roman" w:cs="Times New Roman"/>
                <w:b/>
                <w:bCs/>
                <w:sz w:val="22"/>
                <w:szCs w:val="22"/>
              </w:rPr>
            </w:pPr>
          </w:p>
        </w:tc>
        <w:tc>
          <w:tcPr>
            <w:tcW w:w="1304" w:type="dxa"/>
            <w:gridSpan w:val="3"/>
            <w:vMerge/>
            <w:tcBorders>
              <w:top w:val="nil"/>
              <w:bottom w:val="single" w:sz="4" w:space="0" w:color="auto"/>
            </w:tcBorders>
            <w:vAlign w:val="center"/>
            <w:hideMark/>
          </w:tcPr>
          <w:p w14:paraId="075B12A3" w14:textId="77777777" w:rsidR="00BF559B" w:rsidRPr="00872293" w:rsidRDefault="00BF559B" w:rsidP="00AC55FE">
            <w:pPr>
              <w:rPr>
                <w:rFonts w:ascii="Times New Roman" w:eastAsia="Times New Roman" w:hAnsi="Times New Roman" w:cs="Times New Roman"/>
                <w:b/>
                <w:bCs/>
                <w:sz w:val="22"/>
                <w:szCs w:val="22"/>
              </w:rPr>
            </w:pPr>
          </w:p>
        </w:tc>
        <w:tc>
          <w:tcPr>
            <w:tcW w:w="1365" w:type="dxa"/>
            <w:gridSpan w:val="2"/>
            <w:vMerge/>
            <w:tcBorders>
              <w:top w:val="nil"/>
              <w:bottom w:val="single" w:sz="4" w:space="0" w:color="auto"/>
            </w:tcBorders>
            <w:vAlign w:val="center"/>
            <w:hideMark/>
          </w:tcPr>
          <w:p w14:paraId="4BE6B1E2" w14:textId="77777777" w:rsidR="00BF559B" w:rsidRPr="00872293" w:rsidRDefault="00BF559B" w:rsidP="00AC55FE">
            <w:pPr>
              <w:rPr>
                <w:rFonts w:ascii="Times New Roman" w:eastAsia="Times New Roman" w:hAnsi="Times New Roman" w:cs="Times New Roman"/>
                <w:b/>
                <w:bCs/>
                <w:sz w:val="22"/>
                <w:szCs w:val="22"/>
              </w:rPr>
            </w:pPr>
          </w:p>
        </w:tc>
        <w:tc>
          <w:tcPr>
            <w:tcW w:w="734" w:type="dxa"/>
            <w:gridSpan w:val="2"/>
            <w:vMerge/>
            <w:tcBorders>
              <w:top w:val="nil"/>
              <w:bottom w:val="single" w:sz="4" w:space="0" w:color="auto"/>
            </w:tcBorders>
            <w:vAlign w:val="center"/>
            <w:hideMark/>
          </w:tcPr>
          <w:p w14:paraId="6C430D8E" w14:textId="77777777" w:rsidR="00BF559B" w:rsidRPr="00872293" w:rsidRDefault="00BF559B" w:rsidP="00AC55FE">
            <w:pPr>
              <w:rPr>
                <w:rFonts w:ascii="Times New Roman" w:eastAsia="Times New Roman" w:hAnsi="Times New Roman" w:cs="Times New Roman"/>
                <w:b/>
                <w:bCs/>
                <w:sz w:val="22"/>
                <w:szCs w:val="22"/>
              </w:rPr>
            </w:pPr>
          </w:p>
        </w:tc>
        <w:tc>
          <w:tcPr>
            <w:tcW w:w="1048" w:type="dxa"/>
            <w:vMerge/>
            <w:tcBorders>
              <w:top w:val="nil"/>
              <w:bottom w:val="single" w:sz="4" w:space="0" w:color="auto"/>
            </w:tcBorders>
            <w:vAlign w:val="center"/>
            <w:hideMark/>
          </w:tcPr>
          <w:p w14:paraId="636BF459" w14:textId="77777777" w:rsidR="00BF559B" w:rsidRPr="00872293" w:rsidRDefault="00BF559B" w:rsidP="00AC55FE">
            <w:pPr>
              <w:rPr>
                <w:rFonts w:ascii="Times New Roman" w:eastAsia="Times New Roman" w:hAnsi="Times New Roman" w:cs="Times New Roman"/>
                <w:b/>
                <w:bCs/>
                <w:sz w:val="22"/>
                <w:szCs w:val="22"/>
              </w:rPr>
            </w:pPr>
          </w:p>
        </w:tc>
        <w:tc>
          <w:tcPr>
            <w:tcW w:w="1047" w:type="dxa"/>
            <w:vMerge/>
            <w:tcBorders>
              <w:top w:val="nil"/>
              <w:bottom w:val="single" w:sz="4" w:space="0" w:color="auto"/>
            </w:tcBorders>
            <w:vAlign w:val="center"/>
            <w:hideMark/>
          </w:tcPr>
          <w:p w14:paraId="3F89EC99" w14:textId="77777777" w:rsidR="00BF559B" w:rsidRPr="00872293" w:rsidRDefault="00BF559B" w:rsidP="00AC55FE">
            <w:pPr>
              <w:rPr>
                <w:rFonts w:ascii="Times New Roman" w:eastAsia="Times New Roman" w:hAnsi="Times New Roman" w:cs="Times New Roman"/>
                <w:b/>
                <w:bCs/>
                <w:sz w:val="22"/>
                <w:szCs w:val="22"/>
              </w:rPr>
            </w:pPr>
          </w:p>
        </w:tc>
      </w:tr>
      <w:tr w:rsidR="00872293" w:rsidRPr="00872293" w14:paraId="2D75DB09" w14:textId="77777777" w:rsidTr="00AC55FE">
        <w:trPr>
          <w:trHeight w:val="854"/>
        </w:trPr>
        <w:tc>
          <w:tcPr>
            <w:tcW w:w="2120" w:type="dxa"/>
            <w:tcBorders>
              <w:top w:val="single" w:sz="4" w:space="0" w:color="auto"/>
              <w:bottom w:val="single" w:sz="4" w:space="0" w:color="auto"/>
            </w:tcBorders>
            <w:shd w:val="clear" w:color="auto" w:fill="auto"/>
            <w:hideMark/>
          </w:tcPr>
          <w:p w14:paraId="04B1FC84" w14:textId="77777777" w:rsidR="004D04E1" w:rsidRPr="00872293" w:rsidRDefault="004D04E1" w:rsidP="00AC55FE">
            <w:pPr>
              <w:jc w:val="center"/>
              <w:rPr>
                <w:rFonts w:ascii="Times New Roman" w:eastAsia="Times New Roman" w:hAnsi="Times New Roman" w:cs="Times New Roman"/>
                <w:sz w:val="16"/>
                <w:szCs w:val="16"/>
              </w:rPr>
            </w:pPr>
          </w:p>
          <w:p w14:paraId="112F77C8" w14:textId="5121471D"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 Mycorrhizal col +(1|Site)</w:t>
            </w:r>
          </w:p>
        </w:tc>
        <w:tc>
          <w:tcPr>
            <w:tcW w:w="1304" w:type="dxa"/>
            <w:tcBorders>
              <w:top w:val="single" w:sz="4" w:space="0" w:color="auto"/>
              <w:bottom w:val="single" w:sz="4" w:space="0" w:color="auto"/>
            </w:tcBorders>
            <w:shd w:val="clear" w:color="auto" w:fill="auto"/>
            <w:vAlign w:val="center"/>
            <w:hideMark/>
          </w:tcPr>
          <w:p w14:paraId="6512E28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gridSpan w:val="3"/>
            <w:tcBorders>
              <w:top w:val="single" w:sz="4" w:space="0" w:color="auto"/>
              <w:bottom w:val="single" w:sz="4" w:space="0" w:color="auto"/>
            </w:tcBorders>
            <w:shd w:val="clear" w:color="auto" w:fill="auto"/>
            <w:vAlign w:val="center"/>
            <w:hideMark/>
          </w:tcPr>
          <w:p w14:paraId="208A7CEA"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65" w:type="dxa"/>
            <w:gridSpan w:val="2"/>
            <w:tcBorders>
              <w:top w:val="single" w:sz="4" w:space="0" w:color="auto"/>
              <w:bottom w:val="single" w:sz="4" w:space="0" w:color="auto"/>
            </w:tcBorders>
            <w:shd w:val="clear" w:color="auto" w:fill="auto"/>
            <w:vAlign w:val="center"/>
            <w:hideMark/>
          </w:tcPr>
          <w:p w14:paraId="7BE6E53C"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gridSpan w:val="2"/>
            <w:tcBorders>
              <w:top w:val="single" w:sz="4" w:space="0" w:color="auto"/>
              <w:bottom w:val="single" w:sz="4" w:space="0" w:color="auto"/>
            </w:tcBorders>
            <w:shd w:val="clear" w:color="auto" w:fill="auto"/>
            <w:noWrap/>
            <w:vAlign w:val="center"/>
            <w:hideMark/>
          </w:tcPr>
          <w:p w14:paraId="63F532E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c>
          <w:tcPr>
            <w:tcW w:w="1048" w:type="dxa"/>
            <w:tcBorders>
              <w:top w:val="single" w:sz="4" w:space="0" w:color="auto"/>
              <w:bottom w:val="single" w:sz="4" w:space="0" w:color="auto"/>
            </w:tcBorders>
            <w:shd w:val="clear" w:color="auto" w:fill="auto"/>
            <w:vAlign w:val="center"/>
            <w:hideMark/>
          </w:tcPr>
          <w:p w14:paraId="50AE5E0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0.14/0.26</w:t>
            </w:r>
          </w:p>
        </w:tc>
        <w:tc>
          <w:tcPr>
            <w:tcW w:w="1047" w:type="dxa"/>
            <w:tcBorders>
              <w:top w:val="single" w:sz="4" w:space="0" w:color="auto"/>
              <w:bottom w:val="single" w:sz="4" w:space="0" w:color="auto"/>
            </w:tcBorders>
            <w:shd w:val="clear" w:color="auto" w:fill="auto"/>
            <w:vAlign w:val="center"/>
            <w:hideMark/>
          </w:tcPr>
          <w:p w14:paraId="4C59D60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r>
      <w:tr w:rsidR="00872293" w:rsidRPr="00872293" w14:paraId="03AC7BDC" w14:textId="77777777" w:rsidTr="00AC55FE">
        <w:trPr>
          <w:trHeight w:val="881"/>
        </w:trPr>
        <w:tc>
          <w:tcPr>
            <w:tcW w:w="2120" w:type="dxa"/>
            <w:tcBorders>
              <w:top w:val="single" w:sz="4" w:space="0" w:color="auto"/>
              <w:bottom w:val="single" w:sz="4" w:space="0" w:color="auto"/>
            </w:tcBorders>
            <w:shd w:val="clear" w:color="auto" w:fill="auto"/>
            <w:hideMark/>
          </w:tcPr>
          <w:p w14:paraId="64192B92" w14:textId="77777777" w:rsidR="004D04E1" w:rsidRPr="00872293" w:rsidRDefault="004D04E1" w:rsidP="00AC55FE">
            <w:pPr>
              <w:jc w:val="center"/>
              <w:rPr>
                <w:rFonts w:ascii="Times New Roman" w:eastAsia="Times New Roman" w:hAnsi="Times New Roman" w:cs="Times New Roman"/>
                <w:sz w:val="16"/>
                <w:szCs w:val="16"/>
              </w:rPr>
            </w:pPr>
          </w:p>
          <w:p w14:paraId="1D60BD17" w14:textId="3B310EFF"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 Mycorrhizal col +(1|Site/Species)</w:t>
            </w:r>
          </w:p>
        </w:tc>
        <w:tc>
          <w:tcPr>
            <w:tcW w:w="1304" w:type="dxa"/>
            <w:tcBorders>
              <w:top w:val="single" w:sz="4" w:space="0" w:color="auto"/>
              <w:bottom w:val="single" w:sz="4" w:space="0" w:color="auto"/>
            </w:tcBorders>
            <w:shd w:val="clear" w:color="auto" w:fill="auto"/>
            <w:vAlign w:val="center"/>
            <w:hideMark/>
          </w:tcPr>
          <w:p w14:paraId="2342E683"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gridSpan w:val="3"/>
            <w:tcBorders>
              <w:top w:val="single" w:sz="4" w:space="0" w:color="auto"/>
              <w:bottom w:val="single" w:sz="4" w:space="0" w:color="auto"/>
            </w:tcBorders>
            <w:shd w:val="clear" w:color="auto" w:fill="auto"/>
            <w:vAlign w:val="center"/>
            <w:hideMark/>
          </w:tcPr>
          <w:p w14:paraId="5891EA2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65" w:type="dxa"/>
            <w:gridSpan w:val="2"/>
            <w:tcBorders>
              <w:top w:val="single" w:sz="4" w:space="0" w:color="auto"/>
              <w:bottom w:val="single" w:sz="4" w:space="0" w:color="auto"/>
            </w:tcBorders>
            <w:shd w:val="clear" w:color="auto" w:fill="auto"/>
            <w:vAlign w:val="center"/>
            <w:hideMark/>
          </w:tcPr>
          <w:p w14:paraId="70D1E88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gridSpan w:val="2"/>
            <w:tcBorders>
              <w:top w:val="single" w:sz="4" w:space="0" w:color="auto"/>
              <w:bottom w:val="single" w:sz="4" w:space="0" w:color="auto"/>
            </w:tcBorders>
            <w:shd w:val="clear" w:color="auto" w:fill="auto"/>
            <w:noWrap/>
            <w:vAlign w:val="center"/>
            <w:hideMark/>
          </w:tcPr>
          <w:p w14:paraId="3FD3ADD6"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c>
          <w:tcPr>
            <w:tcW w:w="1048" w:type="dxa"/>
            <w:tcBorders>
              <w:top w:val="single" w:sz="4" w:space="0" w:color="auto"/>
              <w:bottom w:val="single" w:sz="4" w:space="0" w:color="auto"/>
            </w:tcBorders>
            <w:shd w:val="clear" w:color="auto" w:fill="auto"/>
            <w:vAlign w:val="center"/>
            <w:hideMark/>
          </w:tcPr>
          <w:p w14:paraId="36C0B632"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0.14/0.26</w:t>
            </w:r>
          </w:p>
        </w:tc>
        <w:tc>
          <w:tcPr>
            <w:tcW w:w="1047" w:type="dxa"/>
            <w:tcBorders>
              <w:top w:val="single" w:sz="4" w:space="0" w:color="auto"/>
              <w:bottom w:val="single" w:sz="4" w:space="0" w:color="auto"/>
            </w:tcBorders>
            <w:shd w:val="clear" w:color="auto" w:fill="auto"/>
            <w:vAlign w:val="center"/>
            <w:hideMark/>
          </w:tcPr>
          <w:p w14:paraId="1A1A72A2"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0.03</w:t>
            </w:r>
          </w:p>
        </w:tc>
      </w:tr>
      <w:tr w:rsidR="00872293" w:rsidRPr="00872293" w14:paraId="214299C6" w14:textId="77777777" w:rsidTr="00AC55FE">
        <w:trPr>
          <w:trHeight w:val="870"/>
        </w:trPr>
        <w:tc>
          <w:tcPr>
            <w:tcW w:w="2120" w:type="dxa"/>
            <w:tcBorders>
              <w:top w:val="single" w:sz="4" w:space="0" w:color="auto"/>
              <w:bottom w:val="single" w:sz="4" w:space="0" w:color="auto"/>
            </w:tcBorders>
            <w:shd w:val="clear" w:color="auto" w:fill="auto"/>
            <w:hideMark/>
          </w:tcPr>
          <w:p w14:paraId="60B5F53A" w14:textId="77777777" w:rsidR="004D04E1" w:rsidRPr="00872293" w:rsidRDefault="004D04E1" w:rsidP="00AC55FE">
            <w:pPr>
              <w:jc w:val="center"/>
              <w:rPr>
                <w:rFonts w:ascii="Times New Roman" w:eastAsia="Times New Roman" w:hAnsi="Times New Roman" w:cs="Times New Roman"/>
                <w:sz w:val="16"/>
                <w:szCs w:val="16"/>
              </w:rPr>
            </w:pPr>
          </w:p>
          <w:p w14:paraId="0B185395" w14:textId="34A95F33"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 Root branching ratio +(1|Site)</w:t>
            </w:r>
          </w:p>
        </w:tc>
        <w:tc>
          <w:tcPr>
            <w:tcW w:w="1304" w:type="dxa"/>
            <w:tcBorders>
              <w:top w:val="single" w:sz="4" w:space="0" w:color="auto"/>
              <w:bottom w:val="single" w:sz="4" w:space="0" w:color="auto"/>
            </w:tcBorders>
            <w:shd w:val="clear" w:color="auto" w:fill="auto"/>
            <w:vAlign w:val="center"/>
            <w:hideMark/>
          </w:tcPr>
          <w:p w14:paraId="3F4B387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gridSpan w:val="3"/>
            <w:tcBorders>
              <w:top w:val="single" w:sz="4" w:space="0" w:color="auto"/>
              <w:bottom w:val="single" w:sz="4" w:space="0" w:color="auto"/>
            </w:tcBorders>
            <w:shd w:val="clear" w:color="auto" w:fill="auto"/>
            <w:vAlign w:val="center"/>
            <w:hideMark/>
          </w:tcPr>
          <w:p w14:paraId="43C330E9"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gridSpan w:val="2"/>
            <w:tcBorders>
              <w:top w:val="single" w:sz="4" w:space="0" w:color="auto"/>
              <w:bottom w:val="single" w:sz="4" w:space="0" w:color="auto"/>
            </w:tcBorders>
            <w:shd w:val="clear" w:color="auto" w:fill="auto"/>
            <w:vAlign w:val="center"/>
            <w:hideMark/>
          </w:tcPr>
          <w:p w14:paraId="32382D24"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gridSpan w:val="2"/>
            <w:tcBorders>
              <w:top w:val="single" w:sz="4" w:space="0" w:color="auto"/>
              <w:bottom w:val="single" w:sz="4" w:space="0" w:color="auto"/>
            </w:tcBorders>
            <w:shd w:val="clear" w:color="auto" w:fill="auto"/>
            <w:noWrap/>
            <w:vAlign w:val="center"/>
            <w:hideMark/>
          </w:tcPr>
          <w:p w14:paraId="3028976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0.94</w:t>
            </w:r>
          </w:p>
        </w:tc>
        <w:tc>
          <w:tcPr>
            <w:tcW w:w="1048" w:type="dxa"/>
            <w:tcBorders>
              <w:top w:val="single" w:sz="4" w:space="0" w:color="auto"/>
              <w:bottom w:val="single" w:sz="4" w:space="0" w:color="auto"/>
            </w:tcBorders>
            <w:shd w:val="clear" w:color="auto" w:fill="auto"/>
            <w:vAlign w:val="center"/>
            <w:hideMark/>
          </w:tcPr>
          <w:p w14:paraId="2044C4F3"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0.00/0.08</w:t>
            </w:r>
          </w:p>
        </w:tc>
        <w:tc>
          <w:tcPr>
            <w:tcW w:w="1047" w:type="dxa"/>
            <w:tcBorders>
              <w:top w:val="single" w:sz="4" w:space="0" w:color="auto"/>
              <w:bottom w:val="single" w:sz="4" w:space="0" w:color="auto"/>
            </w:tcBorders>
            <w:shd w:val="clear" w:color="auto" w:fill="auto"/>
            <w:vAlign w:val="center"/>
            <w:hideMark/>
          </w:tcPr>
          <w:p w14:paraId="09446E28"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28779019" w14:textId="77777777" w:rsidTr="00AC55FE">
        <w:trPr>
          <w:trHeight w:val="870"/>
        </w:trPr>
        <w:tc>
          <w:tcPr>
            <w:tcW w:w="2120" w:type="dxa"/>
            <w:tcBorders>
              <w:top w:val="single" w:sz="4" w:space="0" w:color="auto"/>
              <w:bottom w:val="single" w:sz="4" w:space="0" w:color="auto"/>
            </w:tcBorders>
            <w:shd w:val="clear" w:color="auto" w:fill="auto"/>
            <w:hideMark/>
          </w:tcPr>
          <w:p w14:paraId="36510364" w14:textId="77777777" w:rsidR="004D04E1" w:rsidRPr="00872293" w:rsidRDefault="004D04E1" w:rsidP="00AC55FE">
            <w:pPr>
              <w:jc w:val="center"/>
              <w:rPr>
                <w:rFonts w:ascii="Times New Roman" w:eastAsia="Times New Roman" w:hAnsi="Times New Roman" w:cs="Times New Roman"/>
                <w:sz w:val="16"/>
                <w:szCs w:val="16"/>
              </w:rPr>
            </w:pPr>
          </w:p>
          <w:p w14:paraId="1311FEF9" w14:textId="3F8D99C5"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P ~Root branching ratio +(1|Site/Species)</w:t>
            </w:r>
          </w:p>
        </w:tc>
        <w:tc>
          <w:tcPr>
            <w:tcW w:w="1304" w:type="dxa"/>
            <w:tcBorders>
              <w:top w:val="single" w:sz="4" w:space="0" w:color="auto"/>
              <w:bottom w:val="single" w:sz="4" w:space="0" w:color="auto"/>
            </w:tcBorders>
            <w:shd w:val="clear" w:color="auto" w:fill="auto"/>
            <w:vAlign w:val="center"/>
            <w:hideMark/>
          </w:tcPr>
          <w:p w14:paraId="346F5938"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 xml:space="preserve">Root P </w:t>
            </w:r>
          </w:p>
        </w:tc>
        <w:tc>
          <w:tcPr>
            <w:tcW w:w="1304" w:type="dxa"/>
            <w:gridSpan w:val="3"/>
            <w:tcBorders>
              <w:top w:val="single" w:sz="4" w:space="0" w:color="auto"/>
              <w:bottom w:val="single" w:sz="4" w:space="0" w:color="auto"/>
            </w:tcBorders>
            <w:shd w:val="clear" w:color="auto" w:fill="auto"/>
            <w:vAlign w:val="center"/>
            <w:hideMark/>
          </w:tcPr>
          <w:p w14:paraId="2EBE8D1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gridSpan w:val="2"/>
            <w:tcBorders>
              <w:top w:val="single" w:sz="4" w:space="0" w:color="auto"/>
              <w:bottom w:val="single" w:sz="4" w:space="0" w:color="auto"/>
            </w:tcBorders>
            <w:shd w:val="clear" w:color="auto" w:fill="auto"/>
            <w:vAlign w:val="center"/>
            <w:hideMark/>
          </w:tcPr>
          <w:p w14:paraId="5F386E38"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gridSpan w:val="2"/>
            <w:tcBorders>
              <w:top w:val="single" w:sz="4" w:space="0" w:color="auto"/>
              <w:bottom w:val="single" w:sz="4" w:space="0" w:color="auto"/>
            </w:tcBorders>
            <w:shd w:val="clear" w:color="auto" w:fill="auto"/>
            <w:noWrap/>
            <w:vAlign w:val="center"/>
            <w:hideMark/>
          </w:tcPr>
          <w:p w14:paraId="12E94EA3"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0.80</w:t>
            </w:r>
          </w:p>
        </w:tc>
        <w:tc>
          <w:tcPr>
            <w:tcW w:w="1048" w:type="dxa"/>
            <w:tcBorders>
              <w:top w:val="single" w:sz="4" w:space="0" w:color="auto"/>
              <w:bottom w:val="single" w:sz="4" w:space="0" w:color="auto"/>
            </w:tcBorders>
            <w:shd w:val="clear" w:color="auto" w:fill="auto"/>
            <w:vAlign w:val="center"/>
            <w:hideMark/>
          </w:tcPr>
          <w:p w14:paraId="1B7A7319"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0.00/0.16</w:t>
            </w:r>
          </w:p>
        </w:tc>
        <w:tc>
          <w:tcPr>
            <w:tcW w:w="1047" w:type="dxa"/>
            <w:tcBorders>
              <w:top w:val="single" w:sz="4" w:space="0" w:color="auto"/>
              <w:bottom w:val="single" w:sz="4" w:space="0" w:color="auto"/>
            </w:tcBorders>
            <w:shd w:val="clear" w:color="auto" w:fill="auto"/>
            <w:vAlign w:val="center"/>
            <w:hideMark/>
          </w:tcPr>
          <w:p w14:paraId="439E3C2E"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06FF4C25" w14:textId="77777777" w:rsidTr="00AC55FE">
        <w:trPr>
          <w:trHeight w:val="870"/>
        </w:trPr>
        <w:tc>
          <w:tcPr>
            <w:tcW w:w="2120" w:type="dxa"/>
            <w:tcBorders>
              <w:top w:val="single" w:sz="4" w:space="0" w:color="auto"/>
              <w:bottom w:val="single" w:sz="4" w:space="0" w:color="auto"/>
            </w:tcBorders>
            <w:shd w:val="clear" w:color="auto" w:fill="auto"/>
            <w:hideMark/>
          </w:tcPr>
          <w:p w14:paraId="486FF4AA" w14:textId="77777777" w:rsidR="004D04E1" w:rsidRPr="00872293" w:rsidRDefault="004D04E1" w:rsidP="00AC55FE">
            <w:pPr>
              <w:jc w:val="center"/>
              <w:rPr>
                <w:rFonts w:ascii="Times New Roman" w:eastAsia="Times New Roman" w:hAnsi="Times New Roman" w:cs="Times New Roman"/>
                <w:sz w:val="16"/>
                <w:szCs w:val="16"/>
              </w:rPr>
            </w:pPr>
          </w:p>
          <w:p w14:paraId="0DDFCB54" w14:textId="5CFBF196"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 Root branching ratio +(1|Site/Species)</w:t>
            </w:r>
          </w:p>
        </w:tc>
        <w:tc>
          <w:tcPr>
            <w:tcW w:w="1304" w:type="dxa"/>
            <w:tcBorders>
              <w:top w:val="single" w:sz="4" w:space="0" w:color="auto"/>
              <w:bottom w:val="single" w:sz="4" w:space="0" w:color="auto"/>
            </w:tcBorders>
            <w:shd w:val="clear" w:color="auto" w:fill="auto"/>
            <w:vAlign w:val="center"/>
            <w:hideMark/>
          </w:tcPr>
          <w:p w14:paraId="5D880A7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04" w:type="dxa"/>
            <w:gridSpan w:val="3"/>
            <w:tcBorders>
              <w:top w:val="single" w:sz="4" w:space="0" w:color="auto"/>
              <w:bottom w:val="single" w:sz="4" w:space="0" w:color="auto"/>
            </w:tcBorders>
            <w:shd w:val="clear" w:color="auto" w:fill="auto"/>
            <w:vAlign w:val="center"/>
            <w:hideMark/>
          </w:tcPr>
          <w:p w14:paraId="4707475C"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gridSpan w:val="2"/>
            <w:tcBorders>
              <w:top w:val="single" w:sz="4" w:space="0" w:color="auto"/>
              <w:bottom w:val="single" w:sz="4" w:space="0" w:color="auto"/>
            </w:tcBorders>
            <w:shd w:val="clear" w:color="auto" w:fill="auto"/>
            <w:vAlign w:val="center"/>
            <w:hideMark/>
          </w:tcPr>
          <w:p w14:paraId="7D49681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gridSpan w:val="2"/>
            <w:tcBorders>
              <w:top w:val="single" w:sz="4" w:space="0" w:color="auto"/>
              <w:bottom w:val="single" w:sz="4" w:space="0" w:color="auto"/>
            </w:tcBorders>
            <w:shd w:val="clear" w:color="auto" w:fill="auto"/>
            <w:noWrap/>
            <w:vAlign w:val="center"/>
            <w:hideMark/>
          </w:tcPr>
          <w:p w14:paraId="042C1C9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0.04</w:t>
            </w:r>
          </w:p>
        </w:tc>
        <w:tc>
          <w:tcPr>
            <w:tcW w:w="1048" w:type="dxa"/>
            <w:tcBorders>
              <w:top w:val="single" w:sz="4" w:space="0" w:color="auto"/>
              <w:bottom w:val="single" w:sz="4" w:space="0" w:color="auto"/>
            </w:tcBorders>
            <w:shd w:val="clear" w:color="auto" w:fill="auto"/>
            <w:vAlign w:val="center"/>
            <w:hideMark/>
          </w:tcPr>
          <w:p w14:paraId="2B52AB72"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0.25/0.32</w:t>
            </w:r>
          </w:p>
        </w:tc>
        <w:tc>
          <w:tcPr>
            <w:tcW w:w="1047" w:type="dxa"/>
            <w:tcBorders>
              <w:top w:val="single" w:sz="4" w:space="0" w:color="auto"/>
              <w:bottom w:val="single" w:sz="4" w:space="0" w:color="auto"/>
            </w:tcBorders>
            <w:shd w:val="clear" w:color="auto" w:fill="auto"/>
            <w:vAlign w:val="center"/>
            <w:hideMark/>
          </w:tcPr>
          <w:p w14:paraId="1D880A49"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-0.06</w:t>
            </w:r>
          </w:p>
        </w:tc>
      </w:tr>
      <w:tr w:rsidR="00872293" w:rsidRPr="00872293" w14:paraId="3C0D8D38" w14:textId="77777777" w:rsidTr="00AC55FE">
        <w:trPr>
          <w:trHeight w:val="870"/>
        </w:trPr>
        <w:tc>
          <w:tcPr>
            <w:tcW w:w="2120" w:type="dxa"/>
            <w:tcBorders>
              <w:top w:val="single" w:sz="4" w:space="0" w:color="auto"/>
              <w:bottom w:val="single" w:sz="4" w:space="0" w:color="auto"/>
            </w:tcBorders>
            <w:shd w:val="clear" w:color="auto" w:fill="auto"/>
            <w:hideMark/>
          </w:tcPr>
          <w:p w14:paraId="3969F167" w14:textId="77777777" w:rsidR="004D04E1" w:rsidRPr="00872293" w:rsidRDefault="004D04E1" w:rsidP="00AC55FE">
            <w:pPr>
              <w:jc w:val="center"/>
              <w:rPr>
                <w:rFonts w:ascii="Times New Roman" w:eastAsia="Times New Roman" w:hAnsi="Times New Roman" w:cs="Times New Roman"/>
                <w:sz w:val="16"/>
                <w:szCs w:val="16"/>
              </w:rPr>
            </w:pPr>
          </w:p>
          <w:p w14:paraId="0B18CEB5" w14:textId="0A09EA30"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 Root branching ratio +(1|Site)</w:t>
            </w:r>
          </w:p>
        </w:tc>
        <w:tc>
          <w:tcPr>
            <w:tcW w:w="1304" w:type="dxa"/>
            <w:tcBorders>
              <w:top w:val="single" w:sz="4" w:space="0" w:color="auto"/>
              <w:bottom w:val="single" w:sz="4" w:space="0" w:color="auto"/>
            </w:tcBorders>
            <w:shd w:val="clear" w:color="auto" w:fill="auto"/>
            <w:vAlign w:val="center"/>
            <w:hideMark/>
          </w:tcPr>
          <w:p w14:paraId="51BEB01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04" w:type="dxa"/>
            <w:gridSpan w:val="3"/>
            <w:tcBorders>
              <w:top w:val="single" w:sz="4" w:space="0" w:color="auto"/>
              <w:bottom w:val="single" w:sz="4" w:space="0" w:color="auto"/>
            </w:tcBorders>
            <w:shd w:val="clear" w:color="auto" w:fill="auto"/>
            <w:vAlign w:val="center"/>
            <w:hideMark/>
          </w:tcPr>
          <w:p w14:paraId="1B778236"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65" w:type="dxa"/>
            <w:gridSpan w:val="2"/>
            <w:tcBorders>
              <w:top w:val="single" w:sz="4" w:space="0" w:color="auto"/>
              <w:bottom w:val="single" w:sz="4" w:space="0" w:color="auto"/>
            </w:tcBorders>
            <w:shd w:val="clear" w:color="auto" w:fill="auto"/>
            <w:vAlign w:val="center"/>
            <w:hideMark/>
          </w:tcPr>
          <w:p w14:paraId="52CB0923"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gridSpan w:val="2"/>
            <w:tcBorders>
              <w:top w:val="single" w:sz="4" w:space="0" w:color="auto"/>
              <w:bottom w:val="single" w:sz="4" w:space="0" w:color="auto"/>
            </w:tcBorders>
            <w:shd w:val="clear" w:color="auto" w:fill="auto"/>
            <w:noWrap/>
            <w:vAlign w:val="center"/>
            <w:hideMark/>
          </w:tcPr>
          <w:p w14:paraId="522A7468"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0.77</w:t>
            </w:r>
          </w:p>
        </w:tc>
        <w:tc>
          <w:tcPr>
            <w:tcW w:w="1048" w:type="dxa"/>
            <w:tcBorders>
              <w:top w:val="single" w:sz="4" w:space="0" w:color="auto"/>
              <w:bottom w:val="single" w:sz="4" w:space="0" w:color="auto"/>
            </w:tcBorders>
            <w:shd w:val="clear" w:color="auto" w:fill="auto"/>
            <w:vAlign w:val="center"/>
            <w:hideMark/>
          </w:tcPr>
          <w:p w14:paraId="41C09AD0"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0.00/0.84</w:t>
            </w:r>
          </w:p>
        </w:tc>
        <w:tc>
          <w:tcPr>
            <w:tcW w:w="1047" w:type="dxa"/>
            <w:tcBorders>
              <w:top w:val="single" w:sz="4" w:space="0" w:color="auto"/>
              <w:bottom w:val="single" w:sz="4" w:space="0" w:color="auto"/>
            </w:tcBorders>
            <w:shd w:val="clear" w:color="auto" w:fill="auto"/>
            <w:vAlign w:val="center"/>
            <w:hideMark/>
          </w:tcPr>
          <w:p w14:paraId="1500000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&lt;0.00</w:t>
            </w:r>
          </w:p>
        </w:tc>
      </w:tr>
      <w:tr w:rsidR="00872293" w:rsidRPr="00872293" w14:paraId="72703EEA" w14:textId="77777777" w:rsidTr="00AC55FE">
        <w:trPr>
          <w:trHeight w:val="870"/>
        </w:trPr>
        <w:tc>
          <w:tcPr>
            <w:tcW w:w="2120" w:type="dxa"/>
            <w:tcBorders>
              <w:top w:val="single" w:sz="4" w:space="0" w:color="auto"/>
              <w:bottom w:val="single" w:sz="4" w:space="0" w:color="auto"/>
            </w:tcBorders>
            <w:shd w:val="clear" w:color="auto" w:fill="auto"/>
            <w:hideMark/>
          </w:tcPr>
          <w:p w14:paraId="312EED11" w14:textId="77777777" w:rsidR="004D04E1" w:rsidRPr="00872293" w:rsidRDefault="004D04E1" w:rsidP="00AC55FE">
            <w:pPr>
              <w:jc w:val="center"/>
              <w:rPr>
                <w:rFonts w:ascii="Times New Roman" w:eastAsia="Times New Roman" w:hAnsi="Times New Roman" w:cs="Times New Roman"/>
                <w:sz w:val="16"/>
                <w:szCs w:val="16"/>
              </w:rPr>
            </w:pPr>
          </w:p>
          <w:p w14:paraId="6EEF692B" w14:textId="397AA594"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 SRL+(1|Site/Species)</w:t>
            </w:r>
          </w:p>
        </w:tc>
        <w:tc>
          <w:tcPr>
            <w:tcW w:w="1304" w:type="dxa"/>
            <w:tcBorders>
              <w:top w:val="single" w:sz="4" w:space="0" w:color="auto"/>
              <w:bottom w:val="single" w:sz="4" w:space="0" w:color="auto"/>
            </w:tcBorders>
            <w:shd w:val="clear" w:color="auto" w:fill="auto"/>
            <w:vAlign w:val="center"/>
            <w:hideMark/>
          </w:tcPr>
          <w:p w14:paraId="71A28FE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04" w:type="dxa"/>
            <w:gridSpan w:val="3"/>
            <w:tcBorders>
              <w:top w:val="single" w:sz="4" w:space="0" w:color="auto"/>
              <w:bottom w:val="single" w:sz="4" w:space="0" w:color="auto"/>
            </w:tcBorders>
            <w:shd w:val="clear" w:color="auto" w:fill="auto"/>
            <w:vAlign w:val="center"/>
            <w:hideMark/>
          </w:tcPr>
          <w:p w14:paraId="04787A4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gridSpan w:val="2"/>
            <w:tcBorders>
              <w:top w:val="single" w:sz="4" w:space="0" w:color="auto"/>
              <w:bottom w:val="single" w:sz="4" w:space="0" w:color="auto"/>
            </w:tcBorders>
            <w:shd w:val="clear" w:color="auto" w:fill="auto"/>
            <w:vAlign w:val="center"/>
            <w:hideMark/>
          </w:tcPr>
          <w:p w14:paraId="1CF8918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gridSpan w:val="2"/>
            <w:tcBorders>
              <w:top w:val="single" w:sz="4" w:space="0" w:color="auto"/>
              <w:bottom w:val="single" w:sz="4" w:space="0" w:color="auto"/>
            </w:tcBorders>
            <w:shd w:val="clear" w:color="auto" w:fill="auto"/>
            <w:noWrap/>
            <w:vAlign w:val="center"/>
            <w:hideMark/>
          </w:tcPr>
          <w:p w14:paraId="06F47CD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0.65</w:t>
            </w:r>
          </w:p>
        </w:tc>
        <w:tc>
          <w:tcPr>
            <w:tcW w:w="1048" w:type="dxa"/>
            <w:tcBorders>
              <w:top w:val="single" w:sz="4" w:space="0" w:color="auto"/>
              <w:bottom w:val="single" w:sz="4" w:space="0" w:color="auto"/>
            </w:tcBorders>
            <w:shd w:val="clear" w:color="auto" w:fill="auto"/>
            <w:vAlign w:val="center"/>
            <w:hideMark/>
          </w:tcPr>
          <w:p w14:paraId="6C65AA1A"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0.00/0.00</w:t>
            </w:r>
          </w:p>
        </w:tc>
        <w:tc>
          <w:tcPr>
            <w:tcW w:w="1047" w:type="dxa"/>
            <w:tcBorders>
              <w:top w:val="single" w:sz="4" w:space="0" w:color="auto"/>
              <w:bottom w:val="single" w:sz="4" w:space="0" w:color="auto"/>
            </w:tcBorders>
            <w:shd w:val="clear" w:color="auto" w:fill="auto"/>
            <w:vAlign w:val="center"/>
            <w:hideMark/>
          </w:tcPr>
          <w:p w14:paraId="133BA687"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0.05</w:t>
            </w:r>
          </w:p>
        </w:tc>
      </w:tr>
      <w:tr w:rsidR="00872293" w:rsidRPr="00872293" w14:paraId="40B445E9" w14:textId="77777777" w:rsidTr="00AC55FE">
        <w:trPr>
          <w:trHeight w:val="870"/>
        </w:trPr>
        <w:tc>
          <w:tcPr>
            <w:tcW w:w="2120" w:type="dxa"/>
            <w:tcBorders>
              <w:top w:val="single" w:sz="4" w:space="0" w:color="auto"/>
              <w:bottom w:val="single" w:sz="4" w:space="0" w:color="auto"/>
            </w:tcBorders>
            <w:shd w:val="clear" w:color="auto" w:fill="auto"/>
            <w:hideMark/>
          </w:tcPr>
          <w:p w14:paraId="4D897A69" w14:textId="77777777" w:rsidR="004D04E1" w:rsidRPr="00872293" w:rsidRDefault="004D04E1" w:rsidP="00AC55FE">
            <w:pPr>
              <w:jc w:val="center"/>
              <w:rPr>
                <w:rFonts w:ascii="Times New Roman" w:eastAsia="Times New Roman" w:hAnsi="Times New Roman" w:cs="Times New Roman"/>
                <w:sz w:val="16"/>
                <w:szCs w:val="16"/>
              </w:rPr>
            </w:pPr>
          </w:p>
          <w:p w14:paraId="572A87D9" w14:textId="704977E5"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 SRL +(1|Site)</w:t>
            </w:r>
          </w:p>
        </w:tc>
        <w:tc>
          <w:tcPr>
            <w:tcW w:w="1304" w:type="dxa"/>
            <w:tcBorders>
              <w:top w:val="single" w:sz="4" w:space="0" w:color="auto"/>
              <w:bottom w:val="single" w:sz="4" w:space="0" w:color="auto"/>
            </w:tcBorders>
            <w:shd w:val="clear" w:color="auto" w:fill="auto"/>
            <w:vAlign w:val="center"/>
            <w:hideMark/>
          </w:tcPr>
          <w:p w14:paraId="15AA7EF4"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Root branching ratio</w:t>
            </w:r>
          </w:p>
        </w:tc>
        <w:tc>
          <w:tcPr>
            <w:tcW w:w="1304" w:type="dxa"/>
            <w:gridSpan w:val="3"/>
            <w:tcBorders>
              <w:top w:val="single" w:sz="4" w:space="0" w:color="auto"/>
              <w:bottom w:val="single" w:sz="4" w:space="0" w:color="auto"/>
            </w:tcBorders>
            <w:shd w:val="clear" w:color="auto" w:fill="auto"/>
            <w:vAlign w:val="center"/>
            <w:hideMark/>
          </w:tcPr>
          <w:p w14:paraId="48D5186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gridSpan w:val="2"/>
            <w:tcBorders>
              <w:top w:val="single" w:sz="4" w:space="0" w:color="auto"/>
              <w:bottom w:val="single" w:sz="4" w:space="0" w:color="auto"/>
            </w:tcBorders>
            <w:shd w:val="clear" w:color="auto" w:fill="auto"/>
            <w:vAlign w:val="center"/>
            <w:hideMark/>
          </w:tcPr>
          <w:p w14:paraId="3216F9D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gridSpan w:val="2"/>
            <w:tcBorders>
              <w:top w:val="single" w:sz="4" w:space="0" w:color="auto"/>
              <w:bottom w:val="single" w:sz="4" w:space="0" w:color="auto"/>
            </w:tcBorders>
            <w:shd w:val="clear" w:color="auto" w:fill="auto"/>
            <w:noWrap/>
            <w:vAlign w:val="center"/>
            <w:hideMark/>
          </w:tcPr>
          <w:p w14:paraId="367CA58C"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0.04</w:t>
            </w:r>
          </w:p>
        </w:tc>
        <w:tc>
          <w:tcPr>
            <w:tcW w:w="1048" w:type="dxa"/>
            <w:tcBorders>
              <w:top w:val="single" w:sz="4" w:space="0" w:color="auto"/>
              <w:bottom w:val="single" w:sz="4" w:space="0" w:color="auto"/>
            </w:tcBorders>
            <w:shd w:val="clear" w:color="auto" w:fill="auto"/>
            <w:vAlign w:val="center"/>
            <w:hideMark/>
          </w:tcPr>
          <w:p w14:paraId="66E7B4EA"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0.11/0.72</w:t>
            </w:r>
          </w:p>
        </w:tc>
        <w:tc>
          <w:tcPr>
            <w:tcW w:w="1047" w:type="dxa"/>
            <w:tcBorders>
              <w:top w:val="single" w:sz="4" w:space="0" w:color="auto"/>
              <w:bottom w:val="single" w:sz="4" w:space="0" w:color="auto"/>
            </w:tcBorders>
            <w:shd w:val="clear" w:color="auto" w:fill="auto"/>
            <w:vAlign w:val="center"/>
            <w:hideMark/>
          </w:tcPr>
          <w:p w14:paraId="621452AB"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0.24</w:t>
            </w:r>
          </w:p>
        </w:tc>
      </w:tr>
      <w:tr w:rsidR="00872293" w:rsidRPr="00872293" w14:paraId="29F8179E" w14:textId="77777777" w:rsidTr="00AC55FE">
        <w:trPr>
          <w:trHeight w:val="647"/>
        </w:trPr>
        <w:tc>
          <w:tcPr>
            <w:tcW w:w="2120" w:type="dxa"/>
            <w:tcBorders>
              <w:top w:val="single" w:sz="4" w:space="0" w:color="auto"/>
              <w:bottom w:val="single" w:sz="4" w:space="0" w:color="auto"/>
            </w:tcBorders>
            <w:shd w:val="clear" w:color="auto" w:fill="auto"/>
            <w:hideMark/>
          </w:tcPr>
          <w:p w14:paraId="19D4F34A" w14:textId="77777777" w:rsidR="004D04E1" w:rsidRPr="00872293" w:rsidRDefault="004D04E1" w:rsidP="00AC55FE">
            <w:pPr>
              <w:jc w:val="center"/>
              <w:rPr>
                <w:rFonts w:ascii="Times New Roman" w:eastAsia="Times New Roman" w:hAnsi="Times New Roman" w:cs="Times New Roman"/>
                <w:sz w:val="16"/>
                <w:szCs w:val="16"/>
              </w:rPr>
            </w:pPr>
          </w:p>
          <w:p w14:paraId="5EEAC2AD" w14:textId="2E29EF7A"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 SRL+(1|Site/Species)</w:t>
            </w:r>
          </w:p>
        </w:tc>
        <w:tc>
          <w:tcPr>
            <w:tcW w:w="1304" w:type="dxa"/>
            <w:tcBorders>
              <w:top w:val="single" w:sz="4" w:space="0" w:color="auto"/>
              <w:bottom w:val="single" w:sz="4" w:space="0" w:color="auto"/>
            </w:tcBorders>
            <w:shd w:val="clear" w:color="auto" w:fill="auto"/>
            <w:vAlign w:val="center"/>
            <w:hideMark/>
          </w:tcPr>
          <w:p w14:paraId="6F3B482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04" w:type="dxa"/>
            <w:gridSpan w:val="3"/>
            <w:tcBorders>
              <w:top w:val="single" w:sz="4" w:space="0" w:color="auto"/>
              <w:bottom w:val="single" w:sz="4" w:space="0" w:color="auto"/>
            </w:tcBorders>
            <w:shd w:val="clear" w:color="auto" w:fill="auto"/>
            <w:vAlign w:val="center"/>
            <w:hideMark/>
          </w:tcPr>
          <w:p w14:paraId="504CE4AD"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gridSpan w:val="2"/>
            <w:tcBorders>
              <w:top w:val="single" w:sz="4" w:space="0" w:color="auto"/>
              <w:bottom w:val="single" w:sz="4" w:space="0" w:color="auto"/>
            </w:tcBorders>
            <w:shd w:val="clear" w:color="auto" w:fill="auto"/>
            <w:vAlign w:val="center"/>
            <w:hideMark/>
          </w:tcPr>
          <w:p w14:paraId="30EDA447"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w:t>
            </w:r>
          </w:p>
        </w:tc>
        <w:tc>
          <w:tcPr>
            <w:tcW w:w="734" w:type="dxa"/>
            <w:gridSpan w:val="2"/>
            <w:tcBorders>
              <w:top w:val="single" w:sz="4" w:space="0" w:color="auto"/>
              <w:bottom w:val="single" w:sz="4" w:space="0" w:color="auto"/>
            </w:tcBorders>
            <w:shd w:val="clear" w:color="auto" w:fill="auto"/>
            <w:noWrap/>
            <w:vAlign w:val="center"/>
            <w:hideMark/>
          </w:tcPr>
          <w:p w14:paraId="27C4130F"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0.93</w:t>
            </w:r>
          </w:p>
        </w:tc>
        <w:tc>
          <w:tcPr>
            <w:tcW w:w="1048" w:type="dxa"/>
            <w:tcBorders>
              <w:top w:val="single" w:sz="4" w:space="0" w:color="auto"/>
              <w:bottom w:val="single" w:sz="4" w:space="0" w:color="auto"/>
            </w:tcBorders>
            <w:shd w:val="clear" w:color="auto" w:fill="auto"/>
            <w:vAlign w:val="center"/>
            <w:hideMark/>
          </w:tcPr>
          <w:p w14:paraId="281BE311"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0.00/0.00</w:t>
            </w:r>
          </w:p>
        </w:tc>
        <w:tc>
          <w:tcPr>
            <w:tcW w:w="1047" w:type="dxa"/>
            <w:tcBorders>
              <w:top w:val="single" w:sz="4" w:space="0" w:color="auto"/>
              <w:bottom w:val="single" w:sz="4" w:space="0" w:color="auto"/>
            </w:tcBorders>
            <w:shd w:val="clear" w:color="auto" w:fill="auto"/>
            <w:vAlign w:val="center"/>
            <w:hideMark/>
          </w:tcPr>
          <w:p w14:paraId="50E2DAFE"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&lt;-0.01</w:t>
            </w:r>
          </w:p>
        </w:tc>
      </w:tr>
      <w:tr w:rsidR="00872293" w:rsidRPr="00872293" w14:paraId="1AABC273" w14:textId="77777777" w:rsidTr="00AC55FE">
        <w:trPr>
          <w:trHeight w:val="710"/>
        </w:trPr>
        <w:tc>
          <w:tcPr>
            <w:tcW w:w="2120" w:type="dxa"/>
            <w:tcBorders>
              <w:top w:val="single" w:sz="4" w:space="0" w:color="auto"/>
            </w:tcBorders>
            <w:shd w:val="clear" w:color="auto" w:fill="auto"/>
            <w:hideMark/>
          </w:tcPr>
          <w:p w14:paraId="48BEF7CC" w14:textId="77777777" w:rsidR="004D04E1" w:rsidRPr="00872293" w:rsidRDefault="004D04E1" w:rsidP="00AC55FE">
            <w:pPr>
              <w:jc w:val="center"/>
              <w:rPr>
                <w:rFonts w:ascii="Times New Roman" w:eastAsia="Times New Roman" w:hAnsi="Times New Roman" w:cs="Times New Roman"/>
                <w:sz w:val="16"/>
                <w:szCs w:val="16"/>
              </w:rPr>
            </w:pPr>
          </w:p>
          <w:p w14:paraId="2DAEDDF8" w14:textId="19861ACD"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 SRL +(1|Site)</w:t>
            </w:r>
          </w:p>
        </w:tc>
        <w:tc>
          <w:tcPr>
            <w:tcW w:w="1304" w:type="dxa"/>
            <w:tcBorders>
              <w:top w:val="single" w:sz="4" w:space="0" w:color="auto"/>
            </w:tcBorders>
            <w:shd w:val="clear" w:color="auto" w:fill="auto"/>
            <w:vAlign w:val="center"/>
            <w:hideMark/>
          </w:tcPr>
          <w:p w14:paraId="28863735"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Mycorrhizal colonization</w:t>
            </w:r>
          </w:p>
        </w:tc>
        <w:tc>
          <w:tcPr>
            <w:tcW w:w="1304" w:type="dxa"/>
            <w:gridSpan w:val="3"/>
            <w:tcBorders>
              <w:top w:val="single" w:sz="4" w:space="0" w:color="auto"/>
            </w:tcBorders>
            <w:shd w:val="clear" w:color="auto" w:fill="auto"/>
            <w:vAlign w:val="center"/>
            <w:hideMark/>
          </w:tcPr>
          <w:p w14:paraId="4000A400"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SRL</w:t>
            </w:r>
          </w:p>
        </w:tc>
        <w:tc>
          <w:tcPr>
            <w:tcW w:w="1365" w:type="dxa"/>
            <w:gridSpan w:val="2"/>
            <w:tcBorders>
              <w:top w:val="single" w:sz="4" w:space="0" w:color="auto"/>
            </w:tcBorders>
            <w:shd w:val="clear" w:color="auto" w:fill="auto"/>
            <w:vAlign w:val="center"/>
            <w:hideMark/>
          </w:tcPr>
          <w:p w14:paraId="73A0733B"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(1 | Site/Species)</w:t>
            </w:r>
          </w:p>
        </w:tc>
        <w:tc>
          <w:tcPr>
            <w:tcW w:w="734" w:type="dxa"/>
            <w:gridSpan w:val="2"/>
            <w:tcBorders>
              <w:top w:val="single" w:sz="4" w:space="0" w:color="auto"/>
            </w:tcBorders>
            <w:shd w:val="clear" w:color="auto" w:fill="auto"/>
            <w:noWrap/>
            <w:vAlign w:val="center"/>
            <w:hideMark/>
          </w:tcPr>
          <w:p w14:paraId="6D719977"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0.57</w:t>
            </w:r>
          </w:p>
        </w:tc>
        <w:tc>
          <w:tcPr>
            <w:tcW w:w="1048" w:type="dxa"/>
            <w:tcBorders>
              <w:top w:val="single" w:sz="4" w:space="0" w:color="auto"/>
            </w:tcBorders>
            <w:shd w:val="clear" w:color="auto" w:fill="auto"/>
            <w:vAlign w:val="center"/>
            <w:hideMark/>
          </w:tcPr>
          <w:p w14:paraId="3A194DF6"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0.00/0.82</w:t>
            </w:r>
          </w:p>
        </w:tc>
        <w:tc>
          <w:tcPr>
            <w:tcW w:w="1047" w:type="dxa"/>
            <w:tcBorders>
              <w:top w:val="single" w:sz="4" w:space="0" w:color="auto"/>
            </w:tcBorders>
            <w:shd w:val="clear" w:color="auto" w:fill="auto"/>
            <w:vAlign w:val="center"/>
            <w:hideMark/>
          </w:tcPr>
          <w:p w14:paraId="77D0A736" w14:textId="77777777" w:rsidR="00BF559B" w:rsidRPr="00872293" w:rsidRDefault="00BF559B" w:rsidP="00AC55FE">
            <w:pPr>
              <w:jc w:val="center"/>
              <w:rPr>
                <w:rFonts w:ascii="Times New Roman" w:eastAsia="Times New Roman" w:hAnsi="Times New Roman" w:cs="Times New Roman"/>
                <w:sz w:val="22"/>
                <w:szCs w:val="22"/>
              </w:rPr>
            </w:pPr>
            <w:r w:rsidRPr="00872293">
              <w:rPr>
                <w:rFonts w:ascii="Times New Roman" w:eastAsia="Times New Roman" w:hAnsi="Times New Roman" w:cs="Times New Roman"/>
                <w:sz w:val="22"/>
                <w:szCs w:val="22"/>
              </w:rPr>
              <w:t>0.01</w:t>
            </w:r>
          </w:p>
        </w:tc>
      </w:tr>
    </w:tbl>
    <w:p w14:paraId="4A4F64C2" w14:textId="77777777" w:rsidR="00BF559B" w:rsidRPr="00872293" w:rsidRDefault="00BF559B" w:rsidP="00BF559B">
      <w:pPr>
        <w:rPr>
          <w:rFonts w:ascii="Times New Roman" w:hAnsi="Times New Roman"/>
        </w:rPr>
      </w:pPr>
      <w:r w:rsidRPr="00872293">
        <w:rPr>
          <w:rFonts w:ascii="Times New Roman" w:hAnsi="Times New Roman"/>
        </w:rPr>
        <w:br w:type="page"/>
      </w:r>
    </w:p>
    <w:p w14:paraId="47C8E605" w14:textId="78501466" w:rsidR="00C65F18" w:rsidRPr="00872293" w:rsidRDefault="006B7705" w:rsidP="00932058">
      <w:pPr>
        <w:pStyle w:val="Caption"/>
        <w:spacing w:before="240" w:after="240"/>
        <w:rPr>
          <w:rFonts w:ascii="Times New Roman" w:eastAsia="Times New Roman" w:hAnsi="Times New Roman" w:cs="Times New Roman"/>
          <w:color w:val="auto"/>
          <w:sz w:val="24"/>
          <w:szCs w:val="24"/>
        </w:rPr>
      </w:pPr>
      <w:r w:rsidRPr="00872293">
        <w:rPr>
          <w:rFonts w:ascii="Times New Roman" w:hAnsi="Times New Roman" w:cs="Times New Roman"/>
          <w:color w:val="auto"/>
          <w:sz w:val="24"/>
          <w:szCs w:val="24"/>
        </w:rPr>
        <w:lastRenderedPageBreak/>
        <w:t xml:space="preserve">Table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Table \* ARABIC </w:instrText>
      </w:r>
      <w:r w:rsidRPr="00872293">
        <w:rPr>
          <w:rFonts w:ascii="Times New Roman" w:hAnsi="Times New Roman" w:cs="Times New Roman"/>
          <w:color w:val="auto"/>
          <w:sz w:val="24"/>
          <w:szCs w:val="24"/>
        </w:rPr>
        <w:fldChar w:fldCharType="separate"/>
      </w:r>
      <w:r w:rsidRPr="00872293">
        <w:rPr>
          <w:rFonts w:ascii="Times New Roman" w:hAnsi="Times New Roman" w:cs="Times New Roman"/>
          <w:noProof/>
          <w:color w:val="auto"/>
          <w:sz w:val="24"/>
          <w:szCs w:val="24"/>
        </w:rPr>
        <w:t>10</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eastAsia="Times New Roman" w:hAnsi="Times New Roman" w:cs="Times New Roman"/>
          <w:color w:val="auto"/>
          <w:sz w:val="24"/>
          <w:szCs w:val="24"/>
        </w:rPr>
        <w:t xml:space="preserve">Mixed effect model ANOVA; dependent variables; fixed effects; random effects (ID refers to the specific tree ID); P values; </w:t>
      </w:r>
      <w:proofErr w:type="spellStart"/>
      <w:r w:rsidR="00643F7B" w:rsidRPr="00872293">
        <w:rPr>
          <w:rFonts w:ascii="Times New Roman" w:eastAsia="Times New Roman" w:hAnsi="Times New Roman" w:cs="Times New Roman"/>
          <w:color w:val="auto"/>
          <w:sz w:val="24"/>
          <w:szCs w:val="24"/>
        </w:rPr>
        <w:t>Emmeans</w:t>
      </w:r>
      <w:proofErr w:type="spellEnd"/>
      <w:r w:rsidR="00643F7B" w:rsidRPr="00872293">
        <w:rPr>
          <w:rFonts w:ascii="Times New Roman" w:eastAsia="Times New Roman" w:hAnsi="Times New Roman" w:cs="Times New Roman"/>
          <w:color w:val="auto"/>
          <w:sz w:val="24"/>
          <w:szCs w:val="24"/>
        </w:rPr>
        <w:t xml:space="preserve"> are the estimated marginal means for time 1 (6 months before the hurricanes), and time 2 (6 months after the hurricanes).</w:t>
      </w:r>
      <w:bookmarkEnd w:id="163"/>
    </w:p>
    <w:tbl>
      <w:tblPr>
        <w:tblW w:w="8400" w:type="dxa"/>
        <w:tblLook w:val="04A0" w:firstRow="1" w:lastRow="0" w:firstColumn="1" w:lastColumn="0" w:noHBand="0" w:noVBand="1"/>
      </w:tblPr>
      <w:tblGrid>
        <w:gridCol w:w="1886"/>
        <w:gridCol w:w="1231"/>
        <w:gridCol w:w="815"/>
        <w:gridCol w:w="1886"/>
        <w:gridCol w:w="726"/>
        <w:gridCol w:w="1145"/>
        <w:gridCol w:w="1145"/>
      </w:tblGrid>
      <w:tr w:rsidR="00872293" w:rsidRPr="00872293" w14:paraId="7E2223B2" w14:textId="77777777" w:rsidTr="00573C13">
        <w:trPr>
          <w:trHeight w:val="820"/>
        </w:trPr>
        <w:tc>
          <w:tcPr>
            <w:tcW w:w="1776" w:type="dxa"/>
            <w:tcBorders>
              <w:top w:val="single" w:sz="8" w:space="0" w:color="auto"/>
              <w:left w:val="single" w:sz="8" w:space="0" w:color="auto"/>
              <w:bottom w:val="single" w:sz="4" w:space="0" w:color="auto"/>
              <w:right w:val="nil"/>
            </w:tcBorders>
            <w:shd w:val="clear" w:color="auto" w:fill="auto"/>
            <w:vAlign w:val="center"/>
            <w:hideMark/>
          </w:tcPr>
          <w:p w14:paraId="269DB65E" w14:textId="77777777" w:rsidR="00643F7B" w:rsidRPr="00872293" w:rsidRDefault="00643F7B" w:rsidP="00886F84">
            <w:pPr>
              <w:jc w:val="center"/>
              <w:rPr>
                <w:rFonts w:ascii="Times New Roman" w:eastAsia="Times New Roman" w:hAnsi="Times New Roman"/>
                <w:b/>
                <w:bCs/>
                <w:sz w:val="22"/>
                <w:szCs w:val="22"/>
              </w:rPr>
            </w:pPr>
            <w:r w:rsidRPr="00872293">
              <w:rPr>
                <w:rFonts w:ascii="Times New Roman" w:eastAsia="Times New Roman" w:hAnsi="Times New Roman"/>
                <w:b/>
                <w:bCs/>
                <w:sz w:val="22"/>
                <w:szCs w:val="22"/>
              </w:rPr>
              <w:t>Model (</w:t>
            </w:r>
            <w:proofErr w:type="spellStart"/>
            <w:r w:rsidRPr="00872293">
              <w:rPr>
                <w:rFonts w:ascii="Times New Roman" w:eastAsia="Times New Roman" w:hAnsi="Times New Roman"/>
                <w:b/>
                <w:bCs/>
                <w:sz w:val="22"/>
                <w:szCs w:val="22"/>
              </w:rPr>
              <w:t>lmer</w:t>
            </w:r>
            <w:proofErr w:type="spellEnd"/>
            <w:r w:rsidRPr="00872293">
              <w:rPr>
                <w:rFonts w:ascii="Times New Roman" w:eastAsia="Times New Roman" w:hAnsi="Times New Roman"/>
                <w:b/>
                <w:bCs/>
                <w:sz w:val="22"/>
                <w:szCs w:val="22"/>
              </w:rPr>
              <w:t>)</w:t>
            </w:r>
          </w:p>
        </w:tc>
        <w:tc>
          <w:tcPr>
            <w:tcW w:w="1256" w:type="dxa"/>
            <w:tcBorders>
              <w:top w:val="single" w:sz="8" w:space="0" w:color="auto"/>
              <w:left w:val="nil"/>
              <w:bottom w:val="single" w:sz="4" w:space="0" w:color="auto"/>
              <w:right w:val="nil"/>
            </w:tcBorders>
            <w:shd w:val="clear" w:color="auto" w:fill="auto"/>
            <w:vAlign w:val="center"/>
            <w:hideMark/>
          </w:tcPr>
          <w:p w14:paraId="0B69F21E" w14:textId="77777777" w:rsidR="00643F7B" w:rsidRPr="00872293" w:rsidRDefault="00643F7B" w:rsidP="00886F84">
            <w:pPr>
              <w:jc w:val="center"/>
              <w:rPr>
                <w:rFonts w:ascii="Times New Roman" w:eastAsia="Times New Roman" w:hAnsi="Times New Roman"/>
                <w:b/>
                <w:bCs/>
                <w:sz w:val="22"/>
                <w:szCs w:val="22"/>
              </w:rPr>
            </w:pPr>
            <w:r w:rsidRPr="00872293">
              <w:rPr>
                <w:rFonts w:ascii="Times New Roman" w:eastAsia="Times New Roman" w:hAnsi="Times New Roman"/>
                <w:b/>
                <w:bCs/>
                <w:sz w:val="22"/>
                <w:szCs w:val="22"/>
              </w:rPr>
              <w:t>Dependent variable</w:t>
            </w:r>
          </w:p>
        </w:tc>
        <w:tc>
          <w:tcPr>
            <w:tcW w:w="776" w:type="dxa"/>
            <w:tcBorders>
              <w:top w:val="single" w:sz="8" w:space="0" w:color="auto"/>
              <w:left w:val="nil"/>
              <w:bottom w:val="single" w:sz="4" w:space="0" w:color="auto"/>
              <w:right w:val="nil"/>
            </w:tcBorders>
            <w:shd w:val="clear" w:color="auto" w:fill="auto"/>
            <w:vAlign w:val="center"/>
            <w:hideMark/>
          </w:tcPr>
          <w:p w14:paraId="7A7A24B0" w14:textId="77777777" w:rsidR="00643F7B" w:rsidRPr="00872293" w:rsidRDefault="00643F7B" w:rsidP="00886F84">
            <w:pPr>
              <w:jc w:val="center"/>
              <w:rPr>
                <w:rFonts w:ascii="Times New Roman" w:eastAsia="Times New Roman" w:hAnsi="Times New Roman"/>
                <w:b/>
                <w:bCs/>
                <w:sz w:val="22"/>
                <w:szCs w:val="22"/>
              </w:rPr>
            </w:pPr>
            <w:r w:rsidRPr="00872293">
              <w:rPr>
                <w:rFonts w:ascii="Times New Roman" w:eastAsia="Times New Roman" w:hAnsi="Times New Roman"/>
                <w:b/>
                <w:bCs/>
                <w:sz w:val="22"/>
                <w:szCs w:val="22"/>
              </w:rPr>
              <w:t>Fixed effects</w:t>
            </w:r>
          </w:p>
        </w:tc>
        <w:tc>
          <w:tcPr>
            <w:tcW w:w="1700" w:type="dxa"/>
            <w:tcBorders>
              <w:top w:val="single" w:sz="8" w:space="0" w:color="auto"/>
              <w:left w:val="nil"/>
              <w:bottom w:val="single" w:sz="4" w:space="0" w:color="auto"/>
              <w:right w:val="nil"/>
            </w:tcBorders>
            <w:shd w:val="clear" w:color="auto" w:fill="auto"/>
            <w:vAlign w:val="center"/>
            <w:hideMark/>
          </w:tcPr>
          <w:p w14:paraId="3ADE7231" w14:textId="77777777" w:rsidR="00643F7B" w:rsidRPr="00872293" w:rsidRDefault="00643F7B" w:rsidP="00886F84">
            <w:pPr>
              <w:jc w:val="center"/>
              <w:rPr>
                <w:rFonts w:ascii="Times New Roman" w:eastAsia="Times New Roman" w:hAnsi="Times New Roman"/>
                <w:b/>
                <w:bCs/>
                <w:sz w:val="22"/>
                <w:szCs w:val="22"/>
              </w:rPr>
            </w:pPr>
            <w:r w:rsidRPr="00872293">
              <w:rPr>
                <w:rFonts w:ascii="Times New Roman" w:eastAsia="Times New Roman" w:hAnsi="Times New Roman"/>
                <w:b/>
                <w:bCs/>
                <w:sz w:val="22"/>
                <w:szCs w:val="22"/>
              </w:rPr>
              <w:t>Random effect</w:t>
            </w:r>
          </w:p>
        </w:tc>
        <w:tc>
          <w:tcPr>
            <w:tcW w:w="694" w:type="dxa"/>
            <w:tcBorders>
              <w:top w:val="single" w:sz="8" w:space="0" w:color="auto"/>
              <w:left w:val="nil"/>
              <w:bottom w:val="single" w:sz="4" w:space="0" w:color="auto"/>
              <w:right w:val="nil"/>
            </w:tcBorders>
            <w:shd w:val="clear" w:color="auto" w:fill="auto"/>
            <w:vAlign w:val="center"/>
            <w:hideMark/>
          </w:tcPr>
          <w:p w14:paraId="02CF9E31" w14:textId="77777777" w:rsidR="00643F7B" w:rsidRPr="00872293" w:rsidRDefault="00643F7B" w:rsidP="00886F84">
            <w:pPr>
              <w:jc w:val="center"/>
              <w:rPr>
                <w:rFonts w:ascii="Times New Roman" w:eastAsia="Times New Roman" w:hAnsi="Times New Roman"/>
                <w:b/>
                <w:bCs/>
                <w:sz w:val="22"/>
                <w:szCs w:val="22"/>
              </w:rPr>
            </w:pPr>
            <w:r w:rsidRPr="00872293">
              <w:rPr>
                <w:rFonts w:ascii="Times New Roman" w:eastAsia="Times New Roman" w:hAnsi="Times New Roman"/>
                <w:b/>
                <w:bCs/>
                <w:sz w:val="22"/>
                <w:szCs w:val="22"/>
              </w:rPr>
              <w:t>P value</w:t>
            </w:r>
          </w:p>
        </w:tc>
        <w:tc>
          <w:tcPr>
            <w:tcW w:w="1099" w:type="dxa"/>
            <w:tcBorders>
              <w:top w:val="single" w:sz="8" w:space="0" w:color="auto"/>
              <w:left w:val="nil"/>
              <w:bottom w:val="single" w:sz="4" w:space="0" w:color="auto"/>
              <w:right w:val="nil"/>
            </w:tcBorders>
            <w:shd w:val="clear" w:color="auto" w:fill="auto"/>
            <w:vAlign w:val="center"/>
            <w:hideMark/>
          </w:tcPr>
          <w:p w14:paraId="71F46FDA" w14:textId="77777777" w:rsidR="00643F7B" w:rsidRPr="00872293" w:rsidRDefault="00643F7B" w:rsidP="00886F84">
            <w:pPr>
              <w:jc w:val="center"/>
              <w:rPr>
                <w:rFonts w:ascii="Times New Roman" w:eastAsia="Times New Roman" w:hAnsi="Times New Roman"/>
                <w:b/>
                <w:bCs/>
                <w:sz w:val="22"/>
                <w:szCs w:val="22"/>
              </w:rPr>
            </w:pPr>
            <w:proofErr w:type="spellStart"/>
            <w:r w:rsidRPr="00872293">
              <w:rPr>
                <w:rFonts w:ascii="Times New Roman" w:eastAsia="Times New Roman" w:hAnsi="Times New Roman"/>
                <w:b/>
                <w:bCs/>
                <w:sz w:val="22"/>
                <w:szCs w:val="22"/>
              </w:rPr>
              <w:t>Emmeans</w:t>
            </w:r>
            <w:proofErr w:type="spellEnd"/>
            <w:r w:rsidRPr="00872293">
              <w:rPr>
                <w:rFonts w:ascii="Times New Roman" w:eastAsia="Times New Roman" w:hAnsi="Times New Roman"/>
                <w:b/>
                <w:bCs/>
                <w:sz w:val="22"/>
                <w:szCs w:val="22"/>
              </w:rPr>
              <w:t xml:space="preserve"> time 1 </w:t>
            </w:r>
          </w:p>
        </w:tc>
        <w:tc>
          <w:tcPr>
            <w:tcW w:w="1099" w:type="dxa"/>
            <w:tcBorders>
              <w:top w:val="single" w:sz="8" w:space="0" w:color="auto"/>
              <w:left w:val="nil"/>
              <w:bottom w:val="single" w:sz="4" w:space="0" w:color="auto"/>
              <w:right w:val="single" w:sz="8" w:space="0" w:color="auto"/>
            </w:tcBorders>
            <w:shd w:val="clear" w:color="auto" w:fill="auto"/>
            <w:vAlign w:val="center"/>
            <w:hideMark/>
          </w:tcPr>
          <w:p w14:paraId="4973E4ED" w14:textId="77777777" w:rsidR="00643F7B" w:rsidRPr="00872293" w:rsidRDefault="00643F7B" w:rsidP="00886F84">
            <w:pPr>
              <w:jc w:val="center"/>
              <w:rPr>
                <w:rFonts w:ascii="Times New Roman" w:eastAsia="Times New Roman" w:hAnsi="Times New Roman"/>
                <w:b/>
                <w:bCs/>
                <w:sz w:val="22"/>
                <w:szCs w:val="22"/>
              </w:rPr>
            </w:pPr>
            <w:proofErr w:type="spellStart"/>
            <w:r w:rsidRPr="00872293">
              <w:rPr>
                <w:rFonts w:ascii="Times New Roman" w:eastAsia="Times New Roman" w:hAnsi="Times New Roman"/>
                <w:b/>
                <w:bCs/>
                <w:sz w:val="22"/>
                <w:szCs w:val="22"/>
              </w:rPr>
              <w:t>Emmeans</w:t>
            </w:r>
            <w:proofErr w:type="spellEnd"/>
            <w:r w:rsidRPr="00872293">
              <w:rPr>
                <w:rFonts w:ascii="Times New Roman" w:eastAsia="Times New Roman" w:hAnsi="Times New Roman"/>
                <w:b/>
                <w:bCs/>
                <w:sz w:val="22"/>
                <w:szCs w:val="22"/>
              </w:rPr>
              <w:t xml:space="preserve"> time 2 </w:t>
            </w:r>
          </w:p>
        </w:tc>
      </w:tr>
      <w:tr w:rsidR="00872293" w:rsidRPr="00872293" w14:paraId="422B0216" w14:textId="77777777" w:rsidTr="00573C13">
        <w:trPr>
          <w:trHeight w:val="840"/>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7EC06E6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PME ~ Time + (1|Site/Species/ID)</w:t>
            </w:r>
          </w:p>
        </w:tc>
        <w:tc>
          <w:tcPr>
            <w:tcW w:w="1256" w:type="dxa"/>
            <w:tcBorders>
              <w:top w:val="single" w:sz="4" w:space="0" w:color="auto"/>
              <w:left w:val="nil"/>
              <w:bottom w:val="single" w:sz="4" w:space="0" w:color="auto"/>
              <w:right w:val="nil"/>
            </w:tcBorders>
            <w:shd w:val="clear" w:color="auto" w:fill="auto"/>
            <w:vAlign w:val="center"/>
            <w:hideMark/>
          </w:tcPr>
          <w:p w14:paraId="37595B16"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PME</w:t>
            </w:r>
          </w:p>
        </w:tc>
        <w:tc>
          <w:tcPr>
            <w:tcW w:w="776" w:type="dxa"/>
            <w:tcBorders>
              <w:top w:val="single" w:sz="4" w:space="0" w:color="auto"/>
              <w:left w:val="nil"/>
              <w:bottom w:val="single" w:sz="4" w:space="0" w:color="auto"/>
              <w:right w:val="nil"/>
            </w:tcBorders>
            <w:shd w:val="clear" w:color="auto" w:fill="auto"/>
            <w:vAlign w:val="center"/>
            <w:hideMark/>
          </w:tcPr>
          <w:p w14:paraId="7A082ED5"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26F9AB66"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53313202"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&lt;0.01</w:t>
            </w:r>
          </w:p>
        </w:tc>
        <w:tc>
          <w:tcPr>
            <w:tcW w:w="1099" w:type="dxa"/>
            <w:tcBorders>
              <w:top w:val="single" w:sz="4" w:space="0" w:color="auto"/>
              <w:left w:val="nil"/>
              <w:bottom w:val="single" w:sz="4" w:space="0" w:color="auto"/>
              <w:right w:val="nil"/>
            </w:tcBorders>
            <w:shd w:val="clear" w:color="auto" w:fill="auto"/>
            <w:vAlign w:val="center"/>
            <w:hideMark/>
          </w:tcPr>
          <w:p w14:paraId="21585B48"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222.80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5B2A9D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79.60</w:t>
            </w:r>
          </w:p>
        </w:tc>
      </w:tr>
      <w:tr w:rsidR="00872293" w:rsidRPr="00872293" w14:paraId="411CB130" w14:textId="77777777" w:rsidTr="00573C13">
        <w:trPr>
          <w:trHeight w:val="840"/>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06FBE36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ratio ~ Time+ (1|Site/Species/ID)</w:t>
            </w:r>
          </w:p>
        </w:tc>
        <w:tc>
          <w:tcPr>
            <w:tcW w:w="1256" w:type="dxa"/>
            <w:tcBorders>
              <w:top w:val="single" w:sz="4" w:space="0" w:color="auto"/>
              <w:left w:val="nil"/>
              <w:bottom w:val="single" w:sz="4" w:space="0" w:color="auto"/>
              <w:right w:val="nil"/>
            </w:tcBorders>
            <w:shd w:val="clear" w:color="auto" w:fill="auto"/>
            <w:vAlign w:val="center"/>
            <w:hideMark/>
          </w:tcPr>
          <w:p w14:paraId="0850B9D9"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branching ratio</w:t>
            </w:r>
          </w:p>
        </w:tc>
        <w:tc>
          <w:tcPr>
            <w:tcW w:w="776" w:type="dxa"/>
            <w:tcBorders>
              <w:top w:val="single" w:sz="4" w:space="0" w:color="auto"/>
              <w:left w:val="nil"/>
              <w:bottom w:val="single" w:sz="4" w:space="0" w:color="auto"/>
              <w:right w:val="nil"/>
            </w:tcBorders>
            <w:shd w:val="clear" w:color="auto" w:fill="auto"/>
            <w:vAlign w:val="center"/>
            <w:hideMark/>
          </w:tcPr>
          <w:p w14:paraId="1BF666D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56D50C7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464D204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0.38</w:t>
            </w:r>
          </w:p>
        </w:tc>
        <w:tc>
          <w:tcPr>
            <w:tcW w:w="1099" w:type="dxa"/>
            <w:tcBorders>
              <w:top w:val="single" w:sz="4" w:space="0" w:color="auto"/>
              <w:left w:val="nil"/>
              <w:bottom w:val="single" w:sz="4" w:space="0" w:color="auto"/>
              <w:right w:val="nil"/>
            </w:tcBorders>
            <w:shd w:val="clear" w:color="auto" w:fill="auto"/>
            <w:vAlign w:val="center"/>
            <w:hideMark/>
          </w:tcPr>
          <w:p w14:paraId="17DD24B5"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3.43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9D5FB77"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3.99</w:t>
            </w:r>
          </w:p>
        </w:tc>
      </w:tr>
      <w:tr w:rsidR="00872293" w:rsidRPr="00872293" w14:paraId="1D7BAC97" w14:textId="77777777" w:rsidTr="00573C13">
        <w:trPr>
          <w:trHeight w:val="840"/>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04C657A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intensity ~ Time+ (1|Site/Species/ID)</w:t>
            </w:r>
          </w:p>
        </w:tc>
        <w:tc>
          <w:tcPr>
            <w:tcW w:w="1256" w:type="dxa"/>
            <w:tcBorders>
              <w:top w:val="single" w:sz="4" w:space="0" w:color="auto"/>
              <w:left w:val="nil"/>
              <w:bottom w:val="single" w:sz="4" w:space="0" w:color="auto"/>
              <w:right w:val="nil"/>
            </w:tcBorders>
            <w:shd w:val="clear" w:color="auto" w:fill="auto"/>
            <w:vAlign w:val="center"/>
            <w:hideMark/>
          </w:tcPr>
          <w:p w14:paraId="481E6E80"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branching intensity</w:t>
            </w:r>
          </w:p>
        </w:tc>
        <w:tc>
          <w:tcPr>
            <w:tcW w:w="776" w:type="dxa"/>
            <w:tcBorders>
              <w:top w:val="single" w:sz="4" w:space="0" w:color="auto"/>
              <w:left w:val="nil"/>
              <w:bottom w:val="single" w:sz="4" w:space="0" w:color="auto"/>
              <w:right w:val="nil"/>
            </w:tcBorders>
            <w:shd w:val="clear" w:color="auto" w:fill="auto"/>
            <w:vAlign w:val="center"/>
            <w:hideMark/>
          </w:tcPr>
          <w:p w14:paraId="5281F87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5F26EB5D"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732036B5"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0.20</w:t>
            </w:r>
          </w:p>
        </w:tc>
        <w:tc>
          <w:tcPr>
            <w:tcW w:w="1099" w:type="dxa"/>
            <w:tcBorders>
              <w:top w:val="single" w:sz="4" w:space="0" w:color="auto"/>
              <w:left w:val="nil"/>
              <w:bottom w:val="single" w:sz="4" w:space="0" w:color="auto"/>
              <w:right w:val="nil"/>
            </w:tcBorders>
            <w:shd w:val="clear" w:color="auto" w:fill="auto"/>
            <w:vAlign w:val="center"/>
            <w:hideMark/>
          </w:tcPr>
          <w:p w14:paraId="35DFBB7C"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1.81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3285617"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2.28</w:t>
            </w:r>
          </w:p>
        </w:tc>
      </w:tr>
      <w:tr w:rsidR="00872293" w:rsidRPr="00872293" w14:paraId="03E9BA72" w14:textId="77777777" w:rsidTr="00573C13">
        <w:trPr>
          <w:trHeight w:val="881"/>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2C98D67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diameter ~ Time+ (1|Site/Species/ID)</w:t>
            </w:r>
          </w:p>
        </w:tc>
        <w:tc>
          <w:tcPr>
            <w:tcW w:w="1256" w:type="dxa"/>
            <w:tcBorders>
              <w:top w:val="single" w:sz="4" w:space="0" w:color="auto"/>
              <w:left w:val="nil"/>
              <w:bottom w:val="single" w:sz="4" w:space="0" w:color="auto"/>
              <w:right w:val="nil"/>
            </w:tcBorders>
            <w:shd w:val="clear" w:color="auto" w:fill="auto"/>
            <w:vAlign w:val="center"/>
            <w:hideMark/>
          </w:tcPr>
          <w:p w14:paraId="7E68D3F1"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diameter</w:t>
            </w:r>
          </w:p>
        </w:tc>
        <w:tc>
          <w:tcPr>
            <w:tcW w:w="776" w:type="dxa"/>
            <w:tcBorders>
              <w:top w:val="single" w:sz="4" w:space="0" w:color="auto"/>
              <w:left w:val="nil"/>
              <w:bottom w:val="single" w:sz="4" w:space="0" w:color="auto"/>
              <w:right w:val="nil"/>
            </w:tcBorders>
            <w:shd w:val="clear" w:color="auto" w:fill="auto"/>
            <w:vAlign w:val="center"/>
            <w:hideMark/>
          </w:tcPr>
          <w:p w14:paraId="1697CBA6"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586C65F6"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51907338"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0.24</w:t>
            </w:r>
          </w:p>
        </w:tc>
        <w:tc>
          <w:tcPr>
            <w:tcW w:w="1099" w:type="dxa"/>
            <w:tcBorders>
              <w:top w:val="single" w:sz="4" w:space="0" w:color="auto"/>
              <w:left w:val="nil"/>
              <w:bottom w:val="single" w:sz="4" w:space="0" w:color="auto"/>
              <w:right w:val="nil"/>
            </w:tcBorders>
            <w:shd w:val="clear" w:color="auto" w:fill="auto"/>
            <w:vAlign w:val="center"/>
            <w:hideMark/>
          </w:tcPr>
          <w:p w14:paraId="2DA117EB"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0.37</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81F4D6B"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0.32</w:t>
            </w:r>
          </w:p>
        </w:tc>
      </w:tr>
      <w:tr w:rsidR="00872293" w:rsidRPr="00872293" w14:paraId="60A6F3A6" w14:textId="77777777" w:rsidTr="00573C13">
        <w:trPr>
          <w:trHeight w:val="656"/>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38A26036"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SRL ~ Time+ (1|Site/Species/ID)</w:t>
            </w:r>
          </w:p>
        </w:tc>
        <w:tc>
          <w:tcPr>
            <w:tcW w:w="1256" w:type="dxa"/>
            <w:tcBorders>
              <w:top w:val="single" w:sz="4" w:space="0" w:color="auto"/>
              <w:left w:val="nil"/>
              <w:bottom w:val="single" w:sz="4" w:space="0" w:color="auto"/>
              <w:right w:val="nil"/>
            </w:tcBorders>
            <w:shd w:val="clear" w:color="auto" w:fill="auto"/>
            <w:vAlign w:val="center"/>
            <w:hideMark/>
          </w:tcPr>
          <w:p w14:paraId="4851C551"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SRL</w:t>
            </w:r>
          </w:p>
        </w:tc>
        <w:tc>
          <w:tcPr>
            <w:tcW w:w="776" w:type="dxa"/>
            <w:tcBorders>
              <w:top w:val="single" w:sz="4" w:space="0" w:color="auto"/>
              <w:left w:val="nil"/>
              <w:bottom w:val="single" w:sz="4" w:space="0" w:color="auto"/>
              <w:right w:val="nil"/>
            </w:tcBorders>
            <w:shd w:val="clear" w:color="auto" w:fill="auto"/>
            <w:vAlign w:val="center"/>
            <w:hideMark/>
          </w:tcPr>
          <w:p w14:paraId="040B9C21"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4C716073"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348DFA0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0.98</w:t>
            </w:r>
          </w:p>
        </w:tc>
        <w:tc>
          <w:tcPr>
            <w:tcW w:w="1099" w:type="dxa"/>
            <w:tcBorders>
              <w:top w:val="single" w:sz="4" w:space="0" w:color="auto"/>
              <w:left w:val="nil"/>
              <w:bottom w:val="single" w:sz="4" w:space="0" w:color="auto"/>
              <w:right w:val="nil"/>
            </w:tcBorders>
            <w:shd w:val="clear" w:color="auto" w:fill="auto"/>
            <w:vAlign w:val="center"/>
            <w:hideMark/>
          </w:tcPr>
          <w:p w14:paraId="45BE1871"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4.72</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8BC737B"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4.78</w:t>
            </w:r>
          </w:p>
        </w:tc>
      </w:tr>
      <w:tr w:rsidR="00872293" w:rsidRPr="00872293" w14:paraId="2D32EDD0" w14:textId="77777777" w:rsidTr="00573C13">
        <w:trPr>
          <w:trHeight w:val="629"/>
        </w:trPr>
        <w:tc>
          <w:tcPr>
            <w:tcW w:w="1776" w:type="dxa"/>
            <w:tcBorders>
              <w:top w:val="single" w:sz="4" w:space="0" w:color="auto"/>
              <w:left w:val="single" w:sz="4" w:space="0" w:color="auto"/>
              <w:bottom w:val="single" w:sz="4" w:space="0" w:color="auto"/>
              <w:right w:val="nil"/>
            </w:tcBorders>
            <w:shd w:val="clear" w:color="auto" w:fill="auto"/>
            <w:vAlign w:val="center"/>
            <w:hideMark/>
          </w:tcPr>
          <w:p w14:paraId="7FDE0975"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Root P ~ Time</w:t>
            </w:r>
            <w:proofErr w:type="gramStart"/>
            <w:r w:rsidRPr="00872293">
              <w:rPr>
                <w:rFonts w:ascii="Times New Roman" w:eastAsia="Times New Roman" w:hAnsi="Times New Roman"/>
                <w:sz w:val="22"/>
                <w:szCs w:val="22"/>
              </w:rPr>
              <w:t>+  (</w:t>
            </w:r>
            <w:proofErr w:type="gramEnd"/>
            <w:r w:rsidRPr="00872293">
              <w:rPr>
                <w:rFonts w:ascii="Times New Roman" w:eastAsia="Times New Roman" w:hAnsi="Times New Roman"/>
                <w:sz w:val="22"/>
                <w:szCs w:val="22"/>
              </w:rPr>
              <w:t>1|Site/Species/ID)</w:t>
            </w:r>
          </w:p>
        </w:tc>
        <w:tc>
          <w:tcPr>
            <w:tcW w:w="1256" w:type="dxa"/>
            <w:tcBorders>
              <w:top w:val="single" w:sz="4" w:space="0" w:color="auto"/>
              <w:left w:val="nil"/>
              <w:bottom w:val="single" w:sz="4" w:space="0" w:color="auto"/>
              <w:right w:val="nil"/>
            </w:tcBorders>
            <w:shd w:val="clear" w:color="auto" w:fill="auto"/>
            <w:vAlign w:val="center"/>
            <w:hideMark/>
          </w:tcPr>
          <w:p w14:paraId="041DCBC3"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 xml:space="preserve">Root P </w:t>
            </w:r>
          </w:p>
        </w:tc>
        <w:tc>
          <w:tcPr>
            <w:tcW w:w="776" w:type="dxa"/>
            <w:tcBorders>
              <w:top w:val="single" w:sz="4" w:space="0" w:color="auto"/>
              <w:left w:val="nil"/>
              <w:bottom w:val="single" w:sz="4" w:space="0" w:color="auto"/>
              <w:right w:val="nil"/>
            </w:tcBorders>
            <w:shd w:val="clear" w:color="auto" w:fill="auto"/>
            <w:vAlign w:val="center"/>
            <w:hideMark/>
          </w:tcPr>
          <w:p w14:paraId="061EADDE"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4" w:space="0" w:color="auto"/>
              <w:right w:val="nil"/>
            </w:tcBorders>
            <w:shd w:val="clear" w:color="auto" w:fill="auto"/>
            <w:vAlign w:val="center"/>
            <w:hideMark/>
          </w:tcPr>
          <w:p w14:paraId="6200CFB3"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4" w:space="0" w:color="auto"/>
              <w:right w:val="nil"/>
            </w:tcBorders>
            <w:shd w:val="clear" w:color="auto" w:fill="auto"/>
            <w:vAlign w:val="center"/>
            <w:hideMark/>
          </w:tcPr>
          <w:p w14:paraId="542CECC1"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0.21</w:t>
            </w:r>
          </w:p>
        </w:tc>
        <w:tc>
          <w:tcPr>
            <w:tcW w:w="1099" w:type="dxa"/>
            <w:tcBorders>
              <w:top w:val="single" w:sz="4" w:space="0" w:color="auto"/>
              <w:left w:val="nil"/>
              <w:bottom w:val="single" w:sz="4" w:space="0" w:color="auto"/>
              <w:right w:val="nil"/>
            </w:tcBorders>
            <w:shd w:val="clear" w:color="auto" w:fill="auto"/>
            <w:vAlign w:val="center"/>
            <w:hideMark/>
          </w:tcPr>
          <w:p w14:paraId="5A838313"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0.15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2485D60"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0.13</w:t>
            </w:r>
          </w:p>
        </w:tc>
      </w:tr>
      <w:tr w:rsidR="00872293" w:rsidRPr="00872293" w14:paraId="4BB2DA6D" w14:textId="77777777" w:rsidTr="00573C13">
        <w:trPr>
          <w:trHeight w:val="850"/>
        </w:trPr>
        <w:tc>
          <w:tcPr>
            <w:tcW w:w="1776" w:type="dxa"/>
            <w:tcBorders>
              <w:top w:val="single" w:sz="4" w:space="0" w:color="auto"/>
              <w:left w:val="single" w:sz="8" w:space="0" w:color="auto"/>
              <w:bottom w:val="single" w:sz="8" w:space="0" w:color="auto"/>
              <w:right w:val="nil"/>
            </w:tcBorders>
            <w:shd w:val="clear" w:color="auto" w:fill="auto"/>
            <w:vAlign w:val="center"/>
            <w:hideMark/>
          </w:tcPr>
          <w:p w14:paraId="15DA186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Soil available P ~ Time+ (1|Site/Species/ID)</w:t>
            </w:r>
          </w:p>
        </w:tc>
        <w:tc>
          <w:tcPr>
            <w:tcW w:w="1256" w:type="dxa"/>
            <w:tcBorders>
              <w:top w:val="single" w:sz="4" w:space="0" w:color="auto"/>
              <w:left w:val="nil"/>
              <w:bottom w:val="single" w:sz="8" w:space="0" w:color="auto"/>
              <w:right w:val="nil"/>
            </w:tcBorders>
            <w:shd w:val="clear" w:color="auto" w:fill="auto"/>
            <w:vAlign w:val="center"/>
            <w:hideMark/>
          </w:tcPr>
          <w:p w14:paraId="6AE74870"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Soil available P</w:t>
            </w:r>
          </w:p>
        </w:tc>
        <w:tc>
          <w:tcPr>
            <w:tcW w:w="776" w:type="dxa"/>
            <w:tcBorders>
              <w:top w:val="single" w:sz="4" w:space="0" w:color="auto"/>
              <w:left w:val="nil"/>
              <w:bottom w:val="single" w:sz="8" w:space="0" w:color="auto"/>
              <w:right w:val="nil"/>
            </w:tcBorders>
            <w:shd w:val="clear" w:color="auto" w:fill="auto"/>
            <w:vAlign w:val="center"/>
            <w:hideMark/>
          </w:tcPr>
          <w:p w14:paraId="45D2D7C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Time</w:t>
            </w:r>
          </w:p>
        </w:tc>
        <w:tc>
          <w:tcPr>
            <w:tcW w:w="1700" w:type="dxa"/>
            <w:tcBorders>
              <w:top w:val="single" w:sz="4" w:space="0" w:color="auto"/>
              <w:left w:val="nil"/>
              <w:bottom w:val="single" w:sz="8" w:space="0" w:color="auto"/>
              <w:right w:val="nil"/>
            </w:tcBorders>
            <w:shd w:val="clear" w:color="auto" w:fill="auto"/>
            <w:vAlign w:val="center"/>
            <w:hideMark/>
          </w:tcPr>
          <w:p w14:paraId="44AD37D3"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(1|Site/Species/ID)</w:t>
            </w:r>
          </w:p>
        </w:tc>
        <w:tc>
          <w:tcPr>
            <w:tcW w:w="694" w:type="dxa"/>
            <w:tcBorders>
              <w:top w:val="single" w:sz="4" w:space="0" w:color="auto"/>
              <w:left w:val="nil"/>
              <w:bottom w:val="single" w:sz="8" w:space="0" w:color="auto"/>
              <w:right w:val="nil"/>
            </w:tcBorders>
            <w:shd w:val="clear" w:color="auto" w:fill="auto"/>
            <w:vAlign w:val="center"/>
            <w:hideMark/>
          </w:tcPr>
          <w:p w14:paraId="44437284"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0.07</w:t>
            </w:r>
          </w:p>
        </w:tc>
        <w:tc>
          <w:tcPr>
            <w:tcW w:w="1099" w:type="dxa"/>
            <w:tcBorders>
              <w:top w:val="single" w:sz="4" w:space="0" w:color="auto"/>
              <w:left w:val="nil"/>
              <w:bottom w:val="single" w:sz="8" w:space="0" w:color="auto"/>
              <w:right w:val="nil"/>
            </w:tcBorders>
            <w:shd w:val="clear" w:color="auto" w:fill="auto"/>
            <w:vAlign w:val="center"/>
            <w:hideMark/>
          </w:tcPr>
          <w:p w14:paraId="6A8D1C20"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0.66</w:t>
            </w:r>
          </w:p>
        </w:tc>
        <w:tc>
          <w:tcPr>
            <w:tcW w:w="1099" w:type="dxa"/>
            <w:tcBorders>
              <w:top w:val="single" w:sz="4" w:space="0" w:color="auto"/>
              <w:left w:val="nil"/>
              <w:bottom w:val="single" w:sz="8" w:space="0" w:color="auto"/>
              <w:right w:val="single" w:sz="8" w:space="0" w:color="auto"/>
            </w:tcBorders>
            <w:shd w:val="clear" w:color="auto" w:fill="auto"/>
            <w:vAlign w:val="center"/>
            <w:hideMark/>
          </w:tcPr>
          <w:p w14:paraId="427CE03A" w14:textId="77777777" w:rsidR="00643F7B" w:rsidRPr="00872293" w:rsidRDefault="00643F7B" w:rsidP="00886F84">
            <w:pPr>
              <w:jc w:val="center"/>
              <w:rPr>
                <w:rFonts w:ascii="Times New Roman" w:eastAsia="Times New Roman" w:hAnsi="Times New Roman"/>
                <w:sz w:val="22"/>
                <w:szCs w:val="22"/>
              </w:rPr>
            </w:pPr>
            <w:r w:rsidRPr="00872293">
              <w:rPr>
                <w:rFonts w:ascii="Times New Roman" w:eastAsia="Times New Roman" w:hAnsi="Times New Roman"/>
                <w:sz w:val="22"/>
                <w:szCs w:val="22"/>
              </w:rPr>
              <w:t>0.21</w:t>
            </w:r>
          </w:p>
        </w:tc>
      </w:tr>
    </w:tbl>
    <w:p w14:paraId="3BA55EB3" w14:textId="77777777" w:rsidR="00C65F18" w:rsidRPr="00872293" w:rsidRDefault="00C65F18" w:rsidP="00C65F18">
      <w:pPr>
        <w:spacing w:line="360" w:lineRule="auto"/>
        <w:rPr>
          <w:rFonts w:ascii="Times New Roman" w:hAnsi="Times New Roman"/>
        </w:rPr>
      </w:pPr>
    </w:p>
    <w:p w14:paraId="522ECA40" w14:textId="77777777" w:rsidR="00C65F18" w:rsidRPr="00872293" w:rsidRDefault="00C65F18" w:rsidP="00C65F18">
      <w:pPr>
        <w:spacing w:line="360" w:lineRule="auto"/>
        <w:rPr>
          <w:rFonts w:ascii="Times New Roman" w:hAnsi="Times New Roman"/>
          <w:b/>
          <w:bCs/>
        </w:rPr>
      </w:pPr>
    </w:p>
    <w:p w14:paraId="6811CF31" w14:textId="77777777" w:rsidR="00C65F18" w:rsidRPr="00872293" w:rsidRDefault="00C65F18" w:rsidP="00C65F18">
      <w:pPr>
        <w:spacing w:after="160" w:line="259" w:lineRule="auto"/>
        <w:rPr>
          <w:rFonts w:ascii="Times New Roman" w:hAnsi="Times New Roman"/>
        </w:rPr>
      </w:pPr>
      <w:r w:rsidRPr="00872293">
        <w:rPr>
          <w:rFonts w:ascii="Times New Roman" w:hAnsi="Times New Roman"/>
        </w:rPr>
        <w:br w:type="page"/>
      </w:r>
    </w:p>
    <w:p w14:paraId="0E4671C1" w14:textId="0A22BE84" w:rsidR="00C65F18" w:rsidRPr="00872293" w:rsidRDefault="00643F7B" w:rsidP="00C65F18">
      <w:pPr>
        <w:autoSpaceDE w:val="0"/>
        <w:autoSpaceDN w:val="0"/>
        <w:adjustRightInd w:val="0"/>
        <w:spacing w:line="360" w:lineRule="auto"/>
        <w:jc w:val="center"/>
        <w:rPr>
          <w:rFonts w:ascii="Times New Roman" w:hAnsi="Times New Roman"/>
        </w:rPr>
      </w:pPr>
      <w:r w:rsidRPr="00872293">
        <w:rPr>
          <w:noProof/>
        </w:rPr>
        <w:lastRenderedPageBreak/>
        <w:drawing>
          <wp:inline distT="0" distB="0" distL="0" distR="0" wp14:anchorId="71F37D4E" wp14:editId="7EDE7564">
            <wp:extent cx="5600700" cy="3351191"/>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l="1603" t="11751" r="6090" b="9341"/>
                    <a:stretch/>
                  </pic:blipFill>
                  <pic:spPr bwMode="auto">
                    <a:xfrm>
                      <a:off x="0" y="0"/>
                      <a:ext cx="5644690" cy="3377512"/>
                    </a:xfrm>
                    <a:prstGeom prst="rect">
                      <a:avLst/>
                    </a:prstGeom>
                    <a:noFill/>
                    <a:ln>
                      <a:noFill/>
                    </a:ln>
                    <a:extLst>
                      <a:ext uri="{53640926-AAD7-44D8-BBD7-CCE9431645EC}">
                        <a14:shadowObscured xmlns:a14="http://schemas.microsoft.com/office/drawing/2010/main"/>
                      </a:ext>
                    </a:extLst>
                  </pic:spPr>
                </pic:pic>
              </a:graphicData>
            </a:graphic>
          </wp:inline>
        </w:drawing>
      </w:r>
    </w:p>
    <w:p w14:paraId="2FE50882" w14:textId="05397D05" w:rsidR="00C65F18" w:rsidRPr="00872293" w:rsidRDefault="005B4EF8" w:rsidP="00932058">
      <w:pPr>
        <w:pStyle w:val="Caption"/>
        <w:rPr>
          <w:rFonts w:ascii="Times New Roman" w:eastAsia="MyriadPro" w:hAnsi="Times New Roman" w:cs="Times New Roman"/>
          <w:color w:val="auto"/>
          <w:sz w:val="24"/>
          <w:szCs w:val="24"/>
        </w:rPr>
      </w:pPr>
      <w:bookmarkStart w:id="164" w:name="_Toc53755786"/>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17</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 xml:space="preserve">Conceptual framework of the Root Economic Spectrum adapted from </w:t>
      </w:r>
      <w:r w:rsidR="00643F7B" w:rsidRPr="00872293">
        <w:rPr>
          <w:rFonts w:ascii="Times New Roman" w:hAnsi="Times New Roman" w:cs="Times New Roman"/>
          <w:color w:val="auto"/>
          <w:sz w:val="24"/>
          <w:szCs w:val="24"/>
        </w:rPr>
        <w:fldChar w:fldCharType="begin" w:fldLock="1"/>
      </w:r>
      <w:r w:rsidR="00643F7B" w:rsidRPr="00872293">
        <w:rPr>
          <w:rFonts w:ascii="Times New Roman" w:hAnsi="Times New Roman" w:cs="Times New Roman"/>
          <w:color w:val="auto"/>
          <w:sz w:val="24"/>
          <w:szCs w:val="24"/>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plants","type":"article-journal","volume":"6"},"uris":["http://www.mendeley.com/documents/?uuid=32db0a51-ef0e-4152-943b-b2fefc84c374"]}],"mendeley":{"formattedCitation":"(Bergmann &lt;i&gt;et al.&lt;/i&gt;, 2020)","manualFormatting":"Bergmann et al. (2020)","plainTextFormattedCitation":"(Bergmann et al., 2020)","previouslyFormattedCitation":"(Bergmann &lt;i&gt;et al.&lt;/i&gt;, 2020)"},"properties":{"noteIndex":0},"schema":"https://github.com/citation-style-language/schema/raw/master/csl-citation.json"}</w:instrText>
      </w:r>
      <w:r w:rsidR="00643F7B" w:rsidRPr="00872293">
        <w:rPr>
          <w:rFonts w:ascii="Times New Roman" w:hAnsi="Times New Roman" w:cs="Times New Roman"/>
          <w:color w:val="auto"/>
          <w:sz w:val="24"/>
          <w:szCs w:val="24"/>
        </w:rPr>
        <w:fldChar w:fldCharType="separate"/>
      </w:r>
      <w:r w:rsidR="00643F7B" w:rsidRPr="00872293">
        <w:rPr>
          <w:rFonts w:ascii="Times New Roman" w:hAnsi="Times New Roman" w:cs="Times New Roman"/>
          <w:noProof/>
          <w:color w:val="auto"/>
          <w:sz w:val="24"/>
          <w:szCs w:val="24"/>
        </w:rPr>
        <w:t>Bergmann et al. (2020)</w:t>
      </w:r>
      <w:r w:rsidR="00643F7B" w:rsidRPr="00872293">
        <w:rPr>
          <w:rFonts w:ascii="Times New Roman" w:hAnsi="Times New Roman" w:cs="Times New Roman"/>
          <w:color w:val="auto"/>
          <w:sz w:val="24"/>
          <w:szCs w:val="24"/>
        </w:rPr>
        <w:fldChar w:fldCharType="end"/>
      </w:r>
      <w:r w:rsidR="00643F7B" w:rsidRPr="00872293">
        <w:rPr>
          <w:rFonts w:ascii="Times New Roman" w:hAnsi="Times New Roman" w:cs="Times New Roman"/>
          <w:color w:val="auto"/>
          <w:sz w:val="24"/>
          <w:szCs w:val="24"/>
        </w:rPr>
        <w:t xml:space="preserve"> and </w:t>
      </w:r>
      <w:r w:rsidR="00643F7B" w:rsidRPr="00872293">
        <w:rPr>
          <w:rFonts w:ascii="Times New Roman" w:hAnsi="Times New Roman" w:cs="Times New Roman"/>
          <w:color w:val="auto"/>
          <w:sz w:val="24"/>
          <w:szCs w:val="24"/>
        </w:rPr>
        <w:fldChar w:fldCharType="begin" w:fldLock="1"/>
      </w:r>
      <w:r w:rsidR="00643F7B" w:rsidRPr="00872293">
        <w:rPr>
          <w:rFonts w:ascii="Times New Roman" w:hAnsi="Times New Roman" w:cs="Times New Roman"/>
          <w:color w:val="auto"/>
          <w:sz w:val="24"/>
          <w:szCs w:val="24"/>
        </w:rPr>
        <w:instrText>ADDIN CSL_CITATION {"citationItems":[{"id":"ITEM-1","itemData":{"DOI":"10.1111/1365-2745.12562","ISSN":"13652745","abstract":"Root, stem and leaf traits are thought to be functionally coordinated to maximize the efficiency of acquiring and using limited resources. However, evidence is mixed for consistent whole-plant trait coordination among woody plants, and we lack a clear understanding of the adaptive value of root traits along soil resource gradients. If fine roots are the below-ground analogue to leaves, then low specific root length (SRL) and high tissue density should be common on infertile soil. Here, we test the prediction that root, stem and leaf traits and relative growth rate respond in unison with soil fertility gradients. We measured fine root, stem and leaf traits and relative growth rate on individual seedlings of 66 tree species grown in controlled conditions. Our objectives were (i) to determine whether multiple root traits align with growth rate, leaf and stem traits and with each other and (ii) to quantify the relationships between community-weighted mean root traits and two strong soil fertility gradients that differed in spatial extent and community composition. At the species level, fast growth rates were associated with low root and stem tissue density and high specific leaf area. SRL and root diameter were not clearly related to growth rate and loaded on a separate principal component from the plant economic spectrum. At the community level, growth rate was positively related to soil fertility, and root tissue density (RTD) and branching were negatively related to soil fertility. SRL was negatively related and root diameter was positively related to soil fertility on the large-scale gradient that included ectomycorrhizal angiosperms. Synthesis. Root, stem and leaf tissue traits of tree seedlings are coordinated and influence fitness along soil fertility gradients. RTD responds in unison with above-ground traits to soil fertility gradients; however, root traits are multidimensional because SRL is orthogonal to the plant economic spectrum. In contrast to leaves, trees are not constrained in the way they construct fine roots: plants can construct high or low SRL roots of any tissue density. High RTD is the most consistent below-ground trait that reflects adaptation to infertile soil.","author":[{"dropping-particle":"","family":"Kramer-Walter","given":"Kris R.","non-dropping-particle":"","parse-names":false,"suffix":""},{"dropping-particle":"","family":"Bellingham","given":"Peter J.","non-dropping-particle":"","parse-names":false,"suffix":""},{"dropping-particle":"","family":"Millar","given":"Timothy R.","non-dropping-particle":"","parse-names":false,"suffix":""},{"dropping-particle":"","family":"Smissen","given":"Rob D.","non-dropping-particle":"","parse-names":false,"suffix":""},{"dropping-particle":"","family":"Richardson","given":"Sarah J.","non-dropping-particle":"","parse-names":false,"suffix":""},{"dropping-particle":"","family":"Laughlin","given":"Daniel C.","non-dropping-particle":"","parse-names":false,"suffix":""}],"container-title":"Journal of Ecology","id":"ITEM-1","issue":"5","issued":{"date-parts":[["2016"]]},"page":"1299-1310","title":"Root traits are multidimensional: specific root length is independent from root tissue density and the plant economic spectrum","type":"article-journal","volume":"104"},"uris":["http://www.mendeley.com/documents/?uuid=a4c6e22a-fc71-418e-8d26-a75453051c29"]}],"mendeley":{"formattedCitation":"(Kramer-Walter &lt;i&gt;et al.&lt;/i&gt;, 2016)","manualFormatting":"Kramer-Walter et al. (2016)","plainTextFormattedCitation":"(Kramer-Walter et al., 2016)","previouslyFormattedCitation":"(Kramer-Walter &lt;i&gt;et al.&lt;/i&gt;, 2016)"},"properties":{"noteIndex":0},"schema":"https://github.com/citation-style-language/schema/raw/master/csl-citation.json"}</w:instrText>
      </w:r>
      <w:r w:rsidR="00643F7B" w:rsidRPr="00872293">
        <w:rPr>
          <w:rFonts w:ascii="Times New Roman" w:hAnsi="Times New Roman" w:cs="Times New Roman"/>
          <w:color w:val="auto"/>
          <w:sz w:val="24"/>
          <w:szCs w:val="24"/>
        </w:rPr>
        <w:fldChar w:fldCharType="separate"/>
      </w:r>
      <w:r w:rsidR="00643F7B" w:rsidRPr="00872293">
        <w:rPr>
          <w:rFonts w:ascii="Times New Roman" w:hAnsi="Times New Roman" w:cs="Times New Roman"/>
          <w:noProof/>
          <w:color w:val="auto"/>
          <w:sz w:val="24"/>
          <w:szCs w:val="24"/>
        </w:rPr>
        <w:t>Kramer-Walter et al. (2016)</w:t>
      </w:r>
      <w:r w:rsidR="00643F7B" w:rsidRPr="00872293">
        <w:rPr>
          <w:rFonts w:ascii="Times New Roman" w:hAnsi="Times New Roman" w:cs="Times New Roman"/>
          <w:color w:val="auto"/>
          <w:sz w:val="24"/>
          <w:szCs w:val="24"/>
        </w:rPr>
        <w:fldChar w:fldCharType="end"/>
      </w:r>
      <w:r w:rsidR="00643F7B" w:rsidRPr="00872293">
        <w:rPr>
          <w:rFonts w:ascii="Times New Roman" w:hAnsi="Times New Roman" w:cs="Times New Roman"/>
          <w:color w:val="auto"/>
          <w:sz w:val="24"/>
          <w:szCs w:val="24"/>
        </w:rPr>
        <w:t xml:space="preserve">. </w:t>
      </w:r>
      <w:r w:rsidR="00643F7B" w:rsidRPr="00872293">
        <w:rPr>
          <w:rFonts w:ascii="Times New Roman" w:eastAsiaTheme="minorHAnsi" w:hAnsi="Times New Roman" w:cs="Times New Roman"/>
          <w:color w:val="auto"/>
          <w:sz w:val="24"/>
          <w:szCs w:val="24"/>
        </w:rPr>
        <w:t xml:space="preserve">The collaboration </w:t>
      </w:r>
      <w:r w:rsidR="00643F7B" w:rsidRPr="00872293">
        <w:rPr>
          <w:rFonts w:ascii="Times New Roman" w:eastAsia="MyriadPro" w:hAnsi="Times New Roman" w:cs="Times New Roman"/>
          <w:color w:val="auto"/>
          <w:sz w:val="24"/>
          <w:szCs w:val="24"/>
        </w:rPr>
        <w:t>gradient (horizontal line) ranges from “do-it-yourself” soil resource acquisition strategy to</w:t>
      </w:r>
      <w:r w:rsidR="00577AA4" w:rsidRPr="00872293">
        <w:rPr>
          <w:rFonts w:ascii="Times New Roman" w:eastAsia="MyriadPro" w:hAnsi="Times New Roman" w:cs="Times New Roman"/>
          <w:color w:val="auto"/>
          <w:sz w:val="24"/>
          <w:szCs w:val="24"/>
        </w:rPr>
        <w:t xml:space="preserve"> </w:t>
      </w:r>
      <w:r w:rsidR="00643F7B" w:rsidRPr="00872293">
        <w:rPr>
          <w:rFonts w:ascii="Times New Roman" w:eastAsia="MyriadPro" w:hAnsi="Times New Roman" w:cs="Times New Roman"/>
          <w:color w:val="auto"/>
          <w:sz w:val="24"/>
          <w:szCs w:val="24"/>
        </w:rPr>
        <w:t>“outsourcing” strategy</w:t>
      </w:r>
      <w:r w:rsidR="00577AA4" w:rsidRPr="00872293">
        <w:rPr>
          <w:rFonts w:ascii="Times New Roman" w:eastAsia="MyriadPro" w:hAnsi="Times New Roman" w:cs="Times New Roman"/>
          <w:color w:val="auto"/>
          <w:sz w:val="24"/>
          <w:szCs w:val="24"/>
        </w:rPr>
        <w:t xml:space="preserve">. </w:t>
      </w:r>
      <w:r w:rsidR="00643F7B" w:rsidRPr="00872293">
        <w:rPr>
          <w:rFonts w:ascii="Times New Roman" w:eastAsia="MyriadPro" w:hAnsi="Times New Roman" w:cs="Times New Roman"/>
          <w:color w:val="auto"/>
          <w:sz w:val="24"/>
          <w:szCs w:val="24"/>
        </w:rPr>
        <w:t>The conservation gradient (dotted lines) represent</w:t>
      </w:r>
      <w:r w:rsidR="00577AA4" w:rsidRPr="00872293">
        <w:rPr>
          <w:rFonts w:ascii="Times New Roman" w:eastAsia="MyriadPro" w:hAnsi="Times New Roman" w:cs="Times New Roman"/>
          <w:color w:val="auto"/>
          <w:sz w:val="24"/>
          <w:szCs w:val="24"/>
        </w:rPr>
        <w:t>s</w:t>
      </w:r>
      <w:r w:rsidR="00643F7B" w:rsidRPr="00872293">
        <w:rPr>
          <w:rFonts w:ascii="Times New Roman" w:eastAsia="MyriadPro" w:hAnsi="Times New Roman" w:cs="Times New Roman"/>
          <w:color w:val="auto"/>
          <w:sz w:val="24"/>
          <w:szCs w:val="24"/>
        </w:rPr>
        <w:t xml:space="preserve"> a “</w:t>
      </w:r>
      <w:r w:rsidR="00577AA4" w:rsidRPr="00872293">
        <w:rPr>
          <w:rFonts w:ascii="Times New Roman" w:eastAsia="MyriadPro" w:hAnsi="Times New Roman" w:cs="Times New Roman"/>
          <w:color w:val="auto"/>
          <w:sz w:val="24"/>
          <w:szCs w:val="24"/>
        </w:rPr>
        <w:t>fast-</w:t>
      </w:r>
      <w:r w:rsidR="00643F7B" w:rsidRPr="00872293">
        <w:rPr>
          <w:rFonts w:ascii="Times New Roman" w:eastAsia="MyriadPro" w:hAnsi="Times New Roman" w:cs="Times New Roman"/>
          <w:color w:val="auto"/>
          <w:sz w:val="24"/>
          <w:szCs w:val="24"/>
        </w:rPr>
        <w:t>slow” resource return on investment</w:t>
      </w:r>
      <w:r w:rsidR="00577AA4" w:rsidRPr="00872293">
        <w:rPr>
          <w:rFonts w:ascii="Times New Roman" w:eastAsia="MyriadPro" w:hAnsi="Times New Roman" w:cs="Times New Roman"/>
          <w:color w:val="auto"/>
          <w:sz w:val="24"/>
          <w:szCs w:val="24"/>
        </w:rPr>
        <w:t>.</w:t>
      </w:r>
      <w:bookmarkEnd w:id="164"/>
    </w:p>
    <w:p w14:paraId="097DE8A9" w14:textId="3E534594" w:rsidR="002E4A06" w:rsidRPr="00872293" w:rsidRDefault="002E4A06" w:rsidP="002E4A06"/>
    <w:p w14:paraId="004224D1" w14:textId="048B1A01" w:rsidR="002E4A06" w:rsidRPr="00872293" w:rsidRDefault="002E4A06" w:rsidP="002E4A06">
      <w:r w:rsidRPr="00872293">
        <w:br w:type="page"/>
      </w:r>
    </w:p>
    <w:p w14:paraId="0084264B" w14:textId="77777777" w:rsidR="00C65F18" w:rsidRPr="00872293" w:rsidRDefault="00C65F18" w:rsidP="00577AA4">
      <w:pPr>
        <w:spacing w:line="480" w:lineRule="auto"/>
        <w:jc w:val="center"/>
        <w:rPr>
          <w:rFonts w:ascii="Times New Roman" w:hAnsi="Times New Roman"/>
        </w:rPr>
      </w:pPr>
      <w:r w:rsidRPr="00872293">
        <w:rPr>
          <w:rFonts w:ascii="Times New Roman" w:hAnsi="Times New Roman"/>
          <w:noProof/>
        </w:rPr>
        <w:lastRenderedPageBreak/>
        <w:drawing>
          <wp:inline distT="0" distB="0" distL="0" distR="0" wp14:anchorId="75719E42" wp14:editId="523A330D">
            <wp:extent cx="5528436" cy="3225800"/>
            <wp:effectExtent l="0" t="0" r="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rotWithShape="1">
                    <a:blip r:embed="rId40" cstate="print">
                      <a:extLst>
                        <a:ext uri="{28A0092B-C50C-407E-A947-70E740481C1C}">
                          <a14:useLocalDpi xmlns:a14="http://schemas.microsoft.com/office/drawing/2010/main" val="0"/>
                        </a:ext>
                      </a:extLst>
                    </a:blip>
                    <a:srcRect l="9155" t="2770" r="5736" b="8945"/>
                    <a:stretch/>
                  </pic:blipFill>
                  <pic:spPr bwMode="auto">
                    <a:xfrm>
                      <a:off x="0" y="0"/>
                      <a:ext cx="5536785" cy="3230672"/>
                    </a:xfrm>
                    <a:prstGeom prst="rect">
                      <a:avLst/>
                    </a:prstGeom>
                    <a:ln>
                      <a:noFill/>
                    </a:ln>
                    <a:extLst>
                      <a:ext uri="{53640926-AAD7-44D8-BBD7-CCE9431645EC}">
                        <a14:shadowObscured xmlns:a14="http://schemas.microsoft.com/office/drawing/2010/main"/>
                      </a:ext>
                    </a:extLst>
                  </pic:spPr>
                </pic:pic>
              </a:graphicData>
            </a:graphic>
          </wp:inline>
        </w:drawing>
      </w:r>
    </w:p>
    <w:p w14:paraId="1AB7EF71" w14:textId="1DC56D31" w:rsidR="00630DCB" w:rsidRPr="00872293" w:rsidRDefault="005B4EF8" w:rsidP="00932058">
      <w:pPr>
        <w:pStyle w:val="Caption"/>
        <w:rPr>
          <w:rFonts w:ascii="Times New Roman" w:eastAsiaTheme="minorHAnsi" w:hAnsi="Times New Roman" w:cs="Times New Roman"/>
          <w:color w:val="auto"/>
          <w:sz w:val="24"/>
          <w:szCs w:val="24"/>
        </w:rPr>
      </w:pPr>
      <w:bookmarkStart w:id="165" w:name="_Toc53755787"/>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18</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C65F18" w:rsidRPr="00872293">
        <w:rPr>
          <w:rFonts w:ascii="Times New Roman" w:hAnsi="Times New Roman" w:cs="Times New Roman"/>
          <w:color w:val="auto"/>
          <w:sz w:val="24"/>
          <w:szCs w:val="24"/>
        </w:rPr>
        <w:t xml:space="preserve">Phylogenetic tree </w:t>
      </w:r>
      <w:r w:rsidR="00C65F18" w:rsidRPr="00872293">
        <w:rPr>
          <w:rFonts w:ascii="Times New Roman" w:eastAsiaTheme="minorHAnsi" w:hAnsi="Times New Roman" w:cs="Times New Roman"/>
          <w:color w:val="auto"/>
          <w:sz w:val="24"/>
          <w:szCs w:val="24"/>
        </w:rPr>
        <w:t xml:space="preserve">representing all the species considered in the study grouped by the clades and matching with their respective order from a phylogenetic tree of Puerto Rican tree species in the Dynamics Plots from the Luquillo Experimental Forest </w:t>
      </w:r>
      <w:r w:rsidR="00C65F18" w:rsidRPr="00872293">
        <w:rPr>
          <w:rFonts w:ascii="Times New Roman" w:eastAsiaTheme="minorHAnsi" w:hAnsi="Times New Roman" w:cs="Times New Roman"/>
          <w:color w:val="auto"/>
          <w:sz w:val="24"/>
          <w:szCs w:val="24"/>
        </w:rPr>
        <w:fldChar w:fldCharType="begin" w:fldLock="1"/>
      </w:r>
      <w:r w:rsidR="00C65F18" w:rsidRPr="00872293">
        <w:rPr>
          <w:rFonts w:ascii="Times New Roman" w:eastAsiaTheme="minorHAnsi" w:hAnsi="Times New Roman" w:cs="Times New Roman"/>
          <w:color w:val="auto"/>
          <w:sz w:val="24"/>
          <w:szCs w:val="24"/>
        </w:rPr>
        <w:instrText>ADDIN CSL_CITATION {"citationItems":[{"id":"ITEM-1","itemData":{"DOI":"10.1371/journal.pone.0015409","ISSN":"19326203","PMID":"21085700","abstract":"Background: Species number, functional traits, and phylogenetic history all contribute to characterizing the biological diversity in plant communities. The phylogenetic component of diversity has been particularly difficult to quantify in species-rich tropical tree assemblages. The compilation of previously published (and often incomplete) data on evolutionary relationships of species into a composite phylogeny of the taxa in a forest, through such programs as Phylomatic, has proven useful in building community phylogenies although often of limited resolution. Recently, DNA barcodes have been used to construct a robust community phylogeny for nearly 300 tree species in a forest dynamics plot in Panama using a supermatrix method. In that study sequence data from three barcode loci were used to generate a well-resolved species-level phylogeny. Methodology/Principal Findings: Here we expand upon this earlier investigation and present results on the use of a phylogenetic constraint tree to generate a community phylogeny for a diverse, tropical forest dynamics plot in Puerto Rico. This enhanced method of phylogenetic reconstruction insures the congruence of the barcode phylogeny with broadly accepted hypotheses on the phylogeny of flowering plants (i.e., APG III) regardless of the number and taxonomic breadth of the taxa sampled. We also compare maximum parsimony versus maximum likelihood estimates of community phylogenetic relationships as well as evaluate the effectiveness of one- versus two- versus three-gene barcodes in resolving community evolutionary history. Conclusions/Significance:As first demonstrated in the Panamanian forest dynamics plot, the results for the Puerto Rican plot illustrate that highly resolved phylogenies derived from DNA barcode sequence data combined with a constraint tree based on APG III are particularly useful in comparative analysis of phylogenetic diversity and will enhance research on the interface between community ecology and evolution.","author":[{"dropping-particle":"","family":"Kress","given":"W. John","non-dropping-particle":"","parse-names":false,"suffix":""},{"dropping-particle":"","family":"Erickson","given":"David L.","non-dropping-particle":"","parse-names":false,"suffix":""},{"dropping-particle":"","family":"Swenson","given":"Nathan G.","non-dropping-particle":"","parse-names":false,"suffix":""},{"dropping-particle":"","family":"Thompson","given":"Jill","non-dropping-particle":"","parse-names":false,"suffix":""},{"dropping-particle":"","family":"Uriarte","given":"Maria","non-dropping-particle":"","parse-names":false,"suffix":""},{"dropping-particle":"","family":"Zimmerman","given":"Jess K.","non-dropping-particle":"","parse-names":false,"suffix":""}],"container-title":"PLoS ONE","id":"ITEM-1","issue":"11","issued":{"date-parts":[["2010"]]},"page":"15409","title":"Advances in the use of DNA barcodes to build a community phylogeny for tropical trees in a puerto rican forest dynamics plot","type":"article-journal","volume":"5"},"uris":["http://www.mendeley.com/documents/?uuid=0889110a-5f67-48ac-bc5c-fd8d140e3351"]}],"mendeley":{"formattedCitation":"(Kress &lt;i&gt;et al.&lt;/i&gt;, 2010)","plainTextFormattedCitation":"(Kress et al., 2010)","previouslyFormattedCitation":"(Kress &lt;i&gt;et al.&lt;/i&gt;, 2010)"},"properties":{"noteIndex":0},"schema":"https://github.com/citation-style-language/schema/raw/master/csl-citation.json"}</w:instrText>
      </w:r>
      <w:r w:rsidR="00C65F18" w:rsidRPr="00872293">
        <w:rPr>
          <w:rFonts w:ascii="Times New Roman" w:eastAsiaTheme="minorHAnsi" w:hAnsi="Times New Roman" w:cs="Times New Roman"/>
          <w:color w:val="auto"/>
          <w:sz w:val="24"/>
          <w:szCs w:val="24"/>
        </w:rPr>
        <w:fldChar w:fldCharType="separate"/>
      </w:r>
      <w:r w:rsidR="00C65F18" w:rsidRPr="00872293">
        <w:rPr>
          <w:rFonts w:ascii="Times New Roman" w:eastAsiaTheme="minorHAnsi" w:hAnsi="Times New Roman" w:cs="Times New Roman"/>
          <w:noProof/>
          <w:color w:val="auto"/>
          <w:sz w:val="24"/>
          <w:szCs w:val="24"/>
        </w:rPr>
        <w:t>(Kress et al., 2010)</w:t>
      </w:r>
      <w:r w:rsidR="00C65F18" w:rsidRPr="00872293">
        <w:rPr>
          <w:rFonts w:ascii="Times New Roman" w:eastAsiaTheme="minorHAnsi" w:hAnsi="Times New Roman" w:cs="Times New Roman"/>
          <w:color w:val="auto"/>
          <w:sz w:val="24"/>
          <w:szCs w:val="24"/>
        </w:rPr>
        <w:fldChar w:fldCharType="end"/>
      </w:r>
      <w:r w:rsidR="00C65F18" w:rsidRPr="00872293">
        <w:rPr>
          <w:rFonts w:ascii="Times New Roman" w:eastAsiaTheme="minorHAnsi" w:hAnsi="Times New Roman" w:cs="Times New Roman"/>
          <w:color w:val="auto"/>
          <w:sz w:val="24"/>
          <w:szCs w:val="24"/>
        </w:rPr>
        <w:t>.</w:t>
      </w:r>
      <w:bookmarkEnd w:id="165"/>
    </w:p>
    <w:p w14:paraId="39FAA0C1" w14:textId="77777777" w:rsidR="002E4A06" w:rsidRPr="00872293" w:rsidRDefault="002E4A06" w:rsidP="002E4A06">
      <w:pPr>
        <w:rPr>
          <w:sz w:val="32"/>
          <w:szCs w:val="32"/>
        </w:rPr>
      </w:pPr>
    </w:p>
    <w:p w14:paraId="5EDB82C1" w14:textId="29A12BEA" w:rsidR="00C65F18" w:rsidRPr="00872293" w:rsidRDefault="00643F7B" w:rsidP="00643B0E">
      <w:pPr>
        <w:pStyle w:val="Caption"/>
        <w:spacing w:before="240"/>
        <w:jc w:val="center"/>
        <w:rPr>
          <w:rFonts w:ascii="Times New Roman" w:hAnsi="Times New Roman" w:cs="Times New Roman"/>
          <w:color w:val="auto"/>
          <w:sz w:val="24"/>
          <w:szCs w:val="24"/>
        </w:rPr>
      </w:pPr>
      <w:r w:rsidRPr="00872293">
        <w:rPr>
          <w:rFonts w:ascii="Times New Roman" w:hAnsi="Times New Roman"/>
          <w:b/>
          <w:bCs/>
          <w:noProof/>
          <w:color w:val="auto"/>
        </w:rPr>
        <w:drawing>
          <wp:inline distT="0" distB="0" distL="0" distR="0" wp14:anchorId="271E7EAF" wp14:editId="4C221F72">
            <wp:extent cx="5377859" cy="1625600"/>
            <wp:effectExtent l="0" t="0" r="0" b="0"/>
            <wp:docPr id="33" name="Picture 3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rotWithShape="1">
                    <a:blip r:embed="rId41" cstate="print">
                      <a:extLst>
                        <a:ext uri="{28A0092B-C50C-407E-A947-70E740481C1C}">
                          <a14:useLocalDpi xmlns:a14="http://schemas.microsoft.com/office/drawing/2010/main" val="0"/>
                        </a:ext>
                      </a:extLst>
                    </a:blip>
                    <a:srcRect t="35745" b="40494"/>
                    <a:stretch/>
                  </pic:blipFill>
                  <pic:spPr bwMode="auto">
                    <a:xfrm>
                      <a:off x="0" y="0"/>
                      <a:ext cx="5379603" cy="1626127"/>
                    </a:xfrm>
                    <a:prstGeom prst="rect">
                      <a:avLst/>
                    </a:prstGeom>
                    <a:ln>
                      <a:noFill/>
                    </a:ln>
                    <a:extLst>
                      <a:ext uri="{53640926-AAD7-44D8-BBD7-CCE9431645EC}">
                        <a14:shadowObscured xmlns:a14="http://schemas.microsoft.com/office/drawing/2010/main"/>
                      </a:ext>
                    </a:extLst>
                  </pic:spPr>
                </pic:pic>
              </a:graphicData>
            </a:graphic>
          </wp:inline>
        </w:drawing>
      </w:r>
    </w:p>
    <w:p w14:paraId="26340C9E" w14:textId="6DB8B15E" w:rsidR="00C65F18" w:rsidRPr="00872293" w:rsidRDefault="005B4EF8" w:rsidP="00932058">
      <w:pPr>
        <w:pStyle w:val="Caption"/>
        <w:rPr>
          <w:rFonts w:ascii="Times New Roman" w:hAnsi="Times New Roman" w:cs="Times New Roman"/>
          <w:color w:val="auto"/>
          <w:sz w:val="24"/>
          <w:szCs w:val="24"/>
        </w:rPr>
      </w:pPr>
      <w:bookmarkStart w:id="166" w:name="_Toc53755788"/>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19</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w:t>
      </w:r>
      <w:r w:rsidR="00480189"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 xml:space="preserve">Soil organic P (A), and available P (B), from the three sites: El Verde Station (EVS), El Verde 1 (EV1), and </w:t>
      </w:r>
      <w:proofErr w:type="spellStart"/>
      <w:r w:rsidR="00643F7B" w:rsidRPr="00872293">
        <w:rPr>
          <w:rFonts w:ascii="Times New Roman" w:hAnsi="Times New Roman" w:cs="Times New Roman"/>
          <w:color w:val="auto"/>
          <w:sz w:val="24"/>
          <w:szCs w:val="24"/>
        </w:rPr>
        <w:t>Sabana</w:t>
      </w:r>
      <w:proofErr w:type="spellEnd"/>
      <w:r w:rsidR="00643F7B" w:rsidRPr="00872293">
        <w:rPr>
          <w:rFonts w:ascii="Times New Roman" w:hAnsi="Times New Roman" w:cs="Times New Roman"/>
          <w:color w:val="auto"/>
          <w:sz w:val="24"/>
          <w:szCs w:val="24"/>
        </w:rPr>
        <w:t xml:space="preserve"> 2 (SB2). Significant Tukey </w:t>
      </w:r>
      <w:proofErr w:type="spellStart"/>
      <w:r w:rsidR="00643F7B" w:rsidRPr="00872293">
        <w:rPr>
          <w:rFonts w:ascii="Times New Roman" w:hAnsi="Times New Roman" w:cs="Times New Roman"/>
          <w:color w:val="auto"/>
          <w:sz w:val="24"/>
          <w:szCs w:val="24"/>
        </w:rPr>
        <w:t>posthoc</w:t>
      </w:r>
      <w:proofErr w:type="spellEnd"/>
      <w:r w:rsidR="00643F7B" w:rsidRPr="00872293">
        <w:rPr>
          <w:rFonts w:ascii="Times New Roman" w:hAnsi="Times New Roman" w:cs="Times New Roman"/>
          <w:color w:val="auto"/>
          <w:sz w:val="24"/>
          <w:szCs w:val="24"/>
        </w:rPr>
        <w:t xml:space="preserve"> differences are designated with different letters.</w:t>
      </w:r>
      <w:bookmarkEnd w:id="166"/>
    </w:p>
    <w:p w14:paraId="5AADF653" w14:textId="77777777" w:rsidR="00C65F18" w:rsidRPr="00872293" w:rsidRDefault="00C65F18" w:rsidP="00C65F18">
      <w:pPr>
        <w:spacing w:line="360" w:lineRule="auto"/>
        <w:jc w:val="center"/>
        <w:rPr>
          <w:rFonts w:ascii="Times New Roman" w:hAnsi="Times New Roman"/>
          <w:noProof/>
        </w:rPr>
      </w:pPr>
      <w:r w:rsidRPr="00872293">
        <w:rPr>
          <w:rFonts w:ascii="Times New Roman" w:hAnsi="Times New Roman"/>
          <w:noProof/>
        </w:rPr>
        <w:lastRenderedPageBreak/>
        <w:drawing>
          <wp:inline distT="0" distB="0" distL="0" distR="0" wp14:anchorId="6BD8650E" wp14:editId="4DD5C906">
            <wp:extent cx="3904566" cy="5163185"/>
            <wp:effectExtent l="0" t="0" r="1270" b="0"/>
            <wp:docPr id="23" name="Picture 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map&#10;&#10;Description automatically generated"/>
                    <pic:cNvPicPr/>
                  </pic:nvPicPr>
                  <pic:blipFill rotWithShape="1">
                    <a:blip r:embed="rId42" cstate="print">
                      <a:extLst>
                        <a:ext uri="{28A0092B-C50C-407E-A947-70E740481C1C}">
                          <a14:useLocalDpi xmlns:a14="http://schemas.microsoft.com/office/drawing/2010/main" val="0"/>
                        </a:ext>
                      </a:extLst>
                    </a:blip>
                    <a:srcRect l="19661" r="23621"/>
                    <a:stretch/>
                  </pic:blipFill>
                  <pic:spPr bwMode="auto">
                    <a:xfrm>
                      <a:off x="0" y="0"/>
                      <a:ext cx="3950145" cy="5223456"/>
                    </a:xfrm>
                    <a:prstGeom prst="rect">
                      <a:avLst/>
                    </a:prstGeom>
                    <a:ln>
                      <a:noFill/>
                    </a:ln>
                    <a:extLst>
                      <a:ext uri="{53640926-AAD7-44D8-BBD7-CCE9431645EC}">
                        <a14:shadowObscured xmlns:a14="http://schemas.microsoft.com/office/drawing/2010/main"/>
                      </a:ext>
                    </a:extLst>
                  </pic:spPr>
                </pic:pic>
              </a:graphicData>
            </a:graphic>
          </wp:inline>
        </w:drawing>
      </w:r>
    </w:p>
    <w:p w14:paraId="63240223" w14:textId="64064A7D" w:rsidR="00C65F18" w:rsidRPr="00872293" w:rsidRDefault="005B4EF8" w:rsidP="00932058">
      <w:pPr>
        <w:pStyle w:val="Caption"/>
        <w:rPr>
          <w:rFonts w:ascii="Times New Roman" w:hAnsi="Times New Roman" w:cs="Times New Roman"/>
          <w:noProof/>
          <w:color w:val="auto"/>
          <w:sz w:val="24"/>
          <w:szCs w:val="24"/>
        </w:rPr>
      </w:pPr>
      <w:bookmarkStart w:id="167" w:name="_Toc53755789"/>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20</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Non-metric multi-dimensional scaling of root traits: root branching ratio (RBR), root branching intensity (RBI), specific root length (SRL), root phosphatase activity (PME), root diameter (RD), root P percent (RPP), and arbuscular mycorrhizal colonization (AM col). The traits are grouped by a) site, and by b) species.</w:t>
      </w:r>
      <w:bookmarkEnd w:id="167"/>
    </w:p>
    <w:p w14:paraId="7772E31C" w14:textId="65947779" w:rsidR="00C65F18" w:rsidRPr="00872293" w:rsidRDefault="00643F7B" w:rsidP="00577AA4">
      <w:pPr>
        <w:spacing w:line="360" w:lineRule="auto"/>
        <w:jc w:val="center"/>
        <w:rPr>
          <w:rFonts w:ascii="Times New Roman" w:hAnsi="Times New Roman"/>
        </w:rPr>
      </w:pPr>
      <w:r w:rsidRPr="00872293">
        <w:rPr>
          <w:rFonts w:ascii="Times New Roman" w:hAnsi="Times New Roman"/>
          <w:noProof/>
        </w:rPr>
        <w:lastRenderedPageBreak/>
        <w:drawing>
          <wp:inline distT="0" distB="0" distL="0" distR="0" wp14:anchorId="0BB83C32" wp14:editId="35E9F878">
            <wp:extent cx="5454650" cy="7001882"/>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43" cstate="print">
                      <a:extLst>
                        <a:ext uri="{28A0092B-C50C-407E-A947-70E740481C1C}">
                          <a14:useLocalDpi xmlns:a14="http://schemas.microsoft.com/office/drawing/2010/main" val="0"/>
                        </a:ext>
                      </a:extLst>
                    </a:blip>
                    <a:srcRect b="3726"/>
                    <a:stretch/>
                  </pic:blipFill>
                  <pic:spPr bwMode="auto">
                    <a:xfrm>
                      <a:off x="0" y="0"/>
                      <a:ext cx="5458446" cy="7006755"/>
                    </a:xfrm>
                    <a:prstGeom prst="rect">
                      <a:avLst/>
                    </a:prstGeom>
                    <a:ln>
                      <a:noFill/>
                    </a:ln>
                    <a:extLst>
                      <a:ext uri="{53640926-AAD7-44D8-BBD7-CCE9431645EC}">
                        <a14:shadowObscured xmlns:a14="http://schemas.microsoft.com/office/drawing/2010/main"/>
                      </a:ext>
                    </a:extLst>
                  </pic:spPr>
                </pic:pic>
              </a:graphicData>
            </a:graphic>
          </wp:inline>
        </w:drawing>
      </w:r>
    </w:p>
    <w:p w14:paraId="0D7FA6AE" w14:textId="7B92E152" w:rsidR="00C65F18" w:rsidRPr="00872293" w:rsidRDefault="00EE480E" w:rsidP="00932058">
      <w:pPr>
        <w:pStyle w:val="Caption"/>
        <w:rPr>
          <w:rFonts w:ascii="Times New Roman" w:hAnsi="Times New Roman" w:cs="Times New Roman"/>
          <w:color w:val="auto"/>
          <w:sz w:val="24"/>
          <w:szCs w:val="24"/>
        </w:rPr>
      </w:pPr>
      <w:bookmarkStart w:id="168" w:name="_Toc53755790"/>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21</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 xml:space="preserve">Root trait values represented by species (colors) and divided by sites (dotted vertical lines). Significant Tukey </w:t>
      </w:r>
      <w:proofErr w:type="spellStart"/>
      <w:r w:rsidR="00643F7B" w:rsidRPr="00872293">
        <w:rPr>
          <w:rFonts w:ascii="Times New Roman" w:hAnsi="Times New Roman" w:cs="Times New Roman"/>
          <w:color w:val="auto"/>
          <w:sz w:val="24"/>
          <w:szCs w:val="24"/>
        </w:rPr>
        <w:t>Posthoc</w:t>
      </w:r>
      <w:proofErr w:type="spellEnd"/>
      <w:r w:rsidR="00643F7B" w:rsidRPr="00872293">
        <w:rPr>
          <w:rFonts w:ascii="Times New Roman" w:hAnsi="Times New Roman" w:cs="Times New Roman"/>
          <w:color w:val="auto"/>
          <w:sz w:val="24"/>
          <w:szCs w:val="24"/>
        </w:rPr>
        <w:t xml:space="preserve"> differences within each site are designated with different letters.</w:t>
      </w:r>
      <w:bookmarkEnd w:id="168"/>
    </w:p>
    <w:p w14:paraId="752A1E46" w14:textId="77777777" w:rsidR="00C65F18" w:rsidRPr="00872293" w:rsidRDefault="00C65F18" w:rsidP="00C65F18">
      <w:pPr>
        <w:spacing w:after="160" w:line="259" w:lineRule="auto"/>
        <w:rPr>
          <w:rFonts w:ascii="Times New Roman" w:hAnsi="Times New Roman"/>
        </w:rPr>
      </w:pPr>
      <w:r w:rsidRPr="00872293">
        <w:rPr>
          <w:rFonts w:ascii="Times New Roman" w:hAnsi="Times New Roman"/>
        </w:rPr>
        <w:br w:type="page"/>
      </w:r>
    </w:p>
    <w:p w14:paraId="1F7A80BE" w14:textId="6CD03993" w:rsidR="00280337" w:rsidRPr="00872293" w:rsidRDefault="00643F7B" w:rsidP="00577AA4">
      <w:pPr>
        <w:spacing w:line="360" w:lineRule="auto"/>
        <w:jc w:val="center"/>
        <w:rPr>
          <w:rFonts w:ascii="Times New Roman" w:hAnsi="Times New Roman"/>
          <w:b/>
          <w:bCs/>
        </w:rPr>
      </w:pPr>
      <w:r w:rsidRPr="00872293">
        <w:rPr>
          <w:rFonts w:ascii="Times New Roman" w:hAnsi="Times New Roman"/>
          <w:noProof/>
        </w:rPr>
        <w:lastRenderedPageBreak/>
        <w:drawing>
          <wp:inline distT="0" distB="0" distL="0" distR="0" wp14:anchorId="2B104AD8" wp14:editId="2B141B35">
            <wp:extent cx="5295900" cy="644341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4" cstate="print">
                      <a:extLst>
                        <a:ext uri="{28A0092B-C50C-407E-A947-70E740481C1C}">
                          <a14:useLocalDpi xmlns:a14="http://schemas.microsoft.com/office/drawing/2010/main" val="0"/>
                        </a:ext>
                      </a:extLst>
                    </a:blip>
                    <a:srcRect b="8749"/>
                    <a:stretch/>
                  </pic:blipFill>
                  <pic:spPr bwMode="auto">
                    <a:xfrm>
                      <a:off x="0" y="0"/>
                      <a:ext cx="5296895" cy="6444627"/>
                    </a:xfrm>
                    <a:prstGeom prst="rect">
                      <a:avLst/>
                    </a:prstGeom>
                    <a:ln>
                      <a:noFill/>
                    </a:ln>
                    <a:extLst>
                      <a:ext uri="{53640926-AAD7-44D8-BBD7-CCE9431645EC}">
                        <a14:shadowObscured xmlns:a14="http://schemas.microsoft.com/office/drawing/2010/main"/>
                      </a:ext>
                    </a:extLst>
                  </pic:spPr>
                </pic:pic>
              </a:graphicData>
            </a:graphic>
          </wp:inline>
        </w:drawing>
      </w:r>
    </w:p>
    <w:p w14:paraId="0B3DAAA0" w14:textId="7F242AB8" w:rsidR="00643F7B" w:rsidRPr="00872293" w:rsidRDefault="006C0499" w:rsidP="00932058">
      <w:pPr>
        <w:pStyle w:val="Caption"/>
        <w:rPr>
          <w:rFonts w:ascii="Times New Roman" w:hAnsi="Times New Roman" w:cs="Times New Roman"/>
          <w:b/>
          <w:bCs/>
          <w:color w:val="auto"/>
          <w:sz w:val="24"/>
          <w:szCs w:val="24"/>
        </w:rPr>
      </w:pPr>
      <w:bookmarkStart w:id="169" w:name="_Toc53755791"/>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22</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Significant regressions between root mycorrhizal colonization, root branching ratio, root PME, and root P percent. The patterns were evaluated under two different model regression lines. P-value</w:t>
      </w:r>
      <w:r w:rsidR="00891D3A" w:rsidRPr="00872293">
        <w:rPr>
          <w:rFonts w:ascii="Times New Roman" w:hAnsi="Times New Roman" w:cs="Times New Roman"/>
          <w:color w:val="auto"/>
          <w:sz w:val="24"/>
          <w:szCs w:val="24"/>
        </w:rPr>
        <w:t>s</w:t>
      </w:r>
      <w:r w:rsidR="00643F7B" w:rsidRPr="00872293">
        <w:rPr>
          <w:rFonts w:ascii="Times New Roman" w:hAnsi="Times New Roman" w:cs="Times New Roman"/>
          <w:color w:val="auto"/>
          <w:sz w:val="24"/>
          <w:szCs w:val="24"/>
        </w:rPr>
        <w:t xml:space="preserve"> are reported in the graphs for each model.</w:t>
      </w:r>
      <w:bookmarkEnd w:id="169"/>
    </w:p>
    <w:p w14:paraId="3FBD226A" w14:textId="030F33DB" w:rsidR="00643F7B" w:rsidRPr="00872293" w:rsidRDefault="00643F7B" w:rsidP="00280337">
      <w:pPr>
        <w:spacing w:line="360" w:lineRule="auto"/>
        <w:rPr>
          <w:rFonts w:ascii="Times New Roman" w:hAnsi="Times New Roman"/>
          <w:b/>
          <w:bCs/>
        </w:rPr>
      </w:pPr>
    </w:p>
    <w:p w14:paraId="79450F8E" w14:textId="1BCDB19B" w:rsidR="00643F7B" w:rsidRPr="00872293" w:rsidRDefault="00643F7B" w:rsidP="00577AA4">
      <w:pPr>
        <w:spacing w:line="360" w:lineRule="auto"/>
        <w:jc w:val="center"/>
        <w:rPr>
          <w:rFonts w:ascii="Times New Roman" w:hAnsi="Times New Roman"/>
          <w:b/>
          <w:bCs/>
        </w:rPr>
      </w:pPr>
      <w:r w:rsidRPr="00872293">
        <w:rPr>
          <w:rFonts w:ascii="Times New Roman" w:hAnsi="Times New Roman"/>
          <w:b/>
          <w:bCs/>
          <w:noProof/>
        </w:rPr>
        <w:lastRenderedPageBreak/>
        <w:drawing>
          <wp:inline distT="0" distB="0" distL="0" distR="0" wp14:anchorId="3D2347F9" wp14:editId="0038F9A3">
            <wp:extent cx="3665524" cy="54800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5" cstate="print">
                      <a:extLst>
                        <a:ext uri="{28A0092B-C50C-407E-A947-70E740481C1C}">
                          <a14:useLocalDpi xmlns:a14="http://schemas.microsoft.com/office/drawing/2010/main" val="0"/>
                        </a:ext>
                      </a:extLst>
                    </a:blip>
                    <a:srcRect l="2404" t="4928" r="33173" b="22837"/>
                    <a:stretch/>
                  </pic:blipFill>
                  <pic:spPr bwMode="auto">
                    <a:xfrm>
                      <a:off x="0" y="0"/>
                      <a:ext cx="3670860" cy="5488028"/>
                    </a:xfrm>
                    <a:prstGeom prst="rect">
                      <a:avLst/>
                    </a:prstGeom>
                    <a:ln>
                      <a:noFill/>
                    </a:ln>
                    <a:extLst>
                      <a:ext uri="{53640926-AAD7-44D8-BBD7-CCE9431645EC}">
                        <a14:shadowObscured xmlns:a14="http://schemas.microsoft.com/office/drawing/2010/main"/>
                      </a:ext>
                    </a:extLst>
                  </pic:spPr>
                </pic:pic>
              </a:graphicData>
            </a:graphic>
          </wp:inline>
        </w:drawing>
      </w:r>
    </w:p>
    <w:p w14:paraId="39A9BCE9" w14:textId="4BB1FB78" w:rsidR="00280337" w:rsidRPr="00872293" w:rsidRDefault="0086124D" w:rsidP="00932058">
      <w:pPr>
        <w:pStyle w:val="Caption"/>
        <w:rPr>
          <w:rFonts w:ascii="Times New Roman" w:hAnsi="Times New Roman" w:cs="Times New Roman"/>
          <w:b/>
          <w:bCs/>
          <w:color w:val="auto"/>
          <w:sz w:val="24"/>
          <w:szCs w:val="24"/>
        </w:rPr>
      </w:pPr>
      <w:bookmarkStart w:id="170" w:name="_Toc53755792"/>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23</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Estimated marginal means and standard error for each root traits before and after the hurricanes taken from the mixed model</w:t>
      </w:r>
      <w:r w:rsidR="00643F7B" w:rsidRPr="00872293">
        <w:rPr>
          <w:rFonts w:ascii="Times New Roman" w:eastAsiaTheme="minorHAnsi" w:hAnsi="Times New Roman" w:cs="Times New Roman"/>
          <w:color w:val="auto"/>
          <w:sz w:val="24"/>
          <w:szCs w:val="24"/>
        </w:rPr>
        <w:t>. Differences of root traits before and after the hurricanes with a P-values &lt;0.1 are represented with a red asterisk.</w:t>
      </w:r>
      <w:bookmarkEnd w:id="170"/>
    </w:p>
    <w:p w14:paraId="1FB63F3C" w14:textId="4464745C" w:rsidR="00643F7B" w:rsidRPr="00872293" w:rsidRDefault="00516F7F">
      <w:pPr>
        <w:rPr>
          <w:rFonts w:ascii="Times New Roman" w:hAnsi="Times New Roman"/>
          <w:noProof/>
        </w:rPr>
      </w:pPr>
      <w:r w:rsidRPr="00872293">
        <w:rPr>
          <w:rFonts w:ascii="Times New Roman" w:hAnsi="Times New Roman"/>
        </w:rPr>
        <w:br w:type="page"/>
      </w:r>
    </w:p>
    <w:p w14:paraId="5974C21C" w14:textId="5CD0D33F" w:rsidR="00516F7F" w:rsidRPr="00872293" w:rsidRDefault="00643F7B" w:rsidP="00577AA4">
      <w:pPr>
        <w:jc w:val="center"/>
        <w:rPr>
          <w:rFonts w:ascii="Times New Roman" w:hAnsi="Times New Roman"/>
        </w:rPr>
      </w:pPr>
      <w:r w:rsidRPr="00872293">
        <w:rPr>
          <w:rFonts w:ascii="Times New Roman" w:hAnsi="Times New Roman"/>
          <w:noProof/>
        </w:rPr>
        <w:lastRenderedPageBreak/>
        <w:drawing>
          <wp:inline distT="0" distB="0" distL="0" distR="0" wp14:anchorId="641D9EC1" wp14:editId="4DA1402C">
            <wp:extent cx="5942068" cy="3530600"/>
            <wp:effectExtent l="0" t="0" r="1905" b="0"/>
            <wp:docPr id="13" name="Picture 13"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timeline&#10;&#10;Description automatically generated"/>
                    <pic:cNvPicPr/>
                  </pic:nvPicPr>
                  <pic:blipFill rotWithShape="1">
                    <a:blip r:embed="rId46" cstate="print">
                      <a:extLst>
                        <a:ext uri="{28A0092B-C50C-407E-A947-70E740481C1C}">
                          <a14:useLocalDpi xmlns:a14="http://schemas.microsoft.com/office/drawing/2010/main" val="0"/>
                        </a:ext>
                      </a:extLst>
                    </a:blip>
                    <a:srcRect l="18751" t="9402" r="9775" b="15100"/>
                    <a:stretch/>
                  </pic:blipFill>
                  <pic:spPr bwMode="auto">
                    <a:xfrm>
                      <a:off x="0" y="0"/>
                      <a:ext cx="5992973" cy="3560846"/>
                    </a:xfrm>
                    <a:prstGeom prst="rect">
                      <a:avLst/>
                    </a:prstGeom>
                    <a:ln>
                      <a:noFill/>
                    </a:ln>
                    <a:extLst>
                      <a:ext uri="{53640926-AAD7-44D8-BBD7-CCE9431645EC}">
                        <a14:shadowObscured xmlns:a14="http://schemas.microsoft.com/office/drawing/2010/main"/>
                      </a:ext>
                    </a:extLst>
                  </pic:spPr>
                </pic:pic>
              </a:graphicData>
            </a:graphic>
          </wp:inline>
        </w:drawing>
      </w:r>
    </w:p>
    <w:p w14:paraId="004A5E14" w14:textId="16D89B32" w:rsidR="00577AA4" w:rsidRPr="00872293" w:rsidRDefault="009F6ED9" w:rsidP="00932058">
      <w:pPr>
        <w:pStyle w:val="Caption"/>
        <w:rPr>
          <w:rFonts w:ascii="Times New Roman" w:eastAsia="MyriadPro" w:hAnsi="Times New Roman" w:cs="Times New Roman"/>
          <w:color w:val="auto"/>
          <w:sz w:val="24"/>
          <w:szCs w:val="24"/>
        </w:rPr>
      </w:pPr>
      <w:bookmarkStart w:id="171" w:name="_Toc53755793"/>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Pr="00872293">
        <w:rPr>
          <w:rFonts w:ascii="Times New Roman" w:hAnsi="Times New Roman" w:cs="Times New Roman"/>
          <w:noProof/>
          <w:color w:val="auto"/>
          <w:sz w:val="24"/>
          <w:szCs w:val="24"/>
        </w:rPr>
        <w:t>24</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 xml:space="preserve">Conceptual framework of the Root Economic Spectrum space adapted from </w:t>
      </w:r>
      <w:r w:rsidR="00643F7B" w:rsidRPr="00872293">
        <w:rPr>
          <w:rFonts w:ascii="Times New Roman" w:hAnsi="Times New Roman" w:cs="Times New Roman"/>
          <w:color w:val="auto"/>
          <w:sz w:val="24"/>
          <w:szCs w:val="24"/>
        </w:rPr>
        <w:fldChar w:fldCharType="begin" w:fldLock="1"/>
      </w:r>
      <w:r w:rsidR="00643F7B" w:rsidRPr="00872293">
        <w:rPr>
          <w:rFonts w:ascii="Times New Roman" w:hAnsi="Times New Roman" w:cs="Times New Roman"/>
          <w:color w:val="auto"/>
          <w:sz w:val="24"/>
          <w:szCs w:val="24"/>
        </w:rPr>
        <w:instrText>ADDIN CSL_CITATION {"citationItems":[{"id":"ITEM-1","itemData":{"DOI":"10.1126/sciadv.aba3756","ISSN":"23752548","abstract":"Plant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Der","parse-names":false,"suffix":""},{"dropping-particle":"","family":"Laughlin","given":"Daniel C.","non-dropping-particle":"","parse-names":false,"suffix":""},{"dropping-particle":"","family":"Kuyper","given":"Thom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J.","non-dropping-particle":"","parse-names":false,"suffix":""},{"dropping-particle":"","family":"Bruelheide","given":"Helge","non-dropping-particle":"","parse-names":false,"suffix":""},{"dropping-particle":"","family":"Freschet","given":"Grégoire T.","non-dropping-particle":"","parse-names":false,"suffix":""},{"dropping-particle":"","family":"Iversen","given":"Colleen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Advances","id":"ITEM-1","issued":{"date-parts":[["2020"]]},"page":"27","title":"The fungal collaboration gradient dominates the root economics space in plants","type":"article-journal","volume":"6"},"uris":["http://www.mendeley.com/documents/?uuid=32db0a51-ef0e-4152-943b-b2fefc84c374"]}],"mendeley":{"formattedCitation":"(Bergmann &lt;i&gt;et al.&lt;/i&gt;, 2020)","manualFormatting":"Bergmann et al. (2020)","plainTextFormattedCitation":"(Bergmann et al., 2020)","previouslyFormattedCitation":"(Bergmann &lt;i&gt;et al.&lt;/i&gt;, 2020)"},"properties":{"noteIndex":0},"schema":"https://github.com/citation-style-language/schema/raw/master/csl-citation.json"}</w:instrText>
      </w:r>
      <w:r w:rsidR="00643F7B" w:rsidRPr="00872293">
        <w:rPr>
          <w:rFonts w:ascii="Times New Roman" w:hAnsi="Times New Roman" w:cs="Times New Roman"/>
          <w:color w:val="auto"/>
          <w:sz w:val="24"/>
          <w:szCs w:val="24"/>
        </w:rPr>
        <w:fldChar w:fldCharType="separate"/>
      </w:r>
      <w:r w:rsidR="00643F7B" w:rsidRPr="00872293">
        <w:rPr>
          <w:rFonts w:ascii="Times New Roman" w:hAnsi="Times New Roman" w:cs="Times New Roman"/>
          <w:noProof/>
          <w:color w:val="auto"/>
          <w:sz w:val="24"/>
          <w:szCs w:val="24"/>
        </w:rPr>
        <w:t>Bergmann et al. (2020)</w:t>
      </w:r>
      <w:r w:rsidR="00643F7B" w:rsidRPr="00872293">
        <w:rPr>
          <w:rFonts w:ascii="Times New Roman" w:hAnsi="Times New Roman" w:cs="Times New Roman"/>
          <w:color w:val="auto"/>
          <w:sz w:val="24"/>
          <w:szCs w:val="24"/>
        </w:rPr>
        <w:fldChar w:fldCharType="end"/>
      </w:r>
      <w:r w:rsidR="00643F7B" w:rsidRPr="00872293">
        <w:rPr>
          <w:rFonts w:ascii="Times New Roman" w:hAnsi="Times New Roman" w:cs="Times New Roman"/>
          <w:color w:val="auto"/>
          <w:sz w:val="24"/>
          <w:szCs w:val="24"/>
        </w:rPr>
        <w:t xml:space="preserve"> and </w:t>
      </w:r>
      <w:r w:rsidR="00643F7B" w:rsidRPr="00872293">
        <w:rPr>
          <w:rFonts w:ascii="Times New Roman" w:hAnsi="Times New Roman" w:cs="Times New Roman"/>
          <w:color w:val="auto"/>
          <w:sz w:val="24"/>
          <w:szCs w:val="24"/>
        </w:rPr>
        <w:fldChar w:fldCharType="begin" w:fldLock="1"/>
      </w:r>
      <w:r w:rsidR="00643F7B" w:rsidRPr="00872293">
        <w:rPr>
          <w:rFonts w:ascii="Times New Roman" w:hAnsi="Times New Roman" w:cs="Times New Roman"/>
          <w:color w:val="auto"/>
          <w:sz w:val="24"/>
          <w:szCs w:val="24"/>
        </w:rPr>
        <w:instrText>ADDIN CSL_CITATION {"citationItems":[{"id":"ITEM-1","itemData":{"DOI":"10.1111/1365-2745.12562","ISSN":"13652745","abstract":"Root, stem and leaf traits are thought to be functionally coordinated to maximize the efficiency of acquiring and using limited resources. However, evidence is mixed for consistent whole-plant trait coordination among woody plants, and we lack a clear understanding of the adaptive value of root traits along soil resource gradients. If fine roots are the below-ground analogue to leaves, then low specific root length (SRL) and high tissue density should be common on infertile soil. Here, we test the prediction that root, stem and leaf traits and relative growth rate respond in unison with soil fertility gradients. We measured fine root, stem and leaf traits and relative growth rate on individual seedlings of 66 tree species grown in controlled conditions. Our objectives were (i) to determine whether multiple root traits align with growth rate, leaf and stem traits and with each other and (ii) to quantify the relationships between community-weighted mean root traits and two strong soil fertility gradients that differed in spatial extent and community composition. At the species level, fast growth rates were associated with low root and stem tissue density and high specific leaf area. SRL and root diameter were not clearly related to growth rate and loaded on a separate principal component from the plant economic spectrum. At the community level, growth rate was positively related to soil fertility, and root tissue density (RTD) and branching were negatively related to soil fertility. SRL was negatively related and root diameter was positively related to soil fertility on the large-scale gradient that included ectomycorrhizal angiosperms. Synthesis. Root, stem and leaf tissue traits of tree seedlings are coordinated and influence fitness along soil fertility gradients. RTD responds in unison with above-ground traits to soil fertility gradients; however, root traits are multidimensional because SRL is orthogonal to the plant economic spectrum. In contrast to leaves, trees are not constrained in the way they construct fine roots: plants can construct high or low SRL roots of any tissue density. High RTD is the most consistent below-ground trait that reflects adaptation to infertile soil.","author":[{"dropping-particle":"","family":"Kramer-Walter","given":"Kris R.","non-dropping-particle":"","parse-names":false,"suffix":""},{"dropping-particle":"","family":"Bellingham","given":"Peter J.","non-dropping-particle":"","parse-names":false,"suffix":""},{"dropping-particle":"","family":"Millar","given":"Timothy R.","non-dropping-particle":"","parse-names":false,"suffix":""},{"dropping-particle":"","family":"Smissen","given":"Rob D.","non-dropping-particle":"","parse-names":false,"suffix":""},{"dropping-particle":"","family":"Richardson","given":"Sarah J.","non-dropping-particle":"","parse-names":false,"suffix":""},{"dropping-particle":"","family":"Laughlin","given":"Daniel C.","non-dropping-particle":"","parse-names":false,"suffix":""}],"container-title":"Journal of Ecology","id":"ITEM-1","issue":"5","issued":{"date-parts":[["2016"]]},"page":"1299-1310","title":"Root traits are multidimensional: specific root length is independent from root tissue density and the plant economic spectrum","type":"article-journal","volume":"104"},"uris":["http://www.mendeley.com/documents/?uuid=a4c6e22a-fc71-418e-8d26-a75453051c29"]}],"mendeley":{"formattedCitation":"(Kramer-Walter &lt;i&gt;et al.&lt;/i&gt;, 2016)","manualFormatting":"Kramer-Walter et al. (2016)","plainTextFormattedCitation":"(Kramer-Walter et al., 2016)","previouslyFormattedCitation":"(Kramer-Walter &lt;i&gt;et al.&lt;/i&gt;, 2016)"},"properties":{"noteIndex":0},"schema":"https://github.com/citation-style-language/schema/raw/master/csl-citation.json"}</w:instrText>
      </w:r>
      <w:r w:rsidR="00643F7B" w:rsidRPr="00872293">
        <w:rPr>
          <w:rFonts w:ascii="Times New Roman" w:hAnsi="Times New Roman" w:cs="Times New Roman"/>
          <w:color w:val="auto"/>
          <w:sz w:val="24"/>
          <w:szCs w:val="24"/>
        </w:rPr>
        <w:fldChar w:fldCharType="separate"/>
      </w:r>
      <w:r w:rsidR="00643F7B" w:rsidRPr="00872293">
        <w:rPr>
          <w:rFonts w:ascii="Times New Roman" w:hAnsi="Times New Roman" w:cs="Times New Roman"/>
          <w:noProof/>
          <w:color w:val="auto"/>
          <w:sz w:val="24"/>
          <w:szCs w:val="24"/>
        </w:rPr>
        <w:t>Kramer-Walter et al. (2016)</w:t>
      </w:r>
      <w:r w:rsidR="00643F7B" w:rsidRPr="00872293">
        <w:rPr>
          <w:rFonts w:ascii="Times New Roman" w:hAnsi="Times New Roman" w:cs="Times New Roman"/>
          <w:color w:val="auto"/>
          <w:sz w:val="24"/>
          <w:szCs w:val="24"/>
        </w:rPr>
        <w:fldChar w:fldCharType="end"/>
      </w:r>
      <w:r w:rsidR="00643F7B" w:rsidRPr="00872293">
        <w:rPr>
          <w:rFonts w:ascii="Times New Roman" w:hAnsi="Times New Roman" w:cs="Times New Roman"/>
          <w:color w:val="auto"/>
          <w:sz w:val="24"/>
          <w:szCs w:val="24"/>
        </w:rPr>
        <w:t>, with the correspondent location of the tree species based on their root traits over the “collaboration” gradient (</w:t>
      </w:r>
      <w:r w:rsidR="00643F7B" w:rsidRPr="00872293">
        <w:rPr>
          <w:rFonts w:ascii="Times New Roman" w:eastAsia="MyriadPro" w:hAnsi="Times New Roman" w:cs="Times New Roman"/>
          <w:color w:val="auto"/>
          <w:sz w:val="24"/>
          <w:szCs w:val="24"/>
        </w:rPr>
        <w:t>horizontal line), and the location of the root traits based on this study results. Root tissue density is RTD, and root nitrogen is N.</w:t>
      </w:r>
      <w:bookmarkEnd w:id="171"/>
    </w:p>
    <w:p w14:paraId="1519EF1A" w14:textId="1EF67284" w:rsidR="00577AA4" w:rsidRPr="00872293" w:rsidRDefault="00580EA5" w:rsidP="00577AA4">
      <w:r w:rsidRPr="00872293">
        <w:br w:type="page"/>
      </w:r>
    </w:p>
    <w:p w14:paraId="26D50D29" w14:textId="748F39F1" w:rsidR="00516F7F" w:rsidRPr="00872293" w:rsidRDefault="00643F7B" w:rsidP="00516F7F">
      <w:pPr>
        <w:autoSpaceDE w:val="0"/>
        <w:autoSpaceDN w:val="0"/>
        <w:adjustRightInd w:val="0"/>
        <w:spacing w:line="360" w:lineRule="auto"/>
        <w:jc w:val="center"/>
        <w:rPr>
          <w:rFonts w:ascii="Times New Roman" w:hAnsi="Times New Roman"/>
        </w:rPr>
      </w:pPr>
      <w:r w:rsidRPr="00872293">
        <w:rPr>
          <w:rFonts w:ascii="Times New Roman" w:hAnsi="Times New Roman"/>
          <w:noProof/>
        </w:rPr>
        <w:lastRenderedPageBreak/>
        <w:drawing>
          <wp:inline distT="0" distB="0" distL="0" distR="0" wp14:anchorId="35AED54D" wp14:editId="7F19ECFF">
            <wp:extent cx="3708400" cy="2989943"/>
            <wp:effectExtent l="0" t="0" r="635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7" cstate="print">
                      <a:extLst>
                        <a:ext uri="{28A0092B-C50C-407E-A947-70E740481C1C}">
                          <a14:useLocalDpi xmlns:a14="http://schemas.microsoft.com/office/drawing/2010/main" val="0"/>
                        </a:ext>
                      </a:extLst>
                    </a:blip>
                    <a:srcRect l="3686" r="14423" b="50481"/>
                    <a:stretch/>
                  </pic:blipFill>
                  <pic:spPr bwMode="auto">
                    <a:xfrm>
                      <a:off x="0" y="0"/>
                      <a:ext cx="3728681" cy="3006295"/>
                    </a:xfrm>
                    <a:prstGeom prst="rect">
                      <a:avLst/>
                    </a:prstGeom>
                    <a:ln>
                      <a:noFill/>
                    </a:ln>
                    <a:extLst>
                      <a:ext uri="{53640926-AAD7-44D8-BBD7-CCE9431645EC}">
                        <a14:shadowObscured xmlns:a14="http://schemas.microsoft.com/office/drawing/2010/main"/>
                      </a:ext>
                    </a:extLst>
                  </pic:spPr>
                </pic:pic>
              </a:graphicData>
            </a:graphic>
          </wp:inline>
        </w:drawing>
      </w:r>
    </w:p>
    <w:p w14:paraId="5DB91D62" w14:textId="6837073A" w:rsidR="00C65F18" w:rsidRPr="00872293" w:rsidRDefault="009F6ED9" w:rsidP="00932058">
      <w:pPr>
        <w:pStyle w:val="Caption"/>
        <w:rPr>
          <w:rFonts w:ascii="Times New Roman" w:hAnsi="Times New Roman" w:cs="Times New Roman"/>
          <w:color w:val="auto"/>
          <w:sz w:val="24"/>
          <w:szCs w:val="24"/>
        </w:rPr>
      </w:pPr>
      <w:bookmarkStart w:id="172" w:name="_Toc53755794"/>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Pr="00872293">
        <w:rPr>
          <w:rFonts w:ascii="Times New Roman" w:hAnsi="Times New Roman" w:cs="Times New Roman"/>
          <w:noProof/>
          <w:color w:val="auto"/>
          <w:sz w:val="24"/>
          <w:szCs w:val="24"/>
        </w:rPr>
        <w:t>25</w:t>
      </w:r>
      <w:r w:rsidRPr="00872293">
        <w:rPr>
          <w:rFonts w:ascii="Times New Roman" w:hAnsi="Times New Roman" w:cs="Times New Roman"/>
          <w:color w:val="auto"/>
          <w:sz w:val="24"/>
          <w:szCs w:val="24"/>
        </w:rPr>
        <w:fldChar w:fldCharType="end"/>
      </w:r>
      <w:r w:rsidRPr="00872293">
        <w:rPr>
          <w:rFonts w:ascii="Times New Roman" w:hAnsi="Times New Roman" w:cs="Times New Roman"/>
          <w:color w:val="auto"/>
          <w:sz w:val="24"/>
          <w:szCs w:val="24"/>
        </w:rPr>
        <w:t xml:space="preserve">. </w:t>
      </w:r>
      <w:r w:rsidR="00643F7B" w:rsidRPr="00872293">
        <w:rPr>
          <w:rFonts w:ascii="Times New Roman" w:hAnsi="Times New Roman" w:cs="Times New Roman"/>
          <w:color w:val="auto"/>
          <w:sz w:val="24"/>
          <w:szCs w:val="24"/>
        </w:rPr>
        <w:t>Non-metric multi-dimensional scaling of root traits: root branching ratio (RBR), root branching intensity (RBI), specific root length (SRL), root phosphatase activity (PME), root diameter (RD), root P percent (RPP). The traits are grouped by a) site, and by b) species before the hurricane events.</w:t>
      </w:r>
      <w:bookmarkEnd w:id="172"/>
    </w:p>
    <w:p w14:paraId="25D80659" w14:textId="20A5F324" w:rsidR="00FC620F" w:rsidRPr="00872293" w:rsidRDefault="00FC620F">
      <w:pPr>
        <w:rPr>
          <w:rFonts w:ascii="Times New Roman" w:hAnsi="Times New Roman" w:cs="Times New Roman"/>
          <w:b/>
          <w:bCs/>
          <w:sz w:val="36"/>
          <w:szCs w:val="36"/>
        </w:rPr>
      </w:pPr>
      <w:r w:rsidRPr="00872293">
        <w:rPr>
          <w:rFonts w:ascii="Times New Roman" w:hAnsi="Times New Roman" w:cs="Times New Roman"/>
          <w:b/>
          <w:bCs/>
          <w:sz w:val="36"/>
          <w:szCs w:val="36"/>
        </w:rPr>
        <w:br w:type="page"/>
      </w:r>
    </w:p>
    <w:p w14:paraId="196D7356" w14:textId="77777777" w:rsidR="00E6733C" w:rsidRPr="00872293" w:rsidRDefault="00E6733C" w:rsidP="008C6C33">
      <w:pPr>
        <w:jc w:val="center"/>
        <w:rPr>
          <w:rFonts w:ascii="Times New Roman" w:hAnsi="Times New Roman" w:cs="Times New Roman"/>
          <w:b/>
          <w:bCs/>
          <w:sz w:val="36"/>
          <w:szCs w:val="36"/>
        </w:rPr>
      </w:pPr>
    </w:p>
    <w:p w14:paraId="54CE0840" w14:textId="1C1A1A76" w:rsidR="00064CB1" w:rsidRPr="00872293" w:rsidRDefault="003F75BD" w:rsidP="00061BC2">
      <w:pPr>
        <w:jc w:val="center"/>
        <w:rPr>
          <w:rFonts w:ascii="Times New Roman" w:hAnsi="Times New Roman" w:cs="Times New Roman"/>
          <w:b/>
          <w:bCs/>
          <w:sz w:val="36"/>
          <w:szCs w:val="36"/>
        </w:rPr>
      </w:pPr>
      <w:r w:rsidRPr="00872293">
        <w:rPr>
          <w:rFonts w:ascii="Times New Roman" w:hAnsi="Times New Roman" w:cs="Times New Roman"/>
          <w:b/>
          <w:bCs/>
          <w:sz w:val="36"/>
          <w:szCs w:val="36"/>
        </w:rPr>
        <w:t>C</w:t>
      </w:r>
      <w:r w:rsidR="00367F21" w:rsidRPr="00872293">
        <w:rPr>
          <w:rFonts w:ascii="Times New Roman" w:hAnsi="Times New Roman" w:cs="Times New Roman"/>
          <w:b/>
          <w:bCs/>
          <w:sz w:val="36"/>
          <w:szCs w:val="36"/>
        </w:rPr>
        <w:t>hapter</w:t>
      </w:r>
      <w:r w:rsidR="00064CB1" w:rsidRPr="00872293">
        <w:rPr>
          <w:rFonts w:ascii="Times New Roman" w:hAnsi="Times New Roman" w:cs="Times New Roman"/>
          <w:b/>
          <w:bCs/>
          <w:sz w:val="36"/>
          <w:szCs w:val="36"/>
        </w:rPr>
        <w:t xml:space="preserve"> </w:t>
      </w:r>
      <w:r w:rsidR="00606E40" w:rsidRPr="00872293">
        <w:rPr>
          <w:rFonts w:ascii="Times New Roman" w:hAnsi="Times New Roman" w:cs="Times New Roman"/>
          <w:b/>
          <w:bCs/>
          <w:sz w:val="36"/>
          <w:szCs w:val="36"/>
        </w:rPr>
        <w:t>5</w:t>
      </w:r>
    </w:p>
    <w:p w14:paraId="7F1F5FE7" w14:textId="7EC4F03C" w:rsidR="00B929C8" w:rsidRPr="00872293" w:rsidRDefault="00064CB1" w:rsidP="008C6C33">
      <w:pPr>
        <w:pStyle w:val="Heading1"/>
        <w:rPr>
          <w:rFonts w:cs="Times New Roman"/>
          <w:bCs/>
          <w:szCs w:val="36"/>
        </w:rPr>
      </w:pPr>
      <w:bookmarkStart w:id="173" w:name="_Toc53689119"/>
      <w:r w:rsidRPr="00872293">
        <w:rPr>
          <w:rFonts w:cs="Times New Roman"/>
          <w:bCs/>
          <w:szCs w:val="36"/>
        </w:rPr>
        <w:t>Conclusions</w:t>
      </w:r>
      <w:bookmarkEnd w:id="173"/>
      <w:r w:rsidRPr="00872293">
        <w:rPr>
          <w:rFonts w:cs="Times New Roman"/>
          <w:bCs/>
          <w:szCs w:val="36"/>
        </w:rPr>
        <w:t xml:space="preserve"> </w:t>
      </w:r>
      <w:r w:rsidR="00B929C8" w:rsidRPr="00872293">
        <w:rPr>
          <w:rFonts w:cs="Times New Roman"/>
          <w:bCs/>
          <w:szCs w:val="36"/>
        </w:rPr>
        <w:br w:type="page"/>
      </w:r>
    </w:p>
    <w:p w14:paraId="7F7BB0BF" w14:textId="473897FB" w:rsidR="001341CA" w:rsidRPr="00872293" w:rsidRDefault="001341CA" w:rsidP="00986958">
      <w:pPr>
        <w:rPr>
          <w:rFonts w:ascii="AdvGARAD-R" w:hAnsi="AdvGARAD-R" w:cs="AdvGARAD-R"/>
          <w:sz w:val="20"/>
          <w:szCs w:val="20"/>
        </w:rPr>
      </w:pPr>
    </w:p>
    <w:p w14:paraId="3A873CA3" w14:textId="39BC7B3A" w:rsidR="0017155C" w:rsidRPr="00872293" w:rsidRDefault="0017155C" w:rsidP="0017155C">
      <w:pPr>
        <w:spacing w:line="360" w:lineRule="auto"/>
        <w:rPr>
          <w:rFonts w:ascii="Times New Roman" w:hAnsi="Times New Roman" w:cs="Times New Roman"/>
        </w:rPr>
      </w:pPr>
      <w:r w:rsidRPr="00872293">
        <w:rPr>
          <w:rFonts w:ascii="Times New Roman" w:hAnsi="Times New Roman" w:cs="Times New Roman"/>
        </w:rPr>
        <w:t xml:space="preserve">The contribution of plant roots to C storage, and C and nutrient cycling is variable across ecosystems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{"citationItems":[{"id":"ITEM-1","itemData":{"DOI":"10.1038/41550","ISSN":"00280836","abstract":"The concentration of carbon dioxide (CO2) in the Earth's atmosphere is rising rapidly, with the potential to alter many ecosystem processes. Elevated CO2 often stimulates photosynthesis, creating the possibility that the terrestrial biosphere will sequester carbon in response to rising atmospheric CO2 concentration, partly offsetting emissions from fossil-fuel combustion, cement manufacture, and deforestation. However, the responses of intact ecosystems to elevated CO2 concentration, particularly the below- ground responses, are not well understood. Here we present an annual budget focusing on below-ground carbon cycling for two grassland ecosystems exposed to elevated CO2 concentrations. Three years of experimental CO2 doubling increased ecosystem carbon uptake, but greatly increased carbon partitioning to rapidly cycling carbon pools below ground. This provides an explanation for the imbalance observed in numerous CO2 experiments, where the carbon increment from increased photosynthesis is greater than the increments in ecosystem carbon stocks. The shift in ecosystem carbon partitioning suggests that elevated CO2 concentration causes a greater increase in carbon cycling than in carbon storage in grasslands.","author":[{"dropping-particle":"","family":"Hungate","given":"Bruce A.","non-dropping-particle":"","parse-names":false,"suffix":""},{"dropping-particle":"","family":"Holland","given":"Elisabeth A.","non-dropping-particle":"","parse-names":false,"suffix":""},{"dropping-particle":"","family":"Jackson","given":"Robert B.","non-dropping-particle":"","parse-names":false,"suffix":""},{"dropping-particle":"","family":"Chapin","given":"F. Stuart","non-dropping-particle":"","parse-names":false,"suffix":""},{"dropping-particle":"","family":"Mooney","given":"Harold A.","non-dropping-particle":"","parse-names":false,"suffix":""},{"dropping-particle":"","family":"Field","given":"Christopher B.","non-dropping-particle":"","parse-names":false,"suffix":""}],"container-title":"Nature","id":"ITEM-1","issued":{"date-parts":[["1997"]]},"page":"576-579","title":"The fate of carbon in grasslands under carbon dioxide enrichment","type":"article-journal","volume":"388"},"uris":["http://www.mendeley.com/documents/?uuid=265aeeef-1b66-465d-bfdb-70b6a9ae1ddc"]},{"id":"ITEM-2","itemData":{"DOI":"10.1038/41441","ISSN":"00280836","author":[{"dropping-particle":"","family":"Norby","given":"Richard","non-dropping-particle":"","parse-names":false,"suffix":""}],"container-title":"Nature","id":"ITEM-2","issued":{"date-parts":[["1997"]]},"page":"522-523","title":"Inside the black box","type":"article-journal","volume":"388"},"uris":["http://www.mendeley.com/documents/?uuid=ac0605c5-90d6-4d27-9fc7-64e223396187"]}],"mendeley":{"formattedCitation":"(Hungate &lt;i&gt;et al.&lt;/i&gt;, 1997; Norby, 1997)","plainTextFormattedCitation":"(Hungate et al., 1997; Norby, 1997)","previouslyFormattedCitation":"(Hungate &lt;i&gt;et al.&lt;/i&gt;, 1997; Norby, 1997)"},"properties":{"noteIndex":0},"schema":"https://github.com/citation-style-language/schema/raw/master/csl-citation.json"}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(Hungate </w:t>
      </w:r>
      <w:r w:rsidRPr="00872293">
        <w:rPr>
          <w:rFonts w:ascii="Times New Roman" w:hAnsi="Times New Roman" w:cs="Times New Roman"/>
          <w:i/>
          <w:noProof/>
        </w:rPr>
        <w:t>et al.</w:t>
      </w:r>
      <w:r w:rsidRPr="00872293">
        <w:rPr>
          <w:rFonts w:ascii="Times New Roman" w:hAnsi="Times New Roman" w:cs="Times New Roman"/>
          <w:noProof/>
        </w:rPr>
        <w:t>, 1997; Norby, 1997)</w:t>
      </w:r>
      <w:r w:rsidRPr="00872293">
        <w:rPr>
          <w:rFonts w:ascii="Times New Roman" w:hAnsi="Times New Roman" w:cs="Times New Roman"/>
        </w:rPr>
        <w:fldChar w:fldCharType="end"/>
      </w:r>
      <w:r w:rsidRPr="00872293">
        <w:rPr>
          <w:rFonts w:ascii="Times New Roman" w:hAnsi="Times New Roman" w:cs="Times New Roman"/>
        </w:rPr>
        <w:t xml:space="preserve">. Roots can store up to 80 % of the C from the vegetation, and account for up to 30% of the plant production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{"citationItems":[{"id":"ITEM-1","itemData":{"DOI":"10.1073/pnas.94.14.7362","ISSN":"00278424","PMID":"11038557","abstract":"Global biogeochemical models have improved dramatically in the last decade in their representation of the biosphere. Although leaf area data are an important input to such models and are readily available globally, global root distributions for modeling water and nutrient uptake and carbon cycling have not been available. This analysis provides global distributions for fine root biomass, length, and surface area with depth in the soil, and global estimates of nutrient pools in fine roots. Calculated root surface area is almost always greater than leaf area, more than an order of magnitude so in grasslands. The average C:N:P ratio in living fine roots is 450:11:1, and global fine root carbon is more than 5% of all carbon contained in the atmosphere. Assuming conservatively that fine roots turn over once per year, they represent 33% of global annual net primary productivity.","author":[{"dropping-particle":"","family":"Jackson","given":"R. B.","non-dropping-particle":"","parse-names":false,"suffix":""},{"dropping-particle":"","family":"Mooney","given":"H. A.","non-dropping-particle":"","parse-names":false,"suffix":""},{"dropping-particle":"","family":"Schulze","given":"E. D.","non-dropping-particle":"","parse-names":false,"suffix":""}],"container-title":"Proceedings of the National Academy of Sciences of the United States of America","id":"ITEM-1","issue":"14","issued":{"date-parts":[["1997"]]},"page":"7362-7366","title":"A global budget for fine root biomass, surface area, and nutrient contents","type":"article-journal","volume":"94"},"uris":["http://www.mendeley.com/documents/?uuid=be640cc2-8c97-4480-b234-6e69495faf2e"]}],"mendeley":{"formattedCitation":"(Jackson &lt;i&gt;et al.&lt;/i&gt;, 1997)","plainTextFormattedCitation":"(Jackson et al., 1997)","previouslyFormattedCitation":"(Jackson &lt;i&gt;et al.&lt;/i&gt;, 1997)"},"properties":{"noteIndex":0},"schema":"https://github.com/citation-style-language/schema/raw/master/csl-citation.json"}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(Jackson </w:t>
      </w:r>
      <w:r w:rsidRPr="00872293">
        <w:rPr>
          <w:rFonts w:ascii="Times New Roman" w:hAnsi="Times New Roman" w:cs="Times New Roman"/>
          <w:i/>
          <w:noProof/>
        </w:rPr>
        <w:t>et al.</w:t>
      </w:r>
      <w:r w:rsidRPr="00872293">
        <w:rPr>
          <w:rFonts w:ascii="Times New Roman" w:hAnsi="Times New Roman" w:cs="Times New Roman"/>
          <w:noProof/>
        </w:rPr>
        <w:t>, 1997)</w:t>
      </w:r>
      <w:r w:rsidRPr="00872293">
        <w:rPr>
          <w:rFonts w:ascii="Times New Roman" w:hAnsi="Times New Roman" w:cs="Times New Roman"/>
        </w:rPr>
        <w:fldChar w:fldCharType="end"/>
      </w:r>
      <w:r w:rsidRPr="00872293">
        <w:rPr>
          <w:rFonts w:ascii="Times New Roman" w:hAnsi="Times New Roman" w:cs="Times New Roman"/>
        </w:rPr>
        <w:t xml:space="preserve">. However, the relationships between root structure (e.g. morphology) and function (e.g. production, nutrient uptake), is still under debate. Further, the extent to which we can predict root response to disturbances and their effect on the ecosystem function in a changing world is also understudied. Therefore, roots are often considered as part of the “black box” in the C budget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10.1038/41441","ISSN":"00280836","author":[{"dropping-particle":"","family":"Norby","given":"Richard","non-dropping-particle":"","parse-names":false,"suffix":""}],"container-title":"Nature","id":"ITEM-1","issued":{"date-parts":[["1997"]]},"page":"522-523","title":"Inside the black box","type":"article-journal","volume":"388"},"uris":["http://www.mendeley.com/documents/?uuid=ac0605c5-90d6-4d27-9fc7-64e223396187"]}],"mendeley":{"formattedCitation":"(Norby, 1997)","plainTextFormattedCitation":"(Norby, 1997)","previouslyFormattedCitation":"(Norby, 1997)"},"properties":{"noteIndex":0},"schema":"https://github.com/citation-style-language/schema/raw/master/csl-citation.json"}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(Norby, 1997)</w:t>
      </w:r>
      <w:r w:rsidRPr="00872293">
        <w:rPr>
          <w:rFonts w:ascii="Times New Roman" w:hAnsi="Times New Roman" w:cs="Times New Roman"/>
        </w:rPr>
        <w:fldChar w:fldCharType="end"/>
      </w:r>
      <w:r w:rsidR="00F40992" w:rsidRPr="00872293">
        <w:rPr>
          <w:rFonts w:ascii="Times New Roman" w:hAnsi="Times New Roman" w:cs="Times New Roman"/>
        </w:rPr>
        <w:t xml:space="preserve"> and the “hidden half” of the ecosystem</w:t>
      </w:r>
      <w:r w:rsidR="006A1FAB" w:rsidRPr="00872293">
        <w:rPr>
          <w:rFonts w:ascii="Times New Roman" w:hAnsi="Times New Roman" w:cs="Times New Roman"/>
        </w:rPr>
        <w:t xml:space="preserve"> </w:t>
      </w:r>
      <w:r w:rsidR="006A1FAB" w:rsidRPr="00872293">
        <w:rPr>
          <w:rFonts w:ascii="Times New Roman" w:hAnsi="Times New Roman" w:cs="Times New Roman"/>
          <w:noProof/>
        </w:rPr>
        <w:t xml:space="preserve">(Waisel </w:t>
      </w:r>
      <w:r w:rsidR="006A1FAB" w:rsidRPr="00872293">
        <w:rPr>
          <w:rFonts w:ascii="Times New Roman" w:hAnsi="Times New Roman" w:cs="Times New Roman"/>
          <w:i/>
          <w:noProof/>
        </w:rPr>
        <w:t>et al.</w:t>
      </w:r>
      <w:r w:rsidR="006A1FAB" w:rsidRPr="00872293">
        <w:rPr>
          <w:rFonts w:ascii="Times New Roman" w:hAnsi="Times New Roman" w:cs="Times New Roman"/>
          <w:noProof/>
        </w:rPr>
        <w:t>, 1991)</w:t>
      </w:r>
      <w:r w:rsidRPr="00872293">
        <w:rPr>
          <w:rFonts w:ascii="Times New Roman" w:hAnsi="Times New Roman" w:cs="Times New Roman"/>
        </w:rPr>
        <w:t xml:space="preserve">. Broaden our understanding on the participation of roots to the C cycle, and how the diversity of root structure relates to the root function is essential for predicting C balance in a changing world. Further, despite their great contribution on C cycling, tropical ecosystems have been less represented in root studies than temperate and boreal ones. </w:t>
      </w:r>
    </w:p>
    <w:p w14:paraId="712E06B0" w14:textId="77777777" w:rsidR="0017155C" w:rsidRPr="00872293" w:rsidRDefault="0017155C" w:rsidP="0017155C">
      <w:pPr>
        <w:spacing w:line="360" w:lineRule="auto"/>
        <w:rPr>
          <w:rFonts w:ascii="Times New Roman" w:hAnsi="Times New Roman" w:cs="Times New Roman"/>
        </w:rPr>
      </w:pPr>
    </w:p>
    <w:p w14:paraId="0DC3871A" w14:textId="177E3CEE" w:rsidR="0017155C" w:rsidRPr="00872293" w:rsidRDefault="00667F1E" w:rsidP="0017155C">
      <w:pPr>
        <w:spacing w:line="360" w:lineRule="auto"/>
        <w:rPr>
          <w:rFonts w:ascii="Times New Roman" w:hAnsi="Times New Roman" w:cs="Times New Roman"/>
        </w:rPr>
      </w:pPr>
      <w:r w:rsidRPr="00872293">
        <w:rPr>
          <w:rFonts w:ascii="Times New Roman" w:hAnsi="Times New Roman" w:cs="Times New Roman"/>
        </w:rPr>
        <w:t>Root traits</w:t>
      </w:r>
      <w:r w:rsidR="0017155C" w:rsidRPr="00872293">
        <w:rPr>
          <w:rFonts w:ascii="Times New Roman" w:hAnsi="Times New Roman" w:cs="Times New Roman"/>
        </w:rPr>
        <w:t xml:space="preserve"> are mostly underrepresented in Terrestrial Biosphere Models (TBM). For example, the </w:t>
      </w:r>
      <w:r w:rsidR="0017155C" w:rsidRPr="00872293">
        <w:rPr>
          <w:rFonts w:ascii="Times New Roman" w:hAnsi="Times New Roman" w:cs="Times New Roman"/>
          <w:shd w:val="clear" w:color="auto" w:fill="FFFFFF"/>
        </w:rPr>
        <w:t xml:space="preserve">Energy </w:t>
      </w:r>
      <w:proofErr w:type="spellStart"/>
      <w:r w:rsidR="0017155C" w:rsidRPr="00872293">
        <w:rPr>
          <w:rFonts w:ascii="Times New Roman" w:hAnsi="Times New Roman" w:cs="Times New Roman"/>
          <w:shd w:val="clear" w:color="auto" w:fill="FFFFFF"/>
        </w:rPr>
        <w:t>Exascale</w:t>
      </w:r>
      <w:proofErr w:type="spellEnd"/>
      <w:r w:rsidR="0017155C" w:rsidRPr="00872293">
        <w:rPr>
          <w:rFonts w:ascii="Times New Roman" w:hAnsi="Times New Roman" w:cs="Times New Roman"/>
          <w:shd w:val="clear" w:color="auto" w:fill="FFFFFF"/>
        </w:rPr>
        <w:t xml:space="preserve"> Earth System Model (E3SM) Land Model (ELM) represents roots as a pool of carbon by depth in the belowground</w:t>
      </w:r>
      <w:r w:rsidR="0017155C" w:rsidRPr="00872293">
        <w:rPr>
          <w:rFonts w:ascii="Times New Roman" w:hAnsi="Times New Roman" w:cs="Times New Roman"/>
        </w:rPr>
        <w:t xml:space="preserve"> and consider</w:t>
      </w:r>
      <w:r w:rsidRPr="00872293">
        <w:rPr>
          <w:rFonts w:ascii="Times New Roman" w:hAnsi="Times New Roman" w:cs="Times New Roman"/>
        </w:rPr>
        <w:t>s</w:t>
      </w:r>
      <w:r w:rsidR="0017155C" w:rsidRPr="00872293">
        <w:rPr>
          <w:rFonts w:ascii="Times New Roman" w:hAnsi="Times New Roman" w:cs="Times New Roman"/>
        </w:rPr>
        <w:t xml:space="preserve"> the nutrient uptake based on the plant demand </w:t>
      </w:r>
      <w:r w:rsidR="0017155C" w:rsidRPr="00872293">
        <w:rPr>
          <w:rFonts w:ascii="Times New Roman" w:hAnsi="Times New Roman" w:cs="Times New Roman"/>
        </w:rPr>
        <w:fldChar w:fldCharType="begin" w:fldLock="1"/>
      </w:r>
      <w:r w:rsidR="0017155C" w:rsidRPr="00872293">
        <w:rPr>
          <w:rFonts w:ascii="Times New Roman" w:hAnsi="Times New Roman" w:cs="Times New Roman"/>
        </w:rPr>
        <w:instrText>ADDIN CSL_CITATION {"citationItems":[{"id":"ITEM-1","itemData":{"DOI":"10.1029/2018MS001571","ISSN":"19422466","abstract":"Over the past several decades, the land modeling community has recognized the importance of nutrient regulation on the global terrestrial carbon cycle. Implementations of nutrient limitation in land models are diverse, varying from applying simple empirical down-regulation of potential gross primary productivity under nutrient deficit conditions to more mechanistic treatments. In this study, we introduce a new approach to model multinutrient (nitrogen [N] and phosphorus [P]) limitations in the Energy Exascale Earth System Model (E3SM) Land Model version 1 (ELMv1-ECA). The development is grounded on (1) advances in representing multiple-consumer, multiple-nutrient competition; (2) a generic dynamic allocation scheme based on water, N, P, and light availability; (3) flexible plant CNP stoichiometry; (4) prognostic treatment of N and P constraints on several carbon cycle processes; and (5) global data sets of plant physiological traits. Through benchmarking the model against best knowledge of global plant and soil carbon pools and fluxes, we show that our implementation of nutrient constraints on the present-day carbon cycle is robust at the global scale. Compared with predecessor versions, ELMv1-ECA better predicts global-scale gross primary productivity, ecosystem respiration, leaf area index, vegetation biomass, soil carbon stocks, evapotranspiration, N2O emissions, and NO3- leaching. Factorial experiments indicate that representing the phosphorus cycle improves modeled carbon fluxes, while considering dynamic allocation improves modeled carbon stock density. We also highlight the value of using the International Land Model Benchmarking (ILAMB) package to evaluate and document performance during model development.","author":[{"dropping-particle":"","family":"Zhu","given":"Qing","non-dropping-particle":"","parse-names":false,"suffix":""},{"dropping-particle":"","family":"Riley","given":"William J.","non-dropping-particle":"","parse-names":false,"suffix":""},{"dropping-particle":"","family":"Tang","given":"Jinyun","non-dropping-particle":"","parse-names":false,"suffix":""},{"dropping-particle":"","family":"Collier","given":"Nathan","non-dropping-particle":"","parse-names":false,"suffix":""},{"dropping-particle":"","family":"Hoffman","given":"Forrest M.","non-dropping-particle":"","parse-names":false,"suffix":""},{"dropping-particle":"","family":"Yang","given":"Xiaojuan","non-dropping-particle":"","parse-names":false,"suffix":""},{"dropping-particle":"","family":"Bisht","given":"Gautam","non-dropping-particle":"","parse-names":false,"suffix":""}],"container-title":"Journal of Advances in Modeling Earth Systems","id":"ITEM-1","issue":"7","issued":{"date-parts":[["2019"]]},"page":"2238-2258","title":"Representing Nitrogen, Phosphorus, and Carbon Interactions in the E3SM Land Model: Development and Global Benchmarking","type":"article-journal","volume":"11"},"uris":["http://www.mendeley.com/documents/?uuid=20f40d9e-c6c2-4440-be65-6c1eb4e3ab94"]}],"mendeley":{"formattedCitation":"(Zhu &lt;i&gt;et al.&lt;/i&gt;, 2019)","plainTextFormattedCitation":"(Zhu et al., 2019)","previouslyFormattedCitation":"(Zhu &lt;i&gt;et al.&lt;/i&gt;, 2019)"},"properties":{"noteIndex":0},"schema":"https://github.com/citation-style-language/schema/raw/master/csl-citation.json"}</w:instrText>
      </w:r>
      <w:r w:rsidR="0017155C" w:rsidRPr="00872293">
        <w:rPr>
          <w:rFonts w:ascii="Times New Roman" w:hAnsi="Times New Roman" w:cs="Times New Roman"/>
        </w:rPr>
        <w:fldChar w:fldCharType="separate"/>
      </w:r>
      <w:r w:rsidR="0017155C" w:rsidRPr="00872293">
        <w:rPr>
          <w:rFonts w:ascii="Times New Roman" w:hAnsi="Times New Roman" w:cs="Times New Roman"/>
          <w:noProof/>
        </w:rPr>
        <w:t xml:space="preserve">(Zhu </w:t>
      </w:r>
      <w:r w:rsidR="0017155C" w:rsidRPr="00872293">
        <w:rPr>
          <w:rFonts w:ascii="Times New Roman" w:hAnsi="Times New Roman" w:cs="Times New Roman"/>
          <w:i/>
          <w:noProof/>
        </w:rPr>
        <w:t>et al.</w:t>
      </w:r>
      <w:r w:rsidR="0017155C" w:rsidRPr="00872293">
        <w:rPr>
          <w:rFonts w:ascii="Times New Roman" w:hAnsi="Times New Roman" w:cs="Times New Roman"/>
          <w:noProof/>
        </w:rPr>
        <w:t>, 2019)</w:t>
      </w:r>
      <w:r w:rsidR="0017155C" w:rsidRPr="00872293">
        <w:rPr>
          <w:rFonts w:ascii="Times New Roman" w:hAnsi="Times New Roman" w:cs="Times New Roman"/>
        </w:rPr>
        <w:fldChar w:fldCharType="end"/>
      </w:r>
      <w:r w:rsidR="0017155C" w:rsidRPr="00872293">
        <w:rPr>
          <w:rFonts w:ascii="Times New Roman" w:hAnsi="Times New Roman" w:cs="Times New Roman"/>
        </w:rPr>
        <w:t xml:space="preserve">. However, root traits such as mycorrhizal colonization, root branching ratio, and root phosphatase activity can regulate the amount of nutrient and carbon that are being cycled from and to the </w:t>
      </w:r>
      <w:proofErr w:type="gramStart"/>
      <w:r w:rsidR="0017155C" w:rsidRPr="00872293">
        <w:rPr>
          <w:rFonts w:ascii="Times New Roman" w:hAnsi="Times New Roman" w:cs="Times New Roman"/>
        </w:rPr>
        <w:t>plant, but</w:t>
      </w:r>
      <w:proofErr w:type="gramEnd"/>
      <w:r w:rsidR="0017155C" w:rsidRPr="00872293">
        <w:rPr>
          <w:rFonts w:ascii="Times New Roman" w:hAnsi="Times New Roman" w:cs="Times New Roman"/>
        </w:rPr>
        <w:t xml:space="preserve"> are usually not considered. In turn, these root traits are also correlated to some morphological traits such as</w:t>
      </w:r>
      <w:r w:rsidR="004049CC" w:rsidRPr="00872293">
        <w:rPr>
          <w:rFonts w:ascii="Times New Roman" w:hAnsi="Times New Roman" w:cs="Times New Roman"/>
        </w:rPr>
        <w:t xml:space="preserve"> specific root length</w:t>
      </w:r>
      <w:r w:rsidR="0017155C" w:rsidRPr="00872293">
        <w:rPr>
          <w:rFonts w:ascii="Times New Roman" w:hAnsi="Times New Roman" w:cs="Times New Roman"/>
        </w:rPr>
        <w:t xml:space="preserve"> </w:t>
      </w:r>
      <w:r w:rsidR="004049CC" w:rsidRPr="00872293">
        <w:rPr>
          <w:rFonts w:ascii="Times New Roman" w:hAnsi="Times New Roman" w:cs="Times New Roman"/>
        </w:rPr>
        <w:t>(</w:t>
      </w:r>
      <w:r w:rsidRPr="00872293">
        <w:rPr>
          <w:rFonts w:ascii="Times New Roman" w:hAnsi="Times New Roman" w:cs="Times New Roman"/>
        </w:rPr>
        <w:t>SR</w:t>
      </w:r>
      <w:r w:rsidR="0017155C" w:rsidRPr="00872293">
        <w:rPr>
          <w:rFonts w:ascii="Times New Roman" w:hAnsi="Times New Roman" w:cs="Times New Roman"/>
        </w:rPr>
        <w:t>L</w:t>
      </w:r>
      <w:r w:rsidR="004049CC" w:rsidRPr="00872293">
        <w:rPr>
          <w:rFonts w:ascii="Times New Roman" w:hAnsi="Times New Roman" w:cs="Times New Roman"/>
        </w:rPr>
        <w:t>)</w:t>
      </w:r>
      <w:r w:rsidR="0017155C" w:rsidRPr="00872293">
        <w:rPr>
          <w:rFonts w:ascii="Times New Roman" w:hAnsi="Times New Roman" w:cs="Times New Roman"/>
        </w:rPr>
        <w:t xml:space="preserve"> and root diameter. Currently, there are some hypothesis on how root traits relate to the plant performance, growth, and nutrient acquisition strategies, but there are still conflicting conclusions </w:t>
      </w:r>
      <w:r w:rsidR="0017155C" w:rsidRPr="00872293">
        <w:rPr>
          <w:rFonts w:ascii="Times New Roman" w:hAnsi="Times New Roman" w:cs="Times New Roman"/>
        </w:rPr>
        <w:fldChar w:fldCharType="begin" w:fldLock="1"/>
      </w:r>
      <w:r w:rsidR="0017155C" w:rsidRPr="00872293">
        <w:rPr>
          <w:rFonts w:ascii="Times New Roman" w:hAnsi="Times New Roman" w:cs="Times New Roman"/>
        </w:rPr>
        <w:instrText>ADDIN CSL_CITATION {"citationItems":[{"id":"ITEM-1","itemData":{"DOI":"10.1111/nph.14003","ISSN":"14698137","abstract":"Contents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phytologist","id":"ITEM-1","issue":"4","issued":{"date-parts":[["2016"]]},"page":"1159-1169","title":"Towards a multidimensional root trait framework: a tree root review","type":"article-journal","volume":"211"},"uris":["http://www.mendeley.com/documents/?uuid=d741bfb7-9707-4b75-9f0b-92e93dafa19e"]},{"id":"ITEM-2","itemData":{"DOI":"10.1126/sciadv.aba3756","ISSN":"23752548","abstract":"Plant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Der","parse-names":false,"suffix":""},{"dropping-particle":"","family":"Laughli","given":"Daniel C.","non-dropping-particle":"","parse-names":false,"suffix":""},{"dropping-particle":"","family":"Kuype","given":"Thom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J.","non-dropping-particle":"","parse-names":false,"suffix":""},{"dropping-particle":"","family":"Bruelheide","given":"Helge","non-dropping-particle":"","parse-names":false,"suffix":""},{"dropping-particle":"","family":"Fresche","given":"Grégoire T.","non-dropping-particle":"","parse-names":false,"suffix":""},{"dropping-particle":"","family":"Iverse","given":"Colleen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Advances","id":"ITEM-2","issued":{"date-parts":[["2020"]]},"page":"27","title":"The fungal collaboration gradient dominates the root economics space in plants","type":"article-journal","volume":"6"},"uris":["http://www.mendeley.com/documents/?uuid=32db0a51-ef0e-4152-943b-b2fefc84c374"]},{"id":"ITEM-3","itemData":{"DOI":"10.1111/nph.12842","ISBN":"1469-8137","ISSN":"14698137","PMID":"24824672","abstract":"Absorptive root traits show remarkable cross-species variation, but major root trait dimensions across species have not been defined. We sampled first-order roots and measured 14 root traits for 96 angiosperm woody species from subtropical China, including root diameter, specific root length, stele diameter, cortex thickness, root vessel size and density, mycorrhizal colonization rate, root branching intensity, tissue density, and concentrations of carbon and nitrogen ([N]). Root traits differed in the degree of variation and phylogenetic conservatism, but showed predictable patterns of cross-trait coordination. Root diameter, cortex thickness and stele diameter displayed high variation across species (coefficient of variation (CV) = 0.51-0.69), whereas the stele:root diameter ratio and [N] showed low variation (CV &lt; 0.32). Root diameter, cortex thickness and stele diameter showed a strong phylogenetic signal across species, whereas root branching traits did not, and these two sets of traits were segregated onto two nearly orthogonal (independent) principal component analysis (PCA) axes. Two major dimensions of root trait variation were found: a diameter-related dimension potentially integrating root construction, maintenance, and persistence with mycorrhizal colonization, and a branching architecture dimension expressing root plastic responses to the environment. These two dimensions may offer a promising path for better understanding root trait economics and root ecological strategies world-wide.","author":[{"dropping-particle":"","family":"Kong","given":"Deliang","non-dropping-particle":"","parse-names":false,"suffix":""},{"dropping-particle":"","family":"Ma","given":"Chengen","non-dropping-particle":"","parse-names":false,"suffix":""},{"dropping-particle":"","family":"Zhang","given":"Qian","non-dropping-particle":"","parse-names":false,"suffix":""},{"dropping-particle":"","family":"Li","given":"Le","non-dropping-particle":"","parse-names":false,"suffix":""},{"dropping-particle":"","family":"Chen","given":"Xiaoyong","non-dropping-particle":"","parse-names":false,"suffix":""},{"dropping-particle":"","family":"Zeng","given":"Hui","non-dropping-particle":"","parse-names":false,"suffix":""},{"dropping-particle":"","family":"Guo","given":"Dali","non-dropping-particle":"","parse-names":false,"suffix":""}],"container-title":"New Phytologist","id":"ITEM-3","issue":"3","issued":{"date-parts":[["2014"]]},"page":"863-872","title":"Leading dimensions in absorptive root trait variation across 96 subtropical forest species","type":"article-journal","volume":"203"},"uris":["http://www.mendeley.com/documents/?uuid=a7e2c871-4bd8-41c2-9249-3fc27422af67"]}],"mendeley":{"formattedCitation":"(Kong &lt;i&gt;et al.&lt;/i&gt;, 2014; Weemstra &lt;i&gt;et al.&lt;/i&gt;, 2016; Bergmann &lt;i&gt;et al.&lt;/i&gt;, 2020)","plainTextFormattedCitation":"(Kong et al., 2014; Weemstra et al., 2016; Bergmann et al., 2020)","previouslyFormattedCitation":"(Kong &lt;i&gt;et al.&lt;/i&gt;, 2014; Weemstra &lt;i&gt;et al.&lt;/i&gt;, 2016; Bergmann &lt;i&gt;et al.&lt;/i&gt;, 2020)"},"properties":{"noteIndex":0},"schema":"https://github.com/citation-style-language/schema/raw/master/csl-citation.json"}</w:instrText>
      </w:r>
      <w:r w:rsidR="0017155C" w:rsidRPr="00872293">
        <w:rPr>
          <w:rFonts w:ascii="Times New Roman" w:hAnsi="Times New Roman" w:cs="Times New Roman"/>
        </w:rPr>
        <w:fldChar w:fldCharType="separate"/>
      </w:r>
      <w:r w:rsidR="0017155C" w:rsidRPr="00872293">
        <w:rPr>
          <w:rFonts w:ascii="Times New Roman" w:hAnsi="Times New Roman" w:cs="Times New Roman"/>
          <w:noProof/>
        </w:rPr>
        <w:t xml:space="preserve">(Kong </w:t>
      </w:r>
      <w:r w:rsidR="0017155C" w:rsidRPr="00872293">
        <w:rPr>
          <w:rFonts w:ascii="Times New Roman" w:hAnsi="Times New Roman" w:cs="Times New Roman"/>
          <w:i/>
          <w:noProof/>
        </w:rPr>
        <w:t>et al.</w:t>
      </w:r>
      <w:r w:rsidR="0017155C" w:rsidRPr="00872293">
        <w:rPr>
          <w:rFonts w:ascii="Times New Roman" w:hAnsi="Times New Roman" w:cs="Times New Roman"/>
          <w:noProof/>
        </w:rPr>
        <w:t xml:space="preserve">, 2014; Weemstra </w:t>
      </w:r>
      <w:r w:rsidR="0017155C" w:rsidRPr="00872293">
        <w:rPr>
          <w:rFonts w:ascii="Times New Roman" w:hAnsi="Times New Roman" w:cs="Times New Roman"/>
          <w:i/>
          <w:noProof/>
        </w:rPr>
        <w:t>et al.</w:t>
      </w:r>
      <w:r w:rsidR="0017155C" w:rsidRPr="00872293">
        <w:rPr>
          <w:rFonts w:ascii="Times New Roman" w:hAnsi="Times New Roman" w:cs="Times New Roman"/>
          <w:noProof/>
        </w:rPr>
        <w:t xml:space="preserve">, 2016; Bergmann </w:t>
      </w:r>
      <w:r w:rsidR="0017155C" w:rsidRPr="00872293">
        <w:rPr>
          <w:rFonts w:ascii="Times New Roman" w:hAnsi="Times New Roman" w:cs="Times New Roman"/>
          <w:i/>
          <w:noProof/>
        </w:rPr>
        <w:t>et al.</w:t>
      </w:r>
      <w:r w:rsidR="0017155C" w:rsidRPr="00872293">
        <w:rPr>
          <w:rFonts w:ascii="Times New Roman" w:hAnsi="Times New Roman" w:cs="Times New Roman"/>
          <w:noProof/>
        </w:rPr>
        <w:t>, 2020)</w:t>
      </w:r>
      <w:r w:rsidR="0017155C" w:rsidRPr="00872293">
        <w:rPr>
          <w:rFonts w:ascii="Times New Roman" w:hAnsi="Times New Roman" w:cs="Times New Roman"/>
        </w:rPr>
        <w:fldChar w:fldCharType="end"/>
      </w:r>
      <w:r w:rsidR="0017155C" w:rsidRPr="00872293">
        <w:rPr>
          <w:rFonts w:ascii="Times New Roman" w:hAnsi="Times New Roman" w:cs="Times New Roman"/>
        </w:rPr>
        <w:t xml:space="preserve">. </w:t>
      </w:r>
      <w:r w:rsidR="004049CC" w:rsidRPr="00872293">
        <w:rPr>
          <w:rFonts w:ascii="Times New Roman" w:hAnsi="Times New Roman" w:cs="Times New Roman"/>
        </w:rPr>
        <w:t>My</w:t>
      </w:r>
      <w:r w:rsidR="0017155C" w:rsidRPr="00872293">
        <w:rPr>
          <w:rFonts w:ascii="Times New Roman" w:hAnsi="Times New Roman" w:cs="Times New Roman"/>
        </w:rPr>
        <w:t xml:space="preserve"> study resulted </w:t>
      </w:r>
      <w:proofErr w:type="gramStart"/>
      <w:r w:rsidR="0017155C" w:rsidRPr="00872293">
        <w:rPr>
          <w:rFonts w:ascii="Times New Roman" w:hAnsi="Times New Roman" w:cs="Times New Roman"/>
        </w:rPr>
        <w:t>in:</w:t>
      </w:r>
      <w:proofErr w:type="gramEnd"/>
      <w:r w:rsidR="0017155C" w:rsidRPr="00872293">
        <w:rPr>
          <w:rFonts w:ascii="Times New Roman" w:hAnsi="Times New Roman" w:cs="Times New Roman"/>
        </w:rPr>
        <w:t xml:space="preserve"> 1) A synthesis on root traits measured from tropical forests in Puerto Rico for the past 50 years in order to inform public databases </w:t>
      </w:r>
      <w:r w:rsidR="007A253B" w:rsidRPr="00872293">
        <w:rPr>
          <w:rFonts w:ascii="Times New Roman" w:hAnsi="Times New Roman" w:cs="Times New Roman"/>
        </w:rPr>
        <w:t>and therefore</w:t>
      </w:r>
      <w:r w:rsidR="0017155C" w:rsidRPr="00872293">
        <w:rPr>
          <w:rFonts w:ascii="Times New Roman" w:hAnsi="Times New Roman" w:cs="Times New Roman"/>
        </w:rPr>
        <w:t xml:space="preserve"> improve tropical root representation in the models. 2) An experimental research on the effect of warming, and hurricane disturbance on root production and biomass. </w:t>
      </w:r>
      <w:proofErr w:type="gramStart"/>
      <w:r w:rsidR="0017155C" w:rsidRPr="00872293">
        <w:rPr>
          <w:rFonts w:ascii="Times New Roman" w:hAnsi="Times New Roman" w:cs="Times New Roman"/>
        </w:rPr>
        <w:t>And,</w:t>
      </w:r>
      <w:proofErr w:type="gramEnd"/>
      <w:r w:rsidR="0017155C" w:rsidRPr="00872293">
        <w:rPr>
          <w:rFonts w:ascii="Times New Roman" w:hAnsi="Times New Roman" w:cs="Times New Roman"/>
        </w:rPr>
        <w:t xml:space="preserve"> 3) a research study on the root trait</w:t>
      </w:r>
      <w:r w:rsidR="007A253B" w:rsidRPr="00872293">
        <w:rPr>
          <w:rFonts w:ascii="Times New Roman" w:hAnsi="Times New Roman" w:cs="Times New Roman"/>
        </w:rPr>
        <w:t xml:space="preserve"> strategies</w:t>
      </w:r>
      <w:r w:rsidR="0017155C" w:rsidRPr="00872293">
        <w:rPr>
          <w:rFonts w:ascii="Times New Roman" w:hAnsi="Times New Roman" w:cs="Times New Roman"/>
        </w:rPr>
        <w:t xml:space="preserve"> </w:t>
      </w:r>
      <w:r w:rsidR="007A253B" w:rsidRPr="00872293">
        <w:rPr>
          <w:rFonts w:ascii="Times New Roman" w:hAnsi="Times New Roman" w:cs="Times New Roman"/>
        </w:rPr>
        <w:t xml:space="preserve">related to phosphorus (P) acquisition in common species at the </w:t>
      </w:r>
      <w:proofErr w:type="spellStart"/>
      <w:r w:rsidR="0017155C" w:rsidRPr="00872293">
        <w:rPr>
          <w:rFonts w:ascii="Times New Roman" w:hAnsi="Times New Roman" w:cs="Times New Roman"/>
        </w:rPr>
        <w:t>Luquilllo</w:t>
      </w:r>
      <w:proofErr w:type="spellEnd"/>
      <w:r w:rsidR="0017155C" w:rsidRPr="00872293">
        <w:rPr>
          <w:rFonts w:ascii="Times New Roman" w:hAnsi="Times New Roman" w:cs="Times New Roman"/>
        </w:rPr>
        <w:t xml:space="preserve"> Experimental Forest, Puerto Rico.</w:t>
      </w:r>
    </w:p>
    <w:p w14:paraId="212298FC" w14:textId="77777777" w:rsidR="0017155C" w:rsidRPr="00872293" w:rsidRDefault="0017155C" w:rsidP="00932058">
      <w:pPr>
        <w:spacing w:line="360" w:lineRule="auto"/>
        <w:rPr>
          <w:rFonts w:ascii="Times New Roman" w:hAnsi="Times New Roman" w:cs="Times New Roman"/>
        </w:rPr>
      </w:pPr>
    </w:p>
    <w:p w14:paraId="4753B94A" w14:textId="77777777" w:rsidR="0017155C" w:rsidRPr="00872293" w:rsidRDefault="0017155C" w:rsidP="00932058">
      <w:pPr>
        <w:pStyle w:val="Heading2"/>
        <w:spacing w:before="0" w:after="0" w:line="360" w:lineRule="auto"/>
      </w:pPr>
      <w:bookmarkStart w:id="174" w:name="_Toc53689120"/>
      <w:r w:rsidRPr="00872293">
        <w:lastRenderedPageBreak/>
        <w:t>Root traits at the Island scale</w:t>
      </w:r>
      <w:bookmarkEnd w:id="174"/>
    </w:p>
    <w:p w14:paraId="71F81922" w14:textId="1C2E8054" w:rsidR="0017155C" w:rsidRPr="00872293" w:rsidRDefault="0017155C" w:rsidP="00932058">
      <w:pPr>
        <w:spacing w:before="240" w:line="360" w:lineRule="auto"/>
        <w:rPr>
          <w:rFonts w:ascii="Times New Roman" w:eastAsia="Times New Roman" w:hAnsi="Times New Roman" w:cs="Times New Roman"/>
        </w:rPr>
      </w:pPr>
      <w:r w:rsidRPr="00872293">
        <w:rPr>
          <w:rFonts w:ascii="Times New Roman" w:hAnsi="Times New Roman" w:cs="Times New Roman"/>
        </w:rPr>
        <w:t>Root studies in Puerto Rico have been very representative for tropical ecosystem</w:t>
      </w:r>
      <w:r w:rsidR="002C190F" w:rsidRPr="00872293">
        <w:rPr>
          <w:rFonts w:ascii="Times New Roman" w:hAnsi="Times New Roman" w:cs="Times New Roman"/>
        </w:rPr>
        <w:t>s</w:t>
      </w:r>
      <w:r w:rsidRPr="00872293">
        <w:rPr>
          <w:rFonts w:ascii="Times New Roman" w:hAnsi="Times New Roman" w:cs="Times New Roman"/>
        </w:rPr>
        <w:t xml:space="preserve"> considering that its land surface only represents 0.03% of the tropics. From all </w:t>
      </w:r>
      <w:r w:rsidRPr="00872293">
        <w:rPr>
          <w:rFonts w:ascii="Times New Roman" w:eastAsia="Times New Roman" w:hAnsi="Times New Roman" w:cs="Times New Roman"/>
        </w:rPr>
        <w:t xml:space="preserve">tropical root data in the Fine-Root Ecology Database (FRED) (Iversen </w:t>
      </w:r>
      <w:r w:rsidRPr="00872293">
        <w:rPr>
          <w:rFonts w:ascii="Times New Roman" w:hAnsi="Times New Roman" w:cs="Times New Roman"/>
          <w:i/>
          <w:noProof/>
        </w:rPr>
        <w:t>et al.,</w:t>
      </w:r>
      <w:r w:rsidRPr="00872293">
        <w:rPr>
          <w:rFonts w:ascii="Times New Roman" w:eastAsia="Lato-Regular" w:hAnsi="Times New Roman" w:cs="Times New Roman"/>
        </w:rPr>
        <w:t xml:space="preserve"> </w:t>
      </w:r>
      <w:r w:rsidRPr="00872293">
        <w:rPr>
          <w:rFonts w:ascii="Times New Roman" w:eastAsia="Times New Roman" w:hAnsi="Times New Roman" w:cs="Times New Roman"/>
        </w:rPr>
        <w:t>2017), 4% is from Puerto Rico</w:t>
      </w:r>
      <w:r w:rsidRPr="00872293">
        <w:rPr>
          <w:rFonts w:ascii="Times New Roman" w:hAnsi="Times New Roman" w:cs="Times New Roman"/>
        </w:rPr>
        <w:t xml:space="preserve"> (Iversen </w:t>
      </w:r>
      <w:r w:rsidRPr="00872293">
        <w:rPr>
          <w:rFonts w:ascii="Times New Roman" w:hAnsi="Times New Roman" w:cs="Times New Roman"/>
          <w:i/>
          <w:noProof/>
        </w:rPr>
        <w:t>et al.,</w:t>
      </w:r>
      <w:r w:rsidRPr="00872293">
        <w:rPr>
          <w:rFonts w:ascii="Times New Roman" w:eastAsia="Lato-Regular" w:hAnsi="Times New Roman" w:cs="Times New Roman"/>
        </w:rPr>
        <w:t xml:space="preserve"> </w:t>
      </w:r>
      <w:r w:rsidRPr="00872293">
        <w:rPr>
          <w:rFonts w:ascii="Times New Roman" w:hAnsi="Times New Roman" w:cs="Times New Roman"/>
        </w:rPr>
        <w:t>2017)</w:t>
      </w:r>
      <w:r w:rsidRPr="00872293">
        <w:rPr>
          <w:rFonts w:ascii="Times New Roman" w:eastAsia="Times New Roman" w:hAnsi="Times New Roman" w:cs="Times New Roman"/>
          <w:shd w:val="clear" w:color="auto" w:fill="FFFFFF"/>
        </w:rPr>
        <w:t>. Most of the data was collected from wet, rain, and cloud forests in the Luquillo Experimental Forest (LEF). Thus, other forests of the Island were underrepresented.</w:t>
      </w:r>
      <w:r w:rsidRPr="00872293">
        <w:rPr>
          <w:rFonts w:ascii="Times New Roman" w:hAnsi="Times New Roman" w:cs="Times New Roman"/>
        </w:rPr>
        <w:t xml:space="preserve"> Further, f</w:t>
      </w:r>
      <w:r w:rsidRPr="00872293">
        <w:rPr>
          <w:rFonts w:ascii="Times New Roman" w:eastAsia="Times New Roman" w:hAnsi="Times New Roman" w:cs="Times New Roman"/>
        </w:rPr>
        <w:t xml:space="preserve">rom the studies considered in </w:t>
      </w:r>
      <w:r w:rsidR="004049CC" w:rsidRPr="00872293">
        <w:rPr>
          <w:rFonts w:ascii="Times New Roman" w:eastAsia="Times New Roman" w:hAnsi="Times New Roman" w:cs="Times New Roman"/>
        </w:rPr>
        <w:t>my</w:t>
      </w:r>
      <w:r w:rsidRPr="00872293">
        <w:rPr>
          <w:rFonts w:ascii="Times New Roman" w:eastAsia="Times New Roman" w:hAnsi="Times New Roman" w:cs="Times New Roman"/>
        </w:rPr>
        <w:t xml:space="preserve"> review, only 18% focused primarily on root measurements, and the rest included roots as a secondary measurement. The most studied root trait</w:t>
      </w:r>
      <w:r w:rsidR="002C190F" w:rsidRPr="00872293">
        <w:rPr>
          <w:rFonts w:ascii="Times New Roman" w:eastAsia="Times New Roman" w:hAnsi="Times New Roman" w:cs="Times New Roman"/>
        </w:rPr>
        <w:t>s</w:t>
      </w:r>
      <w:r w:rsidRPr="00872293">
        <w:rPr>
          <w:rFonts w:ascii="Times New Roman" w:eastAsia="Times New Roman" w:hAnsi="Times New Roman" w:cs="Times New Roman"/>
        </w:rPr>
        <w:t xml:space="preserve"> were root chemistry and root dynamics. The least studied root traits </w:t>
      </w:r>
      <w:r w:rsidR="002C190F" w:rsidRPr="00872293">
        <w:rPr>
          <w:rFonts w:ascii="Times New Roman" w:eastAsia="Times New Roman" w:hAnsi="Times New Roman" w:cs="Times New Roman"/>
        </w:rPr>
        <w:t xml:space="preserve">were </w:t>
      </w:r>
      <w:r w:rsidRPr="00872293">
        <w:rPr>
          <w:rFonts w:ascii="Times New Roman" w:eastAsia="Times New Roman" w:hAnsi="Times New Roman" w:cs="Times New Roman"/>
        </w:rPr>
        <w:t xml:space="preserve">root architecture, morphology, and anatomy. </w:t>
      </w:r>
    </w:p>
    <w:p w14:paraId="55E9119B" w14:textId="77777777" w:rsidR="0017155C" w:rsidRPr="00872293" w:rsidRDefault="0017155C" w:rsidP="0017155C">
      <w:pPr>
        <w:spacing w:line="360" w:lineRule="auto"/>
        <w:rPr>
          <w:rFonts w:ascii="Times New Roman" w:eastAsia="Times New Roman" w:hAnsi="Times New Roman" w:cs="Times New Roman"/>
        </w:rPr>
      </w:pPr>
    </w:p>
    <w:p w14:paraId="695542A5" w14:textId="198FFB5D" w:rsidR="0017155C" w:rsidRPr="00872293" w:rsidRDefault="0017155C" w:rsidP="0017155C">
      <w:pPr>
        <w:spacing w:line="360" w:lineRule="auto"/>
        <w:rPr>
          <w:rFonts w:ascii="Times New Roman" w:eastAsia="Times New Roman" w:hAnsi="Times New Roman" w:cs="Times New Roman"/>
        </w:rPr>
      </w:pPr>
      <w:r w:rsidRPr="00872293">
        <w:rPr>
          <w:rFonts w:ascii="Times New Roman" w:eastAsia="Times New Roman" w:hAnsi="Times New Roman" w:cs="Times New Roman"/>
        </w:rPr>
        <w:t>Despite the shallow root distribution in the wet forest</w:t>
      </w:r>
      <w:r w:rsidRPr="00872293">
        <w:rPr>
          <w:rFonts w:ascii="Times New Roman" w:hAnsi="Times New Roman" w:cs="Times New Roman"/>
        </w:rPr>
        <w:t xml:space="preserve"> (above 20 cm) that I found in the literature, only three studies considered rooting distribution </w:t>
      </w:r>
      <w:r w:rsidR="00A843B9" w:rsidRPr="00872293">
        <w:rPr>
          <w:rFonts w:ascii="Times New Roman" w:hAnsi="Times New Roman" w:cs="Times New Roman"/>
        </w:rPr>
        <w:t>deeper</w:t>
      </w:r>
      <w:r w:rsidRPr="00872293">
        <w:rPr>
          <w:rFonts w:ascii="Times New Roman" w:hAnsi="Times New Roman" w:cs="Times New Roman"/>
        </w:rPr>
        <w:t xml:space="preserve"> than 30 cm. Although the dry forest has slightly deeper root distribution than the wet forest, only one study measured root vertical distribution </w:t>
      </w:r>
      <w:r w:rsidR="00A843B9" w:rsidRPr="00872293">
        <w:rPr>
          <w:rFonts w:ascii="Times New Roman" w:hAnsi="Times New Roman" w:cs="Times New Roman"/>
        </w:rPr>
        <w:t xml:space="preserve">below </w:t>
      </w:r>
      <w:r w:rsidRPr="00872293">
        <w:rPr>
          <w:rFonts w:ascii="Times New Roman" w:hAnsi="Times New Roman" w:cs="Times New Roman"/>
        </w:rPr>
        <w:t xml:space="preserve">30 cm of soil depth. Rooting depth distribution from other forests (e.g. Southwest and Northwest) would increase the accuracy of root vertical distribution representation over the </w:t>
      </w:r>
      <w:r w:rsidR="002C190F" w:rsidRPr="00872293">
        <w:rPr>
          <w:rFonts w:ascii="Times New Roman" w:hAnsi="Times New Roman" w:cs="Times New Roman"/>
        </w:rPr>
        <w:t>i</w:t>
      </w:r>
      <w:r w:rsidRPr="00872293">
        <w:rPr>
          <w:rFonts w:ascii="Times New Roman" w:hAnsi="Times New Roman" w:cs="Times New Roman"/>
        </w:rPr>
        <w:t xml:space="preserve">sland. I also found that root biomass is greater in the wet forest than in the dry forest; and plantations followed by urban sites in the dry area of the island have the lowest root biomass from all studies. </w:t>
      </w:r>
      <w:proofErr w:type="spellStart"/>
      <w:r w:rsidRPr="00872293">
        <w:rPr>
          <w:rFonts w:ascii="Times New Roman" w:hAnsi="Times New Roman" w:cs="Times New Roman"/>
        </w:rPr>
        <w:t>Root:shoot</w:t>
      </w:r>
      <w:proofErr w:type="spellEnd"/>
      <w:r w:rsidRPr="00872293">
        <w:rPr>
          <w:rFonts w:ascii="Times New Roman" w:hAnsi="Times New Roman" w:cs="Times New Roman"/>
        </w:rPr>
        <w:t xml:space="preserve"> ratio is species-specific, but it varies depending the tree bole diameter (smaller trees have lower </w:t>
      </w:r>
      <w:proofErr w:type="spellStart"/>
      <w:r w:rsidRPr="00872293">
        <w:rPr>
          <w:rFonts w:ascii="Times New Roman" w:hAnsi="Times New Roman" w:cs="Times New Roman"/>
        </w:rPr>
        <w:t>root:shoot</w:t>
      </w:r>
      <w:proofErr w:type="spellEnd"/>
      <w:r w:rsidRPr="00872293">
        <w:rPr>
          <w:rFonts w:ascii="Times New Roman" w:hAnsi="Times New Roman" w:cs="Times New Roman"/>
        </w:rPr>
        <w:t xml:space="preserve"> ratio than larger trees), and it is higher in Puerto Rico compared to other tropical sites, mainly due the great representation of larger trees measured by whole tree excavation. Root N and P concentration is also species-specific and varies significantly with root diameter classification. Thus, a functional classification or an order-based classification are greatly recommended for future root studies in the island. Finally, studies show that tree roots from Puerto Rico present some adaptations to hurricanes, such as the root grafting. Yet, the multiple functions (e.g. nutrient exchange) of root grafting are still underdeveloped, and the responsiveness of different root traits to hurricanes or other disturbances have not been investigated in depth.</w:t>
      </w:r>
    </w:p>
    <w:p w14:paraId="06EA9DE5" w14:textId="77777777" w:rsidR="0017155C" w:rsidRPr="00872293" w:rsidRDefault="0017155C" w:rsidP="0017155C">
      <w:pPr>
        <w:spacing w:line="360" w:lineRule="auto"/>
        <w:rPr>
          <w:rFonts w:ascii="Times New Roman" w:eastAsia="Times New Roman" w:hAnsi="Times New Roman" w:cs="Times New Roman"/>
        </w:rPr>
      </w:pPr>
    </w:p>
    <w:p w14:paraId="3C057566" w14:textId="13992001" w:rsidR="0017155C" w:rsidRPr="00872293" w:rsidRDefault="00285CEB" w:rsidP="0014670A">
      <w:pPr>
        <w:spacing w:line="360" w:lineRule="auto"/>
        <w:rPr>
          <w:rFonts w:ascii="Times New Roman" w:hAnsi="Times New Roman" w:cs="Times New Roman"/>
        </w:rPr>
      </w:pPr>
      <w:r w:rsidRPr="00872293">
        <w:rPr>
          <w:rFonts w:ascii="Times New Roman" w:eastAsia="Times New Roman" w:hAnsi="Times New Roman" w:cs="Times New Roman"/>
        </w:rPr>
        <w:lastRenderedPageBreak/>
        <w:t>This</w:t>
      </w:r>
      <w:r w:rsidR="0017155C" w:rsidRPr="00872293">
        <w:rPr>
          <w:rFonts w:ascii="Times New Roman" w:eastAsia="Times New Roman" w:hAnsi="Times New Roman" w:cs="Times New Roman"/>
        </w:rPr>
        <w:t xml:space="preserve"> </w:t>
      </w:r>
      <w:r w:rsidR="0017155C" w:rsidRPr="00872293">
        <w:rPr>
          <w:rFonts w:ascii="Times New Roman" w:hAnsi="Times New Roman" w:cs="Times New Roman"/>
        </w:rPr>
        <w:t xml:space="preserve">synthesis can be used in global databases to better represent tropical roots, better inform modules of TBM, and open questions for future studies of the underground in Puerto Rico and the tropics in general. As a result of this review, I was able to investigate some of the gaps presented in belowground studies in the island such as the response of root traits to warming and hurricane disturbances, considering a rooting depth up to </w:t>
      </w:r>
      <w:r w:rsidRPr="00872293">
        <w:rPr>
          <w:rFonts w:ascii="Times New Roman" w:hAnsi="Times New Roman" w:cs="Times New Roman"/>
        </w:rPr>
        <w:t>one</w:t>
      </w:r>
      <w:r w:rsidR="0017155C" w:rsidRPr="00872293">
        <w:rPr>
          <w:rFonts w:ascii="Times New Roman" w:hAnsi="Times New Roman" w:cs="Times New Roman"/>
        </w:rPr>
        <w:t xml:space="preserve"> meter. Further, I was able to extend root trait measurements, including those that were least studied before such as root morphology, architecture, and enzymatic activity from some common tree species at the LEF. </w:t>
      </w:r>
    </w:p>
    <w:p w14:paraId="746D8334" w14:textId="77777777" w:rsidR="00061BC2" w:rsidRPr="00872293" w:rsidRDefault="00061BC2" w:rsidP="0014670A">
      <w:pPr>
        <w:spacing w:line="360" w:lineRule="auto"/>
        <w:rPr>
          <w:rFonts w:ascii="Times New Roman" w:eastAsia="Times New Roman" w:hAnsi="Times New Roman" w:cs="Times New Roman"/>
        </w:rPr>
      </w:pPr>
    </w:p>
    <w:p w14:paraId="12F26751" w14:textId="0DBC98A6" w:rsidR="0017155C" w:rsidRPr="00872293" w:rsidRDefault="0017155C" w:rsidP="00932058">
      <w:pPr>
        <w:pStyle w:val="Heading2"/>
        <w:spacing w:before="0" w:after="0" w:line="360" w:lineRule="auto"/>
        <w:rPr>
          <w:bCs/>
        </w:rPr>
      </w:pPr>
      <w:bookmarkStart w:id="175" w:name="_Toc53689121"/>
      <w:r w:rsidRPr="00872293">
        <w:rPr>
          <w:bCs/>
        </w:rPr>
        <w:t>Root</w:t>
      </w:r>
      <w:r w:rsidR="0014670A" w:rsidRPr="00872293">
        <w:rPr>
          <w:bCs/>
        </w:rPr>
        <w:t>-</w:t>
      </w:r>
      <w:r w:rsidRPr="00872293">
        <w:rPr>
          <w:bCs/>
        </w:rPr>
        <w:t>dynamics traits under warming on a forest scale</w:t>
      </w:r>
      <w:bookmarkEnd w:id="175"/>
    </w:p>
    <w:p w14:paraId="5342C1FC" w14:textId="51C9FF14" w:rsidR="0017155C" w:rsidRPr="00872293" w:rsidRDefault="0017155C" w:rsidP="00932058">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Increasing temperatures can affect directly root production by alterations to metabolic processes, or indirectly by affecting nutrient mineralization, water input, and </w:t>
      </w:r>
      <w:r w:rsidRPr="00872293">
        <w:rPr>
          <w:rFonts w:ascii="Times New Roman" w:hAnsi="Times New Roman" w:cs="Times New Roman"/>
        </w:rPr>
        <w:t xml:space="preserve">carbon allocation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{"citationItems":[{"id":"ITEM-1","itemData":{"DOI":"10.1007/s004420050892","ISSN":"00298549","abstract":"Root demographic processes (birth and death) were measured using minirhizotrons in the soil warming experiments at the summit of Great Dun Fell, United Kingdom (845 m). The soil warming treatment raised soil temperature at 2 cm depth by nearly 3 degrees C. The first experiment ran for 6 months (1994), the second for 18 (1995-1996). In both experiments, heating increased death rates for roots, but birth rates were not significantly increased in the first experiment. The lack of stimulation of death rate in 1996 is probably an artefact, caused by completion of measurements in late summer of 1996, before the seasonal demography was concluded: root death continued over the winter of 1995-1996. Measurements of instantaneous death rates confirmed this: they were accelerated by warming in the second experiment. In the one complete year (1995-1996) in which measurements were taken, net root numbers by the end of the year were not affected by soil warming. The best explanatory environmental variable for root birth rate in both experiments was photosynthetically active radiation (PAR) flux, averaged over the previous 5 (first experiment) or 10 days (second experiment). In the second experiment, the relationship between birth rate and PAR flux was steeper and stronger in heated than in unheated plots. Death rate was best explained by vegetation temperature. These results provide further evidence that root production acclimates to temperature and is driven by the availability of photosynthate. The stimulation of root growth due to soil warming was almost certainly the result of changes in nutrient availability following enhanced decomposition.","author":[{"dropping-particle":"","family":"Fitter","given":"A. H.","non-dropping-particle":"","parse-names":false,"suffix":""},{"dropping-particle":"","family":"Self","given":"G. K.","non-dropping-particle":"","parse-names":false,"suffix":""},{"dropping-particle":"","family":"Brown","given":"T. K.","non-dropping-particle":"","parse-names":false,"suffix":""},{"dropping-particle":"","family":"Bogie","given":"D. S.","non-dropping-particle":"","parse-names":false,"suffix":""},{"dropping-particle":"","family":"Graves","given":"J. D.","non-dropping-particle":"","parse-names":false,"suffix":""},{"dropping-particle":"","family":"Benham","given":"D.","non-dropping-particle":"","parse-names":false,"suffix":""},{"dropping-particle":"","family":"Ineson","given":"P.","non-dropping-particle":"","parse-names":false,"suffix":""}],"container-title":"Oecologia","id":"ITEM-1","issue":"4","issued":{"date-parts":[["1999"]]},"page":"575-581","title":"Root production and turnover in an upland grassland subjected to artificial soil warming respond to radiation flux and nutrients, not temperature","type":"article-journal","volume":"120"},"uris":["http://www.mendeley.com/documents/?uuid=d94aa61c-7796-42bd-bff8-f65cc2792f4a"]},{"id":"ITEM-2","itemData":{"DOI":"10.1046/j.1469-8137.2000.00689.x","ISSN":"0028646X","abstract":"Soil temperature can influence the functioning of roots in many ways. If soil moisture and nutrient availability are adequate, rates of root length extension and root mortality increase with increasing soil temperature, at least up to an optimal temperature for root growth, which seems to vary among taxa. Root growth and root mortality are highly seasonal in perennial plants, with a flush of growth in spring and significant mortality in the fall. At present we do not understand whether root growth phenology responds to the same temperature cues that are known to control shoot growth. We also do not understand whether the flush of root growth in the spring depends on the utilization of stored nonstructural carbohydrates, or if it is fueled by current photosynthate. Root respiration increases exponentially with temperature, but Q(10) values range widely from c. 1.5 to ]3.0. Significant questions yet to be resolved are: whether rates of root respiration acclimate to soil temperature, and what mechanisms control acclimation if it occurs. Limited data suggest that fine roots depend heavily on the import of new carbon (C) from the canopy during the growing season. We hypothesize that root growth and root respiration are tightly linked to whole-canopy assimilation through complex source-sink relationships within the plant. Our understanding of how the whole plant responds to dynamic changes in soil temperature, moisture and nutrient availability is poor, even though it is well known that multiple growth-limiting resources change simultaneously through time during a typical growing season. We review the interactions between soil temperature and other growth-limiting factors to illustrate how simple generalizations about temperature and root functioning can be misleading.","author":[{"dropping-particle":"","family":"Pregitzer","given":"Kurt S.","non-dropping-particle":"","parse-names":false,"suffix":""},{"dropping-particle":"","family":"King","given":"John S.","non-dropping-particle":"","parse-names":false,"suffix":""},{"dropping-particle":"","family":"Burton","given":"Andrew J.","non-dropping-particle":"","parse-names":false,"suffix":""},{"dropping-particle":"","family":"Brown","given":"Shannon E.","non-dropping-particle":"","parse-names":false,"suffix":""}],"container-title":"New Phytologist","id":"ITEM-2","issue":"1","issued":{"date-parts":[["2000"]]},"page":"105-115","title":"Responses of tree fine roots to temperature","type":"article-journal","volume":"147"},"uris":["http://www.mendeley.com/documents/?uuid=177deccf-9f3f-4f11-b983-7847e5415415"]},{"id":"ITEM-3","itemData":{"DOI":"10.1093/treephys/23.4.273","ISSN":"0829318X","abstract":"Increasing global temperatures could potentially cause large increases in root respiration and associated soil CO2 efflux. However, if root respiration acclimates to higher temperatures, increases in soil CO2 efflux from this source would be much less. Throughout the snow-free season, we measured fine root respiration in the field at ambient soil temperature in a sugar maple (Acer saccharum Marsh.) forest and a red pine (Pinus resinosa Ait.) plantation in Michigan. The objectives were to determine effects of soil temperature, soil water availability and experimental N additions on root respiration rates, and to test for temperature acclimation in response to seasonal changes in soil temperature. Soil temperature and soil water availability were important predictors of root respiration and together explained 76% of the variation in root respiration rates in the red pine plantation and 71% of the variation in the sugar maple forest. Root N concentration explained an additional 6% of the variation in the sugar maple trees. Experimental N additions did not affect root respiration rates at either site. From April to November, root respiration rates measured in the field increased exponentially with increasing soil temperature. For sugar maple, long-term Q10 values calculated from the field data were slightly, but not significantly, less than short-term Q10 values determined for instantaneous temperature series conducted in the laboratory (2.4 versus 2.62.7). For red pine, long-term and short-term Q10 values were similar (3.0 versus 3.0). Sugar maple root respiration rates at constant reference temperatures of 6, 18 and 24 degrees C were measured in the laboratory at various times during the year when field soil temperatures varied from 0.4 to 16.8 degrees C. No relationship existed between ambient soil temperature just before sampling and root respiration rates at 6 and 18 degrees C (P = 0.37 and 0.86, respectively), and only a very weak relationship was found between ambient soil temperature and root respiration at 24 degrees C (P = 0.08, slope = 0.09). We conclude that root respiration in these species undergoes little, if any, acclimation to seasonal changes in soil temperature.","author":[{"dropping-particle":"","family":"Burton","given":"Andrew J.","non-dropping-particle":"","parse-names":false,"suffix":""},{"dropping-particle":"","family":"Pregitzer","given":"Kurt S.","non-dropping-particle":"","parse-names":false,"suffix":""}],"container-title":"Tree Physiology","id":"ITEM-3","issue":"4","issued":{"date-parts":[["2003"]]},"page":"273-280","title":"Field measurements of root respiration indicate little to no seasonal temperature acclimation for sugar maple and red pine","type":"article-journal","volume":"23"},"uris":["http://www.mendeley.com/documents/?uuid=49f63c03-6df8-46b6-b7d1-8a7b94b8cfaa"]},{"id":"ITEM-4","itemData":{"DOI":"10.2136/sssaj1999.634990x","abstract":"Intensive site preparation for forest tree planting may result in a mid-rotation decline in soil N availability. Such decline has not been fully documented. This study was conducted in a loblolly pine (Pinus taeda L.) plantation in the Piedmont of North Carolina to evaluate the effects of nutrient removal during harvest and site preparation on N availability at mid-rotation. Treatments, installed in 1981, consisted of a combination of harvest (stem-only vs. whole-tree) and site preparation (chop and burn vs. shear, pile, and disk), with a split-plot of vegetation control (no herbicide vs. herbicide). In 1995 net N mineralization was examined by monthly in situ soil incubations from May through November (7 mo). Net N mineralization was approximately 3 times lower at mid-rotation than shortly after treatment. A 5 degrees C drop in soil temperature at 10-cm depth helped explain approximate to 50% of this decline. At mid-rotation, harvest intensity, but not site preparation intensity, affected N mineralization, with stem-only harvest plots mineralizing 11 kg N ha(-1) more than whole-tree harvest plots during the seven months. Chop-burn-no herbicide plots mineralized 34(+/-3) kg N ha(-1), chop-burn-herbicide: 30(+/-3) kg N ha(-1), shear-pile-disk-herbicide: 28(+/-3) kg N ha(-1), and shear-pile-disk-no herbicide: 19(+/-3) kg N ha(-1) in the seven months. Mid-rotation mineralization was positively correlated with soil temperature and negatively correlated with soil P and soil C:N ratio. The effect of harvest on N mineralization was probably exerted through P nutrition, whereas the lack of site preparation effects suggested that large nutrient removals that occurred with shearing and piling did not have lasting and negative effects on N availability in this plantation.","author":[{"dropping-particle":"","family":"Piatek","given":"Kathryn B.","non-dropping-particle":"","parse-names":false,"suffix":""},{"dropping-particle":"","family":"Allen","given":"H.Lee","non-dropping-particle":"","parse-names":false,"suffix":""}],"container-title":"Soil Science Society of America Journal","id":"ITEM-4","issue":"4","issued":{"date-parts":[["2010"]]},"page":"990-998","title":"Nitrogen Mineralization in a Pine Plantation Fifteen Years After Harvesting and Site Preparation","type":"article-journal","volume":"63"},"uris":["http://www.mendeley.com/documents/?uuid=fa5edde4-cc3f-4276-81b7-8e806a9c4f3b"]},{"id":"ITEM-5","itemData":{"DOI":"10.1093/treephys/tpr066","ISSN":"0829318X","abstract":"Examining the responses of root standing crop (biomass and necromass) and chemistry to soil warming is crucial for understanding root dynamics and functioning in the face of global climate change. We assessed the standing crop, total nitrogen (N) and carbon (C) compounds in tree roots and soil net N mineralization over the growing season after 6 years of experimental soil warming in a temperate deciduous forest in 2008. Roots were sorted into four different categories: live and dead fine roots (≤1 mm in diameter) and live and dead coarse roots (1-4 mm in diameter). Total root standing crop (live plus dead) in the top 10cm of soil in the warmed area was 42.5% (378.4 vs. 658.5gm -2) lower than in the control area, while live root standing crop in the warmed area was 62% lower than in the control area. Soil net N mineralization over the growing season increased by 79.4% in the warmed relative to the control area. Soil warming did not significantly change the concentrations of C and C compounds (sugar, starch, hemicellulose, cellulose and lignin) in the four root categories. However, total N concentration in the live fine roots in the warmed area was 10.5% (13.7 vs. 12.4 mg g -1) higher and C:N ratio was 8.6% (38.5 vs. 42.1) lower than in the control area. The increase in N concentration in the live fine roots could be attributed to the increase in soil N availability due to soil warming. Net N mineralization was negatively correlated with both live and dead fine roots in the mineral soil that is home to the majority of roots, suggesting that soil warming increases N mineralization, decreases fine root biomass and thus decreases C allocation belowground. © The Author 2011. Published by Oxford University Press. All rights reserved.","author":[{"dropping-particle":"","family":"Zhou","given":"Yumei","non-dropping-particle":"","parse-names":false,"suffix":""},{"dropping-particle":"","family":"Tang","given":"Jianwu","non-dropping-particle":"","parse-names":false,"suffix":""},{"dropping-particle":"","family":"Melillo","given":"Jerry M.","non-dropping-particle":"","parse-names":false,"suffix":""},{"dropping-particle":"","family":"Butler","given":"Sarah","non-dropping-particle":"","parse-names":false,"suffix":""},{"dropping-particle":"","family":"Mohan","given":"Jacqueline E.","non-dropping-particle":"","parse-names":false,"suffix":""}],"container-title":"Tree Physiology","id":"ITEM-5","issue":"7","issued":{"date-parts":[["2011"]]},"page":"707-717","title":"Root standing crop and chemistry after six years of soil warming in a temperate forest","type":"article-journal","volume":"31"},"uris":["http://www.mendeley.com/documents/?uuid=246ad468-edd5-44aa-a6af-a3c45b1433c5"]},{"id":"ITEM-6","itemData":{"DOI":"10.1046/j.1365-2486.2003.00622.x","ISSN":"13541013","abstract":"Understanding how exogenous and endogenous factors control the distribution, production and mortality of fine roots is fundamental to assessing the implications of global change, yet our knowledge of control over fine root dynamics remains rudimentary. To improve understanding of these processes, the present study developed regression relationships between environmental variables and fine root dynamics within a northern hardwood forest in New Hampshire, USA, which was experimentally manipulated with a snow removal treatment. Fine roots (&lt;1 mm diameter) were observed using minirhizotrons for 2 years in sugar maple and yellow birch stands and analyzed in relation to temperature, water and nutrient availability. Fine root dynamics at this site fluctuated seasonally, with growth and mortality peaking during warmer months. Monthly fine root production was strongly associated with mean monthly air temperature and neither soil moisture nor nutrient availability added additional predictive power to this relationship. This relationship exhibited a seasonal temperature hysteresis, which was altered by snow removal treatment. These results suggest that both exogenous and endogenous cues may be important in controlling fine root growth in this system. Proportional fine root mortality was directly associated with mean monthly soil temperature, and proportional fine root mortality during the over-winter interval was strongly related to whether the soil froze. The strong relationship between fine root production and air temperature reported herein contrasts with findings from some hardwood forest sites and indicates that controls on fine root dynamics vary geographically. Future research must more clearly distinguish between endogenous and exogenous control over fine root dynamics in various ecosystems.","author":[{"dropping-particle":"","family":"Tierney","given":"Geraldine L.","non-dropping-particle":"","parse-names":false,"suffix":""},{"dropping-particle":"","family":"Fahey","given":"Timothy J.","non-dropping-particle":"","parse-names":false,"suffix":""},{"dropping-particle":"","family":"Groffman","given":"Peter M.","non-dropping-particle":"","parse-names":false,"suffix":""},{"dropping-particle":"","family":"Hardy","given":"Janet P.","non-dropping-particle":"","parse-names":false,"suffix":""},{"dropping-particle":"","family":"Fitzhugh","given":"Ross D.","non-dropping-particle":"","parse-names":false,"suffix":""},{"dropping-particle":"","family":"Driscoll","given":"Charles T.","non-dropping-particle":"","parse-names":false,"suffix":""},{"dropping-particle":"","family":"Yavitt","given":"Joseph B.","non-dropping-particle":"","parse-names":false,"suffix":""}],"container-title":"Global Change Biology","id":"ITEM-6","issue":"5","issued":{"date-parts":[["2003"]]},"page":"670-679","title":"Environmental control of fine root dynamics in a northern hardwood forest","type":"article-journal","volume":"9"},"uris":["http://www.mendeley.com/documents/?uuid=2b6edcd4-be49-41d8-bd4e-e918b4040220"]}],"mendeley":{"formattedCitation":"(Fitter &lt;i&gt;et al.&lt;/i&gt;, 1999; Pregitzer &lt;i&gt;et al.&lt;/i&gt;, 2000; Burton &amp; Pregitzer, 2003; Tierney &lt;i&gt;et al.&lt;/i&gt;, 2003; Piatek &amp; Allen, 2010; Zhou &lt;i&gt;et al.&lt;/i&gt;, 2011)","plainTextFormattedCitation":"(Fitter et al., 1999; Pregitzer et al., 2000; Burton &amp; Pregitzer, 2003; Tierney et al., 2003; Piatek &amp; Allen, 2010; Zhou et al., 2011)","previouslyFormattedCitation":"(Fitter &lt;i&gt;et al.&lt;/i&gt;, 1999; Pregitzer &lt;i&gt;et al.&lt;/i&gt;, 2000; Burton &amp; Pregitzer, 2003; Tierney &lt;i&gt;et al.&lt;/i&gt;, 2003; Piatek &amp; Allen, 2010; Zhou &lt;i&gt;et al.&lt;/i&gt;, 2011)"},"properties":{"noteIndex":0},"schema":"https://github.com/citation-style-language/schema/raw/master/csl-citation.json"}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(Fitter </w:t>
      </w:r>
      <w:r w:rsidRPr="00872293">
        <w:rPr>
          <w:rFonts w:ascii="Times New Roman" w:hAnsi="Times New Roman" w:cs="Times New Roman"/>
          <w:i/>
          <w:noProof/>
        </w:rPr>
        <w:t>et al.</w:t>
      </w:r>
      <w:r w:rsidRPr="00872293">
        <w:rPr>
          <w:rFonts w:ascii="Times New Roman" w:hAnsi="Times New Roman" w:cs="Times New Roman"/>
          <w:noProof/>
        </w:rPr>
        <w:t xml:space="preserve">, 1999; Pregitzer </w:t>
      </w:r>
      <w:r w:rsidRPr="00872293">
        <w:rPr>
          <w:rFonts w:ascii="Times New Roman" w:hAnsi="Times New Roman" w:cs="Times New Roman"/>
          <w:i/>
          <w:noProof/>
        </w:rPr>
        <w:t>et al.</w:t>
      </w:r>
      <w:r w:rsidRPr="00872293">
        <w:rPr>
          <w:rFonts w:ascii="Times New Roman" w:hAnsi="Times New Roman" w:cs="Times New Roman"/>
          <w:noProof/>
        </w:rPr>
        <w:t xml:space="preserve">, 2000; Burton &amp; Pregitzer, 2003; Tierney </w:t>
      </w:r>
      <w:r w:rsidRPr="00872293">
        <w:rPr>
          <w:rFonts w:ascii="Times New Roman" w:hAnsi="Times New Roman" w:cs="Times New Roman"/>
          <w:i/>
          <w:noProof/>
        </w:rPr>
        <w:t>et al.</w:t>
      </w:r>
      <w:r w:rsidRPr="00872293">
        <w:rPr>
          <w:rFonts w:ascii="Times New Roman" w:hAnsi="Times New Roman" w:cs="Times New Roman"/>
          <w:noProof/>
        </w:rPr>
        <w:t xml:space="preserve">, 2003; Piatek &amp; Allen, 2010; Zhou </w:t>
      </w:r>
      <w:r w:rsidRPr="00872293">
        <w:rPr>
          <w:rFonts w:ascii="Times New Roman" w:hAnsi="Times New Roman" w:cs="Times New Roman"/>
          <w:i/>
          <w:noProof/>
        </w:rPr>
        <w:t>et al.</w:t>
      </w:r>
      <w:r w:rsidRPr="00872293">
        <w:rPr>
          <w:rFonts w:ascii="Times New Roman" w:hAnsi="Times New Roman" w:cs="Times New Roman"/>
          <w:noProof/>
        </w:rPr>
        <w:t>, 2011)</w:t>
      </w:r>
      <w:r w:rsidRPr="00872293">
        <w:rPr>
          <w:rFonts w:ascii="Times New Roman" w:hAnsi="Times New Roman" w:cs="Times New Roman"/>
        </w:rPr>
        <w:fldChar w:fldCharType="end"/>
      </w:r>
      <w:r w:rsidRPr="00872293">
        <w:rPr>
          <w:rFonts w:ascii="Times New Roman" w:hAnsi="Times New Roman" w:cs="Times New Roman"/>
        </w:rPr>
        <w:t>.</w:t>
      </w:r>
      <w:r w:rsidRPr="00872293">
        <w:rPr>
          <w:rFonts w:ascii="Times New Roman" w:eastAsia="Times New Roman" w:hAnsi="Times New Roman" w:cs="Times New Roman"/>
        </w:rPr>
        <w:t xml:space="preserve"> However, the effect of temperature increase in root systems, is not consistent across tree species or forest type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 xml:space="preserve">ADDIN CSL_CITATION {"citationItems":[{"id":"ITEM-1","itemData":{"DOI":"10.1023/A:1004298804353","ISSN":"0032079X","abstract":"The production and mortality of roots is an important factor determining nutrient and carbon fluxes in terrestrial ecosystems. However, the effect of temperature on the longevity of roots is not understood. In this study the impact of changes in temperature on the longevity of Lolium perenne roots was determined. Plants were grown at 15 </w:instrText>
      </w:r>
      <w:r w:rsidRPr="00872293">
        <w:rPr>
          <w:rFonts w:ascii="Tahoma" w:eastAsia="Times New Roman" w:hAnsi="Tahoma" w:cs="Tahoma"/>
        </w:rPr>
        <w:instrText>�</w:instrText>
      </w:r>
      <w:r w:rsidRPr="00872293">
        <w:rPr>
          <w:rFonts w:ascii="Times New Roman" w:eastAsia="Times New Roman" w:hAnsi="Times New Roman" w:cs="Times New Roman"/>
        </w:rPr>
        <w:instrText xml:space="preserve">C, 21 </w:instrText>
      </w:r>
      <w:r w:rsidRPr="00872293">
        <w:rPr>
          <w:rFonts w:ascii="Tahoma" w:eastAsia="Times New Roman" w:hAnsi="Tahoma" w:cs="Tahoma"/>
        </w:rPr>
        <w:instrText>�</w:instrText>
      </w:r>
      <w:r w:rsidRPr="00872293">
        <w:rPr>
          <w:rFonts w:ascii="Times New Roman" w:eastAsia="Times New Roman" w:hAnsi="Times New Roman" w:cs="Times New Roman"/>
        </w:rPr>
        <w:instrText xml:space="preserve">C and 27 </w:instrText>
      </w:r>
      <w:r w:rsidRPr="00872293">
        <w:rPr>
          <w:rFonts w:ascii="Tahoma" w:eastAsia="Times New Roman" w:hAnsi="Tahoma" w:cs="Tahoma"/>
        </w:rPr>
        <w:instrText>�</w:instrText>
      </w:r>
      <w:r w:rsidRPr="00872293">
        <w:rPr>
          <w:rFonts w:ascii="Times New Roman" w:eastAsia="Times New Roman" w:hAnsi="Times New Roman" w:cs="Times New Roman"/>
        </w:rPr>
        <w:instrText>C and their roots observed using a minirhizotron system. Major effects of temperature were measured with large reductions in root longevity occurring at higher temperatures. The implications of these data are discussed.","author":[{"dropping-particle":"","family":"Forbes","given":"P. J.","non-dropping-particle":"","parse-names":false,"suffix":""},{"dropping-particle":"","family":"Black","given":"K. E.","non-dropping-particle":"","parse-names":false,"suffix":""},{"dropping-particle":"","family":"Hooker","given":"J. E.","non-dropping-particle":"","parse-names":false,"suffix":""}],"container-title":"Plant and Soil","id":"ITEM-1","issue":"1","issued":{"date-parts":[["1997"]]},"page":"87-90","title":"Temperature-induced alteration to root longevity in Lolium perenne","type":"article-journal","volume":"190"},"uris":["http://www.mendeley.com/documents/?uuid=c959a7ca-f975-4490-9691-a7ff0810836d"]},{"id":"ITEM-2","itemData":{"DOI":"10.1111/j.1469-8137.2004.01034.x","ISSN":"0028646X","abstract":"•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Phytologist","id":"ITEM-2","issue":"2","issued":{"date-parts":[["2004"]]},"page":"436-446","title":"CO2 enrichment and warming of the atmosphere enhance both productivity and mortality of maple tree fine roots","type":"article-journal","volume":"162"},"uris":["http://www.mendeley.com/documents/?uuid=ea8eb449-938d-4d49-a3de-29025185b266"]},{"id":"ITEM-3","itemData":{"DOI":"10.1371/journal.pbio.0030319","ISSN":"15449173","abstract":"In this century, increasing concentrations of carbon dioxide (CO2) and other greenhouse gases in the Earth's atmosphere are expected to cause warmer surface temperatures and changes in precipitation patterns. At the same time, reactive nitrogen is entering natural systems at unprecedented rates. These global environmental changes have consequences for the functioning of natural ecosystems, and responses of these systems may feed back to affect climate and atmospheric composition. Here, we report plant growth responses of an ecosystem exposed to factorial combinations of four expected global environmental changes. We exposed California grassland to elevated CO2, temperature, precipitation, and nitrogen deposition for five years. Root and shoot production did not respond to elevated CO2 or modest warming. Supplemental precipitation led to increases in shoot production and offsetting decreases in root production. Supplemental nitrate deposition increased total production by an average of 26%, primarily by stimulating shoot growth. Interactions among the main treatments were rare. Together, these results suggest that production in this grassland will respond minimally to changes in CO2 and winter precipitation, and to small amounts of warming. Increased nitrate deposition would have stronger effects on the grassland. Aside from this nitrate response, expectations that a changing atmosphere and climate would promote carbon storage by increasing plant growth appear unlikely to be realized in this system.","author":[{"dropping-particle":"","family":"Dukes","given":"Jeffrey S.","non-dropping-particle":"","parse-names":false,"suffix":""},{"dropping-particle":"","family":"Chiariello","given":"Nona R.","non-dropping-particle":"","parse-names":false,"suffix":""},{"dropping-particle":"","family":"Cleland","given":"Elsa E.","non-dropping-particle":"","parse-names":false,"suffix":""},{"dropping-particle":"","family":"Moore","given":"Lisa A.","non-dropping-particle":"","parse-names":false,"suffix":""},{"dropping-particle":"","family":"Rebecca Shaw","given":"M.","non-dropping-particle":"","parse-names":false,"suffix":""},{"dropping-particle":"","family":"Thayer","given":"Susan","non-dropping-particle":"","parse-names":false,"suffix":""},{"dropping-particle":"","family":"Tobeck","given":"Todd","non-dropping-particle":"","parse-names":false,"suffix":""},{"dropping-particle":"","family":"Mooney","given":"Harold A.","non-dropping-particle":"","parse-names":false,"suffix":""},{"dropping-particle":"","family":"Field","given":"Christopher B.","non-dropping-particle":"","parse-names":false,"suffix":""}],"container-title":"PLoS Biology","id":"ITEM-3","issue":"10","issued":{"date-parts":[["2005"]]},"title":"Responses of grassland production to single and multiple global environmental changes","type":"article-journal","volume":"3"},"uris":["http://www.mendeley.com/documents/?uuid=5e9d4e06-e28a-4cdc-ad6f-d3f0f6df029d"]}],"mendeley":{"formattedCitation":"(Forbes &lt;i&gt;et al.&lt;/i&gt;, 1997; Wan &lt;i&gt;et al.&lt;/i&gt;, 2004; Dukes &lt;i&gt;et al.&lt;/i&gt;, 2005)","plainTextFormattedCitation":"(Forbes et al., 1997; Wan et al., 2004; Dukes et al., 2005)","previouslyFormattedCitation":"(Forbes &lt;i&gt;et al.&lt;/i&gt;, 1997; Wan &lt;i&gt;et al.&lt;/i&gt;, 2004; Dukes &lt;i&gt;et al.&lt;/i&gt;, 2005)"},"properties":{"noteIndex":0},"schema":"https://github.com/citation-style-language/schema/raw/master/csl-citation.json"}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(Forbes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1997; Wan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2004; Dukes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2005)</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Most studies found either a positive response of root production to the increase of temperature, or an increase in mortality due to the secondary negative effect of water shortage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 xml:space="preserve">ADDIN CSL_CITATION {"citationItems":[{"id":"ITEM-1","itemData":{"DOI":"10.1126/sciadv.aaz1834","abstract":"Plant-soil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Advances","id":"ITEM-1","issue":"11","issued":{"date-parts":[["2019","11","1"]]},"page":"eaaz1834","title":"Climate change effects on plant-soil feedbacks and consequences for biodiversity and functioning of terrestrial ecosystems","type":"article-journal","volume":"5"},"uris":["http://www.mendeley.com/documents/?uuid=f33656d6-3f72-4af2-aefc-f4b86350a8e6"]},{"id":"ITEM-2","itemData":{"DOI":"10.1007/s004420050892","ISSN":"00298549","abstract":"Root demographic processes (birth and death) were measured using minirhizotrons in the soil warming experiments at the summit of Great Dun Fell, United Kingdom (845 m). The soil warming treatment raised soil temperature at 2 cm depth by nearly 3 degrees C. The first experiment ran for 6 months (1994), the second for 18 (1995-1996). In both experiments, heating increased death rates for roots, but birth rates were not significantly increased in the first experiment. The lack of stimulation of death rate in 1996 is probably an artefact, caused by completion of measurements in late summer of 1996, before the seasonal demography was concluded: root death continued over the winter of 1995-1996. Measurements of instantaneous death rates confirmed this: they were accelerated by warming in the second experiment. In the one complete year (1995-1996) in which measurements were taken, net root numbers by the end of the year were not affected by soil warming. The best explanatory environmental variable for root birth rate in both experiments was photosynthetically active radiation (PAR) flux, averaged over the previous 5 (first experiment) or 10 days (second experiment). In the second experiment, the relationship between birth rate and PAR flux was steeper and stronger in heated than in unheated plots. Death rate was best explained by vegetation temperature. These results provide further evidence that root production acclimates to temperature and is driven by the availability of photosynthate. The stimulation of root growth due to soil warming was almost certainly the result of changes in nutrient availability following enhanced decomposition.","author":[{"dropping-particle":"","family":"Fitter","given":"A. H.","non-dropping-particle":"","parse-names":false,"suffix":""},{"dropping-particle":"","family":"Self","given":"G. K.","non-dropping-particle":"","parse-names":false,"suffix":""},{"dropping-particle":"","family":"Brown","given":"T. K.","non-dropping-particle":"","parse-names":false,"suffix":""},{"dropping-particle":"","family":"Bogie","given":"D. S.","non-dropping-particle":"","parse-names":false,"suffix":""},{"dropping-particle":"","family":"Graves","given":"J. D.","non-dropping-particle":"","parse-names":false,"suffix":""},{"dropping-particle":"","family":"Benham","given":"D.","non-dropping-particle":"","parse-names":false,"suffix":""},{"dropping-particle":"","family":"Ineson","given":"P.","non-dropping-particle":"","parse-names":false,"suffix":""}],"container-title":"Oecologia","id":"ITEM-2","issue":"4","issued":{"date-parts":[["1999"]]},"page":"575-581","title":"Root production and turnover in an upland grassland subjected to artificial soil warming respond to radiation flux and nutrients, not temperature","type":"article-journal","volume":"120"},"uris":["http://www.mendeley.com/documents/?uuid=d94aa61c-7796-42bd-bff8-f65cc2792f4a"]},{"id":"ITEM-3","itemData":{"DOI":"10.1023/A:1004298804353","ISSN":"0032079X","abstract":"The production and mortality of roots is an important factor determining nutrient and carbon fluxes in terrestrial ecosystems. However, the effect of temperature on the longevity of roots is not understood. In this study the impact of changes in temperature on the longevity of Lolium perenne roots was determined. Plants were grown at 15 </w:instrText>
      </w:r>
      <w:r w:rsidRPr="00872293">
        <w:rPr>
          <w:rFonts w:ascii="Tahoma" w:eastAsia="Times New Roman" w:hAnsi="Tahoma" w:cs="Tahoma"/>
        </w:rPr>
        <w:instrText>�</w:instrText>
      </w:r>
      <w:r w:rsidRPr="00872293">
        <w:rPr>
          <w:rFonts w:ascii="Times New Roman" w:eastAsia="Times New Roman" w:hAnsi="Times New Roman" w:cs="Times New Roman"/>
        </w:rPr>
        <w:instrText xml:space="preserve">C, 21 </w:instrText>
      </w:r>
      <w:r w:rsidRPr="00872293">
        <w:rPr>
          <w:rFonts w:ascii="Tahoma" w:eastAsia="Times New Roman" w:hAnsi="Tahoma" w:cs="Tahoma"/>
        </w:rPr>
        <w:instrText>�</w:instrText>
      </w:r>
      <w:r w:rsidRPr="00872293">
        <w:rPr>
          <w:rFonts w:ascii="Times New Roman" w:eastAsia="Times New Roman" w:hAnsi="Times New Roman" w:cs="Times New Roman"/>
        </w:rPr>
        <w:instrText xml:space="preserve">C and 27 </w:instrText>
      </w:r>
      <w:r w:rsidRPr="00872293">
        <w:rPr>
          <w:rFonts w:ascii="Tahoma" w:eastAsia="Times New Roman" w:hAnsi="Tahoma" w:cs="Tahoma"/>
        </w:rPr>
        <w:instrText>�</w:instrText>
      </w:r>
      <w:r w:rsidRPr="00872293">
        <w:rPr>
          <w:rFonts w:ascii="Times New Roman" w:eastAsia="Times New Roman" w:hAnsi="Times New Roman" w:cs="Times New Roman"/>
        </w:rPr>
        <w:instrText>C and their roots observed using a minirhizotron system. Major effects of temperature were measured with large reductions in root longevity occurring at higher temperatures. The implications of these data are discussed.","author":[{"dropping-particle":"","family":"Forbes","given":"P. J.","non-dropping-particle":"","parse-names":false,"suffix":""},{"dropping-particle":"","family":"Black","given":"K. E.","non-dropping-particle":"","parse-names":false,"suffix":""},{"dropping-particle":"","family":"Hooker","given":"J. E.","non-dropping-particle":"","parse-names":false,"suffix":""}],"container-title":"Plant and Soil","id":"ITEM-3","issue":"1","issued":{"date-parts":[["1997"]]},"page":"87-90","title":"Temperature-induced alteration to root longevity in Lolium perenne","type":"article-journal","volume":"190"},"uris":["http://www.mendeley.com/documents/?uuid=c959a7ca-f975-4490-9691-a7ff0810836d"]},{"id":"ITEM-4","itemData":{"DOI":"10.1111/j.1365-2486.2004.00733.x","ISSN":"13541013","abstract":"The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Biology","id":"ITEM-4","issue":"2","issued":{"date-parts":[["2004"]]},"page":"182-188","title":"Interactive effects of soil warming and fertilization root production, mortality, and longevity in a Norway spruce stand in Northern Sweden","type":"article-journal","volume":"10"},"uris":["http://www.mendeley.com/documents/?uuid=13abc1f4-c945-4204-a671-53a35f6c1b66"]},{"id":"ITEM-5","itemData":{"DOI":"10.1111/j.1469-8137.2004.01034.x","ISSN":"0028646X","abstract":"•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w:instrText>
      </w:r>
      <w:r w:rsidRPr="00872293">
        <w:rPr>
          <w:rFonts w:ascii="Times New Roman" w:eastAsia="Times New Roman" w:hAnsi="Times New Roman" w:cs="Times New Roman"/>
          <w:lang w:val="es-BO"/>
        </w:rPr>
        <w:instrText>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Phytologist","id":"ITEM-5","issue":"2","issued":{"date-parts":[["2004"]]},"page":"436-446","title":"CO2 enrichment and warming of the atmosphere enhance both productivity and mortality of maple tree fine roots","type":"article-journal","volume":"162"},"uris":["http://www.mendeley.com/documents/?uuid=ea8eb449-938d-4d49-a3de-29025185b266"]}],"mendeley":{"formattedCitation":"(Forbes &lt;i&gt;et al.&lt;/i&gt;, 1997; Fitter &lt;i&gt;et al.&lt;/i&gt;, 1999; Majdi &amp; Öhrvik, 2004; Wan &lt;i&gt;et al.&lt;/i&gt;, 2004; Pugnaire &lt;i&gt;et al.&lt;/i&gt;, 2019)","plainTextFormattedCitation":"(Forbes et al., 1997; Fitter et al., 1999; Majdi &amp; Öhrvik, 2004; Wan et al., 2004; Pugnaire et al., 2019)","previouslyFormattedCitation":"(Forbes &lt;i&gt;et al.&lt;/i&gt;, 1997; Fitter &lt;i&gt;et al.&lt;/i&gt;, 1999; Majdi &amp; Öhrvik, 2004; Wan &lt;i&gt;et al.&lt;/i&gt;, 2004; Pugnaire &lt;i&gt;et al.&lt;/i&gt;, 2019)"},"properties":{"noteIndex":0},"schema":"https://github.com/citation-style-language/schema/raw/master/csl-citation.json"}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lang w:val="es-BO"/>
        </w:rPr>
        <w:t xml:space="preserve">(Forbes </w:t>
      </w:r>
      <w:r w:rsidRPr="00872293">
        <w:rPr>
          <w:rFonts w:ascii="Times New Roman" w:eastAsia="Times New Roman" w:hAnsi="Times New Roman" w:cs="Times New Roman"/>
          <w:i/>
          <w:noProof/>
          <w:lang w:val="es-BO"/>
        </w:rPr>
        <w:t>et al.</w:t>
      </w:r>
      <w:r w:rsidRPr="00872293">
        <w:rPr>
          <w:rFonts w:ascii="Times New Roman" w:eastAsia="Times New Roman" w:hAnsi="Times New Roman" w:cs="Times New Roman"/>
          <w:noProof/>
          <w:lang w:val="es-BO"/>
        </w:rPr>
        <w:t xml:space="preserve">, 1997; Fitter </w:t>
      </w:r>
      <w:r w:rsidRPr="00872293">
        <w:rPr>
          <w:rFonts w:ascii="Times New Roman" w:eastAsia="Times New Roman" w:hAnsi="Times New Roman" w:cs="Times New Roman"/>
          <w:i/>
          <w:noProof/>
          <w:lang w:val="es-BO"/>
        </w:rPr>
        <w:t>et al.</w:t>
      </w:r>
      <w:r w:rsidRPr="00872293">
        <w:rPr>
          <w:rFonts w:ascii="Times New Roman" w:eastAsia="Times New Roman" w:hAnsi="Times New Roman" w:cs="Times New Roman"/>
          <w:noProof/>
          <w:lang w:val="es-BO"/>
        </w:rPr>
        <w:t xml:space="preserve">, 1999; Majdi &amp; Öhrvik, 2004; Wan </w:t>
      </w:r>
      <w:r w:rsidRPr="00872293">
        <w:rPr>
          <w:rFonts w:ascii="Times New Roman" w:eastAsia="Times New Roman" w:hAnsi="Times New Roman" w:cs="Times New Roman"/>
          <w:i/>
          <w:noProof/>
          <w:lang w:val="es-BO"/>
        </w:rPr>
        <w:t>et al.</w:t>
      </w:r>
      <w:r w:rsidRPr="00872293">
        <w:rPr>
          <w:rFonts w:ascii="Times New Roman" w:eastAsia="Times New Roman" w:hAnsi="Times New Roman" w:cs="Times New Roman"/>
          <w:noProof/>
          <w:lang w:val="es-BO"/>
        </w:rPr>
        <w:t xml:space="preserve">, 2004; Pugnaire </w:t>
      </w:r>
      <w:r w:rsidRPr="00872293">
        <w:rPr>
          <w:rFonts w:ascii="Times New Roman" w:eastAsia="Times New Roman" w:hAnsi="Times New Roman" w:cs="Times New Roman"/>
          <w:i/>
          <w:noProof/>
          <w:lang w:val="es-BO"/>
        </w:rPr>
        <w:t>et al.</w:t>
      </w:r>
      <w:r w:rsidRPr="00872293">
        <w:rPr>
          <w:rFonts w:ascii="Times New Roman" w:eastAsia="Times New Roman" w:hAnsi="Times New Roman" w:cs="Times New Roman"/>
          <w:noProof/>
          <w:lang w:val="es-BO"/>
        </w:rPr>
        <w:t>, 2019)</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lang w:val="es-BO"/>
        </w:rPr>
        <w:t xml:space="preserve">. </w:t>
      </w:r>
      <w:r w:rsidRPr="00872293">
        <w:rPr>
          <w:rFonts w:ascii="Times New Roman" w:eastAsia="Times New Roman" w:hAnsi="Times New Roman" w:cs="Times New Roman"/>
        </w:rPr>
        <w:t xml:space="preserve">However, most warming experiments took place on temperate and boreal biomes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-1","issue":"4","issued":{"date-parts":[["2012"]]},"page":"542-554","title":"Root Biomass Dynamics Under Experimental Warming and Doubled Precipitation in a Tallgrass Prairie","type":"article-journal","volume":"15"},"uris":["http://www.mendeley.com/documents/?uuid=1f682530-69b0-4b9f-8410-2a104ef6031f"]},{"id":"ITEM-2","itemData":{"DOI":"10.1073/pnas.0403491101","ISSN":"00278424","PMID":"15210962","abstract":"Fine-root production and turnover are important regulators of the biogeochemical cycles of ecosystems and key components of their response to global change. We present a nearly continuous 6-year record of fine-root production and mortality from minirhizotron analysis of a closed-canopy, deciduous sweetgum forest in a free-air CO2 enrichment experiment. Annual production of fine roots was more than doubled in plots with 550 ppm CO2 compared with plots in ambient air. This response was the primary component of the sustained 22% increase in net primary productivity. Annual fine-root mortality matched annual production, and the mean residence time of roots was not altered by elevated CO2, but peak fine-root standing crop in midsummer was significantly higher in CO2-enriched plots, especially deeper in the soil profile. The preferential allocation of additional carbon to fine roots, which have a fast turnover rate in this species, rather than to stemwood reduces the possibility of long-term enhancement by elevated CO2 of carbon sequestration in biomass. However, sequestration of some of the fine-root carbon in soil pools is not precluded, and there may be other benefits to the tree from a seasonally larger and deeper fine-root system. Root-system dynamics can explain differences among ecosystems in their response to elevated atmospheric CO2; hence, accurate assessments of carbon flux and storage in forests in a globally changing atmosphere must account for this unseen and difficult-to-measure component.","author":[{"dropping-particle":"","family":"Norby","given":"Richard J.","non-dropping-particle":"","parse-names":false,"suffix":""},{"dropping-particle":"","family":"Ledford","given":"Joanne","non-dropping-particle":"","parse-names":false,"suffix":""},{"dropping-particle":"","family":"Reilly","given":"Carolyn D.","non-dropping-particle":"","parse-names":false,"suffix":""},{"dropping-particle":"","family":"Miller","given":"Nicole E.","non-dropping-particle":"","parse-names":false,"suffix":""},{"dropping-particle":"","family":"O'Neill","given":"Elizabeth G.","non-dropping-particle":"","parse-names":false,"suffix":""}],"container-title":"Proceedings of the National Academy of Sciences of the United States of America","id":"ITEM-2","issued":{"date-parts":[["2004"]]},"title":"Fine-root production dominates response of a deciduous forest to atmospheric CO2 enrichment","type":"article-journal"},"uris":["http://www.mendeley.com/documents/?uuid=8c4201ba-914b-49f1-bb43-c8bc6d126332"]}],"mendeley":{"formattedCitation":"(Norby &lt;i&gt;et al.&lt;/i&gt;, 2004; Zhou &lt;i&gt;et al.&lt;/i&gt;, 2012)","plainTextFormattedCitation":"(Norby et al., 2004; Zhou et al., 2012)","previouslyFormattedCitation":"(Norby &lt;i&gt;et al.&lt;/i&gt;, 2004; Zhou &lt;i&gt;et al.&lt;/i&gt;, 2012)"},"properties":{"noteIndex":0},"schema":"https://github.com/citation-style-language/schema/raw/master/csl-citation.json"}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(Norby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2004; Zhou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2012)</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wh</w:t>
      </w:r>
      <w:r w:rsidR="00071F86" w:rsidRPr="00872293">
        <w:rPr>
          <w:rFonts w:ascii="Times New Roman" w:eastAsia="Times New Roman" w:hAnsi="Times New Roman" w:cs="Times New Roman"/>
        </w:rPr>
        <w:t>ere</w:t>
      </w:r>
      <w:r w:rsidRPr="00872293">
        <w:rPr>
          <w:rFonts w:ascii="Times New Roman" w:eastAsia="Times New Roman" w:hAnsi="Times New Roman" w:cs="Times New Roman"/>
        </w:rPr>
        <w:t xml:space="preserve"> initial environmental condition are very different than in the tropics. </w:t>
      </w:r>
      <w:r w:rsidR="00E3107F" w:rsidRPr="00872293">
        <w:rPr>
          <w:rFonts w:ascii="Times New Roman" w:eastAsia="Times New Roman" w:hAnsi="Times New Roman" w:cs="Times New Roman"/>
        </w:rPr>
        <w:t>I studied how root dynamics responded to an experimental warming (</w:t>
      </w:r>
      <w:r w:rsidR="00E3107F" w:rsidRPr="00872293">
        <w:rPr>
          <w:rFonts w:ascii="Times New Roman" w:hAnsi="Times New Roman" w:cs="Times New Roman"/>
        </w:rPr>
        <w:t>4</w:t>
      </w:r>
      <w:r w:rsidR="00E3107F" w:rsidRPr="00872293">
        <w:rPr>
          <w:rFonts w:ascii="Times New Roman" w:hAnsi="Times New Roman" w:cs="Times New Roman"/>
          <w:vertAlign w:val="superscript"/>
        </w:rPr>
        <w:t>o</w:t>
      </w:r>
      <w:r w:rsidR="00E3107F" w:rsidRPr="00872293">
        <w:rPr>
          <w:rFonts w:ascii="Times New Roman" w:hAnsi="Times New Roman" w:cs="Times New Roman"/>
        </w:rPr>
        <w:t>C greater than ambient</w:t>
      </w:r>
      <w:r w:rsidR="00E3107F" w:rsidRPr="00872293">
        <w:rPr>
          <w:rFonts w:ascii="Times New Roman" w:eastAsia="Times New Roman" w:hAnsi="Times New Roman" w:cs="Times New Roman"/>
        </w:rPr>
        <w:t xml:space="preserve">) in a wet tropical forest of Puerto Rico. </w:t>
      </w:r>
      <w:r w:rsidR="00071F86" w:rsidRPr="00872293">
        <w:rPr>
          <w:rFonts w:ascii="Times New Roman" w:eastAsia="Times New Roman" w:hAnsi="Times New Roman" w:cs="Times New Roman"/>
        </w:rPr>
        <w:t>C</w:t>
      </w:r>
      <w:r w:rsidRPr="00872293">
        <w:rPr>
          <w:rFonts w:ascii="Times New Roman" w:eastAsia="Times New Roman" w:hAnsi="Times New Roman" w:cs="Times New Roman"/>
        </w:rPr>
        <w:t>ontrary</w:t>
      </w:r>
      <w:r w:rsidR="00071F86" w:rsidRPr="00872293">
        <w:rPr>
          <w:rFonts w:ascii="Times New Roman" w:eastAsia="Times New Roman" w:hAnsi="Times New Roman" w:cs="Times New Roman"/>
        </w:rPr>
        <w:t xml:space="preserve"> to results from higher latitude ecosystems</w:t>
      </w:r>
      <w:r w:rsidRPr="00872293">
        <w:rPr>
          <w:rFonts w:ascii="Times New Roman" w:eastAsia="Times New Roman" w:hAnsi="Times New Roman" w:cs="Times New Roman"/>
        </w:rPr>
        <w:t>, I found that higher temperature decreased root production over time, declining root biomass. This shows the negative effect of warming on root dynamics in a tropical forest.</w:t>
      </w:r>
    </w:p>
    <w:p w14:paraId="4D4B9475" w14:textId="77777777" w:rsidR="00061BC2" w:rsidRPr="00872293" w:rsidRDefault="00061BC2" w:rsidP="00176EC4">
      <w:pPr>
        <w:spacing w:line="360" w:lineRule="auto"/>
        <w:rPr>
          <w:rFonts w:ascii="Times New Roman" w:eastAsia="Times New Roman" w:hAnsi="Times New Roman" w:cs="Times New Roman"/>
        </w:rPr>
      </w:pPr>
    </w:p>
    <w:p w14:paraId="4318C148" w14:textId="77777777" w:rsidR="0017155C" w:rsidRPr="00872293" w:rsidRDefault="0017155C" w:rsidP="00932058">
      <w:pPr>
        <w:pStyle w:val="Heading2"/>
        <w:spacing w:before="0" w:after="0" w:line="360" w:lineRule="auto"/>
      </w:pPr>
      <w:bookmarkStart w:id="176" w:name="_Toc53689122"/>
      <w:r w:rsidRPr="00872293">
        <w:t>Root dynamics traits under hurricane disturbance on a forest scale</w:t>
      </w:r>
      <w:bookmarkEnd w:id="176"/>
    </w:p>
    <w:p w14:paraId="6605098B" w14:textId="2A247B4B" w:rsidR="0017155C" w:rsidRPr="00872293" w:rsidRDefault="0017155C" w:rsidP="00932058">
      <w:pPr>
        <w:spacing w:before="240" w:line="360" w:lineRule="auto"/>
        <w:rPr>
          <w:rFonts w:ascii="Times New Roman" w:hAnsi="Times New Roman" w:cs="Times New Roman"/>
        </w:rPr>
      </w:pPr>
      <w:r w:rsidRPr="00872293">
        <w:rPr>
          <w:rFonts w:ascii="Times New Roman" w:eastAsia="Times New Roman" w:hAnsi="Times New Roman" w:cs="Times New Roman"/>
        </w:rPr>
        <w:t>Hurricane</w:t>
      </w:r>
      <w:r w:rsidR="00E22F17" w:rsidRPr="00872293">
        <w:rPr>
          <w:rFonts w:ascii="Times New Roman" w:eastAsia="Times New Roman" w:hAnsi="Times New Roman" w:cs="Times New Roman"/>
        </w:rPr>
        <w:t>s</w:t>
      </w:r>
      <w:r w:rsidRPr="00872293">
        <w:rPr>
          <w:rFonts w:ascii="Times New Roman" w:eastAsia="Times New Roman" w:hAnsi="Times New Roman" w:cs="Times New Roman"/>
        </w:rPr>
        <w:t xml:space="preserve"> are considered one of the most intense weather disturbances affecting forest ecosystems in </w:t>
      </w:r>
      <w:r w:rsidRPr="00872293">
        <w:rPr>
          <w:rFonts w:ascii="Times New Roman" w:hAnsi="Times New Roman" w:cs="Times New Roman"/>
        </w:rPr>
        <w:t>the Caribbean</w:t>
      </w:r>
      <w:r w:rsidRPr="00872293">
        <w:rPr>
          <w:rFonts w:ascii="Times New Roman" w:eastAsia="Times New Roman" w:hAnsi="Times New Roman" w:cs="Times New Roman"/>
        </w:rPr>
        <w:t xml:space="preserv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{"citationItems":[{"id":"ITEM-1","itemData":{"DOI":"10.1007/978-94-007-1363-5_32","abstract":"Hurricanes, typhoons, tropical cyclones, and other tropical storms affect many areas of the globe. Although the names used vary regionally, here I will refer to hurricanes to describe the impacts of these tropical storms globally. The intensity and frequency of hurricanes vary dramatically in different areas of the globe, but their origins are always in warm tropical waters such as the North Atlantic off the African coast, or the central Pacific Ocean. Hurricanes result from the interaction of heated sea water with global wind circulation patterns to create a contained meteorological system with persistent cyclonic circulation rotating around a low-pressure center (Fig. 32.1). Hurricanes initially arise from tropical storms with incomplete circulation, and as they grow in strength the circulation (counterclockwise in the Northern Hemisphere, clockwise in the Southern) closes with an “eye” in the center. Once the circulation is complete, the system is referred to as a hurricane if wind speeds exceed 119 km h −1 . Each hurricane has both a speed (the rate at which the storm is moving across the face of the earth) and a strength (the velocity of the cyclonic circulation). The strength of the hurricane changes over time, and usually declines after initial landfall. Damage to forests is typically a function of the hurricane strength, which determines the likelihood of both damage to trees and the storm surges that can occur in low-lying coastal areas. Hurricanes are often associated with high rains, with totals of 25 cm or more.","author":[{"dropping-particle":"","family":"McDowell","given":"William H.","non-dropping-particle":"","parse-names":false,"suffix":""}],"container-title":"Forest Hydrology and Biogeochemistry","id":"ITEM-1","issued":{"date-parts":[["2011"]]},"page":"643-657","title":"Impacts of Hurricanes on Forest Hydrology and Biogeochemistry","type":"chapter"},"uris":["http://www.mendeley.com/documents/?uuid=6985834e-226f-48b7-8118-7ce3b8bc9dbf"]}],"mendeley":{"formattedCitation":"(McDowell, 2011)","plainTextFormattedCitation":"(McDowell, 2011)","previouslyFormattedCitation":"(McDowell, 2011)"},"properties":{"noteIndex":0},"schema":"https://github.com/citation-style-language/schema/raw/master/csl-citation.json"}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(McDowell, 2011)</w:t>
      </w:r>
      <w:r w:rsidRPr="00872293">
        <w:rPr>
          <w:rFonts w:ascii="Times New Roman" w:hAnsi="Times New Roman" w:cs="Times New Roman"/>
        </w:rPr>
        <w:fldChar w:fldCharType="end"/>
      </w:r>
      <w:r w:rsidRPr="00872293">
        <w:rPr>
          <w:rFonts w:ascii="Times New Roman" w:hAnsi="Times New Roman" w:cs="Times New Roman"/>
        </w:rPr>
        <w:t xml:space="preserve">. </w:t>
      </w:r>
      <w:r w:rsidRPr="00872293">
        <w:rPr>
          <w:rFonts w:ascii="Times New Roman" w:eastAsia="Times New Roman" w:hAnsi="Times New Roman" w:cs="Times New Roman"/>
        </w:rPr>
        <w:t xml:space="preserve">Forest carbon budgets and fluxes recovery, </w:t>
      </w:r>
      <w:r w:rsidRPr="00872293">
        <w:rPr>
          <w:rFonts w:ascii="Times New Roman" w:eastAsia="Times New Roman" w:hAnsi="Times New Roman" w:cs="Times New Roman"/>
        </w:rPr>
        <w:lastRenderedPageBreak/>
        <w:t xml:space="preserve">including from plant roots, take </w:t>
      </w:r>
      <w:r w:rsidR="00E22F17" w:rsidRPr="00872293">
        <w:rPr>
          <w:rFonts w:ascii="Times New Roman" w:eastAsia="Times New Roman" w:hAnsi="Times New Roman" w:cs="Times New Roman"/>
        </w:rPr>
        <w:t xml:space="preserve">from 10 </w:t>
      </w:r>
      <w:r w:rsidRPr="00872293">
        <w:rPr>
          <w:rFonts w:ascii="Times New Roman" w:eastAsia="Times New Roman" w:hAnsi="Times New Roman" w:cs="Times New Roman"/>
        </w:rPr>
        <w:t xml:space="preserve">up to 60 years following a Category 4 hurricane disturbance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{"citationItems":[{"id":"ITEM-1","itemData":{"DOI":"10.2307/2388250","ISSN":"00063606","abstract":"Following disturbance by Hurricane Hugo in September 1989, live fine root standing stocks (to a depth of 10cm) declined to zero over a three month period at Luqillo Experimental Forest, and fluctuated greatly thereafter. Maximum fine root biomass (49 g/m 2 ) occurred in June 1990. Dead root standing stocks (mean 423 g/m 2 ) were relatively constant through the study period. Recovery of fine roots following the initial hurricane-related mortality appears to be a slow process, regulated at least initially by environmental factors such as precipitation. -from Authors","author":[{"dropping-particle":"","family":"Parrotta","given":"John A.","non-dropping-particle":"","parse-names":false,"suffix":""},{"dropping-particle":"","family":"Lodge","given":"D. Jean","non-dropping-particle":"","parse-names":false,"suffix":""}],"container-title":"Biotropica","id":"ITEM-1","issued":{"date-parts":[["1991"]]},"title":"Fine Root Dynamics in a Subtropical Wet Forest Following Hurricane Disturbance in Puerto Rico","type":"article-journal"},"uris":["http://www.mendeley.com/documents/?uuid=47faa566-4b30-4d53-80b4-30fdbb7132cc"]},{"id":"ITEM-2","itemData":{"DOI":"10.1579/0044-7447-29.2.106","ISSN":"00447447","abstract":"The coexistence of hurricanes, coral reefs, and rainforests in the Caribbean demonstrates that highly structured ecosystems with great diversity can flourish in spite of recurring exposure to intense destructive energy. Coral reefs develop in response to wave energy and resist hurricanes largely by virtue of their structural strength. Limited fetch also protects some reefs from fully developed hurricane waves. While storms may produce dramatic local reef damage, they appear to have little impact on the ability of coral reefs to provide food or habitat for fish and other animals. Rainforests experience an enormous increase in wind energy during hurricanes with dramatic structural changes in the vegetation. The resulting changes in forest microclimate are larger than those on reefs and the loss of fruit, leaves, cover, and microclimate has a great impact on animal populations. Recovery of many aspects of rainforest structure and function is rapid, though there may be long-term changes in species composition. While resistance and repair have maintained reefs and rainforests in the past, human impacts may threaten their ability to survive.","author":[{"dropping-particle":"","family":"Lugo","given":"Ariel E.","non-dropping-particle":"","parse-names":false,"suffix":""},{"dropping-particle":"","family":"Rogers","given":"Caroline S.","non-dropping-particle":"","parse-names":false,"suffix":""},{"dropping-particle":"","family":"Nixon","given":"Scott W.","non-dropping-particle":"","parse-names":false,"suffix":""}],"container-title":"Ambio","id":"ITEM-2","issue":"2","issued":{"date-parts":[["2000"]]},"page":"106-114","title":"Hurricanes, coral reefs and rainforests: Resistance, ruin and recovery in the Caribbean","type":"article-journal","volume":"29"},"uris":["http://www.mendeley.com/documents/?uuid=cb9dd568-4e44-4f5e-aae1-3de0b3436a06"]},{"id":"ITEM-3","itemData":{"DOI":"10.1007/s11104-009-9926-z","ISSN":"0032079X","abstract":"Humid tropical forests are dynamic ecosystems that experience multiple and overlapping disturbance events that vary in frequency, intensity, and spatial extent. Here we report the results of a 10-year study investigating the effects of forest clearing and multiple hurricanes on ecosystem carbon reservoirs, nutrient pools and vegetation. The aboveground plant community was most heavily affected by multiple disturbances, with the 9-year-old stands showing high rates of hurricane-induced mortality relative to surrounding forest. Belowground pools were less affected. Live fine root biomass fluctuated in response to multiple disturbances, but returned to pre-disturbance levels after 10 years. Soil C was resilient to clearing and hurricanes, probably due to the large pool size and high clay content. Soil P fluctuated over time, declining during periods of rapid plant recovery and growth. With the exception of K, base cations recovered within 2 years following clearing and showed little response to hurricane disturbance. © The Author(s) 2009.","author":[{"dropping-particle":"","family":"Teh","given":"Yit Arn","non-dropping-particle":"","parse-names":false,"suffix":""},{"dropping-particle":"","family":"Silver","given":"Whendee L.","non-dropping-particle":"","parse-names":false,"suffix":""},{"dropping-particle":"","family":"Scatena","given":"Frederick N.","non-dropping-particle":"","parse-names":false,"suffix":""}],"container-title":"Plant and Soil","id":"ITEM-3","issue":"1","issued":{"date-parts":[["2009"]]},"page":"197-212","title":"A decade of belowground reorganization following multiple disturbances in a subtropical wet forest","type":"article-journal","volume":"323"},"uris":["http://www.mendeley.com/documents/?uuid=b245ce54-2f2c-47d8-8c85-a246a5e75cd5"]}],"mendeley":{"formattedCitation":"(Parrotta &amp; Lodge, 1991; Lugo &lt;i&gt;et al.&lt;/i&gt;, 2000; Teh &lt;i&gt;et al.&lt;/i&gt;, 2009)","plainTextFormattedCitation":"(Parrotta &amp; Lodge, 1991; Lugo et al., 2000; Teh et al., 2009)","previouslyFormattedCitation":"(Parrotta &amp; Lodge, 1991; Lugo &lt;i&gt;et al.&lt;/i&gt;, 2000; Teh &lt;i&gt;et al.&lt;/i&gt;, 2009)"},"properties":{"noteIndex":0},"schema":"https://github.com/citation-style-language/schema/raw/master/csl-citation.json"}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(Parrotta &amp; Lodge, 1991; Lugo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xml:space="preserve">, 2000; Teh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2009)</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w:t>
      </w:r>
      <w:r w:rsidRPr="00872293">
        <w:rPr>
          <w:rFonts w:ascii="Times New Roman" w:hAnsi="Times New Roman" w:cs="Times New Roman"/>
        </w:rPr>
        <w:t xml:space="preserve"> I studied how two </w:t>
      </w:r>
      <w:r w:rsidR="00563BC7" w:rsidRPr="00872293">
        <w:rPr>
          <w:rFonts w:ascii="Times New Roman" w:hAnsi="Times New Roman" w:cs="Times New Roman"/>
        </w:rPr>
        <w:t xml:space="preserve">consecutive </w:t>
      </w:r>
      <w:r w:rsidRPr="00872293">
        <w:rPr>
          <w:rFonts w:ascii="Times New Roman" w:hAnsi="Times New Roman" w:cs="Times New Roman"/>
        </w:rPr>
        <w:t xml:space="preserve">hurricanes affected roots </w:t>
      </w:r>
      <w:r w:rsidR="00563BC7" w:rsidRPr="00872293">
        <w:rPr>
          <w:rFonts w:ascii="Times New Roman" w:hAnsi="Times New Roman" w:cs="Times New Roman"/>
        </w:rPr>
        <w:t xml:space="preserve">from plots </w:t>
      </w:r>
      <w:r w:rsidRPr="00872293">
        <w:rPr>
          <w:rFonts w:ascii="Times New Roman" w:hAnsi="Times New Roman" w:cs="Times New Roman"/>
        </w:rPr>
        <w:t>that were previously exposed to soil warming (4</w:t>
      </w:r>
      <w:r w:rsidRPr="00872293">
        <w:rPr>
          <w:rFonts w:ascii="Times New Roman" w:hAnsi="Times New Roman" w:cs="Times New Roman"/>
          <w:vertAlign w:val="superscript"/>
        </w:rPr>
        <w:t>o</w:t>
      </w:r>
      <w:r w:rsidRPr="00872293">
        <w:rPr>
          <w:rFonts w:ascii="Times New Roman" w:hAnsi="Times New Roman" w:cs="Times New Roman"/>
        </w:rPr>
        <w:t xml:space="preserve">C greater than ambient) for a year. I found that after 10 months from the hurricanes, root production and biomass increased compared to values before the hurricanes. This rapid change in root dynamics and stock mirrored the </w:t>
      </w:r>
      <w:r w:rsidR="00E3107F" w:rsidRPr="00872293">
        <w:rPr>
          <w:rFonts w:ascii="Times New Roman" w:hAnsi="Times New Roman" w:cs="Times New Roman"/>
        </w:rPr>
        <w:t xml:space="preserve">aboveground </w:t>
      </w:r>
      <w:r w:rsidRPr="00872293">
        <w:rPr>
          <w:rFonts w:ascii="Times New Roman" w:hAnsi="Times New Roman" w:cs="Times New Roman"/>
        </w:rPr>
        <w:t>change in plant composition during the forest recovery. More grass and herbaceous plants occupied the plots compared to woody plants</w:t>
      </w:r>
      <w:r w:rsidR="00E3107F" w:rsidRPr="00872293">
        <w:rPr>
          <w:rFonts w:ascii="Times New Roman" w:hAnsi="Times New Roman" w:cs="Times New Roman"/>
        </w:rPr>
        <w:t xml:space="preserve"> post-hurricanes</w:t>
      </w:r>
      <w:r w:rsidRPr="00872293">
        <w:rPr>
          <w:rFonts w:ascii="Times New Roman" w:hAnsi="Times New Roman" w:cs="Times New Roman"/>
        </w:rPr>
        <w:t xml:space="preserve">. However, we found that the increase in root stock was greater in the control plots, compared to the previously warmed plots, even when separating exclusively woody roots from the others. This shows the strong effect of hurricanes on root stock and </w:t>
      </w:r>
      <w:r w:rsidR="00E3107F" w:rsidRPr="00872293">
        <w:rPr>
          <w:rFonts w:ascii="Times New Roman" w:hAnsi="Times New Roman" w:cs="Times New Roman"/>
        </w:rPr>
        <w:t xml:space="preserve">root </w:t>
      </w:r>
      <w:r w:rsidRPr="00872293">
        <w:rPr>
          <w:rFonts w:ascii="Times New Roman" w:hAnsi="Times New Roman" w:cs="Times New Roman"/>
        </w:rPr>
        <w:t>dynamics, as well as the legacy effect of the previous warming on the recovery of roots from the hurricanes.</w:t>
      </w:r>
    </w:p>
    <w:p w14:paraId="549AC0D7" w14:textId="77777777" w:rsidR="00B4427D" w:rsidRPr="00872293" w:rsidRDefault="00B4427D" w:rsidP="00176EC4">
      <w:pPr>
        <w:spacing w:line="360" w:lineRule="auto"/>
        <w:rPr>
          <w:rFonts w:ascii="Times New Roman" w:hAnsi="Times New Roman" w:cs="Times New Roman"/>
        </w:rPr>
      </w:pPr>
    </w:p>
    <w:p w14:paraId="6A4C0A30" w14:textId="77777777" w:rsidR="0017155C" w:rsidRPr="00872293" w:rsidRDefault="0017155C" w:rsidP="00932058">
      <w:pPr>
        <w:pStyle w:val="Heading2"/>
        <w:spacing w:before="0" w:after="0" w:line="360" w:lineRule="auto"/>
      </w:pPr>
      <w:bookmarkStart w:id="177" w:name="_Toc53689123"/>
      <w:r w:rsidRPr="00872293">
        <w:t>Root traits related to P acquisition on a species scale</w:t>
      </w:r>
      <w:bookmarkEnd w:id="177"/>
    </w:p>
    <w:p w14:paraId="7B2B420C" w14:textId="471B33EC" w:rsidR="0017155C" w:rsidRPr="00872293" w:rsidRDefault="0017155C" w:rsidP="00932058">
      <w:pPr>
        <w:spacing w:before="240" w:line="360" w:lineRule="auto"/>
        <w:rPr>
          <w:rFonts w:ascii="Times New Roman" w:hAnsi="Times New Roman" w:cs="Times New Roman"/>
        </w:rPr>
      </w:pPr>
      <w:r w:rsidRPr="00872293">
        <w:rPr>
          <w:rFonts w:ascii="Times New Roman" w:hAnsi="Times New Roman" w:cs="Times New Roman"/>
        </w:rPr>
        <w:t xml:space="preserve">In tropical forest where soil available P is low, trees will present adapted functional traits, including in their roots, to enhance P acquisition </w:t>
      </w:r>
      <w:r w:rsidRPr="00872293">
        <w:rPr>
          <w:rFonts w:ascii="Times New Roman" w:hAnsi="Times New Roman" w:cs="Times New Roman"/>
          <w:spacing w:val="2"/>
        </w:rPr>
        <w:fldChar w:fldCharType="begin" w:fldLock="1"/>
      </w:r>
      <w:r w:rsidRPr="00872293">
        <w:rPr>
          <w:rFonts w:ascii="Times New Roman" w:hAnsi="Times New Roman" w:cs="Times New Roman"/>
          <w:spacing w:val="2"/>
        </w:rPr>
        <w:instrText>ADDIN CSL_CITATION {"citationItems":[{"id":"ITEM-1","itemData":{"abstract":"Moderately fertile soils support productive forests that cycle large quantities of nutrient elements. Forests on the widespread Oxisol/Ultisol soils efficiently cycle smaller quantities of P and Ca, although they appear to be quite rich in N. Forests on sandy Spodosol/Psamment soils cycle small quantities of N (and in some cases P), and they have very high root/shoot ratios. Montane tropical forests generally appear to be low in N, and upper montane forests cycle substantially less N than do lower montane forests. These patterns affect the physiology, community ecology and population biology of tropical forests.-from Authors","author":[{"dropping-particle":"","family":"Vitoussek","given":"P. M.","non-dropping-particle":"","parse-names":false,"suffix":""},{"dropping-particle":"","family":"Sanford","given":"R. L.","non-dropping-particle":"","parse-names":false,"suffix":""}],"container-title":"Annual review of ecology and systematics. Vol. 17","id":"ITEM-1","issue":"1","issued":{"date-parts":[["1986"]]},"page":"137-167","title":"Nutrient cycling in moist tropical forest.","type":"article-journal","volume":"17"},"uris":["http://www.mendeley.com/documents/?uuid=6cd7240e-782a-4796-b27c-adc569d6da73"]},{"id":"ITEM-2","itemData":{"DOI":"10.1038/nature25789","ISSN":"14764687","abstract":"Phosphorus availability is widely assumed to limit primary productivity in tropical forests, but support for this paradigm is equivocal. Although biogeochemical theory predicts that phosphorus limitation should be prevalent on old, strongly weathered soils, experimental manipulations have failed to detect a consistent response to phosphorus addition in species-rich lowland tropical forests. Here we show, by quantifying the growth of 541 tropical tree species across a steep natural phosphorus gradient in Panama, that phosphorus limitation is widespread at the level of individual species and strengthens markedly below a threshold of two parts per million exchangeable soil phosphate. However, this pervasive species-specific phosphorus limitation does not translate into a community-wide response, because some species grow rapidly on infertile soils despite extremely low phosphorus availability. These results redefine our understanding of nutrient limitation in diverse plant communities and have important implications for attempts to predict the response of tropical forests to environmental change.","author":[{"dropping-particle":"","family":"Turner","given":"Benjamin L.","non-dropping-particle":"","parse-names":false,"suffix":""},{"dropping-particle":"","family":"Brenes-Arguedas","given":"Tania","non-dropping-particle":"","parse-names":false,"suffix":""},{"dropping-particle":"","family":"Condit","given":"Richard","non-dropping-particle":"","parse-names":false,"suffix":""}],"container-title":"Nature","id":"ITEM-2","issued":{"date-parts":[["2018"]]},"page":"367-370","title":"Pervasive phosphorus limitation of tree species but not communities in tropical forests","type":"article-journal","volume":"555"},"uris":["http://www.mendeley.com/documents/?uuid=4112bbf2-26cb-4eb4-b435-73b2cb31c426"]},{"id":"ITEM-3","itemData":{"DOI":"10.1007/s004420051020","ISSN":"00298549","abstract":"We studied soil phosphorus (P) fractionation and P-use efficiencies (PUEs) of rainforests along altitudinal gradients (700-3100 m) on two types of parental rocks (sedimentary versus ultrabasic) on Mount Kinabalu, Borneo. Sedimentary rocks were known to contain more quartz (which does not adsorb P) than ultrabasic rocks. The pool (top 30 cm) of total P was always greater on sedimentary (ranging from 34.9 to 72.6 g m-2) than on ultrabasic (9.0-29.2 g m-2) rocks at comparable altitudes. Accordingly, the pools of organic P and labile inorganic P were always greater on sedimentary than on ultrabasic rocks. The pool of primary mineral, calcium P increased upslope from 1.7 to 4.3 g m-2 on sedimentary rock, suggesting that the altitudinal sequence of the sites reflected a decreasing magnitude of soil weathering upslope. The pool of calcium P on ultrabasic rock did not vary consistently with altitude (1.2-2.8 g m-2), probably reflecting the greater between-site variability of primary mineral P in parent rocks. When all sites were compared, the pool of most labile, bicarbonate-extracted inorganic P increased (ranging from 0.02 to 1.85 g m-2) with increasing calcium P. Calcium P was therefore considered to be an important P source to the biota on Kinabalu. Gross patterns in the variation of PUE (indexed as the reciprocal of the P concentration in litter) were best explained by the pool size of actively cycling P (total P minus occluded inorganic P). PUE, however, demonstrated distinct altitudinal patterns to generate an intricate conrol of P use pattern by soil P pools and altitude.","author":[{"dropping-particle":"","family":"Kitayama","given":"Kanehiro","non-dropping-particle":"","parse-names":false,"suffix":""},{"dropping-particle":"","family":"Majalap-Lee","given":"Noreen","non-dropping-particle":"","parse-names":false,"suffix":""},{"dropping-particle":"","family":"Aiba","given":"Shin Ichiro","non-dropping-particle":"","parse-names":false,"suffix":""}],"container-title":"Oecologia","id":"ITEM-3","issued":{"date-parts":[["2000"]]},"title":"Soil phosphorus fractionation and phosphorus-use efficiencies of tropical rainforests along altitudinal gradients of Mount Kinabalu, Borneo","type":"article-journal"},"uris":["http://www.mendeley.com/documents/?uuid=2438380f-773c-4f12-8fdd-56a09c8b698c"]}],"mendeley":{"formattedCitation":"(Vitoussek &amp; Sanford, 1986; Kitayama &lt;i&gt;et al.&lt;/i&gt;, 2000; Turner &lt;i&gt;et al.&lt;/i&gt;, 2018)","plainTextFormattedCitation":"(Vitoussek &amp; Sanford, 1986; Kitayama et al., 2000; Turner et al., 2018)","previouslyFormattedCitation":"(Vitoussek &amp; Sanford, 1986; Kitayama &lt;i&gt;et al.&lt;/i&gt;, 2000; Turner &lt;i&gt;et al.&lt;/i&gt;, 2018)"},"properties":{"noteIndex":0},"schema":"https://github.com/citation-style-language/schema/raw/master/csl-citation.json"}</w:instrText>
      </w:r>
      <w:r w:rsidRPr="00872293">
        <w:rPr>
          <w:rFonts w:ascii="Times New Roman" w:hAnsi="Times New Roman" w:cs="Times New Roman"/>
          <w:spacing w:val="2"/>
        </w:rPr>
        <w:fldChar w:fldCharType="separate"/>
      </w:r>
      <w:r w:rsidRPr="00872293">
        <w:rPr>
          <w:rFonts w:ascii="Times New Roman" w:hAnsi="Times New Roman" w:cs="Times New Roman"/>
          <w:noProof/>
          <w:spacing w:val="2"/>
        </w:rPr>
        <w:t xml:space="preserve">(Vitoussek &amp; Sanford, 1986; Kitayama </w:t>
      </w:r>
      <w:r w:rsidRPr="00872293">
        <w:rPr>
          <w:rFonts w:ascii="Times New Roman" w:hAnsi="Times New Roman" w:cs="Times New Roman"/>
          <w:i/>
          <w:noProof/>
          <w:spacing w:val="2"/>
        </w:rPr>
        <w:t>et al.</w:t>
      </w:r>
      <w:r w:rsidRPr="00872293">
        <w:rPr>
          <w:rFonts w:ascii="Times New Roman" w:hAnsi="Times New Roman" w:cs="Times New Roman"/>
          <w:noProof/>
          <w:spacing w:val="2"/>
        </w:rPr>
        <w:t xml:space="preserve">, 2000; Turner </w:t>
      </w:r>
      <w:r w:rsidRPr="00872293">
        <w:rPr>
          <w:rFonts w:ascii="Times New Roman" w:hAnsi="Times New Roman" w:cs="Times New Roman"/>
          <w:i/>
          <w:noProof/>
          <w:spacing w:val="2"/>
        </w:rPr>
        <w:t>et al.</w:t>
      </w:r>
      <w:r w:rsidRPr="00872293">
        <w:rPr>
          <w:rFonts w:ascii="Times New Roman" w:hAnsi="Times New Roman" w:cs="Times New Roman"/>
          <w:noProof/>
          <w:spacing w:val="2"/>
        </w:rPr>
        <w:t>, 2018)</w:t>
      </w:r>
      <w:r w:rsidRPr="00872293">
        <w:rPr>
          <w:rFonts w:ascii="Times New Roman" w:hAnsi="Times New Roman" w:cs="Times New Roman"/>
          <w:spacing w:val="2"/>
        </w:rPr>
        <w:fldChar w:fldCharType="end"/>
      </w:r>
      <w:r w:rsidRPr="00872293">
        <w:rPr>
          <w:rFonts w:ascii="Times New Roman" w:hAnsi="Times New Roman" w:cs="Times New Roman"/>
        </w:rPr>
        <w:t xml:space="preserve">. According to the Root Economics Spectrum (RES), due </w:t>
      </w:r>
      <w:r w:rsidR="00CA3404" w:rsidRPr="00872293">
        <w:rPr>
          <w:rFonts w:ascii="Times New Roman" w:hAnsi="Times New Roman" w:cs="Times New Roman"/>
        </w:rPr>
        <w:t xml:space="preserve">to </w:t>
      </w:r>
      <w:r w:rsidRPr="00872293">
        <w:rPr>
          <w:rFonts w:ascii="Times New Roman" w:hAnsi="Times New Roman" w:cs="Times New Roman"/>
        </w:rPr>
        <w:t xml:space="preserve">the cost required to invest in some of the root traits related to P acquisition, trees </w:t>
      </w:r>
      <w:r w:rsidR="00C00928" w:rsidRPr="00872293">
        <w:rPr>
          <w:rFonts w:ascii="Times New Roman" w:hAnsi="Times New Roman" w:cs="Times New Roman"/>
        </w:rPr>
        <w:t xml:space="preserve">will </w:t>
      </w:r>
      <w:r w:rsidRPr="00872293">
        <w:rPr>
          <w:rFonts w:ascii="Times New Roman" w:hAnsi="Times New Roman" w:cs="Times New Roman"/>
        </w:rPr>
        <w:t xml:space="preserve">usually </w:t>
      </w:r>
      <w:r w:rsidR="00C00928" w:rsidRPr="00872293">
        <w:rPr>
          <w:rFonts w:ascii="Times New Roman" w:hAnsi="Times New Roman" w:cs="Times New Roman"/>
        </w:rPr>
        <w:t>enhance some traits</w:t>
      </w:r>
      <w:r w:rsidRPr="00872293">
        <w:rPr>
          <w:rFonts w:ascii="Times New Roman" w:hAnsi="Times New Roman" w:cs="Times New Roman"/>
        </w:rPr>
        <w:t xml:space="preserve"> over the others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{"citationItems":[{"id":"ITEM-1","itemData":{"DOI":"10.1111/nph.14003","ISSN":"14698137","abstract":"Contents 1159 I. 1159 II. 1161 III. 1164 IV. 1166 1167 References 1167 SUMMARY: The search for a root economics spectrum (RES) has been sparked by recent interest in trait-based plant ecology. By analogy with the one-dimensional leaf economics spectrum (LES), fine-root traits are hypothesised to match leaf traits which are coordinated along one axis from resource acquisitive to conservative traits. However, our literature review and meta-level analysis reveal no consistent evidence of an RES mirroring an LES. Instead the RES appears to be multidimensional. We discuss three fundamental differences contributing to the discrepancy between these spectra. First, root traits are simultaneously constrained by various environmental drivers not necessarily related to resource uptake. Second, above- and belowground traits cannot be considered analogues, because they function differently and might not be related to resource uptake in a similar manner. Third, mycorrhizal interactions may offset selection for an RES. Understanding and explaining the belowground mechanisms and trade-offs that drive variation in root traits, resource acquisition and plant performance across species, thus requires a fundamentally different approach than applied aboveground. We therefore call for studies that can functionally incorporate the root traits involved in resource uptake, the complex soil environment and the various soil resource uptake mechanisms - particularly the mycorrhizal pathway - in a multidimensional root trait framework.","author":[{"dropping-particle":"","family":"Weemstra","given":"Monique","non-dropping-particle":"","parse-names":false,"suffix":""},{"dropping-particle":"","family":"Mommer","given":"Liesje","non-dropping-particle":"","parse-names":false,"suffix":""},{"dropping-particle":"","family":"Visser","given":"Eric J.W.","non-dropping-particle":"","parse-names":false,"suffix":""},{"dropping-particle":"","family":"Ruijven","given":"Jasper","non-dropping-particle":"van","parse-names":false,"suffix":""},{"dropping-particle":"","family":"Kuyper","given":"Thomas W.","non-dropping-particle":"","parse-names":false,"suffix":""},{"dropping-particle":"","family":"Mohren","given":"Godefridus M.J.","non-dropping-particle":"","parse-names":false,"suffix":""},{"dropping-particle":"","family":"Sterck","given":"Frank J.","non-dropping-particle":"","parse-names":false,"suffix":""}],"container-title":"The New phytologist","id":"ITEM-1","issue":"4","issued":{"date-parts":[["2016"]]},"page":"1159-1169","title":"Towards a multidimensional root trait framework: a tree root review","type":"article-journal","volume":"211"},"uris":["http://www.mendeley.com/documents/?uuid=d741bfb7-9707-4b75-9f0b-92e93dafa19e"]},{"id":"ITEM-2","itemData":{"DOI":"10.1126/sciadv.aba3756","ISSN":"23752548","abstract":"Plant economics run on carbon and nutrients instead of money. Leaf strategies aboveground span an economic spectrum from \"live fast and die young\"to \"slow and steady,\"but the economy defined by root strategies belowground remains unclear. Here, we take a holistic view of the belowground economy and show that root-mycorrhizal collaboration can short circuit a one-dimensional economic spectrum, providing an entire space of economic possibilities. Root trait data from 1810 species across the globe confirm a classical fast-slow \"conservation\"gradient but show that most variation is explained by an orthogonal \"collaboration\"gradient, ranging from \"do-it-yourself\"resource uptake to \"outsourcing\"of resource uptake to mycorrhizal fungi. This broadened \"root economics space\"provides a solid foundation for predictive understanding of belowground responses to changing environmental conditions.","author":[{"dropping-particle":"","family":"Bergmann","given":"Joana","non-dropping-particle":"","parse-names":false,"suffix":""},{"dropping-particle":"","family":"Weigelt","given":"Alexandra","non-dropping-particle":"","parse-names":false,"suffix":""},{"dropping-particle":"","family":"Plas","given":"Fons","non-dropping-particle":"Van Der","parse-names":false,"suffix":""},{"dropping-particle":"","family":"Laughli","given":"Daniel C.","non-dropping-particle":"","parse-names":false,"suffix":""},{"dropping-particle":"","family":"Kuype","given":"Thom W.","non-dropping-particle":"","parse-names":false,"suffix":""},{"dropping-particle":"","family":"Guerrero-Ramirez","given":"Nathaly","non-dropping-particle":"","parse-names":false,"suffix":""},{"dropping-particle":"","family":"Valverde-Barrantes","given":"Oscar J.","non-dropping-particle":"","parse-names":false,"suffix":""},{"dropping-particle":"","family":"Bruelheide","given":"Helge","non-dropping-particle":"","parse-names":false,"suffix":""},{"dropping-particle":"","family":"Fresche","given":"Grégoire T.","non-dropping-particle":"","parse-names":false,"suffix":""},{"dropping-particle":"","family":"Iverse","given":"Colleen M.","non-dropping-particle":"","parse-names":false,"suffix":""},{"dropping-particle":"","family":"Kattge","given":"Jens","non-dropping-particle":"","parse-names":false,"suffix":""},{"dropping-particle":"","family":"McCormack","given":"M. Luke","non-dropping-particle":"","parse-names":false,"suffix":""},{"dropping-particle":"","family":"Meie","given":"Ina C.","non-dropping-particle":"","parse-names":false,"suffix":""},{"dropping-particle":"","family":"Rilli","given":"Matthias C.","non-dropping-particle":"","parse-names":false,"suffix":""},{"dropping-particle":"","family":"Roumet","given":"Catherine","non-dropping-particle":"","parse-names":false,"suffix":""},{"dropping-particle":"","family":"Semchenko","given":"Marina","non-dropping-particle":"","parse-names":false,"suffix":""},{"dropping-particle":"","family":"Sweene","given":"Christopher J.","non-dropping-particle":"","parse-names":false,"suffix":""},{"dropping-particle":"","family":"Ruijven","given":"Jasper","non-dropping-particle":"Van","parse-names":false,"suffix":""},{"dropping-particle":"","family":"Yor","given":"Larry M.","non-dropping-particle":"","parse-names":false,"suffix":""},{"dropping-particle":"","family":"Mommer","given":"Liesje","non-dropping-particle":"","parse-names":false,"suffix":""}],"container-title":"Science Advances","id":"ITEM-2","issued":{"date-parts":[["2020"]]},"page":"27","title":"The fungal collaboration gradient dominates the root economics space in plants","type":"article-journal","volume":"6"},"uris":["http://www.mendeley.com/documents/?uuid=32db0a51-ef0e-4152-943b-b2fefc84c374"]}],"mendeley":{"formattedCitation":"(Weemstra &lt;i&gt;et al.&lt;/i&gt;, 2016; Bergmann &lt;i&gt;et al.&lt;/i&gt;, 2020)","plainTextFormattedCitation":"(Weemstra et al., 2016; Bergmann et al., 2020)","previouslyFormattedCitation":"(Weemstra &lt;i&gt;et al.&lt;/i&gt;, 2016; Bergmann &lt;i&gt;et al.&lt;/i&gt;, 2020)"},"properties":{"noteIndex":0},"schema":"https://github.com/citation-style-language/schema/raw/master/csl-citation.json"}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(Weemstra </w:t>
      </w:r>
      <w:r w:rsidRPr="00872293">
        <w:rPr>
          <w:rFonts w:ascii="Times New Roman" w:hAnsi="Times New Roman" w:cs="Times New Roman"/>
          <w:i/>
          <w:noProof/>
        </w:rPr>
        <w:t>et al.</w:t>
      </w:r>
      <w:r w:rsidRPr="00872293">
        <w:rPr>
          <w:rFonts w:ascii="Times New Roman" w:hAnsi="Times New Roman" w:cs="Times New Roman"/>
          <w:noProof/>
        </w:rPr>
        <w:t xml:space="preserve">, 2016; Bergmann </w:t>
      </w:r>
      <w:r w:rsidRPr="00872293">
        <w:rPr>
          <w:rFonts w:ascii="Times New Roman" w:hAnsi="Times New Roman" w:cs="Times New Roman"/>
          <w:i/>
          <w:noProof/>
        </w:rPr>
        <w:t>et al.</w:t>
      </w:r>
      <w:r w:rsidRPr="00872293">
        <w:rPr>
          <w:rFonts w:ascii="Times New Roman" w:hAnsi="Times New Roman" w:cs="Times New Roman"/>
          <w:noProof/>
        </w:rPr>
        <w:t>, 2020)</w:t>
      </w:r>
      <w:r w:rsidRPr="00872293">
        <w:rPr>
          <w:rFonts w:ascii="Times New Roman" w:hAnsi="Times New Roman" w:cs="Times New Roman"/>
        </w:rPr>
        <w:fldChar w:fldCharType="end"/>
      </w:r>
      <w:r w:rsidRPr="00872293">
        <w:rPr>
          <w:rFonts w:ascii="Times New Roman" w:hAnsi="Times New Roman" w:cs="Times New Roman"/>
        </w:rPr>
        <w:t xml:space="preserve">. In this study I measured seven root traits from eight common species of the </w:t>
      </w:r>
      <w:r w:rsidR="0009602C" w:rsidRPr="00872293">
        <w:rPr>
          <w:rFonts w:ascii="Times New Roman" w:hAnsi="Times New Roman" w:cs="Times New Roman"/>
        </w:rPr>
        <w:t xml:space="preserve">LEF in </w:t>
      </w:r>
      <w:r w:rsidRPr="00872293">
        <w:rPr>
          <w:rFonts w:ascii="Times New Roman" w:hAnsi="Times New Roman" w:cs="Times New Roman"/>
        </w:rPr>
        <w:t xml:space="preserve">Puerto Rico, to identify the strategies these species </w:t>
      </w:r>
      <w:proofErr w:type="gramStart"/>
      <w:r w:rsidRPr="00872293">
        <w:rPr>
          <w:rFonts w:ascii="Times New Roman" w:hAnsi="Times New Roman" w:cs="Times New Roman"/>
        </w:rPr>
        <w:t>have to</w:t>
      </w:r>
      <w:proofErr w:type="gramEnd"/>
      <w:r w:rsidRPr="00872293">
        <w:rPr>
          <w:rFonts w:ascii="Times New Roman" w:hAnsi="Times New Roman" w:cs="Times New Roman"/>
        </w:rPr>
        <w:t xml:space="preserve"> optimize their soil P exploration and uptake. I considered root branching, root mycorrhizal colonization, and root phosphatase activity to be the root traits closely related to P uptake. I found that species that presented higher root branching ratio, presented lower mycorrhizal colonization and phosphatase activity (e.g. </w:t>
      </w:r>
      <w:proofErr w:type="spellStart"/>
      <w:r w:rsidRPr="00872293">
        <w:rPr>
          <w:rFonts w:ascii="Times New Roman" w:hAnsi="Times New Roman" w:cs="Times New Roman"/>
          <w:i/>
          <w:iCs/>
        </w:rPr>
        <w:t>Prestoea</w:t>
      </w:r>
      <w:proofErr w:type="spellEnd"/>
      <w:r w:rsidRPr="00872293">
        <w:rPr>
          <w:rFonts w:ascii="Times New Roman" w:hAnsi="Times New Roman" w:cs="Times New Roman"/>
          <w:i/>
          <w:iCs/>
        </w:rPr>
        <w:t xml:space="preserve"> </w:t>
      </w:r>
      <w:proofErr w:type="spellStart"/>
      <w:r w:rsidRPr="00872293">
        <w:rPr>
          <w:rFonts w:ascii="Times New Roman" w:hAnsi="Times New Roman" w:cs="Times New Roman"/>
          <w:i/>
          <w:iCs/>
        </w:rPr>
        <w:t>montana</w:t>
      </w:r>
      <w:proofErr w:type="spellEnd"/>
      <w:r w:rsidRPr="00872293">
        <w:rPr>
          <w:rFonts w:ascii="Times New Roman" w:hAnsi="Times New Roman" w:cs="Times New Roman"/>
        </w:rPr>
        <w:t xml:space="preserve">), than those using the opposite strategies (e.g. </w:t>
      </w:r>
      <w:r w:rsidRPr="00872293">
        <w:rPr>
          <w:rFonts w:ascii="Times New Roman" w:hAnsi="Times New Roman" w:cs="Times New Roman"/>
          <w:i/>
          <w:iCs/>
        </w:rPr>
        <w:t xml:space="preserve">Cecropia </w:t>
      </w:r>
      <w:proofErr w:type="spellStart"/>
      <w:r w:rsidRPr="00872293">
        <w:rPr>
          <w:rFonts w:ascii="Times New Roman" w:hAnsi="Times New Roman" w:cs="Times New Roman"/>
          <w:i/>
          <w:iCs/>
        </w:rPr>
        <w:t>schreberiana</w:t>
      </w:r>
      <w:proofErr w:type="spellEnd"/>
      <w:r w:rsidRPr="00872293">
        <w:rPr>
          <w:rFonts w:ascii="Times New Roman" w:hAnsi="Times New Roman" w:cs="Times New Roman"/>
        </w:rPr>
        <w:t>). Species considered in this study that had more mycorrhizal colonization</w:t>
      </w:r>
      <w:r w:rsidR="00CA3404" w:rsidRPr="00872293">
        <w:rPr>
          <w:rFonts w:ascii="Times New Roman" w:hAnsi="Times New Roman" w:cs="Times New Roman"/>
        </w:rPr>
        <w:t xml:space="preserve"> </w:t>
      </w:r>
      <w:r w:rsidRPr="00872293">
        <w:rPr>
          <w:rFonts w:ascii="Times New Roman" w:hAnsi="Times New Roman" w:cs="Times New Roman"/>
        </w:rPr>
        <w:t>also ha</w:t>
      </w:r>
      <w:r w:rsidR="00CA3404" w:rsidRPr="00872293">
        <w:rPr>
          <w:rFonts w:ascii="Times New Roman" w:hAnsi="Times New Roman" w:cs="Times New Roman"/>
        </w:rPr>
        <w:t>d</w:t>
      </w:r>
      <w:r w:rsidRPr="00872293">
        <w:rPr>
          <w:rFonts w:ascii="Times New Roman" w:hAnsi="Times New Roman" w:cs="Times New Roman"/>
        </w:rPr>
        <w:t xml:space="preserve"> high root phosphatase activity, suggesting a possible combination of phosphatase enzymes from the root and the fungal partner, which is still under debate in the literature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{"citationItems":[{"id":"ITEM-1","itemData":{"DOI":"10.1111/nph.14494","ISSN":"14698137","abstract":"We hypothesized that dinitrogen (N2)- and non-N2-fixing tropical trees would have distinct phosphorus (P) acquisition strategies allowing them to exploit different P sources, reducing competition. We measured root phosphatase activity and arbuscular mycorrhizal (AM) colonization among two N2- and two non-N2-fixing seedlings, and grew them alone and in competition with different inorganic and organic P forms to assess potential P partitioning. We found an inverse relationship between root phosphatase activity and AM colonization in field-collected seedlings, indicative of a trade-off in P acquisition strategies. This correlated with the predominantly exploited P sources in the seedling experiment: the N2 fixer with high N2 fixation and root phosphatase activity grew best on organic P, whereas the poor N2 fixer and the two non-N2 fixers with high AM colonization grew best on inorganic P. When grown in competition, however, AM colonization, root phosphatase activity and N2 fixation increased in the N2 fixers, allowing them to outcompete the non-N2 fixers regardless of P source. Our results indicate that some tropical trees have the capacity to partition soil P, but this does not eliminate interspecific competition. Rather, enhanced P and N acquisition strategies may increase the competitive ability of N2 fixers relative to non-N2 fixers.","author":[{"dropping-particle":"","family":"Nasto","given":"Megan K.","non-dropping-particle":"","parse-names":false,"suffix":""},{"dropping-particle":"","family":"Osborne","given":"Brooke B.","non-dropping-particle":"","parse-names":false,"suffix":""},{"dropping-particle":"","family":"Lekberg","given":"Ylva","non-dropping-particle":"","parse-names":false,"suffix":""},{"dropping-particle":"","family":"Asner","given":"Gregory P.","non-dropping-particle":"","parse-names":false,"suffix":""},{"dropping-particle":"","family":"Balzotti","given":"Christopher S.","non-dropping-particle":"","parse-names":false,"suffix":""},{"dropping-particle":"","family":"Porder","given":"Stephen","non-dropping-particle":"","parse-names":false,"suffix":""},{"dropping-particle":"","family":"Taylor","given":"Philip G.","non-dropping-particle":"","parse-names":false,"suffix":""},{"dropping-particle":"","family":"Townsend","given":"Alan R.","non-dropping-particle":"","parse-names":false,"suffix":""},{"dropping-particle":"","family":"Cleveland","given":"Cory C.","non-dropping-particle":"","parse-names":false,"suffix":""}],"container-title":"New Phytologist","id":"ITEM-1","issue":"4","issued":{"date-parts":[["2017"]]},"page":"1506-1517","title":"Nutrient acquisition, soil phosphorus partitioning and competition among trees in a lowland tropical rain forest","type":"article-journal","volume":"214"},"uris":["http://www.mendeley.com/documents/?uuid=fd87861e-a444-4343-8222-00089aa3ed27"]},{"id":"ITEM-2","itemData":{"DOI":"10.1007/s11104-019-03963-9","ISSN":"15735036","abstract":"Background and aims: Ancient Amazon soils are characterised by low concentrations of soil phosphorus (P). Therefore, it is hypothesised that plants may invest a substantial proportion of their resources belowground to adjust their P-uptake strategies, including root morphological, physiological (phosphatase enzyme activities) and biotic (arbuscular mycorrhizal (AM) associations) adaptations. Since these strategies are energy demanding, we hypothesise that trade-offs between morphological traits and root phosphatase exudation and symbiotic associations would occur. Specifically, we expected that plants which invest in finer roots, and therefore have greater ability to explore large soil volumes, would have a high investment in physiological adaptations such as enhanced phosphatase production. In contrast, we expected that plants with predominantly thicker roots would invest more in symbiotic associations, in which carbon is traded for P acquired from AM fungal communities. Methods: We collected absorptive roots (&lt;2 mm diameter) from a lowland Central Amazon forest near Manaus, Brazil. We measured fine root diameter, specific root length (SRL), specific root area (SRA), root tissue density (RTD), root phosphatase activity (APase) and arbuscular mycorrhizal (AM) fungi colonisation. Results: Root morphological traits were related to APase activity, with higher APase activity in roots with higher SRL and SRA but lower RTD. However, the degree of AM colonisation was not related to any measured root morphological trait. Conclusions: Fine absorptive roots likely benefit from having low RTD, high SRL, SRA and APase exudation to acquire P efficiently. However, because AM colonisation was not related to root morphology, we suggest that investment in multiple P-uptake strategies is required for maintaining productivity in Central Amazon forests.","author":[{"dropping-particle":"","family":"Lugli","given":"Laynara F.","non-dropping-particle":"","parse-names":false,"suffix":""},{"dropping-particle":"","family":"Andersen","given":"Kelly M.","non-dropping-particle":"","parse-names":false,"suffix":""},{"dropping-particle":"","family":"Aragão","given":"Luiz E.O.C.","non-dropping-particle":"","parse-names":false,"suffix":""},{"dropping-particle":"","family":"Cordeiro","given":"Amanda L.","non-dropping-particle":"","parse-names":false,"suffix":""},{"dropping-particle":"","family":"Cunha","given":"Hellen F.V.","non-dropping-particle":"","parse-names":false,"suffix":""},{"dropping-particle":"","family":"Fuchslueger","given":"Lucia","non-dropping-particle":"","parse-names":false,"suffix":""},{"dropping-particle":"","family":"Meir","given":"Patrick","non-dropping-particle":"","parse-names":false,"suffix":""},{"dropping-particle":"","family":"Mercado","given":"Lina M.","non-dropping-particle":"","parse-names":false,"suffix":""},{"dropping-particle":"","family":"Oblitas","given":"Erick","non-dropping-particle":"","parse-names":false,"suffix":""},{"dropping-particle":"","family":"Quesada","given":"Carlos A.","non-dropping-particle":"","parse-names":false,"suffix":""},{"dropping-particle":"","family":"Rosa","given":"Jessica S.","non-dropping-particle":"","parse-names":false,"suffix":""},{"dropping-particle":"","family":"Schaap","given":"Karst J.","non-dropping-particle":"","parse-names":false,"suffix":""},{"dropping-particle":"","family":"Valverde-Barrantes","given":"Oscar","non-dropping-particle":"","parse-names":false,"suffix":""},{"dropping-particle":"","family":"Hartley","given":"Iain P.","non-dropping-particle":"","parse-names":false,"suffix":""}],"container-title":"Plant and Soil","id":"ITEM-2","issued":{"date-parts":[["2019"]]},"page":"49-63","title":"Multiple phosphorus acquisition strategies adopted by fine roots in low-fertility soils in Central Amazonia","type":"article-journal","volume":"450"},"uris":["http://www.mendeley.com/documents/?uuid=24f71e62-5efe-40f8-9fce-b1db36822b98"]},{"id":"ITEM-3","itemData":{"DOI":"10.1111/j.1365-2745.2008.01384.x","ISSN":"00220477","abstract":"1. Organic phosphorus is abundant in soil and its turnover can supply a considerable fraction of the phosphorus taken up by natural vegetation. Despite this, the ecological significance of organic phosphorus remains poorly understood, which is remarkable given the biological importance of phosphorus in terrestrial environments. 2. Of particular interest is the possibility that coexisting plant species partition soil organic phosphorus to reduce competition. This seems likely given the large number of biologically available phosphorus compounds that occur in soil and the variety of mechanisms by which plants can utilize them. 3. Here I propose a conceptual model of resource partitioning for soil phosphorus. The model describes a hypothetical example of four coexisting plant species that differ in their ability to access soil organic phosphorus compounds, which are grouped to form a gradient of biological availability based on the processes involved in their utilization by plants. 4. Synthesis: Resource partitioning for soil phosphorus could provide an additional mechanism to explain the coexistence and distribution of plant species. It is likely to occur widely in terrestrial environments, but should have greatest ecological significance wherever productivity is limited by the availability of soil phosphorus. This includes freshwater wetlands, super-humid temperate regions and ecosystems developed on strongly-weathered soils that cover vast areas of ancient landscapes in Africa, Australia and South America.","author":[{"dropping-particle":"","family":"Turner","given":"Benjamin L.","non-dropping-particle":"","parse-names":false,"suffix":""}],"container-title":"Journal of Ecology","id":"ITEM-3","issue":"4","issued":{"date-parts":[["2008"]]},"page":"698-702","title":"Resource partitioning for soil phosphorus: A hypothesis","type":"article-journal","volume":"96"},"uris":["http://www.mendeley.com/documents/?uuid=d77ed8ec-0dd7-42c1-bd86-f4d12a85517b"]}],"mendeley":{"formattedCitation":"(Turner, 2008; Nasto &lt;i&gt;et al.&lt;/i&gt;, 2017; Lugli &lt;i&gt;et al.&lt;/i&gt;, 2019)","plainTextFormattedCitation":"(Turner, 2008; Nasto et al., 2017; Lugli et al., 2019)","previouslyFormattedCitation":"(Turner, 2008; Nasto &lt;i&gt;et al.&lt;/i&gt;, 2017; Lugli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(Turner, 2008; Nasto </w:t>
      </w:r>
      <w:r w:rsidRPr="00872293">
        <w:rPr>
          <w:rFonts w:ascii="Times New Roman" w:hAnsi="Times New Roman" w:cs="Times New Roman"/>
          <w:i/>
          <w:noProof/>
        </w:rPr>
        <w:t>et al.</w:t>
      </w:r>
      <w:r w:rsidRPr="00872293">
        <w:rPr>
          <w:rFonts w:ascii="Times New Roman" w:hAnsi="Times New Roman" w:cs="Times New Roman"/>
          <w:noProof/>
        </w:rPr>
        <w:t xml:space="preserve">, 2017; Lugli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Pr="00872293">
        <w:rPr>
          <w:rFonts w:ascii="Times New Roman" w:hAnsi="Times New Roman" w:cs="Times New Roman"/>
        </w:rPr>
        <w:t xml:space="preserve">. My results also suggest that whereas pioneer species such as </w:t>
      </w:r>
      <w:r w:rsidRPr="00872293">
        <w:rPr>
          <w:rFonts w:ascii="Times New Roman" w:hAnsi="Times New Roman" w:cs="Times New Roman"/>
          <w:i/>
          <w:iCs/>
        </w:rPr>
        <w:t xml:space="preserve">C. </w:t>
      </w:r>
      <w:proofErr w:type="spellStart"/>
      <w:r w:rsidRPr="00872293">
        <w:rPr>
          <w:rFonts w:ascii="Times New Roman" w:hAnsi="Times New Roman" w:cs="Times New Roman"/>
          <w:i/>
          <w:iCs/>
        </w:rPr>
        <w:t>schreberiana</w:t>
      </w:r>
      <w:proofErr w:type="spellEnd"/>
      <w:r w:rsidRPr="00872293">
        <w:rPr>
          <w:rFonts w:ascii="Times New Roman" w:hAnsi="Times New Roman" w:cs="Times New Roman"/>
          <w:i/>
          <w:iCs/>
        </w:rPr>
        <w:t xml:space="preserve"> </w:t>
      </w:r>
      <w:r w:rsidRPr="00872293">
        <w:rPr>
          <w:rFonts w:ascii="Times New Roman" w:hAnsi="Times New Roman" w:cs="Times New Roman"/>
        </w:rPr>
        <w:t xml:space="preserve">and </w:t>
      </w:r>
      <w:proofErr w:type="spellStart"/>
      <w:r w:rsidRPr="00872293">
        <w:rPr>
          <w:rFonts w:ascii="Times New Roman" w:hAnsi="Times New Roman" w:cs="Times New Roman"/>
          <w:i/>
          <w:iCs/>
        </w:rPr>
        <w:t>Spathodea</w:t>
      </w:r>
      <w:proofErr w:type="spellEnd"/>
      <w:r w:rsidRPr="00872293">
        <w:rPr>
          <w:rFonts w:ascii="Times New Roman" w:hAnsi="Times New Roman" w:cs="Times New Roman"/>
          <w:i/>
          <w:iCs/>
        </w:rPr>
        <w:t xml:space="preserve"> </w:t>
      </w:r>
      <w:proofErr w:type="spellStart"/>
      <w:r w:rsidRPr="00872293">
        <w:rPr>
          <w:rFonts w:ascii="Times New Roman" w:hAnsi="Times New Roman" w:cs="Times New Roman"/>
          <w:i/>
          <w:iCs/>
        </w:rPr>
        <w:t>campanulata</w:t>
      </w:r>
      <w:proofErr w:type="spellEnd"/>
      <w:r w:rsidRPr="00872293">
        <w:rPr>
          <w:rFonts w:ascii="Times New Roman" w:hAnsi="Times New Roman" w:cs="Times New Roman"/>
        </w:rPr>
        <w:t xml:space="preserve"> will likely rely more on </w:t>
      </w:r>
      <w:r w:rsidR="00563BC7" w:rsidRPr="00872293">
        <w:rPr>
          <w:rFonts w:ascii="Times New Roman" w:hAnsi="Times New Roman" w:cs="Times New Roman"/>
        </w:rPr>
        <w:t xml:space="preserve">root </w:t>
      </w:r>
      <w:r w:rsidRPr="00872293">
        <w:rPr>
          <w:rFonts w:ascii="Times New Roman" w:hAnsi="Times New Roman" w:cs="Times New Roman"/>
        </w:rPr>
        <w:t xml:space="preserve">mycorrhizal colonization and </w:t>
      </w:r>
      <w:r w:rsidR="00563BC7" w:rsidRPr="00872293">
        <w:rPr>
          <w:rFonts w:ascii="Times New Roman" w:hAnsi="Times New Roman" w:cs="Times New Roman"/>
        </w:rPr>
        <w:t xml:space="preserve">root </w:t>
      </w:r>
      <w:r w:rsidRPr="00872293">
        <w:rPr>
          <w:rFonts w:ascii="Times New Roman" w:hAnsi="Times New Roman" w:cs="Times New Roman"/>
        </w:rPr>
        <w:t xml:space="preserve">enzymatic exudation to enhance P uptake, non-pioneers like </w:t>
      </w:r>
      <w:proofErr w:type="spellStart"/>
      <w:r w:rsidRPr="00872293">
        <w:rPr>
          <w:rFonts w:ascii="Times New Roman" w:hAnsi="Times New Roman" w:cs="Times New Roman"/>
          <w:i/>
          <w:iCs/>
        </w:rPr>
        <w:t>Dacryodes</w:t>
      </w:r>
      <w:proofErr w:type="spellEnd"/>
      <w:r w:rsidRPr="00872293">
        <w:rPr>
          <w:rFonts w:ascii="Times New Roman" w:hAnsi="Times New Roman" w:cs="Times New Roman"/>
          <w:i/>
          <w:iCs/>
        </w:rPr>
        <w:t xml:space="preserve"> </w:t>
      </w:r>
      <w:proofErr w:type="spellStart"/>
      <w:r w:rsidRPr="00872293">
        <w:rPr>
          <w:rFonts w:ascii="Times New Roman" w:hAnsi="Times New Roman" w:cs="Times New Roman"/>
          <w:i/>
          <w:iCs/>
        </w:rPr>
        <w:t>excelsa</w:t>
      </w:r>
      <w:proofErr w:type="spellEnd"/>
      <w:r w:rsidRPr="00872293">
        <w:rPr>
          <w:rFonts w:ascii="Times New Roman" w:hAnsi="Times New Roman" w:cs="Times New Roman"/>
        </w:rPr>
        <w:t xml:space="preserve"> and </w:t>
      </w:r>
      <w:r w:rsidRPr="00872293">
        <w:rPr>
          <w:rFonts w:ascii="Times New Roman" w:hAnsi="Times New Roman" w:cs="Times New Roman"/>
          <w:i/>
          <w:iCs/>
        </w:rPr>
        <w:t xml:space="preserve">P. </w:t>
      </w:r>
      <w:proofErr w:type="spellStart"/>
      <w:r w:rsidRPr="00872293">
        <w:rPr>
          <w:rFonts w:ascii="Times New Roman" w:hAnsi="Times New Roman" w:cs="Times New Roman"/>
          <w:i/>
          <w:iCs/>
        </w:rPr>
        <w:t>montana</w:t>
      </w:r>
      <w:proofErr w:type="spellEnd"/>
      <w:r w:rsidRPr="00872293">
        <w:rPr>
          <w:rFonts w:ascii="Times New Roman" w:hAnsi="Times New Roman" w:cs="Times New Roman"/>
          <w:i/>
          <w:iCs/>
        </w:rPr>
        <w:t xml:space="preserve"> </w:t>
      </w:r>
      <w:r w:rsidRPr="00872293">
        <w:rPr>
          <w:rFonts w:ascii="Times New Roman" w:hAnsi="Times New Roman" w:cs="Times New Roman"/>
        </w:rPr>
        <w:t>will rely on their</w:t>
      </w:r>
      <w:r w:rsidR="00563BC7" w:rsidRPr="00872293">
        <w:rPr>
          <w:rFonts w:ascii="Times New Roman" w:hAnsi="Times New Roman" w:cs="Times New Roman"/>
        </w:rPr>
        <w:t xml:space="preserve"> root</w:t>
      </w:r>
      <w:r w:rsidRPr="00872293">
        <w:rPr>
          <w:rFonts w:ascii="Times New Roman" w:hAnsi="Times New Roman" w:cs="Times New Roman"/>
        </w:rPr>
        <w:t xml:space="preserve"> branching </w:t>
      </w:r>
      <w:r w:rsidRPr="00872293">
        <w:rPr>
          <w:rFonts w:ascii="Times New Roman" w:hAnsi="Times New Roman" w:cs="Times New Roman"/>
        </w:rPr>
        <w:lastRenderedPageBreak/>
        <w:t xml:space="preserve">for soil P exploration and acquisition. Finally, this study showed that although root traits vary by species, there are certain trade-offs between the cost involved in optimizing any of these traits related to </w:t>
      </w:r>
      <w:r w:rsidR="0009602C" w:rsidRPr="00872293">
        <w:rPr>
          <w:rFonts w:ascii="Times New Roman" w:hAnsi="Times New Roman" w:cs="Times New Roman"/>
        </w:rPr>
        <w:t>enhance</w:t>
      </w:r>
      <w:r w:rsidRPr="00872293">
        <w:rPr>
          <w:rFonts w:ascii="Times New Roman" w:hAnsi="Times New Roman" w:cs="Times New Roman"/>
        </w:rPr>
        <w:t xml:space="preserve"> their P uptake, and that species cannot invest in all of them.</w:t>
      </w:r>
    </w:p>
    <w:p w14:paraId="79A3B594" w14:textId="77777777" w:rsidR="00B4427D" w:rsidRPr="00872293" w:rsidRDefault="00B4427D" w:rsidP="00932058">
      <w:pPr>
        <w:spacing w:line="360" w:lineRule="auto"/>
        <w:rPr>
          <w:rFonts w:ascii="Times New Roman" w:hAnsi="Times New Roman" w:cs="Times New Roman"/>
        </w:rPr>
      </w:pPr>
    </w:p>
    <w:p w14:paraId="4591BA20" w14:textId="6F2AFBB5" w:rsidR="0017155C" w:rsidRPr="00872293" w:rsidRDefault="0017155C" w:rsidP="00932058">
      <w:pPr>
        <w:pStyle w:val="Heading2"/>
        <w:spacing w:before="0" w:after="0" w:line="360" w:lineRule="auto"/>
      </w:pPr>
      <w:bookmarkStart w:id="178" w:name="_Toc53689124"/>
      <w:r w:rsidRPr="00872293">
        <w:t>Representation of the belowground system in this study</w:t>
      </w:r>
      <w:bookmarkEnd w:id="178"/>
    </w:p>
    <w:p w14:paraId="029E4076" w14:textId="05674EED" w:rsidR="0017155C" w:rsidRPr="00872293" w:rsidRDefault="0017155C" w:rsidP="00932058">
      <w:pPr>
        <w:spacing w:before="240" w:line="360" w:lineRule="auto"/>
        <w:rPr>
          <w:rFonts w:ascii="Times New Roman" w:eastAsia="Times New Roman" w:hAnsi="Times New Roman" w:cs="Times New Roman"/>
        </w:rPr>
      </w:pPr>
      <w:r w:rsidRPr="00872293">
        <w:rPr>
          <w:rFonts w:ascii="Times New Roman" w:eastAsia="Times New Roman" w:hAnsi="Times New Roman" w:cs="Times New Roman"/>
        </w:rPr>
        <w:t>From my findings, I developed an ecosystem diagram (Fig</w:t>
      </w:r>
      <w:r w:rsidR="009D56E1" w:rsidRPr="00872293">
        <w:rPr>
          <w:rFonts w:ascii="Times New Roman" w:eastAsia="Times New Roman" w:hAnsi="Times New Roman" w:cs="Times New Roman"/>
        </w:rPr>
        <w:t>ure</w:t>
      </w:r>
      <w:r w:rsidRPr="00872293">
        <w:rPr>
          <w:rFonts w:ascii="Times New Roman" w:eastAsia="Times New Roman" w:hAnsi="Times New Roman" w:cs="Times New Roman"/>
        </w:rPr>
        <w:t xml:space="preserve"> </w:t>
      </w:r>
      <w:r w:rsidR="00AE12D8" w:rsidRPr="00872293">
        <w:rPr>
          <w:rFonts w:ascii="Times New Roman" w:eastAsia="Times New Roman" w:hAnsi="Times New Roman" w:cs="Times New Roman"/>
        </w:rPr>
        <w:t>2</w:t>
      </w:r>
      <w:r w:rsidR="00FF6F9B" w:rsidRPr="00872293">
        <w:rPr>
          <w:rFonts w:ascii="Times New Roman" w:eastAsia="Times New Roman" w:hAnsi="Times New Roman" w:cs="Times New Roman"/>
        </w:rPr>
        <w:t>6</w:t>
      </w:r>
      <w:r w:rsidRPr="00872293">
        <w:rPr>
          <w:rFonts w:ascii="Times New Roman" w:eastAsia="Times New Roman" w:hAnsi="Times New Roman" w:cs="Times New Roman"/>
        </w:rPr>
        <w:t xml:space="preserve">) adapted from </w:t>
      </w:r>
      <w:proofErr w:type="spellStart"/>
      <w:r w:rsidR="00512EB6" w:rsidRPr="00872293">
        <w:rPr>
          <w:rFonts w:ascii="Times New Roman" w:eastAsia="Times New Roman" w:hAnsi="Times New Roman" w:cs="Times New Roman"/>
        </w:rPr>
        <w:t>Odum’s</w:t>
      </w:r>
      <w:proofErr w:type="spellEnd"/>
      <w:r w:rsidR="00512EB6" w:rsidRPr="00872293">
        <w:rPr>
          <w:rFonts w:ascii="Times New Roman" w:eastAsia="Times New Roman" w:hAnsi="Times New Roman" w:cs="Times New Roman"/>
        </w:rPr>
        <w:t xml:space="preserve"> </w:t>
      </w:r>
      <w:r w:rsidR="00A57037" w:rsidRPr="00872293">
        <w:rPr>
          <w:rFonts w:ascii="Times New Roman" w:eastAsia="Times New Roman" w:hAnsi="Times New Roman" w:cs="Times New Roman"/>
        </w:rPr>
        <w:t>e</w:t>
      </w:r>
      <w:r w:rsidRPr="00872293">
        <w:rPr>
          <w:rFonts w:ascii="Times New Roman" w:eastAsia="Times New Roman" w:hAnsi="Times New Roman" w:cs="Times New Roman"/>
        </w:rPr>
        <w:t xml:space="preserve">nergy </w:t>
      </w:r>
      <w:r w:rsidR="00A57037" w:rsidRPr="00872293">
        <w:rPr>
          <w:rFonts w:ascii="Times New Roman" w:eastAsia="Times New Roman" w:hAnsi="Times New Roman" w:cs="Times New Roman"/>
        </w:rPr>
        <w:t>f</w:t>
      </w:r>
      <w:r w:rsidRPr="00872293">
        <w:rPr>
          <w:rFonts w:ascii="Times New Roman" w:eastAsia="Times New Roman" w:hAnsi="Times New Roman" w:cs="Times New Roman"/>
        </w:rPr>
        <w:t xml:space="preserve">low system </w:t>
      </w:r>
      <w:r w:rsidR="00A57037" w:rsidRPr="00BB6E3B">
        <w:rPr>
          <w:rFonts w:ascii="Times New Roman" w:eastAsia="Times New Roman" w:hAnsi="Times New Roman" w:cs="Times New Roman"/>
        </w:rPr>
        <w:t>d</w:t>
      </w:r>
      <w:r w:rsidRPr="00BB6E3B">
        <w:rPr>
          <w:rFonts w:ascii="Times New Roman" w:eastAsia="Times New Roman" w:hAnsi="Times New Roman" w:cs="Times New Roman"/>
        </w:rPr>
        <w:t>iagram</w:t>
      </w:r>
      <w:r w:rsidR="00A57037" w:rsidRPr="00BB6E3B">
        <w:rPr>
          <w:rFonts w:ascii="Times New Roman" w:eastAsia="Times New Roman" w:hAnsi="Times New Roman" w:cs="Times New Roman"/>
        </w:rPr>
        <w:t xml:space="preserve"> (</w:t>
      </w:r>
      <w:proofErr w:type="spellStart"/>
      <w:r w:rsidR="00BB6E3B" w:rsidRPr="00BB6E3B">
        <w:rPr>
          <w:rFonts w:ascii="Times New Roman" w:eastAsia="Times New Roman" w:hAnsi="Times New Roman" w:cs="Times New Roman"/>
        </w:rPr>
        <w:t>Odum</w:t>
      </w:r>
      <w:proofErr w:type="spellEnd"/>
      <w:r w:rsidR="00BB6E3B" w:rsidRPr="00BB6E3B">
        <w:rPr>
          <w:rFonts w:ascii="Times New Roman" w:eastAsia="Times New Roman" w:hAnsi="Times New Roman" w:cs="Times New Roman"/>
        </w:rPr>
        <w:t>, 2007</w:t>
      </w:r>
      <w:r w:rsidR="00A57037" w:rsidRPr="00BB6E3B">
        <w:rPr>
          <w:rFonts w:ascii="Times New Roman" w:eastAsia="Times New Roman" w:hAnsi="Times New Roman" w:cs="Times New Roman"/>
        </w:rPr>
        <w:t>)</w:t>
      </w:r>
      <w:r w:rsidR="00AE12D8" w:rsidRPr="00BB6E3B">
        <w:rPr>
          <w:rFonts w:ascii="Times New Roman" w:eastAsia="Times New Roman" w:hAnsi="Times New Roman" w:cs="Times New Roman"/>
        </w:rPr>
        <w:t xml:space="preserve">. </w:t>
      </w:r>
      <w:r w:rsidRPr="00BB6E3B">
        <w:rPr>
          <w:rFonts w:ascii="Times New Roman" w:eastAsia="Times New Roman" w:hAnsi="Times New Roman" w:cs="Times New Roman"/>
        </w:rPr>
        <w:t>In this model I separated “warming (+4</w:t>
      </w:r>
      <w:r w:rsidRPr="00BB6E3B">
        <w:rPr>
          <w:rFonts w:ascii="Times New Roman" w:eastAsia="Times New Roman" w:hAnsi="Times New Roman" w:cs="Times New Roman"/>
          <w:vertAlign w:val="superscript"/>
        </w:rPr>
        <w:t>o</w:t>
      </w:r>
      <w:r w:rsidRPr="00BB6E3B">
        <w:rPr>
          <w:rFonts w:ascii="Times New Roman" w:eastAsia="Times New Roman" w:hAnsi="Times New Roman" w:cs="Times New Roman"/>
        </w:rPr>
        <w:t>C)” as a source of temperature provided exclusively from the warming experiment</w:t>
      </w:r>
      <w:r w:rsidRPr="00872293">
        <w:rPr>
          <w:rFonts w:ascii="Times New Roman" w:eastAsia="Times New Roman" w:hAnsi="Times New Roman" w:cs="Times New Roman"/>
        </w:rPr>
        <w:t xml:space="preserve"> that interact with “weather” which includes ambient temperature, wind, precipitation, and air conditions (e.g. O</w:t>
      </w:r>
      <w:r w:rsidRPr="00872293">
        <w:rPr>
          <w:rFonts w:ascii="Times New Roman" w:eastAsia="Times New Roman" w:hAnsi="Times New Roman" w:cs="Times New Roman"/>
          <w:vertAlign w:val="subscript"/>
        </w:rPr>
        <w:t>2</w:t>
      </w:r>
      <w:r w:rsidRPr="00872293">
        <w:rPr>
          <w:rFonts w:ascii="Times New Roman" w:eastAsia="Times New Roman" w:hAnsi="Times New Roman" w:cs="Times New Roman"/>
        </w:rPr>
        <w:t xml:space="preserve"> concentration). I represented the ecosystem storages I studied throughout this dissertation (C and P in plants and soil biomass), the consumers (microbes), and the basic sources involved (</w:t>
      </w:r>
      <w:r w:rsidR="00655E7F" w:rsidRPr="00872293">
        <w:rPr>
          <w:rFonts w:ascii="Times New Roman" w:eastAsia="Times New Roman" w:hAnsi="Times New Roman" w:cs="Times New Roman"/>
        </w:rPr>
        <w:t>s</w:t>
      </w:r>
      <w:r w:rsidRPr="00872293">
        <w:rPr>
          <w:rFonts w:ascii="Times New Roman" w:eastAsia="Times New Roman" w:hAnsi="Times New Roman" w:cs="Times New Roman"/>
        </w:rPr>
        <w:t>un, warming, weather, CO</w:t>
      </w:r>
      <w:r w:rsidRPr="00872293">
        <w:rPr>
          <w:rFonts w:ascii="Times New Roman" w:eastAsia="Times New Roman" w:hAnsi="Times New Roman" w:cs="Times New Roman"/>
          <w:vertAlign w:val="subscript"/>
        </w:rPr>
        <w:t>2</w:t>
      </w:r>
      <w:r w:rsidRPr="00872293">
        <w:rPr>
          <w:rFonts w:ascii="Times New Roman" w:eastAsia="Times New Roman" w:hAnsi="Times New Roman" w:cs="Times New Roman"/>
        </w:rPr>
        <w:t xml:space="preserve">). I represented the paths of C and P fluxes by arrows </w:t>
      </w:r>
      <w:r w:rsidR="00655E7F" w:rsidRPr="00872293">
        <w:rPr>
          <w:rFonts w:ascii="Times New Roman" w:hAnsi="Times New Roman" w:cs="Times New Roman"/>
        </w:rPr>
        <w:t xml:space="preserve">between different storage pools and </w:t>
      </w:r>
      <w:r w:rsidR="003E66AA" w:rsidRPr="00872293">
        <w:rPr>
          <w:rFonts w:ascii="Times New Roman" w:hAnsi="Times New Roman" w:cs="Times New Roman"/>
        </w:rPr>
        <w:t>to outside the system</w:t>
      </w:r>
      <w:r w:rsidR="00F904D1" w:rsidRPr="00872293">
        <w:rPr>
          <w:rFonts w:ascii="Times New Roman" w:eastAsia="Times New Roman" w:hAnsi="Times New Roman" w:cs="Times New Roman"/>
        </w:rPr>
        <w:t>.</w:t>
      </w:r>
      <w:r w:rsidRPr="00872293">
        <w:rPr>
          <w:rFonts w:ascii="Times New Roman" w:eastAsia="Times New Roman" w:hAnsi="Times New Roman" w:cs="Times New Roman"/>
        </w:rPr>
        <w:t xml:space="preserve"> I represented “root traits” as a “</w:t>
      </w:r>
      <w:r w:rsidR="002A7F36" w:rsidRPr="00872293">
        <w:rPr>
          <w:rFonts w:ascii="Times New Roman" w:eastAsia="Times New Roman" w:hAnsi="Times New Roman" w:cs="Times New Roman"/>
        </w:rPr>
        <w:t>modifier</w:t>
      </w:r>
      <w:r w:rsidRPr="00872293">
        <w:rPr>
          <w:rFonts w:ascii="Times New Roman" w:eastAsia="Times New Roman" w:hAnsi="Times New Roman" w:cs="Times New Roman"/>
        </w:rPr>
        <w:t>” (black box) of these fluxes in and out of the roots to</w:t>
      </w:r>
      <w:r w:rsidR="00F91F63" w:rsidRPr="00872293">
        <w:rPr>
          <w:rFonts w:ascii="Times New Roman" w:eastAsia="Times New Roman" w:hAnsi="Times New Roman" w:cs="Times New Roman"/>
        </w:rPr>
        <w:t xml:space="preserve"> and from</w:t>
      </w:r>
      <w:r w:rsidRPr="00872293">
        <w:rPr>
          <w:rFonts w:ascii="Times New Roman" w:eastAsia="Times New Roman" w:hAnsi="Times New Roman" w:cs="Times New Roman"/>
        </w:rPr>
        <w:t xml:space="preserve"> the microbial symbionts (AMF).</w:t>
      </w:r>
    </w:p>
    <w:p w14:paraId="0C1B9263" w14:textId="77777777" w:rsidR="0017155C" w:rsidRPr="00872293" w:rsidRDefault="0017155C" w:rsidP="009C5CCE">
      <w:pPr>
        <w:spacing w:line="360" w:lineRule="auto"/>
        <w:rPr>
          <w:rFonts w:ascii="Times New Roman" w:eastAsia="Times New Roman" w:hAnsi="Times New Roman" w:cs="Times New Roman"/>
        </w:rPr>
      </w:pPr>
    </w:p>
    <w:p w14:paraId="4D7A1EEA" w14:textId="77777777" w:rsidR="00525982" w:rsidRPr="00872293" w:rsidRDefault="0017155C" w:rsidP="009C5CCE">
      <w:pPr>
        <w:spacing w:line="360" w:lineRule="auto"/>
        <w:rPr>
          <w:rFonts w:ascii="Times New Roman" w:eastAsia="Times New Roman" w:hAnsi="Times New Roman" w:cs="Times New Roman"/>
        </w:rPr>
      </w:pPr>
      <w:r w:rsidRPr="00872293">
        <w:rPr>
          <w:rFonts w:ascii="Times New Roman" w:eastAsia="Times New Roman" w:hAnsi="Times New Roman" w:cs="Times New Roman"/>
        </w:rPr>
        <w:t>The diagram shows that the experimental increase of temperature “warming (+4</w:t>
      </w:r>
      <w:r w:rsidRPr="00872293">
        <w:rPr>
          <w:rFonts w:ascii="Times New Roman" w:eastAsia="Times New Roman" w:hAnsi="Times New Roman" w:cs="Times New Roman"/>
          <w:vertAlign w:val="superscript"/>
        </w:rPr>
        <w:t>o</w:t>
      </w:r>
      <w:r w:rsidRPr="00872293">
        <w:rPr>
          <w:rFonts w:ascii="Times New Roman" w:eastAsia="Times New Roman" w:hAnsi="Times New Roman" w:cs="Times New Roman"/>
        </w:rPr>
        <w:t>C)” interact with weather sources that affect plant photosynthesis (Fig</w:t>
      </w:r>
      <w:r w:rsidR="009D56E1" w:rsidRPr="00872293">
        <w:rPr>
          <w:rFonts w:ascii="Times New Roman" w:eastAsia="Times New Roman" w:hAnsi="Times New Roman" w:cs="Times New Roman"/>
        </w:rPr>
        <w:t>ure</w:t>
      </w:r>
      <w:r w:rsidRPr="00872293">
        <w:rPr>
          <w:rFonts w:ascii="Times New Roman" w:eastAsia="Times New Roman" w:hAnsi="Times New Roman" w:cs="Times New Roman"/>
        </w:rPr>
        <w:t xml:space="preserve"> </w:t>
      </w:r>
      <w:r w:rsidR="002A1AE0" w:rsidRPr="00872293">
        <w:rPr>
          <w:rFonts w:ascii="Times New Roman" w:eastAsia="Times New Roman" w:hAnsi="Times New Roman" w:cs="Times New Roman"/>
        </w:rPr>
        <w:t>2</w:t>
      </w:r>
      <w:r w:rsidR="00FF6F9B" w:rsidRPr="00872293">
        <w:rPr>
          <w:rFonts w:ascii="Times New Roman" w:eastAsia="Times New Roman" w:hAnsi="Times New Roman" w:cs="Times New Roman"/>
        </w:rPr>
        <w:t>6</w:t>
      </w:r>
      <w:r w:rsidRPr="00872293">
        <w:rPr>
          <w:rFonts w:ascii="Times New Roman" w:eastAsia="Times New Roman" w:hAnsi="Times New Roman" w:cs="Times New Roman"/>
        </w:rPr>
        <w:t xml:space="preserve">). Depending on the initial ambient conditions, the interaction of warming could either increase or decrease photosynthetic rates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{"citationItems":[{"id":"ITEM-1","itemData":{"DOI":"10.1038/s41586-018-0582-4","ISSN":"14764687","PMID":"30283137","abstract":"Climate warming will influence photosynthesis via thermal effects and by altering soil moisture1–11. Both effects may be important for the vast areas of global forests that fluctuate between periods when cool temperatures limit photosynthesis and periods when soil moisture may be limiting to carbon gain4–6,9–11. Here we show that the effects of climate warming flip from positive to negative as southern boreal forests transition from rainy to modestly dry periods during the growing season. In a three-year open-air warming experiment with juveniles of 11 temperate and boreal tree species, an increase of 3.4 °C in temperature increased light-saturated net photosynthesis and leaf diffusive conductance on average on the one-third of days with the wettest soils. In all 11 species, leaf diffusive conductance and, as a result, light-saturated net photosynthesis decreased during dry spells, and did so more sharply in warmed plants than in plants at ambient temperatures. Consequently, across the 11 species, warming reduced light-saturated net photosynthesis on the two-thirds of days with driest soils. Thus, low soil moisture may reduce, or even reverse, the potential benefits of climate warming on photosynthesis in mesic, seasonally cold environments, both during drought and in regularly occurring, modestly dry periods during the growing season.","author":[{"dropping-particle":"","family":"Reich","given":"Peter B.","non-dropping-particle":"","parse-names":false,"suffix":""},{"dropping-particle":"","family":"Sendall","given":"Kerrie M.","non-dropping-particle":"","parse-names":false,"suffix":""},{"dropping-particle":"","family":"Stefanski","given":"Artur","non-dropping-particle":"","parse-names":false,"suffix":""},{"dropping-particle":"","family":"Rich","given":"Roy L.","non-dropping-particle":"","parse-names":false,"suffix":""},{"dropping-particle":"","family":"Hobbie","given":"Sarah E.","non-dropping-particle":"","parse-names":false,"suffix":""},{"dropping-particle":"","family":"Montgomery","given":"Rebecca A.","non-dropping-particle":"","parse-names":false,"suffix":""}],"container-title":"Nature","id":"ITEM-1","issued":{"date-parts":[["2018"]]},"title":"Effects of climate warming on photosynthesis in boreal tree species depend on soil moisture","type":"article-journal"},"uris":["http://www.mendeley.com/documents/?uuid=f33f8001-a8d4-4970-b3f8-0c5b1f65c911"]}],"mendeley":{"formattedCitation":"(Reich &lt;i&gt;et al.&lt;/i&gt;, 2018)","plainTextFormattedCitation":"(Reich et al., 2018)","previouslyFormattedCitation":"(Reich &lt;i&gt;et al.&lt;/i&gt;, 2018)"},"properties":{"noteIndex":0},"schema":"https://github.com/citation-style-language/schema/raw/master/csl-citation.json"}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(Reich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2018)</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In tropical forests such as the ones in the LEF, canopy temperature is already exceeding </w:t>
      </w:r>
      <w:r w:rsidRPr="00872293">
        <w:rPr>
          <w:rFonts w:ascii="Times New Roman" w:hAnsi="Times New Roman" w:cs="Times New Roman"/>
        </w:rPr>
        <w:t xml:space="preserve">their photosynthetic temperature optima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{"citationItems":[{"id":"ITEM-1","itemData":{"DOI":"10.3390/F9010047","ISSN":"19994907","abstract":"Tropical tree species have evolved under very narrow temperature ranges compared to temperate forest species. Studies suggest that tropical trees may be more vulnerable to continued warming compared to temperate species, as tropical trees have shown declines in growth and photosynthesis at elevated temperatures. However, regional and global vegetation models lack the data needed to accurately represent such physiological responses to increased temperatures, especially for tropical forests. To address this need, we compared instantaneous photosynthetic temperature responses of mature canopy foliage, leaf temperatures, and air temperatures across vertical canopy gradients in three forest types: tropical wet, tropical moist, and temperate deciduous. Temperatures at which maximum photosynthesis occurred were greater in the tropical forests canopies than the temperate canopy (30 ± 0.3 °C vs. 27 ± 0.4 °C). However, contrary to expectations that tropical species would be functioning closer to threshold temperatures, photosynthetic temperature optima was exceeded by maximum daily leaf temperatures, resulting in sub-optimal rates of carbon assimilation for much of the day, especially in upper canopy foliage ( &gt; 10 m). If trees are unable to thermally acclimate to projected elevated temperatures, these forests may shift from net carbon sinks to sources, with potentially dire implications to climate feedbacks and forest community composition.","author":[{"dropping-particle":"","family":"Mau","given":"Alida C.","non-dropping-particle":"","parse-names":false,"suffix":""},{"dropping-particle":"","family":"Reed","given":"Sasha C.","non-dropping-particle":"","parse-names":false,"suffix":""},{"dropping-particle":"","family":"Wood","given":"Tana E.","non-dropping-particle":"","parse-names":false,"suffix":""},{"dropping-particle":"","family":"Cavaleri","given":"Molly A.","non-dropping-particle":"","parse-names":false,"suffix":""}],"container-title":"Forests","id":"ITEM-1","issued":{"date-parts":[["2018"]]},"title":"Temperate and tropical forest canopies are already functioning beyond their thermal thresholds for photosynthesis","type":"article-journal"},"uris":["http://www.mendeley.com/documents/?uuid=d343a786-d3ac-424a-9bc6-63fa3ee2bcb0"]}],"mendeley":{"formattedCitation":"(Mau &lt;i&gt;et al.&lt;/i&gt;, 2018)","manualFormatting":"(Topt; Mau et al., 2018)","plainTextFormattedCitation":"(Mau et al., 2018)","previouslyFormattedCitation":"(Mau &lt;i&gt;et al.&lt;/i&gt;, 2018)"},"properties":{"noteIndex":0},"schema":"https://github.com/citation-style-language/schema/raw/master/csl-citation.json"}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(Topt; Mau </w:t>
      </w:r>
      <w:r w:rsidRPr="00872293">
        <w:rPr>
          <w:rFonts w:ascii="Times New Roman" w:hAnsi="Times New Roman" w:cs="Times New Roman"/>
          <w:i/>
          <w:noProof/>
        </w:rPr>
        <w:t>et al.</w:t>
      </w:r>
      <w:r w:rsidRPr="00872293">
        <w:rPr>
          <w:rFonts w:ascii="Times New Roman" w:hAnsi="Times New Roman" w:cs="Times New Roman"/>
          <w:noProof/>
        </w:rPr>
        <w:t>, 2018)</w:t>
      </w:r>
      <w:r w:rsidRPr="00872293">
        <w:rPr>
          <w:rFonts w:ascii="Times New Roman" w:hAnsi="Times New Roman" w:cs="Times New Roman"/>
        </w:rPr>
        <w:fldChar w:fldCharType="end"/>
      </w:r>
      <w:r w:rsidRPr="00872293">
        <w:rPr>
          <w:rFonts w:ascii="Times New Roman" w:hAnsi="Times New Roman" w:cs="Times New Roman"/>
        </w:rPr>
        <w:t xml:space="preserve">. The understory, on the other hand, is usually under its </w:t>
      </w:r>
      <w:proofErr w:type="spellStart"/>
      <w:r w:rsidRPr="00872293">
        <w:rPr>
          <w:rFonts w:ascii="Times New Roman" w:hAnsi="Times New Roman" w:cs="Times New Roman"/>
        </w:rPr>
        <w:t>Topt</w:t>
      </w:r>
      <w:proofErr w:type="spellEnd"/>
      <w:r w:rsidRPr="00872293">
        <w:rPr>
          <w:rFonts w:ascii="Times New Roman" w:hAnsi="Times New Roman" w:cs="Times New Roman"/>
        </w:rPr>
        <w:t xml:space="preserve"> (Carter </w:t>
      </w:r>
      <w:r w:rsidRPr="00872293">
        <w:rPr>
          <w:rFonts w:ascii="Times New Roman" w:hAnsi="Times New Roman" w:cs="Times New Roman"/>
          <w:i/>
          <w:iCs/>
        </w:rPr>
        <w:t xml:space="preserve">et al., </w:t>
      </w:r>
      <w:r w:rsidR="00FF6F9B" w:rsidRPr="00872293">
        <w:rPr>
          <w:rFonts w:ascii="Times New Roman" w:hAnsi="Times New Roman" w:cs="Times New Roman"/>
        </w:rPr>
        <w:t>2020</w:t>
      </w:r>
      <w:r w:rsidRPr="00872293">
        <w:rPr>
          <w:rFonts w:ascii="Times New Roman" w:hAnsi="Times New Roman" w:cs="Times New Roman"/>
        </w:rPr>
        <w:t xml:space="preserve">), but can reach and exceed its </w:t>
      </w:r>
      <w:proofErr w:type="spellStart"/>
      <w:r w:rsidRPr="00872293">
        <w:rPr>
          <w:rFonts w:ascii="Times New Roman" w:hAnsi="Times New Roman" w:cs="Times New Roman"/>
        </w:rPr>
        <w:t>Topt</w:t>
      </w:r>
      <w:proofErr w:type="spellEnd"/>
      <w:r w:rsidRPr="00872293">
        <w:rPr>
          <w:rFonts w:ascii="Times New Roman" w:hAnsi="Times New Roman" w:cs="Times New Roman"/>
        </w:rPr>
        <w:t xml:space="preserve"> with the +4</w:t>
      </w:r>
      <w:r w:rsidRPr="00872293">
        <w:rPr>
          <w:rFonts w:ascii="Times New Roman" w:hAnsi="Times New Roman" w:cs="Times New Roman"/>
          <w:vertAlign w:val="superscript"/>
        </w:rPr>
        <w:t>o</w:t>
      </w:r>
      <w:r w:rsidRPr="00872293">
        <w:rPr>
          <w:rFonts w:ascii="Times New Roman" w:hAnsi="Times New Roman" w:cs="Times New Roman"/>
        </w:rPr>
        <w:t xml:space="preserve">C of the warming, especially during summer. If plants are not able to acclimate to the increase of temperature, </w:t>
      </w:r>
      <w:r w:rsidR="001A582A" w:rsidRPr="00872293">
        <w:rPr>
          <w:rFonts w:ascii="Times New Roman" w:hAnsi="Times New Roman" w:cs="Times New Roman"/>
        </w:rPr>
        <w:t>as</w:t>
      </w:r>
      <w:r w:rsidRPr="00872293">
        <w:rPr>
          <w:rFonts w:ascii="Times New Roman" w:hAnsi="Times New Roman" w:cs="Times New Roman"/>
        </w:rPr>
        <w:t xml:space="preserve"> is the case on our plots (Carter </w:t>
      </w:r>
      <w:r w:rsidRPr="00872293">
        <w:rPr>
          <w:rFonts w:ascii="Times New Roman" w:hAnsi="Times New Roman" w:cs="Times New Roman"/>
          <w:i/>
          <w:iCs/>
        </w:rPr>
        <w:t>et al</w:t>
      </w:r>
      <w:r w:rsidRPr="00872293">
        <w:rPr>
          <w:rFonts w:ascii="Times New Roman" w:hAnsi="Times New Roman" w:cs="Times New Roman"/>
        </w:rPr>
        <w:t>.,</w:t>
      </w:r>
      <w:r w:rsidRPr="00872293">
        <w:rPr>
          <w:rFonts w:ascii="Times New Roman" w:hAnsi="Times New Roman" w:cs="Times New Roman"/>
          <w:i/>
          <w:iCs/>
        </w:rPr>
        <w:t xml:space="preserve"> </w:t>
      </w:r>
      <w:r w:rsidR="00FF6F9B" w:rsidRPr="00872293">
        <w:rPr>
          <w:rFonts w:ascii="Times New Roman" w:hAnsi="Times New Roman" w:cs="Times New Roman"/>
        </w:rPr>
        <w:t>2020)</w:t>
      </w:r>
      <w:r w:rsidR="001A582A" w:rsidRPr="00872293">
        <w:rPr>
          <w:rFonts w:ascii="Times New Roman" w:hAnsi="Times New Roman" w:cs="Times New Roman"/>
        </w:rPr>
        <w:t>,</w:t>
      </w:r>
      <w:r w:rsidRPr="00872293">
        <w:rPr>
          <w:rFonts w:ascii="Times New Roman" w:hAnsi="Times New Roman" w:cs="Times New Roman"/>
        </w:rPr>
        <w:t xml:space="preserve"> then </w:t>
      </w:r>
      <w:r w:rsidR="001A582A" w:rsidRPr="00872293">
        <w:rPr>
          <w:rFonts w:ascii="Times New Roman" w:hAnsi="Times New Roman" w:cs="Times New Roman"/>
        </w:rPr>
        <w:t xml:space="preserve">the </w:t>
      </w:r>
      <w:r w:rsidRPr="00872293">
        <w:rPr>
          <w:rFonts w:ascii="Times New Roman" w:hAnsi="Times New Roman" w:cs="Times New Roman"/>
        </w:rPr>
        <w:t>photosynthesis rate can potentially decrease</w:t>
      </w:r>
      <w:r w:rsidR="001A582A" w:rsidRPr="00872293">
        <w:rPr>
          <w:rFonts w:ascii="Times New Roman" w:hAnsi="Times New Roman" w:cs="Times New Roman"/>
        </w:rPr>
        <w:t xml:space="preserve"> and</w:t>
      </w:r>
      <w:r w:rsidRPr="00872293">
        <w:rPr>
          <w:rFonts w:ascii="Times New Roman" w:hAnsi="Times New Roman" w:cs="Times New Roman"/>
        </w:rPr>
        <w:t xml:space="preserve"> </w:t>
      </w:r>
      <w:r w:rsidRPr="00872293">
        <w:rPr>
          <w:rFonts w:ascii="Times New Roman" w:eastAsia="Times New Roman" w:hAnsi="Times New Roman" w:cs="Times New Roman"/>
        </w:rPr>
        <w:t>consequently affect C storage and C allocation to the roots. In turn, this could result in less root production and consequently less root biomass. The ambient conditions also can affect decomposition, by temperature changes and precipitation (which regulates soil O</w:t>
      </w:r>
      <w:r w:rsidRPr="00872293">
        <w:rPr>
          <w:rFonts w:ascii="Times New Roman" w:eastAsia="Times New Roman" w:hAnsi="Times New Roman" w:cs="Times New Roman"/>
          <w:vertAlign w:val="subscript"/>
        </w:rPr>
        <w:t>2</w:t>
      </w:r>
      <w:r w:rsidRPr="00872293">
        <w:rPr>
          <w:rFonts w:ascii="Times New Roman" w:eastAsia="Times New Roman" w:hAnsi="Times New Roman" w:cs="Times New Roman"/>
        </w:rPr>
        <w:t xml:space="preserve">), which can influence nutrient availability (Av. P;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{"citationItems":[{"id":"ITEM-1","itemData":{"DOI":"10.2307/3545629","ISSN":"00301299","abstract":"Irrigation was used to study the consequences of seasonal drought for nutrient release and bacterial and fungal numbers during dry season litter decomposition in tropical forest on Barro Colorado Island, Panama. Litter bags containing a single species of leaves were placed beneath conspecific trees at the onset of the dry season in December 1987 and collected at one-month intervals until the onset of the wet season in May 1988. Serial dilutions were used to quantify densities of fungi and bacteria. Nutrient concentrations in recalcitrant litter fractions showed rapid declines in the first month of exposure (K, P) followed by bioaccumulation (N) or no significant changes over the next four months (P, K, Mg and most Ca) (...)","author":[{"dropping-particle":"","family":"Cornejo","given":"Fernando H.","non-dropping-particle":"","parse-names":false,"suffix":""},{"dropping-particle":"","family":"Varela","given":"Amanda","non-dropping-particle":"","parse-names":false,"suffix":""},{"dropping-particle":"","family":"Wright","given":"S. Joseph","non-dropping-particle":"","parse-names":false,"suffix":""}],"container-title":"Oikos","id":"ITEM-1","issue":"2","issued":{"date-parts":[["1994"]]},"page":"183-190","title":"Tropical Forest Litter Decomposition under Seasonal Drought: Nutrient Release, Fungi and Bacteria","type":"article-journal","volume":"70"},"uris":["http://www.mendeley.com/documents/?uuid=09e517b4-325b-41bf-94c5-10446e548256"]}],"mendeley":{"formattedCitation":"(Cornejo &lt;i&gt;et al.&lt;/i&gt;, 1994)","manualFormatting":"Cornejo et al., 1994)","plainTextFormattedCitation":"(Cornejo et al., 1994)","previouslyFormattedCitation":"(Cornejo &lt;i&gt;et al.&lt;/i&gt;, 1994)"},"properties":{"noteIndex":0},"schema":"https://github.com/citation-style-language/schema/raw/master/csl-citation.json"}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 xml:space="preserve">Cornejo </w:t>
      </w:r>
      <w:r w:rsidRPr="00872293">
        <w:rPr>
          <w:rFonts w:ascii="Times New Roman" w:eastAsia="Times New Roman" w:hAnsi="Times New Roman" w:cs="Times New Roman"/>
          <w:i/>
          <w:noProof/>
        </w:rPr>
        <w:t>et al.</w:t>
      </w:r>
      <w:r w:rsidRPr="00872293">
        <w:rPr>
          <w:rFonts w:ascii="Times New Roman" w:eastAsia="Times New Roman" w:hAnsi="Times New Roman" w:cs="Times New Roman"/>
          <w:noProof/>
        </w:rPr>
        <w:t>, 1994)</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w:t>
      </w:r>
    </w:p>
    <w:p w14:paraId="7908131A" w14:textId="77777777" w:rsidR="00525982" w:rsidRPr="00872293" w:rsidRDefault="00525982" w:rsidP="009C5CCE">
      <w:pPr>
        <w:spacing w:line="360" w:lineRule="auto"/>
        <w:rPr>
          <w:rFonts w:ascii="Times New Roman" w:eastAsia="Times New Roman" w:hAnsi="Times New Roman" w:cs="Times New Roman"/>
        </w:rPr>
      </w:pPr>
    </w:p>
    <w:p w14:paraId="18CB9731" w14:textId="523010EB" w:rsidR="0017155C" w:rsidRPr="00872293" w:rsidRDefault="0017155C" w:rsidP="009C5CCE">
      <w:pPr>
        <w:spacing w:line="360" w:lineRule="auto"/>
        <w:rPr>
          <w:rFonts w:ascii="Times New Roman" w:eastAsia="Times New Roman" w:hAnsi="Times New Roman" w:cs="Times New Roman"/>
        </w:rPr>
      </w:pPr>
      <w:r w:rsidRPr="00872293">
        <w:rPr>
          <w:rFonts w:ascii="Times New Roman" w:eastAsia="Times New Roman" w:hAnsi="Times New Roman" w:cs="Times New Roman"/>
        </w:rPr>
        <w:t xml:space="preserve">The increase of temperature by warming could have additional effects on decomposition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{"citationItems":[{"id":"ITEM-1","itemData":{"DOI":"10.1111/j.1469-8137.2004.01034.x","ISSN":"0028646X","abstract":"• Fine roots are the key link for plant water and nutrient uptake, soil carbon (C) input and soil microbial activity in forest ecosystems, and play a critical role in regulating ecosystem C balance and its response to global change. • Red maple (Acer rubrum) and sugar maple (Acer saccharum) seedlings were grown for four growing seasons in open-top chambers and exposed to ambient or elevated carbon dioxide concentration [CO2] in combination with ambient or elevated temperature. Fine-root production and mortality were monitored using minirhizotrons, and root biomass was determined from soil cores. • Both elevated [CO2] and temperature significantly enhanced production and mortality of fine roots during spring and summer of 1996. At the end of the experiment in September 1997, fine root biomass was significantly lower in elevated temperature chambers, but there were no effects of elevated [CO2] or the interactions between elevated [CO2] and temperature. • Deciduous trees have dynamic root systems, and their activity can be enhanced by CO2 enrichment and climatic warming. Static measures of root response, such as soil core data, obscure the dynamic nature, which is critical for understanding the response of forest C cycling to global change. © New Phytologist (2004).","author":[{"dropping-particle":"","family":"Wan","given":"Shiqiang","non-dropping-particle":"","parse-names":false,"suffix":""},{"dropping-particle":"","family":"Norby","given":"Richard J.","non-dropping-particle":"","parse-names":false,"suffix":""},{"dropping-particle":"","family":"Pregitzer","given":"Kurt S.","non-dropping-particle":"","parse-names":false,"suffix":""},{"dropping-particle":"","family":"Ledford","given":"Joanne","non-dropping-particle":"","parse-names":false,"suffix":""},{"dropping-particle":"","family":"O'Neill","given":"Elizabeth G.","non-dropping-particle":"","parse-names":false,"suffix":""}],"container-title":"New Phytologist","id":"ITEM-1","issue":"2","issued":{"date-parts":[["2004"]]},"page":"436-446","title":"CO2 enrichment and warming of the atmosphere enhance both productivity and mortality of maple tree fine roots","type":"article-journal","volume":"162"},"uris":["http://www.mendeley.com/documents/?uuid=ea8eb449-938d-4d49-a3de-29025185b266"]},{"id":"ITEM-2","itemData":{"DOI":"10.1111/j.1365-2486.2004.00733.x","ISSN":"13541013","abstract":"The effects of soil warming and nitrogen availability on root production, longevity and mortality were studied using minirhizotrons in irrigation (C), fertilized (F), heated (H), and heated-fertilized (HF) plots in a Norway spruce stand in northern Sweden from October 1996 to October 1997. Irrigation was included in all treatment plots. Heating cables were used to maintain the soil temperature in heated plots at 5degreesC above that in unheated plots during the growing season. A Kaplan-Meier approach was used to estimate the longevity of fine roots and Cox proportional hazards regression to analyze the effects of the H, F, and HF treatments on the risk of root mortality. The proportion of annual root length production contributed by winter-spring production amounted to 52% and 49% in heated plots and heated-fertilized plots, respectively. The annual root length production in C plots was significantly higher than in other treatments, while the HF treatment gave significantly greater production compared with the F treatment. The risk of mortality (hazard ratio) relative to C plots was higher in H plots (358%) and F plots (191%). The interaction between heating and fertilizing was strongly significant. The increase in the risk of root mortality in combined fertilization and heating (103%) was lower than that in the H or F plots. The results show that nitrogen addition combined with warmer temperatures decreases the risk of root mortality, and fine root production is a function of the length of the growing season. In the future, fertilization combined with the warmer temperatures expected to follow predicted climatic change may increase root production in boreal forests at low fertility sites.","author":[{"dropping-particle":"","family":"Majdi","given":"Hooshang","non-dropping-particle":"","parse-names":false,"suffix":""},{"dropping-particle":"","family":"Öhrvik","given":"John","non-dropping-particle":"","parse-names":false,"suffix":""}],"container-title":"Global Change Biology","id":"ITEM-2","issue":"2","issued":{"date-parts":[["2004"]]},"page":"182-188","title":"Interactive effects of soil warming and fertilization root production, mortality, and longevity in a Norway spruce stand in Northern Sweden","type":"article-journal","volume":"10"},"uris":["http://www.mendeley.com/documents/?uuid=13abc1f4-c945-4204-a671-53a35f6c1b66"]},{"id":"ITEM-3","itemData":{"DOI":"10.1007/s10021-012-9525-3","ISSN":"14329840","abstract":"Human-induced climate change is expected to increase both the frequency and severity of extreme climate events, but their ecological impacts on root dynamics are poorly understood. We conducted a 1-year pulse warming and precipitation experiment in a tallgrass prairie in Oklahoma, USA to examine responses of root dynamics. We collected data in the pre-treatment year of 2002, imposed four treatments (control, 4°C warming, doubled precipitation, and warming plus doubled precipitation) in 2003, and observed post-treatment effects in 2004. Root biomass dynamics (for example, root growth and death) were measured using sequential coring and ingrowth coring methods. Treatment effects were not significant on standing root biomass in 2003, although root growth rate was significantly higher in the warmed than control plots. However, in the post-treatment year, the warmed plots had significantly lower standing root biomass than the controls, likely resulting from increased root death rate. Root death rate was significantly lower in the doubled precipitation and warmed plus doubled precipitation plots than that in the warmed plots in 2004. The root:shoot ratio showed similar responses to the post-treatments as standing root biomass, whereas aboveground biomass changed relatively little, indicating that roots were more sensitive to lagged effects than aboveground biomass. Our results demonstrate that root growth and death rates are highly sensitive to extreme climate events and lagged effects of extreme climate on root dynamics are important in assessing terrestrial carbon-cycle feedbacks to climate change.","author":[{"dropping-particle":"","family":"Zhou","given":"Xuhui","non-dropping-particle":"","parse-names":false,"suffix":""},{"dropping-particle":"","family":"Fei","given":"Shenfeng","non-dropping-particle":"","parse-names":false,"suffix":""},{"dropping-particle":"","family":"Sherry","given":"Rebecca","non-dropping-particle":"","parse-names":false,"suffix":""},{"dropping-particle":"","family":"Luo","given":"Yiqi","non-dropping-particle":"","parse-names":false,"suffix":""}],"container-title":"Ecosystems","id":"ITEM-3","issue":"4","issued":{"date-parts":[["2012"]]},"page":"542-554","title":"Root Biomass Dynamics Under Experimental Warming and Doubled Precipitation in a Tallgrass Prairie","type":"article-journal","volume":"15"},"uris":["http://www.mendeley.com/documents/?uuid=1f682530-69b0-4b9f-8410-2a104ef6031f"]},{"id":"ITEM-4","itemData":{"DOI":"10.1126/sciadv.aaz1834","abstract":"Plant-soil feedbacks (PSFs) are interactions among plants, soil organisms, and abiotic soil conditions that influence plant performance, plant species diversity, and community structure, ultimately driving ecosystem processes. We review how climate change will alter PSFs and their potential consequences for ecosystem functioning. Climate change influences PSFs through the performance of interacting species and altered community composition resulting from changes in species distributions. Climate change thus affects plant inputs into the soil subsystem via litter and rhizodeposits and alters the composition of the living plant roots with which mutualistic symbionts, decomposers, and their natural enemies interact. Many of these plant-soil interactions are species-specific and are greatly affected by temperature, moisture, and other climate-related factors. We make a number of predictions concerning climate change effects on PSFs and consequences for vegetation-soil-climate feedbacks while acknowledging that they may be context-dependent, spatially heterogeneous, and temporally variable.","author":[{"dropping-particle":"","family":"Pugnaire","given":"Francisco I","non-dropping-particle":"","parse-names":false,"suffix":""},{"dropping-particle":"","family":"Morillo","given":"José A","non-dropping-particle":"","parse-names":false,"suffix":""},{"dropping-particle":"","family":"Peñuelas","given":"Josep","non-dropping-particle":"","parse-names":false,"suffix":""},{"drop</w:instrText>
      </w:r>
      <w:r w:rsidRPr="00737CC4">
        <w:rPr>
          <w:rFonts w:ascii="Times New Roman" w:hAnsi="Times New Roman" w:cs="Times New Roman"/>
          <w:lang w:val="es-BO"/>
        </w:rPr>
        <w:instrText>ping-particle":"","family":"Reich","given":"Peter B","non-dropping-particle":"","parse-names":false,"suffix":""},{"dropping-particle":"","family":"Bardgett","given":"Richard D","non-dropping-particle":"","parse-names":false,"suffix":""},{"dropping-particle":"","family":"Gaxiola","given":"Aurora","non-dropping-particle":"","parse-names":false,"suffix":""},{"dropping-particle":"","family":"Wardle","given":"David A","non-dropping-particle":"","parse-names":false,"suffix":""},{"dropping-particle":"","family":"Putten","given":"Wim H","non-dropping-particle":"van der","parse-names":false,"suffix":""}],"container-title":"Science Advances","id":"ITEM-4","issue":"11","issued":{"date-parts":[["2019","11","1"]]},"page":"eaaz1834","title":"Climate change effects on plant-soil feedbacks and consequences for biodiversity and functioning of terrestrial ecosystems","type":"article-journal","volume":"5"},"uris":["http://www.mendeley.com/documents/?uuid=f33656d6-3f72-4af2-aefc-f4b86350a8e6"]}],"mendeley":{"formattedCitation":"(Majdi &amp; Öhrvik, 2004; Wan &lt;i&gt;et al.&lt;/i&gt;, 2004; Zhou &lt;i&gt;et al.&lt;/i&gt;, 2012; Pugnaire &lt;i&gt;et al.&lt;/i&gt;, 2019)","plainTextFormattedCitation":"(Majdi &amp; Öhrvik, 2004; Wan et al., 2004; Zhou et al., 2012; Pugnaire et al., 2019)","previouslyFormattedCitation":"(Majdi &amp; Öhrvik, 2004; Wan &lt;i&gt;et al.&lt;/i&gt;, 2004; Zhou &lt;i&gt;et al.&lt;/i&gt;, 2012; Pugnaire &lt;i&gt;et al.&lt;/i&gt;, 2019)"},"properties":{"noteIndex":0},"schema":"https://github.com/citation-style-language/schema/raw/master/csl-citation.json"}</w:instrText>
      </w:r>
      <w:r w:rsidRPr="00872293">
        <w:rPr>
          <w:rFonts w:ascii="Times New Roman" w:hAnsi="Times New Roman" w:cs="Times New Roman"/>
        </w:rPr>
        <w:fldChar w:fldCharType="separate"/>
      </w:r>
      <w:r w:rsidRPr="00737CC4">
        <w:rPr>
          <w:rFonts w:ascii="Times New Roman" w:hAnsi="Times New Roman" w:cs="Times New Roman"/>
          <w:noProof/>
          <w:lang w:val="es-BO"/>
        </w:rPr>
        <w:t xml:space="preserve">(Majdi &amp; Öhrvik, 2004; Wan </w:t>
      </w:r>
      <w:r w:rsidRPr="00737CC4">
        <w:rPr>
          <w:rFonts w:ascii="Times New Roman" w:hAnsi="Times New Roman" w:cs="Times New Roman"/>
          <w:i/>
          <w:noProof/>
          <w:lang w:val="es-BO"/>
        </w:rPr>
        <w:t>et al.</w:t>
      </w:r>
      <w:r w:rsidRPr="00737CC4">
        <w:rPr>
          <w:rFonts w:ascii="Times New Roman" w:hAnsi="Times New Roman" w:cs="Times New Roman"/>
          <w:noProof/>
          <w:lang w:val="es-BO"/>
        </w:rPr>
        <w:t xml:space="preserve">, 2004; Zhou </w:t>
      </w:r>
      <w:r w:rsidRPr="00737CC4">
        <w:rPr>
          <w:rFonts w:ascii="Times New Roman" w:hAnsi="Times New Roman" w:cs="Times New Roman"/>
          <w:i/>
          <w:noProof/>
          <w:lang w:val="es-BO"/>
        </w:rPr>
        <w:t>et al.</w:t>
      </w:r>
      <w:r w:rsidRPr="00737CC4">
        <w:rPr>
          <w:rFonts w:ascii="Times New Roman" w:hAnsi="Times New Roman" w:cs="Times New Roman"/>
          <w:noProof/>
          <w:lang w:val="es-BO"/>
        </w:rPr>
        <w:t xml:space="preserve">, 2012; Pugnaire </w:t>
      </w:r>
      <w:r w:rsidRPr="00737CC4">
        <w:rPr>
          <w:rFonts w:ascii="Times New Roman" w:hAnsi="Times New Roman" w:cs="Times New Roman"/>
          <w:i/>
          <w:noProof/>
          <w:lang w:val="es-BO"/>
        </w:rPr>
        <w:t>et al.</w:t>
      </w:r>
      <w:r w:rsidRPr="00737CC4">
        <w:rPr>
          <w:rFonts w:ascii="Times New Roman" w:hAnsi="Times New Roman" w:cs="Times New Roman"/>
          <w:noProof/>
          <w:lang w:val="es-BO"/>
        </w:rPr>
        <w:t>, 2019)</w:t>
      </w:r>
      <w:r w:rsidRPr="00872293">
        <w:rPr>
          <w:rFonts w:ascii="Times New Roman" w:hAnsi="Times New Roman" w:cs="Times New Roman"/>
        </w:rPr>
        <w:fldChar w:fldCharType="end"/>
      </w:r>
      <w:r w:rsidRPr="00737CC4">
        <w:rPr>
          <w:rFonts w:ascii="Times New Roman" w:eastAsia="Times New Roman" w:hAnsi="Times New Roman" w:cs="Times New Roman"/>
          <w:lang w:val="es-BO"/>
        </w:rPr>
        <w:t xml:space="preserve">. </w:t>
      </w:r>
      <w:r w:rsidRPr="00872293">
        <w:rPr>
          <w:rFonts w:ascii="Times New Roman" w:eastAsia="Times New Roman" w:hAnsi="Times New Roman" w:cs="Times New Roman"/>
        </w:rPr>
        <w:t xml:space="preserve">Nutrient pools </w:t>
      </w:r>
      <w:r w:rsidRPr="00872293">
        <w:rPr>
          <w:rFonts w:ascii="Times New Roman" w:eastAsia="Times New Roman" w:hAnsi="Times New Roman" w:cs="Times New Roman"/>
        </w:rPr>
        <w:lastRenderedPageBreak/>
        <w:t xml:space="preserve">availability can up-regulate plant growth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{"citationItems":[{"id":"ITEM-1","itemData":{"DOI":"10.1002/ecm.1382","ISSN":"15577015","abstract":"I present a meta-analysis of plant responses to 48 nutrient addition experiments conducted with native species in naturally growing tropical forests, exclusive of mangrove forests. The added nutrients include nitrogen (N) in 36 experiments, phosphorus (P) in 33 experiments, calcium and potassium in one experiment each, and various mixtures of essential nutrients in the remaining experiments. I evaluate the hypotheses that nutrients limit tropical forest plants, nutrient limitation is stronger in successional than in old-growth forests, P but not N is limiting in lowland forests, and N is limiting in montane forests. Responses to the most complete nutrient mix used in each experiment were strong for plant functions that contribute to aboveground production (Hedges’ g averages 0.87) and nonsignificant for fine root biomass. Responses to N addition and to P addition were strong for tissue concentrations of the added element (Hedges’ g averages 0.75 and 1.4, respectively), moderate for fine litter production (0.64 and 0.65, respectively), moderate to weak for plant growth (0.46 and 0.37, respectively) and nonsignificant for fine root biomass. Growth responses were stronger in successional than in old-growth forests. All responses were unrelated to elevation. The 48 experiments included 30 factorial nitrogen-phosphorus experiments that enable additional direct tests of the widely cited hypotheses that P limitation is stronger than N limitation in lowland forests and vice versa in montane forests. Both hypotheses were rejected. The N × P interaction effect was nonsignificant across the factorial experiments. In conclusion, nutrients clearly limit tropical forest plants. Limitation by N is widespread in both lowland and montane forests, and the same is true for P. Single experiments identify limitation by calcium and potassium, and correlative studies suggest limitation by calcium, potassium, and magnesium. The available evidence is consistent with the possibility that most macronutrients limit tropical forest plants; however, experiments focus almost exclusively on N and P. The way forward will include taking fuller advantage of existing nutrient addition experiments, siting new experiments strategically, and developing cost-effective methods to assay responses to all of the essential nutrients soils supply to plants.","author":[{"dropping-particle":"","family":"Wright","given":"S. Joseph","non-dropping-particle":"","parse-names":false,"suffix":""}],"container-title":"Ecological Monographs","id":"ITEM-1","issued":{"date-parts":[["2019"]]},"title":"Plant responses to nutrient addition experiments conducted in tropical forests","type":"article"},"uris":["http://www.mendeley.com/documents/?uuid=42b954cc-1de8-41df-99ba-7f3ad1f9cb3c"]}],"mendeley":{"formattedCitation":"(Wright, 2019)","plainTextFormattedCitation":"(Wright, 2019)","previouslyFormattedCitation":"(Wright, 2019)"},"properties":{"noteIndex":0},"schema":"https://github.com/citation-style-language/schema/raw/master/csl-citation.json"}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(Wright, 2019)</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consequently root growth </w:t>
      </w:r>
      <w:r w:rsidRPr="00872293">
        <w:rPr>
          <w:rFonts w:ascii="Times New Roman" w:eastAsia="Times New Roman" w:hAnsi="Times New Roman" w:cs="Times New Roman"/>
        </w:rPr>
        <w:fldChar w:fldCharType="begin" w:fldLock="1"/>
      </w:r>
      <w:r w:rsidRPr="00872293">
        <w:rPr>
          <w:rFonts w:ascii="Times New Roman" w:eastAsia="Times New Roman" w:hAnsi="Times New Roman" w:cs="Times New Roman"/>
        </w:rPr>
        <w:instrText>ADDIN CSL_CITATION {"citationItems":[{"id":"ITEM-1","itemData":{"DOI":"10.1007/bf00379956","ISBN":"0029-8549","ISSN":"0029-8549","abstract":"Relationships between fine root growth, rates of litter decomposition and nutrient release were analysed in a mixed forest on Tierra Firme, a Tall Amazon Caatinga, and a Low Bana on podsolized sands near San Carlos de Rio Negro. Results emphasize the differences in limiting nutrients in amazonian forest ecosystems on contrasting soil types: Tierra Firme forests are particularly limited by Ca and Mg, while Caatinga and Bana forests are limited mainly by N availability.","author":[{"dropping-particle":"","family":"Cuevas","given":"E","non-dropping-particle":"","parse-names":false,"suffix":""},{"dropping-particle":"","family":"Medina","given":"E","non-dropping-particle":"","parse-names":false,"suffix":""}],"container-title":"Oecologia","id":"ITEM-1","issue":"2","issued":{"date-parts":[["1988"]]},"page":"222-235","title":"Nutrient dynamics within Amazonian forests. II. Fine root growth, nutrient availability and leaf litter decomposition","type":"article-journal","volume":"76"},"uris":["http://www.mendeley.com/documents/?uuid=bf9735b6-90ee-45d6-b9ea-88169c800ad3"]},{"id":"ITEM-2","itemData":{"DOI":"10.1890/14-1362.1","ISSN":"00129658","PMID":"26405739","abstract":"Questions remain as to which soil nutrients limit primary production in tropical forests. Phosphorus (P) has long been considered the primary limiting element in lowland forests, but recent evidence demonstrates substantial heterogeneity in response to nutrient addition, highlighting a need to understand and diagnose nutrient limitation across diverse forests. Fine-root characteristics including their abundance, functional traits, and mycorrhizal symbionts can be highly responsive to changes in soil nutrients and may help to diagnose nutrient limitation. Here, we document the response of fine roots to long-term nitrogen (N), P, and potassium (K) fertilization in a lowland forest in Panama. Because this experiment has demonstrated that N and K together limit tree growth and P limits fine litter production, we hypothesized that fine roots would also respond to nutrient addition. Specifically we hypothesized that N, P, and K addition would reduce the biomass, diameter, tissue density, and mycorrhizal colonization of fine roots, and increase nutrient concentration in root tissue. Most morphological root traits responded to the single addition of K and the paired addition of N and P, with the greatest response to all three nutrients combined. The addition of N, P, and K together reduced fine-root biomass, length, and tissue density, and increased specific root length, whereas root diameter remained unchanged. Nitrogen addition did not alter root N concentration, but P and K addition increased root P and K concentration, respectively. Mycorrhizal colonization of fine roots declined with N, increased with P, and was unresponsive to K addition. Although plant species composition remains unchanged after 14 years of fertilization, fine-root characteristics responded to N, P, and K addition, providing some of the strongest stand-level responses in this experiment. Multiple soil nutrients regulate fine-root abundance, morphological and chemical traits, and their association with mycorrhizal fungi in a species-rich lowland tropical forest.","author":[{"dropping-particle":"","family":"Wurzburger","given":"Nina","non-dropping-particle":"","parse-names":false,"suffix":""},{"dropping-particle":"","family":"Wright","given":"S. Joseph","non-dropping-particle":"","parse-names":false,"suffix":""}],"container-title":"Ecology","id":"ITEM-2","issue":"8","issued":{"date-parts":[["2015"]]},"page":"2137-2146","title":"Fine-root responses to fertilization reveal multiple nutrient limitation in a lowland tropical forest","type":"article-journal","volume":"96"},"uris":["http://www.mendeley.com/documents/?uuid=2000e47f-d0f9-47f2-8713-b2113cf2a290"]}],"mendeley":{"formattedCitation":"(Cuevas &amp; Medina, 1988; Wurzburger &amp; Wright, 2015)","plainTextFormattedCitation":"(Cuevas &amp; Medina, 1988; Wurzburger &amp; Wright, 2015)","previouslyFormattedCitation":"(Cuevas &amp; Medina, 1988; Wurzburger &amp; Wright, 2015)"},"properties":{"noteIndex":0},"schema":"https://github.com/citation-style-language/schema/raw/master/csl-citation.json"}</w:instrText>
      </w:r>
      <w:r w:rsidRPr="00872293">
        <w:rPr>
          <w:rFonts w:ascii="Times New Roman" w:eastAsia="Times New Roman" w:hAnsi="Times New Roman" w:cs="Times New Roman"/>
        </w:rPr>
        <w:fldChar w:fldCharType="separate"/>
      </w:r>
      <w:r w:rsidRPr="00872293">
        <w:rPr>
          <w:rFonts w:ascii="Times New Roman" w:eastAsia="Times New Roman" w:hAnsi="Times New Roman" w:cs="Times New Roman"/>
          <w:noProof/>
        </w:rPr>
        <w:t>(Cuevas &amp; Medina, 1988; Wurzburger &amp; Wright, 2015)</w:t>
      </w:r>
      <w:r w:rsidRPr="00872293">
        <w:rPr>
          <w:rFonts w:ascii="Times New Roman" w:eastAsia="Times New Roman" w:hAnsi="Times New Roman" w:cs="Times New Roman"/>
        </w:rPr>
        <w:fldChar w:fldCharType="end"/>
      </w:r>
      <w:r w:rsidRPr="00872293">
        <w:rPr>
          <w:rFonts w:ascii="Times New Roman" w:eastAsia="Times New Roman" w:hAnsi="Times New Roman" w:cs="Times New Roman"/>
        </w:rPr>
        <w:t xml:space="preserve">. Another possibility is that root soil exploration and demand of nutrient is </w:t>
      </w:r>
      <w:proofErr w:type="gramStart"/>
      <w:r w:rsidRPr="00872293">
        <w:rPr>
          <w:rFonts w:ascii="Times New Roman" w:eastAsia="Times New Roman" w:hAnsi="Times New Roman" w:cs="Times New Roman"/>
        </w:rPr>
        <w:t>down-regulating</w:t>
      </w:r>
      <w:proofErr w:type="gramEnd"/>
      <w:r w:rsidRPr="00872293">
        <w:rPr>
          <w:rFonts w:ascii="Times New Roman" w:eastAsia="Times New Roman" w:hAnsi="Times New Roman" w:cs="Times New Roman"/>
        </w:rPr>
        <w:t xml:space="preserve"> the soil nutrient availability. From my results I can suggest that root production and biomass are decreasing possibly due</w:t>
      </w:r>
      <w:r w:rsidR="00525982" w:rsidRPr="00872293">
        <w:rPr>
          <w:rFonts w:ascii="Times New Roman" w:eastAsia="Times New Roman" w:hAnsi="Times New Roman" w:cs="Times New Roman"/>
        </w:rPr>
        <w:t xml:space="preserve"> to</w:t>
      </w:r>
      <w:r w:rsidRPr="00872293">
        <w:rPr>
          <w:rFonts w:ascii="Times New Roman" w:eastAsia="Times New Roman" w:hAnsi="Times New Roman" w:cs="Times New Roman"/>
        </w:rPr>
        <w:t xml:space="preserve"> the secondary effect of warming on C allocation, and that root dynamics are affecting nutrient availability and not the other way around. However, I did not measure C allocation, root respiration, root chemistry, decomposition rate, </w:t>
      </w:r>
      <w:r w:rsidR="00FF6F9B" w:rsidRPr="00872293">
        <w:rPr>
          <w:rFonts w:ascii="Times New Roman" w:eastAsia="Times New Roman" w:hAnsi="Times New Roman" w:cs="Times New Roman"/>
        </w:rPr>
        <w:t xml:space="preserve">nutrient fluxes, </w:t>
      </w:r>
      <w:r w:rsidRPr="00872293">
        <w:rPr>
          <w:rFonts w:ascii="Times New Roman" w:eastAsia="Times New Roman" w:hAnsi="Times New Roman" w:cs="Times New Roman"/>
        </w:rPr>
        <w:t xml:space="preserve">or photosynthesis, and the photosynthesis and dark respiration measured from the leaves by Carter </w:t>
      </w:r>
      <w:r w:rsidRPr="00872293">
        <w:rPr>
          <w:rFonts w:ascii="Times New Roman" w:eastAsia="Times New Roman" w:hAnsi="Times New Roman" w:cs="Times New Roman"/>
          <w:i/>
          <w:iCs/>
        </w:rPr>
        <w:t>et al</w:t>
      </w:r>
      <w:r w:rsidR="007E0A7C" w:rsidRPr="00872293">
        <w:rPr>
          <w:rFonts w:ascii="Times New Roman" w:eastAsia="Times New Roman" w:hAnsi="Times New Roman" w:cs="Times New Roman"/>
        </w:rPr>
        <w:t>.</w:t>
      </w:r>
      <w:r w:rsidRPr="00872293">
        <w:rPr>
          <w:rFonts w:ascii="Times New Roman" w:eastAsia="Times New Roman" w:hAnsi="Times New Roman" w:cs="Times New Roman"/>
        </w:rPr>
        <w:t xml:space="preserve"> (</w:t>
      </w:r>
      <w:r w:rsidR="00FF6F9B" w:rsidRPr="00872293">
        <w:rPr>
          <w:rFonts w:ascii="Times New Roman" w:eastAsia="Times New Roman" w:hAnsi="Times New Roman" w:cs="Times New Roman"/>
        </w:rPr>
        <w:t>2020</w:t>
      </w:r>
      <w:r w:rsidRPr="00872293">
        <w:rPr>
          <w:rFonts w:ascii="Times New Roman" w:eastAsia="Times New Roman" w:hAnsi="Times New Roman" w:cs="Times New Roman"/>
        </w:rPr>
        <w:t>)</w:t>
      </w:r>
      <w:r w:rsidR="008D3E67" w:rsidRPr="00872293">
        <w:rPr>
          <w:rFonts w:ascii="Times New Roman" w:eastAsia="Times New Roman" w:hAnsi="Times New Roman" w:cs="Times New Roman"/>
        </w:rPr>
        <w:t xml:space="preserve"> </w:t>
      </w:r>
      <w:r w:rsidRPr="00872293">
        <w:rPr>
          <w:rFonts w:ascii="Times New Roman" w:eastAsia="Times New Roman" w:hAnsi="Times New Roman" w:cs="Times New Roman"/>
        </w:rPr>
        <w:t xml:space="preserve">represent </w:t>
      </w:r>
      <w:r w:rsidR="008D3E67" w:rsidRPr="00872293">
        <w:rPr>
          <w:rFonts w:ascii="Times New Roman" w:eastAsia="Times New Roman" w:hAnsi="Times New Roman" w:cs="Times New Roman"/>
        </w:rPr>
        <w:t xml:space="preserve">only </w:t>
      </w:r>
      <w:r w:rsidRPr="00872293">
        <w:rPr>
          <w:rFonts w:ascii="Times New Roman" w:eastAsia="Times New Roman" w:hAnsi="Times New Roman" w:cs="Times New Roman"/>
        </w:rPr>
        <w:t xml:space="preserve">two common species of the plots. Therefore, I suggest incorporating some of these different measurements and results collected from the plots by other TRACE members, to better infer causation. I also suggest considering the initial effect of weather, and seasonality in root dynamics. </w:t>
      </w:r>
    </w:p>
    <w:p w14:paraId="5573F840" w14:textId="77777777" w:rsidR="0017155C" w:rsidRPr="00872293" w:rsidRDefault="0017155C" w:rsidP="009C5CCE">
      <w:pPr>
        <w:spacing w:line="360" w:lineRule="auto"/>
        <w:rPr>
          <w:rFonts w:ascii="Times New Roman" w:hAnsi="Times New Roman" w:cs="Times New Roman"/>
        </w:rPr>
      </w:pPr>
    </w:p>
    <w:p w14:paraId="7CAA408F" w14:textId="77777777" w:rsidR="002422B2" w:rsidRPr="00872293" w:rsidRDefault="0017155C" w:rsidP="009C5CCE">
      <w:pPr>
        <w:spacing w:line="360" w:lineRule="auto"/>
        <w:rPr>
          <w:rFonts w:ascii="Times New Roman" w:hAnsi="Times New Roman" w:cs="Times New Roman"/>
        </w:rPr>
      </w:pPr>
      <w:r w:rsidRPr="00872293">
        <w:rPr>
          <w:rFonts w:ascii="Times New Roman" w:hAnsi="Times New Roman" w:cs="Times New Roman"/>
        </w:rPr>
        <w:t>The hurricane disturbance in the diagram (Fig</w:t>
      </w:r>
      <w:r w:rsidR="009D56E1" w:rsidRPr="00872293">
        <w:rPr>
          <w:rFonts w:ascii="Times New Roman" w:hAnsi="Times New Roman" w:cs="Times New Roman"/>
        </w:rPr>
        <w:t>ure</w:t>
      </w:r>
      <w:r w:rsidR="002A1AE0" w:rsidRPr="00872293">
        <w:rPr>
          <w:rFonts w:ascii="Times New Roman" w:hAnsi="Times New Roman" w:cs="Times New Roman"/>
        </w:rPr>
        <w:t xml:space="preserve"> 2</w:t>
      </w:r>
      <w:r w:rsidR="003474E9" w:rsidRPr="00872293">
        <w:rPr>
          <w:rFonts w:ascii="Times New Roman" w:hAnsi="Times New Roman" w:cs="Times New Roman"/>
        </w:rPr>
        <w:t>6</w:t>
      </w:r>
      <w:r w:rsidRPr="00872293">
        <w:rPr>
          <w:rFonts w:ascii="Times New Roman" w:hAnsi="Times New Roman" w:cs="Times New Roman"/>
        </w:rPr>
        <w:t>) interacts with the weather</w:t>
      </w:r>
      <w:r w:rsidR="00412A4C" w:rsidRPr="00872293">
        <w:rPr>
          <w:rFonts w:ascii="Times New Roman" w:hAnsi="Times New Roman" w:cs="Times New Roman"/>
        </w:rPr>
        <w:t xml:space="preserve"> as well</w:t>
      </w:r>
      <w:r w:rsidRPr="00872293">
        <w:rPr>
          <w:rFonts w:ascii="Times New Roman" w:hAnsi="Times New Roman" w:cs="Times New Roman"/>
        </w:rPr>
        <w:t xml:space="preserve">, increasing precipitation, wind, and </w:t>
      </w:r>
      <w:r w:rsidR="00F91F63" w:rsidRPr="00872293">
        <w:rPr>
          <w:rFonts w:ascii="Times New Roman" w:hAnsi="Times New Roman" w:cs="Times New Roman"/>
        </w:rPr>
        <w:t>changes</w:t>
      </w:r>
      <w:r w:rsidRPr="00872293">
        <w:rPr>
          <w:rFonts w:ascii="Times New Roman" w:hAnsi="Times New Roman" w:cs="Times New Roman"/>
        </w:rPr>
        <w:t xml:space="preserve"> the temperature in different time scales. During the hurricane event, temperature </w:t>
      </w:r>
      <w:r w:rsidR="00F91F63" w:rsidRPr="00872293">
        <w:rPr>
          <w:rFonts w:ascii="Times New Roman" w:hAnsi="Times New Roman" w:cs="Times New Roman"/>
        </w:rPr>
        <w:t xml:space="preserve">can decrease </w:t>
      </w:r>
      <w:r w:rsidRPr="00872293">
        <w:rPr>
          <w:rFonts w:ascii="Times New Roman" w:hAnsi="Times New Roman" w:cs="Times New Roman"/>
        </w:rPr>
        <w:t xml:space="preserve">due to the interaction of the wind, precipitation, and the lack of direct sun to the system. However, on the longer term, the canopy openness caused by the hurricane disturbance </w:t>
      </w:r>
      <w:r w:rsidR="00F91F63" w:rsidRPr="00872293">
        <w:rPr>
          <w:rFonts w:ascii="Times New Roman" w:hAnsi="Times New Roman" w:cs="Times New Roman"/>
        </w:rPr>
        <w:t xml:space="preserve">can allow </w:t>
      </w:r>
      <w:r w:rsidRPr="00872293">
        <w:rPr>
          <w:rFonts w:ascii="Times New Roman" w:hAnsi="Times New Roman" w:cs="Times New Roman"/>
        </w:rPr>
        <w:t xml:space="preserve">temperature to increase in the system. The hurricane as an interaction of weather </w:t>
      </w:r>
      <w:r w:rsidR="00C53F15" w:rsidRPr="00872293">
        <w:rPr>
          <w:rFonts w:ascii="Times New Roman" w:hAnsi="Times New Roman" w:cs="Times New Roman"/>
        </w:rPr>
        <w:t>can</w:t>
      </w:r>
      <w:r w:rsidRPr="00872293">
        <w:rPr>
          <w:rFonts w:ascii="Times New Roman" w:hAnsi="Times New Roman" w:cs="Times New Roman"/>
        </w:rPr>
        <w:t xml:space="preserve"> affect photosynthesis, carbon allocation to the roots, and decomposition. Further, the hurricane disturbance, acting as a modifier in the diagram, </w:t>
      </w:r>
      <w:r w:rsidR="00C53F15" w:rsidRPr="00872293">
        <w:rPr>
          <w:rFonts w:ascii="Times New Roman" w:hAnsi="Times New Roman" w:cs="Times New Roman"/>
        </w:rPr>
        <w:t xml:space="preserve">can </w:t>
      </w:r>
      <w:r w:rsidRPr="00872293">
        <w:rPr>
          <w:rFonts w:ascii="Times New Roman" w:hAnsi="Times New Roman" w:cs="Times New Roman"/>
        </w:rPr>
        <w:t xml:space="preserve">also affect the structure and composition of the forest vegetation, changing the storage and fluxes of C and P throughout the system. </w:t>
      </w:r>
    </w:p>
    <w:p w14:paraId="631D3F36" w14:textId="77777777" w:rsidR="002422B2" w:rsidRPr="00872293" w:rsidRDefault="002422B2" w:rsidP="009C5CCE">
      <w:pPr>
        <w:spacing w:line="360" w:lineRule="auto"/>
        <w:rPr>
          <w:rFonts w:ascii="Times New Roman" w:hAnsi="Times New Roman" w:cs="Times New Roman"/>
        </w:rPr>
      </w:pPr>
    </w:p>
    <w:p w14:paraId="5D078873" w14:textId="61E4EFD8" w:rsidR="0017155C" w:rsidRPr="00872293" w:rsidRDefault="0017155C" w:rsidP="009C5CCE">
      <w:pPr>
        <w:spacing w:line="360" w:lineRule="auto"/>
        <w:rPr>
          <w:rFonts w:ascii="Times New Roman" w:hAnsi="Times New Roman" w:cs="Times New Roman"/>
        </w:rPr>
      </w:pPr>
      <w:r w:rsidRPr="00872293">
        <w:rPr>
          <w:rFonts w:ascii="Times New Roman" w:hAnsi="Times New Roman" w:cs="Times New Roman"/>
        </w:rPr>
        <w:t>I</w:t>
      </w:r>
      <w:r w:rsidR="002422B2" w:rsidRPr="00872293">
        <w:rPr>
          <w:rFonts w:ascii="Times New Roman" w:hAnsi="Times New Roman" w:cs="Times New Roman"/>
        </w:rPr>
        <w:t>n my study, I</w:t>
      </w:r>
      <w:r w:rsidRPr="00872293">
        <w:rPr>
          <w:rFonts w:ascii="Times New Roman" w:hAnsi="Times New Roman" w:cs="Times New Roman"/>
        </w:rPr>
        <w:t xml:space="preserve"> found that the canopy openness caused by the hurricanes provided gaps of light that allowed mostly grass and herbaceous plants</w:t>
      </w:r>
      <w:r w:rsidR="00C53F15" w:rsidRPr="00872293">
        <w:rPr>
          <w:rFonts w:ascii="Times New Roman" w:hAnsi="Times New Roman" w:cs="Times New Roman"/>
        </w:rPr>
        <w:t xml:space="preserve"> to grow in the understory</w:t>
      </w:r>
      <w:r w:rsidRPr="00872293">
        <w:rPr>
          <w:rFonts w:ascii="Times New Roman" w:hAnsi="Times New Roman" w:cs="Times New Roman"/>
        </w:rPr>
        <w:t xml:space="preserve">, but also woody seedlings, </w:t>
      </w:r>
      <w:r w:rsidR="00E762C3" w:rsidRPr="00872293">
        <w:rPr>
          <w:rFonts w:ascii="Times New Roman" w:hAnsi="Times New Roman" w:cs="Times New Roman"/>
        </w:rPr>
        <w:t>and this</w:t>
      </w:r>
      <w:r w:rsidR="00C53F15" w:rsidRPr="00872293">
        <w:rPr>
          <w:rFonts w:ascii="Times New Roman" w:hAnsi="Times New Roman" w:cs="Times New Roman"/>
        </w:rPr>
        <w:t xml:space="preserve"> combination </w:t>
      </w:r>
      <w:r w:rsidRPr="00872293">
        <w:rPr>
          <w:rFonts w:ascii="Times New Roman" w:hAnsi="Times New Roman" w:cs="Times New Roman"/>
        </w:rPr>
        <w:t>increase</w:t>
      </w:r>
      <w:r w:rsidR="00C53F15" w:rsidRPr="00872293">
        <w:rPr>
          <w:rFonts w:ascii="Times New Roman" w:hAnsi="Times New Roman" w:cs="Times New Roman"/>
        </w:rPr>
        <w:t>d</w:t>
      </w:r>
      <w:r w:rsidRPr="00872293">
        <w:rPr>
          <w:rFonts w:ascii="Times New Roman" w:hAnsi="Times New Roman" w:cs="Times New Roman"/>
        </w:rPr>
        <w:t xml:space="preserve"> the root production and biomass greatly. Yet, this increase in biomass was greater in control plots than in the previously warmed plots for both, woody roots, and other plant type roots. We assume that the woody roots </w:t>
      </w:r>
      <w:r w:rsidR="00C53F15" w:rsidRPr="00872293">
        <w:rPr>
          <w:rFonts w:ascii="Times New Roman" w:hAnsi="Times New Roman" w:cs="Times New Roman"/>
        </w:rPr>
        <w:t>were from</w:t>
      </w:r>
      <w:r w:rsidRPr="00872293">
        <w:rPr>
          <w:rFonts w:ascii="Times New Roman" w:hAnsi="Times New Roman" w:cs="Times New Roman"/>
        </w:rPr>
        <w:t xml:space="preserve"> trees or woody seedlings that were already in the plots before the hurricanes, and that these plants had less C stored due to the warming treatment in the warmed plots</w:t>
      </w:r>
      <w:r w:rsidR="00C53F15" w:rsidRPr="00872293">
        <w:rPr>
          <w:rFonts w:ascii="Times New Roman" w:hAnsi="Times New Roman" w:cs="Times New Roman"/>
        </w:rPr>
        <w:t>, which can explain the legacy effect of warming after the hurricanes for these plants</w:t>
      </w:r>
      <w:r w:rsidRPr="00872293">
        <w:rPr>
          <w:rFonts w:ascii="Times New Roman" w:hAnsi="Times New Roman" w:cs="Times New Roman"/>
        </w:rPr>
        <w:t xml:space="preserve">. However, the legacy effect of warming on </w:t>
      </w:r>
      <w:r w:rsidRPr="00872293">
        <w:rPr>
          <w:rFonts w:ascii="Times New Roman" w:hAnsi="Times New Roman" w:cs="Times New Roman"/>
        </w:rPr>
        <w:lastRenderedPageBreak/>
        <w:t xml:space="preserve">new herbaceous, grass, and other seedlings might have involved a </w:t>
      </w:r>
      <w:r w:rsidR="00C53F15" w:rsidRPr="00872293">
        <w:rPr>
          <w:rFonts w:ascii="Times New Roman" w:hAnsi="Times New Roman" w:cs="Times New Roman"/>
        </w:rPr>
        <w:t xml:space="preserve">more </w:t>
      </w:r>
      <w:r w:rsidRPr="00872293">
        <w:rPr>
          <w:rFonts w:ascii="Times New Roman" w:hAnsi="Times New Roman" w:cs="Times New Roman"/>
        </w:rPr>
        <w:t xml:space="preserve">complex interaction of nutrient </w:t>
      </w:r>
      <w:r w:rsidR="003474E9" w:rsidRPr="00872293">
        <w:rPr>
          <w:rFonts w:ascii="Times New Roman" w:hAnsi="Times New Roman" w:cs="Times New Roman"/>
        </w:rPr>
        <w:t>fluxes</w:t>
      </w:r>
      <w:r w:rsidRPr="00872293">
        <w:rPr>
          <w:rFonts w:ascii="Times New Roman" w:hAnsi="Times New Roman" w:cs="Times New Roman"/>
        </w:rPr>
        <w:t xml:space="preserve">, microbial composition change, and potentially effects on the seed bank. </w:t>
      </w:r>
    </w:p>
    <w:p w14:paraId="050A9A2B" w14:textId="77777777" w:rsidR="0017155C" w:rsidRPr="00872293" w:rsidRDefault="0017155C" w:rsidP="009C5CCE">
      <w:pPr>
        <w:spacing w:line="360" w:lineRule="auto"/>
        <w:rPr>
          <w:rFonts w:ascii="Times New Roman" w:hAnsi="Times New Roman" w:cs="Times New Roman"/>
        </w:rPr>
      </w:pPr>
    </w:p>
    <w:p w14:paraId="777C6C45" w14:textId="70158F06" w:rsidR="0017155C" w:rsidRPr="00872293" w:rsidRDefault="0017155C" w:rsidP="009C5CCE">
      <w:pPr>
        <w:spacing w:line="360" w:lineRule="auto"/>
        <w:rPr>
          <w:rFonts w:ascii="Times New Roman" w:hAnsi="Times New Roman" w:cs="Times New Roman"/>
        </w:rPr>
      </w:pPr>
      <w:r w:rsidRPr="00872293">
        <w:rPr>
          <w:rFonts w:ascii="Times New Roman" w:hAnsi="Times New Roman" w:cs="Times New Roman"/>
        </w:rPr>
        <w:t>Other root traits, such as morphology, architecture, mycorrhizal colonization, and root phosphatase activity are underrepresented in land models (</w:t>
      </w:r>
      <w:r w:rsidR="009D56E1" w:rsidRPr="00872293">
        <w:rPr>
          <w:rFonts w:ascii="Times New Roman" w:hAnsi="Times New Roman" w:cs="Times New Roman"/>
        </w:rPr>
        <w:t>e.g.</w:t>
      </w:r>
      <w:r w:rsidRPr="00872293">
        <w:rPr>
          <w:rFonts w:ascii="Times New Roman" w:hAnsi="Times New Roman" w:cs="Times New Roman"/>
        </w:rPr>
        <w:t xml:space="preserve"> ELM). In my system diagram (Fig</w:t>
      </w:r>
      <w:r w:rsidR="009D56E1" w:rsidRPr="00872293">
        <w:rPr>
          <w:rFonts w:ascii="Times New Roman" w:hAnsi="Times New Roman" w:cs="Times New Roman"/>
        </w:rPr>
        <w:t>ure</w:t>
      </w:r>
      <w:r w:rsidRPr="00872293">
        <w:rPr>
          <w:rFonts w:ascii="Times New Roman" w:hAnsi="Times New Roman" w:cs="Times New Roman"/>
        </w:rPr>
        <w:t xml:space="preserve"> </w:t>
      </w:r>
      <w:r w:rsidR="00AE12D8" w:rsidRPr="00872293">
        <w:rPr>
          <w:rFonts w:ascii="Times New Roman" w:hAnsi="Times New Roman" w:cs="Times New Roman"/>
        </w:rPr>
        <w:t>2</w:t>
      </w:r>
      <w:r w:rsidR="003474E9" w:rsidRPr="00872293">
        <w:rPr>
          <w:rFonts w:ascii="Times New Roman" w:hAnsi="Times New Roman" w:cs="Times New Roman"/>
        </w:rPr>
        <w:t>6</w:t>
      </w:r>
      <w:r w:rsidRPr="00872293">
        <w:rPr>
          <w:rFonts w:ascii="Times New Roman" w:hAnsi="Times New Roman" w:cs="Times New Roman"/>
        </w:rPr>
        <w:t>), I represented them as a “modifier”</w:t>
      </w:r>
      <w:r w:rsidR="00E83F98" w:rsidRPr="00872293">
        <w:rPr>
          <w:rFonts w:ascii="Times New Roman" w:hAnsi="Times New Roman" w:cs="Times New Roman"/>
        </w:rPr>
        <w:t>,</w:t>
      </w:r>
      <w:r w:rsidRPr="00872293">
        <w:rPr>
          <w:rFonts w:ascii="Times New Roman" w:hAnsi="Times New Roman" w:cs="Times New Roman"/>
        </w:rPr>
        <w:t xml:space="preserve"> </w:t>
      </w:r>
      <w:r w:rsidR="00315F17" w:rsidRPr="00872293">
        <w:rPr>
          <w:rFonts w:ascii="Times New Roman" w:hAnsi="Times New Roman" w:cs="Times New Roman"/>
        </w:rPr>
        <w:t xml:space="preserve">or </w:t>
      </w:r>
      <w:r w:rsidR="00E83F98" w:rsidRPr="00872293">
        <w:rPr>
          <w:rFonts w:ascii="Times New Roman" w:hAnsi="Times New Roman" w:cs="Times New Roman"/>
        </w:rPr>
        <w:t xml:space="preserve">they </w:t>
      </w:r>
      <w:r w:rsidR="00315F17" w:rsidRPr="00872293">
        <w:rPr>
          <w:rFonts w:ascii="Times New Roman" w:hAnsi="Times New Roman" w:cs="Times New Roman"/>
        </w:rPr>
        <w:t xml:space="preserve">can also be considered as a regulator </w:t>
      </w:r>
      <w:r w:rsidRPr="00872293">
        <w:rPr>
          <w:rFonts w:ascii="Times New Roman" w:hAnsi="Times New Roman" w:cs="Times New Roman"/>
        </w:rPr>
        <w:t>of nutrient (P) uptake from soil</w:t>
      </w:r>
      <w:r w:rsidR="00315F17" w:rsidRPr="00872293">
        <w:rPr>
          <w:rFonts w:ascii="Times New Roman" w:hAnsi="Times New Roman" w:cs="Times New Roman"/>
        </w:rPr>
        <w:t>s</w:t>
      </w:r>
      <w:r w:rsidRPr="00872293">
        <w:rPr>
          <w:rFonts w:ascii="Times New Roman" w:hAnsi="Times New Roman" w:cs="Times New Roman"/>
        </w:rPr>
        <w:t xml:space="preserve"> or the fungal partner to the plant, and of C allocated from the plant to the fungal partner and the rhizosphere. These fluxes from the root to and from the mycorrhizal fungi are represented in the diagram as a “transaction”, which symbolizes the mutual symbiosis. Since in most TBM</w:t>
      </w:r>
      <w:r w:rsidR="00315F17" w:rsidRPr="00872293">
        <w:rPr>
          <w:rFonts w:ascii="Times New Roman" w:hAnsi="Times New Roman" w:cs="Times New Roman"/>
        </w:rPr>
        <w:t xml:space="preserve"> </w:t>
      </w:r>
      <w:r w:rsidRPr="00872293">
        <w:rPr>
          <w:rFonts w:ascii="Times New Roman" w:hAnsi="Times New Roman" w:cs="Times New Roman"/>
        </w:rPr>
        <w:t xml:space="preserve">nutrient uptake is a function of plant demand, including root traits as a </w:t>
      </w:r>
      <w:r w:rsidR="00315F17" w:rsidRPr="00872293">
        <w:rPr>
          <w:rFonts w:ascii="Times New Roman" w:hAnsi="Times New Roman" w:cs="Times New Roman"/>
        </w:rPr>
        <w:t>modifier/</w:t>
      </w:r>
      <w:r w:rsidRPr="00872293">
        <w:rPr>
          <w:rFonts w:ascii="Times New Roman" w:hAnsi="Times New Roman" w:cs="Times New Roman"/>
        </w:rPr>
        <w:t>regulator of the nutrient flux to the plant</w:t>
      </w:r>
      <w:r w:rsidR="00315F17" w:rsidRPr="00872293">
        <w:rPr>
          <w:rFonts w:ascii="Times New Roman" w:hAnsi="Times New Roman" w:cs="Times New Roman"/>
        </w:rPr>
        <w:t xml:space="preserve"> in the models, we would be</w:t>
      </w:r>
      <w:r w:rsidRPr="00872293">
        <w:rPr>
          <w:rFonts w:ascii="Times New Roman" w:hAnsi="Times New Roman" w:cs="Times New Roman"/>
        </w:rPr>
        <w:t xml:space="preserve"> account</w:t>
      </w:r>
      <w:r w:rsidR="00315F17" w:rsidRPr="00872293">
        <w:rPr>
          <w:rFonts w:ascii="Times New Roman" w:hAnsi="Times New Roman" w:cs="Times New Roman"/>
        </w:rPr>
        <w:t>ing</w:t>
      </w:r>
      <w:r w:rsidRPr="00872293">
        <w:rPr>
          <w:rFonts w:ascii="Times New Roman" w:hAnsi="Times New Roman" w:cs="Times New Roman"/>
        </w:rPr>
        <w:t xml:space="preserve"> for the soil nutrient limitations</w:t>
      </w:r>
      <w:r w:rsidR="00315F17" w:rsidRPr="00872293">
        <w:rPr>
          <w:rFonts w:ascii="Times New Roman" w:hAnsi="Times New Roman" w:cs="Times New Roman"/>
        </w:rPr>
        <w:t xml:space="preserve"> that are not only based on the soil available P pools, but also on</w:t>
      </w:r>
      <w:r w:rsidRPr="00872293">
        <w:rPr>
          <w:rFonts w:ascii="Times New Roman" w:hAnsi="Times New Roman" w:cs="Times New Roman"/>
        </w:rPr>
        <w:t xml:space="preserve"> the different strategies plants might have to buffer the limitation (e.g. more </w:t>
      </w:r>
      <w:r w:rsidR="003474E9" w:rsidRPr="00872293">
        <w:rPr>
          <w:rFonts w:ascii="Times New Roman" w:hAnsi="Times New Roman" w:cs="Times New Roman"/>
        </w:rPr>
        <w:t xml:space="preserve">root </w:t>
      </w:r>
      <w:r w:rsidRPr="00872293">
        <w:rPr>
          <w:rFonts w:ascii="Times New Roman" w:hAnsi="Times New Roman" w:cs="Times New Roman"/>
        </w:rPr>
        <w:t xml:space="preserve">phosphatase enzyme exudation, or more </w:t>
      </w:r>
      <w:r w:rsidR="003474E9" w:rsidRPr="00872293">
        <w:rPr>
          <w:rFonts w:ascii="Times New Roman" w:hAnsi="Times New Roman" w:cs="Times New Roman"/>
        </w:rPr>
        <w:t xml:space="preserve">root </w:t>
      </w:r>
      <w:r w:rsidRPr="00872293">
        <w:rPr>
          <w:rFonts w:ascii="Times New Roman" w:hAnsi="Times New Roman" w:cs="Times New Roman"/>
        </w:rPr>
        <w:t xml:space="preserve">branching). There are few models (e.g. Functionally Assembled Terrestrial Ecosystem Simulator (FATES;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10.5194/bg-2019-409","ISSN":"1810-6277","author":[{"dropping-particle":"","family":"Koven","given":"Charles","non-dropping-particle":"","parse-names":false,"suffix":""},{"dropping-particle":"","family":"Knox","given":"Ryan","non-dropping-particle":"","parse-names":false,"suffix":""},{"dropping-particle":"","family":"Fisher","given":"Rosie","non-dropping-particle":"","parse-names":false,"suffix":""},{"dropping-particle":"","family":"Chambers","given":"Jeffrey","non-dropping-particle":"","parse-names":false,"suffix":""},{"dropping-particle":"","family":"Christoffersen","given":"Bradley","non-dropping-particle":"","parse-names":false,"suffix":""},{"dropping-particle":"","family":"Davies","given":"Stuart","non-dropping-particle":"","parse-names":false,"suffix":""},{"dropping-particle":"","family":"Detto","given":"Matteo","non-dropping-particle":"","parse-names":false,"suffix":""},{"dropping-particle":"","family":"Dietze","given":"Michael","non-dropping-particle":"","parse-names":false,"suffix":""},{"dropping-particle":"","family":"Faybishenko","given":"Boris","non-dropping-particle":"","parse-names":false,"suffix":""},{"dropping-particle":"","family":"Holm","given":"Jennifer","non-dropping-particle":"","parse-names":false,"suffix":""},{"dropping-particle":"","family":"Huang","given":"Maoyi","non-dropping-particle":"","parse-names":false,"suffix":""},{"dropping-particle":"","family":"Kovenock","given":"Marlies","non-dropping-particle":"","parse-names":false,"suffix":""},{"dropping-particle":"","family":"Kueppers","given":"Lara","non-dropping-particle":"","parse-names":false,"suffix":""},{"dropping-particle":"","family":"Lemieux","given":"Gregory","non-dropping-particle":"","parse-names":false,"suffix":""},{"dropping-particle":"","family":"Massoud","given":"Elias","non-dropping-particle":"","parse-names":false,"suffix":""},{"dropping-particle":"","family":"McDowell","given":"Nathan","non-dropping-particle":"","parse-names":false,"suffix":""},{"dropping-particle":"","family":"Muller-Landau","given":"Helene","non-dropping-particle":"","parse-names":false,"suffix":""},{"dropping-particle":"","family":"Needham","given":"Jessica","non-dropping-particle":"","parse-names":false,"suffix":""},{"dropping-particle":"","family":"Norby","given":"Richard","non-dropping-particle":"","parse-names":false,"suffix":""},{"dropping-particle":"","family":"Powell","given":"Thomas","non-dropping-particle":"","parse-names":false,"suffix":""},{"dropping-particle":"","family":"Rogers","given":"Alistair","non-dropping-particle":"","parse-names":false,"suffix":""},{"dropping-particle":"","family":"Serbin","given":"Shawn","non-dropping-particle":"","parse-names":false,"suffix":""},{"dropping-particle":"","family":"Shuman","given":"Jacquelyn","non-dropping-particle":"","parse-names":false,"suffix":""},{"dropping-particle":"","family":"Swann","given":"Abigail","non-dropping-particle":"","parse-names":false,"suffix":""},{"dropping-particle":"","family":"Varadharajan","given":"Charuleka","non-dropping-particle":"","parse-names":false,"suffix":""},{"dropping-particle":"","family":"Walker","given":"Anthony","non-dropping-particle":"","parse-names":false,"suffix":""},{"dropping-particle":"","family":"Wright","given":"S. Joseph","non-dropping-particle":"","parse-names":false,"suffix":""},{"dropping-particle":"","family":"Xu","given":"Chonggang","non-dropping-particle":"","parse-names":false,"suffix":""}],"container-title":"Biogeosciences Discussions","id":"ITEM-1","issued":{"date-parts":[["2019"]]},"title":"Benchmarking and Parameter Sensitivity of Physiological and Vegetation Dynamics using the Functionally Assembled Terrestrial Ecosystem Simulator (FATES) at Barro Colorado Island, Panama","type":"article-journal"},"uris":["http://www.mendeley.com/documents/?uuid=186493d3-03f7-469f-883d-a773c8894470"]}],"mendeley":{"formattedCitation":"(Koven &lt;i&gt;et al.&lt;/i&gt;, 2019)","manualFormatting":"Koven et al., 2019)","plainTextFormattedCitation":"(Koven et al., 2019)","previouslyFormattedCitation":"(Koven &lt;i&gt;et al.&lt;/i&gt;, 2019)"},"properties":{"noteIndex":0},"schema":"https://github.com/citation-style-language/schema/raw/master/csl-citation.json"}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Koven </w:t>
      </w:r>
      <w:r w:rsidRPr="00872293">
        <w:rPr>
          <w:rFonts w:ascii="Times New Roman" w:hAnsi="Times New Roman" w:cs="Times New Roman"/>
          <w:i/>
          <w:noProof/>
        </w:rPr>
        <w:t>et al.</w:t>
      </w:r>
      <w:r w:rsidRPr="00872293">
        <w:rPr>
          <w:rFonts w:ascii="Times New Roman" w:hAnsi="Times New Roman" w:cs="Times New Roman"/>
          <w:noProof/>
        </w:rPr>
        <w:t>, 2019)</w:t>
      </w:r>
      <w:r w:rsidRPr="00872293">
        <w:rPr>
          <w:rFonts w:ascii="Times New Roman" w:hAnsi="Times New Roman" w:cs="Times New Roman"/>
        </w:rPr>
        <w:fldChar w:fldCharType="end"/>
      </w:r>
      <w:r w:rsidRPr="00872293">
        <w:rPr>
          <w:rFonts w:ascii="Times New Roman" w:hAnsi="Times New Roman" w:cs="Times New Roman"/>
        </w:rPr>
        <w:t xml:space="preserve"> that are including plant functional types (PFT), and identifying the root traits that can cover these PFT</w:t>
      </w:r>
      <w:r w:rsidR="00E83F98" w:rsidRPr="00872293">
        <w:rPr>
          <w:rFonts w:ascii="Times New Roman" w:hAnsi="Times New Roman" w:cs="Times New Roman"/>
        </w:rPr>
        <w:t>s</w:t>
      </w:r>
      <w:r w:rsidRPr="00872293">
        <w:rPr>
          <w:rFonts w:ascii="Times New Roman" w:hAnsi="Times New Roman" w:cs="Times New Roman"/>
        </w:rPr>
        <w:t xml:space="preserve"> could better model the flux of nutrients and C.</w:t>
      </w:r>
    </w:p>
    <w:p w14:paraId="061CC228" w14:textId="77777777" w:rsidR="00534846" w:rsidRPr="00872293" w:rsidRDefault="00534846" w:rsidP="00932058">
      <w:pPr>
        <w:spacing w:line="360" w:lineRule="auto"/>
        <w:rPr>
          <w:rFonts w:ascii="Times New Roman" w:hAnsi="Times New Roman" w:cs="Times New Roman"/>
        </w:rPr>
      </w:pPr>
    </w:p>
    <w:p w14:paraId="7B527CF0" w14:textId="77777777" w:rsidR="0017155C" w:rsidRPr="00872293" w:rsidRDefault="0017155C" w:rsidP="00932058">
      <w:pPr>
        <w:pStyle w:val="Heading2"/>
        <w:spacing w:before="0" w:after="0" w:line="360" w:lineRule="auto"/>
      </w:pPr>
      <w:bookmarkStart w:id="179" w:name="_Toc53689125"/>
      <w:r w:rsidRPr="00872293">
        <w:t>Implications of this study</w:t>
      </w:r>
      <w:bookmarkEnd w:id="179"/>
    </w:p>
    <w:p w14:paraId="475583D4" w14:textId="3DC8EAA4" w:rsidR="0017155C" w:rsidRPr="00872293" w:rsidRDefault="0017155C" w:rsidP="00932058">
      <w:pPr>
        <w:autoSpaceDE w:val="0"/>
        <w:autoSpaceDN w:val="0"/>
        <w:adjustRightInd w:val="0"/>
        <w:spacing w:before="240" w:line="360" w:lineRule="auto"/>
        <w:rPr>
          <w:rFonts w:ascii="Times New Roman" w:hAnsi="Times New Roman" w:cs="Times New Roman"/>
        </w:rPr>
      </w:pPr>
      <w:r w:rsidRPr="00872293">
        <w:rPr>
          <w:rFonts w:ascii="Times New Roman" w:hAnsi="Times New Roman" w:cs="Times New Roman"/>
        </w:rPr>
        <w:t xml:space="preserve">This research has contributed with </w:t>
      </w:r>
      <w:r w:rsidRPr="00872293">
        <w:rPr>
          <w:rFonts w:ascii="Times New Roman" w:hAnsi="Times New Roman" w:cs="Times New Roman"/>
          <w:shd w:val="clear" w:color="auto" w:fill="FFFFFF"/>
        </w:rPr>
        <w:t>over 1,000 root data records from 46 previous publications that now are centralized and are being added in the Fine-Root Ecology Database</w:t>
      </w:r>
      <w:r w:rsidR="00443F2F" w:rsidRPr="00872293">
        <w:rPr>
          <w:rFonts w:ascii="Times New Roman" w:hAnsi="Times New Roman" w:cs="Times New Roman"/>
          <w:shd w:val="clear" w:color="auto" w:fill="FFFFFF"/>
        </w:rPr>
        <w:t xml:space="preserve"> </w:t>
      </w:r>
      <w:r w:rsidRPr="00872293">
        <w:rPr>
          <w:rFonts w:ascii="Times New Roman" w:hAnsi="Times New Roman" w:cs="Times New Roman"/>
          <w:shd w:val="clear" w:color="auto" w:fill="FFFFFF"/>
        </w:rPr>
        <w:t>that will help improve the representation of tropical roots. This research has also broaden</w:t>
      </w:r>
      <w:r w:rsidR="00E83F98" w:rsidRPr="00872293">
        <w:rPr>
          <w:rFonts w:ascii="Times New Roman" w:hAnsi="Times New Roman" w:cs="Times New Roman"/>
          <w:shd w:val="clear" w:color="auto" w:fill="FFFFFF"/>
        </w:rPr>
        <w:t>ed</w:t>
      </w:r>
      <w:r w:rsidRPr="00872293">
        <w:rPr>
          <w:rFonts w:ascii="Times New Roman" w:hAnsi="Times New Roman" w:cs="Times New Roman"/>
          <w:shd w:val="clear" w:color="auto" w:fill="FFFFFF"/>
        </w:rPr>
        <w:t xml:space="preserve"> root traits measurements from common tree species in the LEF in Puerto Rico, which not only will increase root traits representation for the island</w:t>
      </w:r>
      <w:r w:rsidR="00443F2F" w:rsidRPr="00872293">
        <w:rPr>
          <w:rFonts w:ascii="Times New Roman" w:hAnsi="Times New Roman" w:cs="Times New Roman"/>
          <w:shd w:val="clear" w:color="auto" w:fill="FFFFFF"/>
        </w:rPr>
        <w:t xml:space="preserve"> and the tropics in general</w:t>
      </w:r>
      <w:r w:rsidRPr="00872293">
        <w:rPr>
          <w:rFonts w:ascii="Times New Roman" w:hAnsi="Times New Roman" w:cs="Times New Roman"/>
          <w:shd w:val="clear" w:color="auto" w:fill="FFFFFF"/>
        </w:rPr>
        <w:t xml:space="preserve">, but </w:t>
      </w:r>
      <w:r w:rsidR="00E83F98" w:rsidRPr="00872293">
        <w:rPr>
          <w:rFonts w:ascii="Times New Roman" w:hAnsi="Times New Roman" w:cs="Times New Roman"/>
          <w:shd w:val="clear" w:color="auto" w:fill="FFFFFF"/>
        </w:rPr>
        <w:t>will</w:t>
      </w:r>
      <w:r w:rsidRPr="00872293">
        <w:rPr>
          <w:rFonts w:ascii="Times New Roman" w:hAnsi="Times New Roman" w:cs="Times New Roman"/>
          <w:shd w:val="clear" w:color="auto" w:fill="FFFFFF"/>
        </w:rPr>
        <w:t xml:space="preserve"> also provide evidence of root trait strategies used to potentially enhance P acquisition. The study of the</w:t>
      </w:r>
      <w:r w:rsidRPr="00872293">
        <w:rPr>
          <w:rFonts w:ascii="Times New Roman" w:hAnsi="Times New Roman" w:cs="Times New Roman"/>
        </w:rPr>
        <w:t xml:space="preserve"> co-occurring disturbance stresses</w:t>
      </w:r>
      <w:r w:rsidRPr="00872293">
        <w:rPr>
          <w:rFonts w:ascii="Times New Roman" w:hAnsi="Times New Roman" w:cs="Times New Roman"/>
          <w:shd w:val="clear" w:color="auto" w:fill="FFFFFF"/>
        </w:rPr>
        <w:t xml:space="preserve"> on root dynamics showed the importance of considering the multiple interactions and forces that can shape the ecosystem. The negative effect of warming to root dynamics and the legacy of warming on root recovery after the hurricane disturbance </w:t>
      </w:r>
      <w:r w:rsidR="00E83F98" w:rsidRPr="00872293">
        <w:rPr>
          <w:rFonts w:ascii="Times New Roman" w:hAnsi="Times New Roman" w:cs="Times New Roman"/>
        </w:rPr>
        <w:t>have</w:t>
      </w:r>
      <w:r w:rsidRPr="00872293">
        <w:rPr>
          <w:rFonts w:ascii="Times New Roman" w:hAnsi="Times New Roman" w:cs="Times New Roman"/>
        </w:rPr>
        <w:t xml:space="preserve"> implications </w:t>
      </w:r>
      <w:r w:rsidR="00E83F98" w:rsidRPr="00872293">
        <w:rPr>
          <w:rFonts w:ascii="Times New Roman" w:hAnsi="Times New Roman" w:cs="Times New Roman"/>
        </w:rPr>
        <w:t>for</w:t>
      </w:r>
      <w:r w:rsidRPr="00872293">
        <w:rPr>
          <w:rFonts w:ascii="Times New Roman" w:hAnsi="Times New Roman" w:cs="Times New Roman"/>
        </w:rPr>
        <w:t xml:space="preserve"> carbon cycling since root dynamics affect the amount and residence time of carbon in the soils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{"citationItems":[{"id":"ITEM-1","itemData":{"DOI":"10.1098/rstb.2011.0244","ISSN":"14712970","abstract":"The soil holds twice as much carbon as does the atmosphere, and most soil carbon is derived from recent photosynthesis that takes carbon into root structures and further into below-ground storage via exudates therefrom. Nonetheless, many natural and most agricultural crops have roots that extend only to about 1 m below ground. What determines the lifetime of below-ground C in various forms is not well understood, and understanding these processes is therefore key to optimising them for enhanced C sequestration. Most soils (and especially subsoils) are very far from being saturated with organic carbon, and calculations show that the amounts of C that might further be sequestered (http://dbkgroup.org/carbonsequestration/rootsystem.html) are actually very great. Breeding crops with desirable below-ground C sequestration traits, and exploiting attendant agronomic practices optimised for individual species in their relevant environments, are therefore important goals. These bring additional benefits related to improvements in soil structure and in the usage of other nutrients and water. © 2012 The Royal Society.","author":[{"dropping-particle":"","family":"Kell","given":"Douglas B.","non-dropping-particle":"","parse-names":false,"suffix":""}],"container-title":"Philosophical Transactions of the Royal Society B: Biological Sciences","id":"ITEM-1","issued":{"date-parts":[["2012"]]},"page":"1589-1597","title":"Large-scale sequestration of atmospheric carbon via plant roots in natural and agricultural ecosystems: Why and how","type":"article-journal","volume":"367"},"uris":["http://www.mendeley.com/documents/?uuid=1b758971-3175-43fd-8f68-b30efc4a3807"]}],"mendeley":{"formattedCitation":"(Kell, 2012)","plainTextFormattedCitation":"(Kell, 2012)","previouslyFormattedCitation":"(Kell, 2012)"},"properties":{"noteIndex":0},"schema":"https://github.com/citation-style-language/schema/raw/master/csl-citation.json"}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(Kell, 2012)</w:t>
      </w:r>
      <w:r w:rsidRPr="00872293">
        <w:rPr>
          <w:rFonts w:ascii="Times New Roman" w:hAnsi="Times New Roman" w:cs="Times New Roman"/>
        </w:rPr>
        <w:fldChar w:fldCharType="end"/>
      </w:r>
      <w:r w:rsidRPr="00872293">
        <w:rPr>
          <w:rFonts w:ascii="Times New Roman" w:hAnsi="Times New Roman" w:cs="Times New Roman"/>
        </w:rPr>
        <w:t xml:space="preserve">. This also has relevant implications on soil stability, thus, forest </w:t>
      </w:r>
      <w:r w:rsidRPr="00872293">
        <w:rPr>
          <w:rFonts w:ascii="Times New Roman" w:hAnsi="Times New Roman" w:cs="Times New Roman"/>
        </w:rPr>
        <w:lastRenderedPageBreak/>
        <w:t xml:space="preserve">community and in the longer term, human society </w:t>
      </w:r>
      <w:r w:rsidRPr="00872293">
        <w:rPr>
          <w:rFonts w:ascii="Times New Roman" w:hAnsi="Times New Roman" w:cs="Times New Roman"/>
        </w:rPr>
        <w:fldChar w:fldCharType="begin" w:fldLock="1"/>
      </w:r>
      <w:r w:rsidRPr="00872293">
        <w:rPr>
          <w:rFonts w:ascii="Times New Roman" w:hAnsi="Times New Roman" w:cs="Times New Roman"/>
        </w:rPr>
        <w:instrText>ADDIN CSL_CITATION {"citationItems":[{"id":"ITEM-1","itemData":{"DOI":"10.1191/0309133305pp443ra","ISSN":"03091333","abstract":"Vegetation controls soil erosion rates significantly. The decrease of water erosion rates with increasing vegetation cover is exponential. This review reveals that the decrease in water erosion rates with increasing root mass is also exponential, according to the equation SEP = e-bRP where SEP is a soil erosion parameter (e.g., interrill or rill erosion rates relative to erosion rates of bare topsoils without roots), RP is a root parameter (e.g., root density or root length density) and b is a constant that indicates the effectiveness of the plant roots in reducing soil erosion rates. Whatever rooting parameter is used, for splash erosion b equals zero. For interrill erosion the average b-value is 0.1195 when root density (kg m-3) is used as root parameter, and 0.0022 when root length density (km m-3) is used. For rill erosion these average b-values are 0.5930 and 0.0460, respectively. The similarity of this equation for root effects with the equation for vegetation cover effects is striking, but it is yet impossible to determine which plant element has the highest impact in reducing soil losses, due to incomparable units. Moreover, all the studies on vegetation cover effects attribute soil loss reduction to the above-ground biomass only, whereas in reality this reduction results from the combined effects of roots and canopy cover. Based on an analysis of available data it can be concluded that for splash and interrill erosion vegetation cover is the most important vegetation parameter, whereas for rill and ephemeral gully erosion plant roots are at least as important as vegetation cover. © 2005 Edward Arnold (Publishers) Ltd.","author":[{"dropping-particle":"","family":"Gyssels","given":"G.","non-dropping-particle":"","parse-names":false,"suffix":""},{"dropping-particle":"","family":"Poesen","given":"J.","non-dropping-particle":"","parse-names":false,"suffix":""},{"dropping-particle":"","family":"Bochet","given":"E.","non-dropping-particle":"","parse-names":false,"suffix":""},{"dropping-particle":"","family":"Li","given":"Y.","non-dropping-particle":"","parse-names":false,"suffix":""}],"container-title":"Progress in Physical Geography","id":"ITEM-1","issue":"2","issued":{"date-parts":[["2005"]]},"page":"189-217","title":"Impact of plant roots on the resistance of soils to erosion by water: A review","type":"article-journal","volume":"29"},"uris":["http://www.mendeley.com/documents/?uuid=65c4cf9d-d0b5-4ebd-846b-516c96bd3126"]}],"mendeley":{"formattedCitation":"(Gyssels &lt;i&gt;et al.&lt;/i&gt;, 2005)","plainTextFormattedCitation":"(Gyssels et al., 2005)","previouslyFormattedCitation":"(Gyssels &lt;i&gt;et al.&lt;/i&gt;, 2005)"},"properties":{"noteIndex":0},"schema":"https://github.com/citation-style-language/schema/raw/master/csl-citation.json"}</w:instrText>
      </w:r>
      <w:r w:rsidRPr="00872293">
        <w:rPr>
          <w:rFonts w:ascii="Times New Roman" w:hAnsi="Times New Roman" w:cs="Times New Roman"/>
        </w:rPr>
        <w:fldChar w:fldCharType="separate"/>
      </w:r>
      <w:r w:rsidRPr="00872293">
        <w:rPr>
          <w:rFonts w:ascii="Times New Roman" w:hAnsi="Times New Roman" w:cs="Times New Roman"/>
          <w:noProof/>
        </w:rPr>
        <w:t xml:space="preserve">(Gyssels </w:t>
      </w:r>
      <w:r w:rsidRPr="00872293">
        <w:rPr>
          <w:rFonts w:ascii="Times New Roman" w:hAnsi="Times New Roman" w:cs="Times New Roman"/>
          <w:i/>
          <w:noProof/>
        </w:rPr>
        <w:t>et al.</w:t>
      </w:r>
      <w:r w:rsidRPr="00872293">
        <w:rPr>
          <w:rFonts w:ascii="Times New Roman" w:hAnsi="Times New Roman" w:cs="Times New Roman"/>
          <w:noProof/>
        </w:rPr>
        <w:t>, 2005)</w:t>
      </w:r>
      <w:r w:rsidRPr="00872293">
        <w:rPr>
          <w:rFonts w:ascii="Times New Roman" w:hAnsi="Times New Roman" w:cs="Times New Roman"/>
        </w:rPr>
        <w:fldChar w:fldCharType="end"/>
      </w:r>
      <w:r w:rsidRPr="00872293">
        <w:rPr>
          <w:rFonts w:ascii="Times New Roman" w:hAnsi="Times New Roman" w:cs="Times New Roman"/>
        </w:rPr>
        <w:t>. Inferring causation and increasing tropical monitoring studies that measure ecosystem responses to multiple disturbances will help us project and anticipate forest response and trajectory heading to a warmer world.</w:t>
      </w:r>
    </w:p>
    <w:p w14:paraId="457BB14E" w14:textId="7D9C1FC0" w:rsidR="00534846" w:rsidRPr="00872293" w:rsidRDefault="006773F8" w:rsidP="006773F8">
      <w:pPr>
        <w:rPr>
          <w:rFonts w:ascii="Times New Roman" w:hAnsi="Times New Roman" w:cs="Times New Roman"/>
          <w:shd w:val="clear" w:color="auto" w:fill="FFFFFF"/>
        </w:rPr>
      </w:pPr>
      <w:r w:rsidRPr="00872293">
        <w:rPr>
          <w:rFonts w:ascii="Times New Roman" w:hAnsi="Times New Roman" w:cs="Times New Roman"/>
          <w:shd w:val="clear" w:color="auto" w:fill="FFFFFF"/>
        </w:rPr>
        <w:br w:type="page"/>
      </w:r>
    </w:p>
    <w:p w14:paraId="7A056BFD" w14:textId="5F074AAF" w:rsidR="0017155C" w:rsidRPr="00872293" w:rsidRDefault="0017155C" w:rsidP="00932058">
      <w:pPr>
        <w:pStyle w:val="Heading2"/>
        <w:spacing w:before="0" w:after="0" w:line="360" w:lineRule="auto"/>
      </w:pPr>
      <w:bookmarkStart w:id="180" w:name="_Toc53689126"/>
      <w:r w:rsidRPr="00872293">
        <w:lastRenderedPageBreak/>
        <w:t>References</w:t>
      </w:r>
      <w:bookmarkEnd w:id="180"/>
    </w:p>
    <w:p w14:paraId="3D0CB362" w14:textId="77777777" w:rsidR="0017155C" w:rsidRPr="00872293" w:rsidRDefault="0017155C" w:rsidP="00932058">
      <w:pPr>
        <w:widowControl w:val="0"/>
        <w:autoSpaceDE w:val="0"/>
        <w:autoSpaceDN w:val="0"/>
        <w:adjustRightInd w:val="0"/>
        <w:spacing w:before="240" w:after="240" w:line="360" w:lineRule="auto"/>
        <w:rPr>
          <w:rFonts w:ascii="Times New Roman" w:hAnsi="Times New Roman" w:cs="Times New Roman"/>
          <w:noProof/>
        </w:rPr>
      </w:pPr>
      <w:r w:rsidRPr="00872293">
        <w:rPr>
          <w:rFonts w:ascii="Times New Roman" w:hAnsi="Times New Roman" w:cs="Times New Roman"/>
        </w:rPr>
        <w:fldChar w:fldCharType="begin" w:fldLock="1"/>
      </w:r>
      <w:r w:rsidRPr="00872293">
        <w:rPr>
          <w:rFonts w:ascii="Times New Roman" w:hAnsi="Times New Roman" w:cs="Times New Roman"/>
        </w:rPr>
        <w:instrText xml:space="preserve">ADDIN Mendeley Bibliography CSL_BIBLIOGRAPHY </w:instrText>
      </w:r>
      <w:r w:rsidRPr="00872293">
        <w:rPr>
          <w:rFonts w:ascii="Times New Roman" w:hAnsi="Times New Roman" w:cs="Times New Roman"/>
        </w:rPr>
        <w:fldChar w:fldCharType="separate"/>
      </w:r>
      <w:r w:rsidRPr="00872293">
        <w:rPr>
          <w:rFonts w:ascii="Times New Roman" w:hAnsi="Times New Roman" w:cs="Times New Roman"/>
          <w:b/>
          <w:bCs/>
          <w:noProof/>
        </w:rPr>
        <w:t xml:space="preserve">Bergmann J, Weigelt A, Van Der Plas F, Laughli DC, Kuype TW, Guerrero-Ramirez N, Valverde-Barrantes OJ, Bruelheide H, Fresche GT, Iverse CM,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2020</w:t>
      </w:r>
      <w:r w:rsidRPr="00872293">
        <w:rPr>
          <w:rFonts w:ascii="Times New Roman" w:hAnsi="Times New Roman" w:cs="Times New Roman"/>
          <w:noProof/>
        </w:rPr>
        <w:t xml:space="preserve">. The fungal collaboration gradient dominates the root economics space in plants.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6</w:t>
      </w:r>
      <w:r w:rsidRPr="00872293">
        <w:rPr>
          <w:rFonts w:ascii="Times New Roman" w:hAnsi="Times New Roman" w:cs="Times New Roman"/>
          <w:noProof/>
        </w:rPr>
        <w:t>: 27.</w:t>
      </w:r>
    </w:p>
    <w:p w14:paraId="2B4A94CA" w14:textId="0C4DC2B5"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Burton AJ, Pregitzer KS</w:t>
      </w:r>
      <w:r w:rsidRPr="00872293">
        <w:rPr>
          <w:rFonts w:ascii="Times New Roman" w:hAnsi="Times New Roman" w:cs="Times New Roman"/>
          <w:noProof/>
        </w:rPr>
        <w:t xml:space="preserve">. </w:t>
      </w:r>
      <w:r w:rsidRPr="00872293">
        <w:rPr>
          <w:rFonts w:ascii="Times New Roman" w:hAnsi="Times New Roman" w:cs="Times New Roman"/>
          <w:b/>
          <w:bCs/>
          <w:noProof/>
        </w:rPr>
        <w:t>2003</w:t>
      </w:r>
      <w:r w:rsidRPr="00872293">
        <w:rPr>
          <w:rFonts w:ascii="Times New Roman" w:hAnsi="Times New Roman" w:cs="Times New Roman"/>
          <w:noProof/>
        </w:rPr>
        <w:t xml:space="preserve">. Field measurements of root respiration indicate little to no seasonal temperature acclimation for sugar maple and red pine. </w:t>
      </w:r>
      <w:r w:rsidRPr="00872293">
        <w:rPr>
          <w:rFonts w:ascii="Times New Roman" w:hAnsi="Times New Roman" w:cs="Times New Roman"/>
          <w:i/>
          <w:iCs/>
          <w:noProof/>
        </w:rPr>
        <w:t>Tree Physiology</w:t>
      </w:r>
      <w:r w:rsidRPr="00872293">
        <w:rPr>
          <w:rFonts w:ascii="Times New Roman" w:hAnsi="Times New Roman" w:cs="Times New Roman"/>
          <w:noProof/>
        </w:rPr>
        <w:t xml:space="preserve"> </w:t>
      </w:r>
      <w:r w:rsidRPr="00872293">
        <w:rPr>
          <w:rFonts w:ascii="Times New Roman" w:hAnsi="Times New Roman" w:cs="Times New Roman"/>
          <w:b/>
          <w:bCs/>
          <w:noProof/>
        </w:rPr>
        <w:t>23</w:t>
      </w:r>
      <w:r w:rsidRPr="00872293">
        <w:rPr>
          <w:rFonts w:ascii="Times New Roman" w:hAnsi="Times New Roman" w:cs="Times New Roman"/>
          <w:noProof/>
        </w:rPr>
        <w:t>: 273–280.</w:t>
      </w:r>
    </w:p>
    <w:p w14:paraId="1E335B65" w14:textId="613A848A" w:rsidR="00736A9E" w:rsidRPr="00872293" w:rsidRDefault="00736A9E" w:rsidP="009C5CCE">
      <w:pPr>
        <w:widowControl w:val="0"/>
        <w:autoSpaceDE w:val="0"/>
        <w:autoSpaceDN w:val="0"/>
        <w:adjustRightInd w:val="0"/>
        <w:spacing w:before="240" w:after="240" w:line="360" w:lineRule="auto"/>
        <w:rPr>
          <w:rFonts w:ascii="Times New Roman" w:hAnsi="Times New Roman" w:cs="Times New Roman"/>
          <w:noProof/>
        </w:rPr>
      </w:pPr>
      <w:r w:rsidRPr="00872293">
        <w:rPr>
          <w:rFonts w:ascii="Times New Roman" w:hAnsi="Times New Roman" w:cs="Times New Roman"/>
          <w:b/>
          <w:bCs/>
          <w:noProof/>
        </w:rPr>
        <w:t>Carter KR, Wood EW, Reed SC, Schwartz EC, Reinsel MB, Yang X, Cavaleri MA</w:t>
      </w:r>
      <w:r w:rsidRPr="00872293">
        <w:rPr>
          <w:rFonts w:ascii="Times New Roman" w:hAnsi="Times New Roman" w:cs="Times New Roman"/>
          <w:noProof/>
        </w:rPr>
        <w:t xml:space="preserve">. </w:t>
      </w:r>
      <w:r w:rsidR="00073CF9" w:rsidRPr="00872293">
        <w:rPr>
          <w:rFonts w:ascii="Times New Roman" w:hAnsi="Times New Roman" w:cs="Times New Roman"/>
          <w:noProof/>
        </w:rPr>
        <w:t xml:space="preserve">2020. </w:t>
      </w:r>
      <w:r w:rsidRPr="00872293">
        <w:rPr>
          <w:rFonts w:ascii="Times New Roman" w:hAnsi="Times New Roman" w:cs="Times New Roman"/>
        </w:rPr>
        <w:t xml:space="preserve">Understory shrubs show limited photosynthetic acclimation and no respiratory acclimation in response to </w:t>
      </w:r>
      <w:r w:rsidRPr="00872293">
        <w:rPr>
          <w:rFonts w:ascii="Times New Roman" w:hAnsi="Times New Roman" w:cs="Times New Roman"/>
          <w:i/>
          <w:iCs/>
        </w:rPr>
        <w:t xml:space="preserve">in situ </w:t>
      </w:r>
      <w:r w:rsidRPr="00872293">
        <w:rPr>
          <w:rFonts w:ascii="Times New Roman" w:hAnsi="Times New Roman" w:cs="Times New Roman"/>
        </w:rPr>
        <w:t xml:space="preserve">experimental warming of a wet tropical forest. </w:t>
      </w:r>
      <w:r w:rsidRPr="00872293">
        <w:rPr>
          <w:rFonts w:ascii="Times New Roman" w:hAnsi="Times New Roman" w:cs="Times New Roman"/>
          <w:i/>
          <w:iCs/>
        </w:rPr>
        <w:t>Frontiers in Forest and Climate Change</w:t>
      </w:r>
      <w:r w:rsidRPr="00872293">
        <w:rPr>
          <w:rFonts w:ascii="Times New Roman" w:hAnsi="Times New Roman" w:cs="Times New Roman"/>
        </w:rPr>
        <w:t xml:space="preserve">. </w:t>
      </w:r>
    </w:p>
    <w:p w14:paraId="673AC93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Cornejo FH, Varela A, Wright SJ</w:t>
      </w:r>
      <w:r w:rsidRPr="00872293">
        <w:rPr>
          <w:rFonts w:ascii="Times New Roman" w:hAnsi="Times New Roman" w:cs="Times New Roman"/>
          <w:noProof/>
        </w:rPr>
        <w:t xml:space="preserve">. </w:t>
      </w:r>
      <w:r w:rsidRPr="00872293">
        <w:rPr>
          <w:rFonts w:ascii="Times New Roman" w:hAnsi="Times New Roman" w:cs="Times New Roman"/>
          <w:b/>
          <w:bCs/>
          <w:noProof/>
        </w:rPr>
        <w:t>1994</w:t>
      </w:r>
      <w:r w:rsidRPr="00872293">
        <w:rPr>
          <w:rFonts w:ascii="Times New Roman" w:hAnsi="Times New Roman" w:cs="Times New Roman"/>
          <w:noProof/>
        </w:rPr>
        <w:t xml:space="preserve">. Tropical Forest Litter Decomposition under Seasonal Drought: Nutrient Release, Fungi and Bacteria. </w:t>
      </w:r>
      <w:r w:rsidRPr="00872293">
        <w:rPr>
          <w:rFonts w:ascii="Times New Roman" w:hAnsi="Times New Roman" w:cs="Times New Roman"/>
          <w:i/>
          <w:iCs/>
          <w:noProof/>
        </w:rPr>
        <w:t>Oikos</w:t>
      </w:r>
      <w:r w:rsidRPr="00872293">
        <w:rPr>
          <w:rFonts w:ascii="Times New Roman" w:hAnsi="Times New Roman" w:cs="Times New Roman"/>
          <w:noProof/>
        </w:rPr>
        <w:t xml:space="preserve"> </w:t>
      </w:r>
      <w:r w:rsidRPr="00872293">
        <w:rPr>
          <w:rFonts w:ascii="Times New Roman" w:hAnsi="Times New Roman" w:cs="Times New Roman"/>
          <w:b/>
          <w:bCs/>
          <w:noProof/>
        </w:rPr>
        <w:t>70</w:t>
      </w:r>
      <w:r w:rsidRPr="00872293">
        <w:rPr>
          <w:rFonts w:ascii="Times New Roman" w:hAnsi="Times New Roman" w:cs="Times New Roman"/>
          <w:noProof/>
        </w:rPr>
        <w:t>: 183–190.</w:t>
      </w:r>
    </w:p>
    <w:p w14:paraId="55466041"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Cuevas E, Medina E</w:t>
      </w:r>
      <w:r w:rsidRPr="00872293">
        <w:rPr>
          <w:rFonts w:ascii="Times New Roman" w:hAnsi="Times New Roman" w:cs="Times New Roman"/>
          <w:noProof/>
        </w:rPr>
        <w:t xml:space="preserve">. </w:t>
      </w:r>
      <w:r w:rsidRPr="00872293">
        <w:rPr>
          <w:rFonts w:ascii="Times New Roman" w:hAnsi="Times New Roman" w:cs="Times New Roman"/>
          <w:b/>
          <w:bCs/>
          <w:noProof/>
        </w:rPr>
        <w:t>1988</w:t>
      </w:r>
      <w:r w:rsidRPr="00872293">
        <w:rPr>
          <w:rFonts w:ascii="Times New Roman" w:hAnsi="Times New Roman" w:cs="Times New Roman"/>
          <w:noProof/>
        </w:rPr>
        <w:t xml:space="preserve">. Nutrient dynamics within Amazonian forests. II. Fine root growth, nutrient availability and leaf litter decomposition.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76</w:t>
      </w:r>
      <w:r w:rsidRPr="00872293">
        <w:rPr>
          <w:rFonts w:ascii="Times New Roman" w:hAnsi="Times New Roman" w:cs="Times New Roman"/>
          <w:noProof/>
        </w:rPr>
        <w:t>: 222–235.</w:t>
      </w:r>
    </w:p>
    <w:p w14:paraId="07E78192"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Dukes JS, Chiariello NR, Cleland EE, Moore LA, Rebecca Shaw M, Thayer S, Tobeck T, Mooney HA, Field CB</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Responses of grassland production to single and multiple global environmental changes. </w:t>
      </w:r>
      <w:r w:rsidRPr="00872293">
        <w:rPr>
          <w:rFonts w:ascii="Times New Roman" w:hAnsi="Times New Roman" w:cs="Times New Roman"/>
          <w:i/>
          <w:iCs/>
          <w:noProof/>
        </w:rPr>
        <w:t>PLoS Biology</w:t>
      </w:r>
      <w:r w:rsidRPr="00872293">
        <w:rPr>
          <w:rFonts w:ascii="Times New Roman" w:hAnsi="Times New Roman" w:cs="Times New Roman"/>
          <w:noProof/>
        </w:rPr>
        <w:t xml:space="preserve"> </w:t>
      </w:r>
      <w:r w:rsidRPr="00872293">
        <w:rPr>
          <w:rFonts w:ascii="Times New Roman" w:hAnsi="Times New Roman" w:cs="Times New Roman"/>
          <w:b/>
          <w:bCs/>
          <w:noProof/>
        </w:rPr>
        <w:t>3</w:t>
      </w:r>
      <w:r w:rsidRPr="00872293">
        <w:rPr>
          <w:rFonts w:ascii="Times New Roman" w:hAnsi="Times New Roman" w:cs="Times New Roman"/>
          <w:noProof/>
        </w:rPr>
        <w:t>.</w:t>
      </w:r>
    </w:p>
    <w:p w14:paraId="57627D5A"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Fitter AH, Self GK, Brown TK, Bogie DS, Graves JD, Benham D, Ineson P</w:t>
      </w:r>
      <w:r w:rsidRPr="00872293">
        <w:rPr>
          <w:rFonts w:ascii="Times New Roman" w:hAnsi="Times New Roman" w:cs="Times New Roman"/>
          <w:noProof/>
        </w:rPr>
        <w:t xml:space="preserve">. </w:t>
      </w:r>
      <w:r w:rsidRPr="00872293">
        <w:rPr>
          <w:rFonts w:ascii="Times New Roman" w:hAnsi="Times New Roman" w:cs="Times New Roman"/>
          <w:b/>
          <w:bCs/>
          <w:noProof/>
        </w:rPr>
        <w:t>1999</w:t>
      </w:r>
      <w:r w:rsidRPr="00872293">
        <w:rPr>
          <w:rFonts w:ascii="Times New Roman" w:hAnsi="Times New Roman" w:cs="Times New Roman"/>
          <w:noProof/>
        </w:rPr>
        <w:t xml:space="preserve">. Root production and turnover in an upland grassland subjected to artificial soil warming respond to radiation flux and nutrients, not temperature. </w:t>
      </w:r>
      <w:r w:rsidRPr="00872293">
        <w:rPr>
          <w:rFonts w:ascii="Times New Roman" w:hAnsi="Times New Roman" w:cs="Times New Roman"/>
          <w:i/>
          <w:iCs/>
          <w:noProof/>
        </w:rPr>
        <w:t>Oecologia</w:t>
      </w:r>
      <w:r w:rsidRPr="00872293">
        <w:rPr>
          <w:rFonts w:ascii="Times New Roman" w:hAnsi="Times New Roman" w:cs="Times New Roman"/>
          <w:noProof/>
        </w:rPr>
        <w:t xml:space="preserve"> </w:t>
      </w:r>
      <w:r w:rsidRPr="00872293">
        <w:rPr>
          <w:rFonts w:ascii="Times New Roman" w:hAnsi="Times New Roman" w:cs="Times New Roman"/>
          <w:b/>
          <w:bCs/>
          <w:noProof/>
        </w:rPr>
        <w:t>120</w:t>
      </w:r>
      <w:r w:rsidRPr="00872293">
        <w:rPr>
          <w:rFonts w:ascii="Times New Roman" w:hAnsi="Times New Roman" w:cs="Times New Roman"/>
          <w:noProof/>
        </w:rPr>
        <w:t>: 575–581.</w:t>
      </w:r>
    </w:p>
    <w:p w14:paraId="786FD230"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Forbes PJ, Black KE, Hooker JE</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Temperature-induced alteration to root longevity in Lolium perenne.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190</w:t>
      </w:r>
      <w:r w:rsidRPr="00872293">
        <w:rPr>
          <w:rFonts w:ascii="Times New Roman" w:hAnsi="Times New Roman" w:cs="Times New Roman"/>
          <w:noProof/>
        </w:rPr>
        <w:t>: 87–90.</w:t>
      </w:r>
    </w:p>
    <w:p w14:paraId="74DF7C3D"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Gyssels G, Poesen J, Bochet E, Li Y</w:t>
      </w:r>
      <w:r w:rsidRPr="00872293">
        <w:rPr>
          <w:rFonts w:ascii="Times New Roman" w:hAnsi="Times New Roman" w:cs="Times New Roman"/>
          <w:noProof/>
        </w:rPr>
        <w:t xml:space="preserve">. </w:t>
      </w:r>
      <w:r w:rsidRPr="00872293">
        <w:rPr>
          <w:rFonts w:ascii="Times New Roman" w:hAnsi="Times New Roman" w:cs="Times New Roman"/>
          <w:b/>
          <w:bCs/>
          <w:noProof/>
        </w:rPr>
        <w:t>2005</w:t>
      </w:r>
      <w:r w:rsidRPr="00872293">
        <w:rPr>
          <w:rFonts w:ascii="Times New Roman" w:hAnsi="Times New Roman" w:cs="Times New Roman"/>
          <w:noProof/>
        </w:rPr>
        <w:t xml:space="preserve">. Impact of plant roots on the resistance of soils to erosion by water: A review. </w:t>
      </w:r>
      <w:r w:rsidRPr="00872293">
        <w:rPr>
          <w:rFonts w:ascii="Times New Roman" w:hAnsi="Times New Roman" w:cs="Times New Roman"/>
          <w:i/>
          <w:iCs/>
          <w:noProof/>
        </w:rPr>
        <w:t>Progress in Physical Geography</w:t>
      </w:r>
      <w:r w:rsidRPr="00872293">
        <w:rPr>
          <w:rFonts w:ascii="Times New Roman" w:hAnsi="Times New Roman" w:cs="Times New Roman"/>
          <w:noProof/>
        </w:rPr>
        <w:t xml:space="preserve"> </w:t>
      </w:r>
      <w:r w:rsidRPr="00872293">
        <w:rPr>
          <w:rFonts w:ascii="Times New Roman" w:hAnsi="Times New Roman" w:cs="Times New Roman"/>
          <w:b/>
          <w:bCs/>
          <w:noProof/>
        </w:rPr>
        <w:t>29</w:t>
      </w:r>
      <w:r w:rsidRPr="00872293">
        <w:rPr>
          <w:rFonts w:ascii="Times New Roman" w:hAnsi="Times New Roman" w:cs="Times New Roman"/>
          <w:noProof/>
        </w:rPr>
        <w:t>: 189–217.</w:t>
      </w:r>
    </w:p>
    <w:p w14:paraId="3CAE134A"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Hungate BA, Holland EA, Jackson RB, Chapin FS, Mooney HA, Field CB</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The fate of </w:t>
      </w:r>
      <w:r w:rsidRPr="00872293">
        <w:rPr>
          <w:rFonts w:ascii="Times New Roman" w:hAnsi="Times New Roman" w:cs="Times New Roman"/>
          <w:noProof/>
        </w:rPr>
        <w:lastRenderedPageBreak/>
        <w:t xml:space="preserve">carbon in grasslands under carbon dioxide enrichment.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388</w:t>
      </w:r>
      <w:r w:rsidRPr="00872293">
        <w:rPr>
          <w:rFonts w:ascii="Times New Roman" w:hAnsi="Times New Roman" w:cs="Times New Roman"/>
          <w:noProof/>
        </w:rPr>
        <w:t>: 576–579.</w:t>
      </w:r>
    </w:p>
    <w:p w14:paraId="7D26E3B5"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Jackson RB, Mooney HA, Schulze ED</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A global budget for fine root biomass, surface area, and nutrient contents.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 xml:space="preserve"> </w:t>
      </w:r>
      <w:r w:rsidRPr="00872293">
        <w:rPr>
          <w:rFonts w:ascii="Times New Roman" w:hAnsi="Times New Roman" w:cs="Times New Roman"/>
          <w:b/>
          <w:bCs/>
          <w:noProof/>
        </w:rPr>
        <w:t>94</w:t>
      </w:r>
      <w:r w:rsidRPr="00872293">
        <w:rPr>
          <w:rFonts w:ascii="Times New Roman" w:hAnsi="Times New Roman" w:cs="Times New Roman"/>
          <w:noProof/>
        </w:rPr>
        <w:t>: 7362–7366.</w:t>
      </w:r>
    </w:p>
    <w:p w14:paraId="57FA9130"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Kell DB</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Large-scale sequestration of atmospheric carbon via plant roots in natural and agricultural ecosystems: Why and how. </w:t>
      </w:r>
      <w:r w:rsidRPr="00872293">
        <w:rPr>
          <w:rFonts w:ascii="Times New Roman" w:hAnsi="Times New Roman" w:cs="Times New Roman"/>
          <w:i/>
          <w:iCs/>
          <w:noProof/>
        </w:rPr>
        <w:t>Philosophical Transactions of the Royal Society B: Biological Sciences</w:t>
      </w:r>
      <w:r w:rsidRPr="00872293">
        <w:rPr>
          <w:rFonts w:ascii="Times New Roman" w:hAnsi="Times New Roman" w:cs="Times New Roman"/>
          <w:noProof/>
        </w:rPr>
        <w:t xml:space="preserve"> </w:t>
      </w:r>
      <w:r w:rsidRPr="00872293">
        <w:rPr>
          <w:rFonts w:ascii="Times New Roman" w:hAnsi="Times New Roman" w:cs="Times New Roman"/>
          <w:b/>
          <w:bCs/>
          <w:noProof/>
        </w:rPr>
        <w:t>367</w:t>
      </w:r>
      <w:r w:rsidRPr="00872293">
        <w:rPr>
          <w:rFonts w:ascii="Times New Roman" w:hAnsi="Times New Roman" w:cs="Times New Roman"/>
          <w:noProof/>
        </w:rPr>
        <w:t>: 1589–1597.</w:t>
      </w:r>
    </w:p>
    <w:p w14:paraId="42A0B0C9"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Kitayama K, Majalap-Lee N, Aiba SI</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Soil phosphorus fractionation and phosphorus-use efficiencies of tropical rainforests along altitudinal gradients of Mount Kinabalu, Borneo. </w:t>
      </w:r>
      <w:r w:rsidRPr="00872293">
        <w:rPr>
          <w:rFonts w:ascii="Times New Roman" w:hAnsi="Times New Roman" w:cs="Times New Roman"/>
          <w:i/>
          <w:iCs/>
          <w:noProof/>
        </w:rPr>
        <w:t>Oecologia</w:t>
      </w:r>
      <w:r w:rsidRPr="00872293">
        <w:rPr>
          <w:rFonts w:ascii="Times New Roman" w:hAnsi="Times New Roman" w:cs="Times New Roman"/>
          <w:noProof/>
        </w:rPr>
        <w:t>.</w:t>
      </w:r>
    </w:p>
    <w:p w14:paraId="29AADA66"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Kong D, Ma C, Zhang Q, Li L, Chen X, Zeng H, Guo D</w:t>
      </w:r>
      <w:r w:rsidRPr="00872293">
        <w:rPr>
          <w:rFonts w:ascii="Times New Roman" w:hAnsi="Times New Roman" w:cs="Times New Roman"/>
          <w:noProof/>
        </w:rPr>
        <w:t xml:space="preserve">. </w:t>
      </w:r>
      <w:r w:rsidRPr="00872293">
        <w:rPr>
          <w:rFonts w:ascii="Times New Roman" w:hAnsi="Times New Roman" w:cs="Times New Roman"/>
          <w:b/>
          <w:bCs/>
          <w:noProof/>
        </w:rPr>
        <w:t>2014</w:t>
      </w:r>
      <w:r w:rsidRPr="00872293">
        <w:rPr>
          <w:rFonts w:ascii="Times New Roman" w:hAnsi="Times New Roman" w:cs="Times New Roman"/>
          <w:noProof/>
        </w:rPr>
        <w:t xml:space="preserve">. Leading dimensions in absorptive root trait variation across 96 subtropical forest species.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203</w:t>
      </w:r>
      <w:r w:rsidRPr="00872293">
        <w:rPr>
          <w:rFonts w:ascii="Times New Roman" w:hAnsi="Times New Roman" w:cs="Times New Roman"/>
          <w:noProof/>
        </w:rPr>
        <w:t>: 863–872.</w:t>
      </w:r>
    </w:p>
    <w:p w14:paraId="1A894A8E"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lang w:val="pt-BR"/>
        </w:rPr>
      </w:pPr>
      <w:r w:rsidRPr="00872293">
        <w:rPr>
          <w:rFonts w:ascii="Times New Roman" w:hAnsi="Times New Roman" w:cs="Times New Roman"/>
          <w:b/>
          <w:bCs/>
          <w:noProof/>
        </w:rPr>
        <w:t xml:space="preserve">Koven C, Knox R, Fisher R, Chambers J, Christoffersen B, Davies S, Detto M, Dietze M, Faybishenko B, Holm J, </w:t>
      </w:r>
      <w:r w:rsidRPr="00872293">
        <w:rPr>
          <w:rFonts w:ascii="Times New Roman" w:hAnsi="Times New Roman" w:cs="Times New Roman"/>
          <w:b/>
          <w:bCs/>
          <w:i/>
          <w:iCs/>
          <w:noProof/>
        </w:rPr>
        <w:t>et al.</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Benchmarking and Parameter Sensitivity of Physiological and Vegetation Dynamics using the Functionally Assembled Terrestrial Ecosystem Simulator (FATES) at Barro Colorado Island, Panama. </w:t>
      </w:r>
      <w:r w:rsidRPr="00872293">
        <w:rPr>
          <w:rFonts w:ascii="Times New Roman" w:hAnsi="Times New Roman" w:cs="Times New Roman"/>
          <w:i/>
          <w:iCs/>
          <w:noProof/>
          <w:lang w:val="pt-BR"/>
        </w:rPr>
        <w:t>Biogeosciences Discussions</w:t>
      </w:r>
      <w:r w:rsidRPr="00872293">
        <w:rPr>
          <w:rFonts w:ascii="Times New Roman" w:hAnsi="Times New Roman" w:cs="Times New Roman"/>
          <w:noProof/>
          <w:lang w:val="pt-BR"/>
        </w:rPr>
        <w:t>.</w:t>
      </w:r>
    </w:p>
    <w:p w14:paraId="1FFDF8B6"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lang w:val="pt-BR"/>
        </w:rPr>
        <w:t xml:space="preserve">Lugli LF, Andersen KM, Aragão LEOC, Cordeiro AL, Cunha HFV, Fuchslueger L, Meir P, Mercado LM, Oblitas E, Quesada CA, </w:t>
      </w:r>
      <w:r w:rsidRPr="00872293">
        <w:rPr>
          <w:rFonts w:ascii="Times New Roman" w:hAnsi="Times New Roman" w:cs="Times New Roman"/>
          <w:b/>
          <w:bCs/>
          <w:i/>
          <w:iCs/>
          <w:noProof/>
          <w:lang w:val="pt-BR"/>
        </w:rPr>
        <w:t>et al.</w:t>
      </w:r>
      <w:r w:rsidRPr="00872293">
        <w:rPr>
          <w:rFonts w:ascii="Times New Roman" w:hAnsi="Times New Roman" w:cs="Times New Roman"/>
          <w:noProof/>
          <w:lang w:val="pt-BR"/>
        </w:rPr>
        <w:t xml:space="preserve"> </w:t>
      </w:r>
      <w:r w:rsidRPr="00872293">
        <w:rPr>
          <w:rFonts w:ascii="Times New Roman" w:hAnsi="Times New Roman" w:cs="Times New Roman"/>
          <w:b/>
          <w:bCs/>
          <w:noProof/>
          <w:lang w:val="pt-BR"/>
        </w:rPr>
        <w:t>2019</w:t>
      </w:r>
      <w:r w:rsidRPr="00872293">
        <w:rPr>
          <w:rFonts w:ascii="Times New Roman" w:hAnsi="Times New Roman" w:cs="Times New Roman"/>
          <w:noProof/>
          <w:lang w:val="pt-BR"/>
        </w:rPr>
        <w:t xml:space="preserve">. </w:t>
      </w:r>
      <w:r w:rsidRPr="00872293">
        <w:rPr>
          <w:rFonts w:ascii="Times New Roman" w:hAnsi="Times New Roman" w:cs="Times New Roman"/>
          <w:noProof/>
        </w:rPr>
        <w:t xml:space="preserve">Multiple phosphorus acquisition strategies adopted by fine roots in low-fertility soils in Central Amazonia.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450</w:t>
      </w:r>
      <w:r w:rsidRPr="00872293">
        <w:rPr>
          <w:rFonts w:ascii="Times New Roman" w:hAnsi="Times New Roman" w:cs="Times New Roman"/>
          <w:noProof/>
        </w:rPr>
        <w:t>: 49–63.</w:t>
      </w:r>
    </w:p>
    <w:p w14:paraId="6D3B30C3" w14:textId="77777777" w:rsidR="0017155C" w:rsidRPr="00872293" w:rsidRDefault="0017155C" w:rsidP="00932058">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Lugo AE, Rogers CS, Nixon SW</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Hurricanes, coral reefs and rainforests: Resistance, ruin and recovery in the Caribbean. </w:t>
      </w:r>
      <w:r w:rsidRPr="00872293">
        <w:rPr>
          <w:rFonts w:ascii="Times New Roman" w:hAnsi="Times New Roman" w:cs="Times New Roman"/>
          <w:i/>
          <w:iCs/>
          <w:noProof/>
        </w:rPr>
        <w:t>Ambio</w:t>
      </w:r>
      <w:r w:rsidRPr="00872293">
        <w:rPr>
          <w:rFonts w:ascii="Times New Roman" w:hAnsi="Times New Roman" w:cs="Times New Roman"/>
          <w:noProof/>
        </w:rPr>
        <w:t xml:space="preserve"> </w:t>
      </w:r>
      <w:r w:rsidRPr="00872293">
        <w:rPr>
          <w:rFonts w:ascii="Times New Roman" w:hAnsi="Times New Roman" w:cs="Times New Roman"/>
          <w:b/>
          <w:bCs/>
          <w:noProof/>
        </w:rPr>
        <w:t>29</w:t>
      </w:r>
      <w:r w:rsidRPr="00872293">
        <w:rPr>
          <w:rFonts w:ascii="Times New Roman" w:hAnsi="Times New Roman" w:cs="Times New Roman"/>
          <w:noProof/>
        </w:rPr>
        <w:t>: 106–114.</w:t>
      </w:r>
    </w:p>
    <w:p w14:paraId="12CA901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Majdi H, Öhrvik J</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Interactive effects of soil warming and fertilization root production, mortality, and longevity in a Norway spruce stand in Northern Sweden.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10</w:t>
      </w:r>
      <w:r w:rsidRPr="00872293">
        <w:rPr>
          <w:rFonts w:ascii="Times New Roman" w:hAnsi="Times New Roman" w:cs="Times New Roman"/>
          <w:noProof/>
        </w:rPr>
        <w:t>: 182–188.</w:t>
      </w:r>
    </w:p>
    <w:p w14:paraId="0006A7E3"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lastRenderedPageBreak/>
        <w:t>Mau AC, Reed SC, Wood TE, Cavaleri MA</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Temperate and tropical forest canopies are already functioning beyond their thermal thresholds for photosynthesis. </w:t>
      </w:r>
      <w:r w:rsidRPr="00872293">
        <w:rPr>
          <w:rFonts w:ascii="Times New Roman" w:hAnsi="Times New Roman" w:cs="Times New Roman"/>
          <w:i/>
          <w:iCs/>
          <w:noProof/>
        </w:rPr>
        <w:t>Forests</w:t>
      </w:r>
      <w:r w:rsidRPr="00872293">
        <w:rPr>
          <w:rFonts w:ascii="Times New Roman" w:hAnsi="Times New Roman" w:cs="Times New Roman"/>
          <w:noProof/>
        </w:rPr>
        <w:t>.</w:t>
      </w:r>
    </w:p>
    <w:p w14:paraId="1A6367AA"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McDowell WH</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Impacts of Hurricanes on Forest Hydrology and Biogeochemistry. In: Forest Hydrology and Biogeochemistry. 643–657.</w:t>
      </w:r>
    </w:p>
    <w:p w14:paraId="728CA113"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Nasto MK, Osborne BB, Lekberg Y, Asner GP, Balzotti CS, Porder S, Taylor PG, Townsend AR, Cleveland CC</w:t>
      </w:r>
      <w:r w:rsidRPr="00872293">
        <w:rPr>
          <w:rFonts w:ascii="Times New Roman" w:hAnsi="Times New Roman" w:cs="Times New Roman"/>
          <w:noProof/>
        </w:rPr>
        <w:t xml:space="preserve">. </w:t>
      </w:r>
      <w:r w:rsidRPr="00872293">
        <w:rPr>
          <w:rFonts w:ascii="Times New Roman" w:hAnsi="Times New Roman" w:cs="Times New Roman"/>
          <w:b/>
          <w:bCs/>
          <w:noProof/>
        </w:rPr>
        <w:t>2017</w:t>
      </w:r>
      <w:r w:rsidRPr="00872293">
        <w:rPr>
          <w:rFonts w:ascii="Times New Roman" w:hAnsi="Times New Roman" w:cs="Times New Roman"/>
          <w:noProof/>
        </w:rPr>
        <w:t xml:space="preserve">. Nutrient acquisition, soil phosphorus partitioning and competition among trees in a lowland tropical rain forest.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214</w:t>
      </w:r>
      <w:r w:rsidRPr="00872293">
        <w:rPr>
          <w:rFonts w:ascii="Times New Roman" w:hAnsi="Times New Roman" w:cs="Times New Roman"/>
          <w:noProof/>
        </w:rPr>
        <w:t>: 1506–1517.</w:t>
      </w:r>
    </w:p>
    <w:p w14:paraId="180C45DE"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Norby R</w:t>
      </w:r>
      <w:r w:rsidRPr="00872293">
        <w:rPr>
          <w:rFonts w:ascii="Times New Roman" w:hAnsi="Times New Roman" w:cs="Times New Roman"/>
          <w:noProof/>
        </w:rPr>
        <w:t xml:space="preserve">. </w:t>
      </w:r>
      <w:r w:rsidRPr="00872293">
        <w:rPr>
          <w:rFonts w:ascii="Times New Roman" w:hAnsi="Times New Roman" w:cs="Times New Roman"/>
          <w:b/>
          <w:bCs/>
          <w:noProof/>
        </w:rPr>
        <w:t>1997</w:t>
      </w:r>
      <w:r w:rsidRPr="00872293">
        <w:rPr>
          <w:rFonts w:ascii="Times New Roman" w:hAnsi="Times New Roman" w:cs="Times New Roman"/>
          <w:noProof/>
        </w:rPr>
        <w:t xml:space="preserve">. Inside the black box.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388</w:t>
      </w:r>
      <w:r w:rsidRPr="00872293">
        <w:rPr>
          <w:rFonts w:ascii="Times New Roman" w:hAnsi="Times New Roman" w:cs="Times New Roman"/>
          <w:noProof/>
        </w:rPr>
        <w:t>: 522–523.</w:t>
      </w:r>
    </w:p>
    <w:p w14:paraId="29E10F92" w14:textId="37BC7B0F" w:rsidR="0017155C"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Norby RJ, Ledford J, Reilly CD, Miller NE, O’Neill EG</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Fine-root production dominates response of a deciduous forest to atmospheric CO2 enrichment. </w:t>
      </w:r>
      <w:r w:rsidRPr="00872293">
        <w:rPr>
          <w:rFonts w:ascii="Times New Roman" w:hAnsi="Times New Roman" w:cs="Times New Roman"/>
          <w:i/>
          <w:iCs/>
          <w:noProof/>
        </w:rPr>
        <w:t>Proceedings of the National Academy of Sciences of the United States of America</w:t>
      </w:r>
      <w:r w:rsidRPr="00872293">
        <w:rPr>
          <w:rFonts w:ascii="Times New Roman" w:hAnsi="Times New Roman" w:cs="Times New Roman"/>
          <w:noProof/>
        </w:rPr>
        <w:t>.</w:t>
      </w:r>
    </w:p>
    <w:p w14:paraId="54C9D121" w14:textId="7D14CB0D" w:rsidR="00221AAB" w:rsidRPr="00872293" w:rsidRDefault="00221AAB" w:rsidP="009C5CCE">
      <w:pPr>
        <w:widowControl w:val="0"/>
        <w:autoSpaceDE w:val="0"/>
        <w:autoSpaceDN w:val="0"/>
        <w:adjustRightInd w:val="0"/>
        <w:spacing w:after="240" w:line="360" w:lineRule="auto"/>
        <w:rPr>
          <w:rFonts w:ascii="Times New Roman" w:hAnsi="Times New Roman" w:cs="Times New Roman"/>
          <w:noProof/>
        </w:rPr>
      </w:pPr>
      <w:r w:rsidRPr="00D51A9F">
        <w:rPr>
          <w:rFonts w:ascii="Times New Roman" w:hAnsi="Times New Roman" w:cs="Times New Roman"/>
          <w:b/>
          <w:bCs/>
          <w:noProof/>
        </w:rPr>
        <w:t xml:space="preserve">Odum H. </w:t>
      </w:r>
      <w:r w:rsidR="00EF5732" w:rsidRPr="00D51A9F">
        <w:rPr>
          <w:rFonts w:ascii="Times New Roman" w:hAnsi="Times New Roman" w:cs="Times New Roman"/>
          <w:b/>
          <w:bCs/>
          <w:noProof/>
        </w:rPr>
        <w:t>T</w:t>
      </w:r>
      <w:r w:rsidRPr="00D51A9F">
        <w:rPr>
          <w:rFonts w:ascii="Times New Roman" w:hAnsi="Times New Roman" w:cs="Times New Roman"/>
          <w:b/>
          <w:bCs/>
          <w:noProof/>
        </w:rPr>
        <w:t>. 2007.</w:t>
      </w:r>
      <w:r>
        <w:rPr>
          <w:rFonts w:ascii="Times New Roman" w:hAnsi="Times New Roman" w:cs="Times New Roman"/>
          <w:noProof/>
        </w:rPr>
        <w:t xml:space="preserve"> </w:t>
      </w:r>
      <w:r w:rsidR="00D51A9F">
        <w:rPr>
          <w:rFonts w:ascii="Times New Roman" w:hAnsi="Times New Roman" w:cs="Times New Roman"/>
          <w:noProof/>
        </w:rPr>
        <w:t>Environment, Power, and Society for the Twenty-First Century. Columbia University Press. New York.</w:t>
      </w:r>
    </w:p>
    <w:p w14:paraId="3A1F172D"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Parrotta JA, Lodge DJ</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Fine Root Dynamics in a Subtropical Wet Forest Following Hurricane Disturbance in Puerto Rico. </w:t>
      </w:r>
      <w:r w:rsidRPr="00872293">
        <w:rPr>
          <w:rFonts w:ascii="Times New Roman" w:hAnsi="Times New Roman" w:cs="Times New Roman"/>
          <w:i/>
          <w:iCs/>
          <w:noProof/>
        </w:rPr>
        <w:t>Biotropica</w:t>
      </w:r>
      <w:r w:rsidRPr="00872293">
        <w:rPr>
          <w:rFonts w:ascii="Times New Roman" w:hAnsi="Times New Roman" w:cs="Times New Roman"/>
          <w:noProof/>
        </w:rPr>
        <w:t>.</w:t>
      </w:r>
    </w:p>
    <w:p w14:paraId="55C8E99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Piatek KB, Allen HL</w:t>
      </w:r>
      <w:r w:rsidRPr="00872293">
        <w:rPr>
          <w:rFonts w:ascii="Times New Roman" w:hAnsi="Times New Roman" w:cs="Times New Roman"/>
          <w:noProof/>
        </w:rPr>
        <w:t xml:space="preserve">. </w:t>
      </w:r>
      <w:r w:rsidRPr="00872293">
        <w:rPr>
          <w:rFonts w:ascii="Times New Roman" w:hAnsi="Times New Roman" w:cs="Times New Roman"/>
          <w:b/>
          <w:bCs/>
          <w:noProof/>
        </w:rPr>
        <w:t>2010</w:t>
      </w:r>
      <w:r w:rsidRPr="00872293">
        <w:rPr>
          <w:rFonts w:ascii="Times New Roman" w:hAnsi="Times New Roman" w:cs="Times New Roman"/>
          <w:noProof/>
        </w:rPr>
        <w:t xml:space="preserve">. Nitrogen Mineralization in a Pine Plantation Fifteen Years After Harvesting and Site Preparation. </w:t>
      </w:r>
      <w:r w:rsidRPr="00872293">
        <w:rPr>
          <w:rFonts w:ascii="Times New Roman" w:hAnsi="Times New Roman" w:cs="Times New Roman"/>
          <w:i/>
          <w:iCs/>
          <w:noProof/>
        </w:rPr>
        <w:t>Soil Science Society of America Journal</w:t>
      </w:r>
      <w:r w:rsidRPr="00872293">
        <w:rPr>
          <w:rFonts w:ascii="Times New Roman" w:hAnsi="Times New Roman" w:cs="Times New Roman"/>
          <w:noProof/>
        </w:rPr>
        <w:t xml:space="preserve"> </w:t>
      </w:r>
      <w:r w:rsidRPr="00872293">
        <w:rPr>
          <w:rFonts w:ascii="Times New Roman" w:hAnsi="Times New Roman" w:cs="Times New Roman"/>
          <w:b/>
          <w:bCs/>
          <w:noProof/>
        </w:rPr>
        <w:t>63</w:t>
      </w:r>
      <w:r w:rsidRPr="00872293">
        <w:rPr>
          <w:rFonts w:ascii="Times New Roman" w:hAnsi="Times New Roman" w:cs="Times New Roman"/>
          <w:noProof/>
        </w:rPr>
        <w:t>: 990–998.</w:t>
      </w:r>
    </w:p>
    <w:p w14:paraId="17B65AAA"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Pregitzer KS, King JS, Burton AJ, Brown SE</w:t>
      </w:r>
      <w:r w:rsidRPr="00872293">
        <w:rPr>
          <w:rFonts w:ascii="Times New Roman" w:hAnsi="Times New Roman" w:cs="Times New Roman"/>
          <w:noProof/>
        </w:rPr>
        <w:t xml:space="preserve">. </w:t>
      </w:r>
      <w:r w:rsidRPr="00872293">
        <w:rPr>
          <w:rFonts w:ascii="Times New Roman" w:hAnsi="Times New Roman" w:cs="Times New Roman"/>
          <w:b/>
          <w:bCs/>
          <w:noProof/>
        </w:rPr>
        <w:t>2000</w:t>
      </w:r>
      <w:r w:rsidRPr="00872293">
        <w:rPr>
          <w:rFonts w:ascii="Times New Roman" w:hAnsi="Times New Roman" w:cs="Times New Roman"/>
          <w:noProof/>
        </w:rPr>
        <w:t xml:space="preserve">. Responses of tree fine roots to temperature.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147</w:t>
      </w:r>
      <w:r w:rsidRPr="00872293">
        <w:rPr>
          <w:rFonts w:ascii="Times New Roman" w:hAnsi="Times New Roman" w:cs="Times New Roman"/>
          <w:noProof/>
        </w:rPr>
        <w:t>: 105–115.</w:t>
      </w:r>
    </w:p>
    <w:p w14:paraId="49C0FB8E"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Pugnaire FI, Morillo JA, Peñuelas J, Reich PB, Bardgett RD, Gaxiola A, Wardle DA, van der Putten WH</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Climate change effects on plant-soil feedbacks and consequences for biodiversity and functioning of terrestrial ecosystems. </w:t>
      </w:r>
      <w:r w:rsidRPr="00872293">
        <w:rPr>
          <w:rFonts w:ascii="Times New Roman" w:hAnsi="Times New Roman" w:cs="Times New Roman"/>
          <w:i/>
          <w:iCs/>
          <w:noProof/>
        </w:rPr>
        <w:t>Science Advances</w:t>
      </w:r>
      <w:r w:rsidRPr="00872293">
        <w:rPr>
          <w:rFonts w:ascii="Times New Roman" w:hAnsi="Times New Roman" w:cs="Times New Roman"/>
          <w:noProof/>
        </w:rPr>
        <w:t xml:space="preserve"> </w:t>
      </w:r>
      <w:r w:rsidRPr="00872293">
        <w:rPr>
          <w:rFonts w:ascii="Times New Roman" w:hAnsi="Times New Roman" w:cs="Times New Roman"/>
          <w:b/>
          <w:bCs/>
          <w:noProof/>
        </w:rPr>
        <w:t>5</w:t>
      </w:r>
      <w:r w:rsidRPr="00872293">
        <w:rPr>
          <w:rFonts w:ascii="Times New Roman" w:hAnsi="Times New Roman" w:cs="Times New Roman"/>
          <w:noProof/>
        </w:rPr>
        <w:t>: eaaz1834.</w:t>
      </w:r>
    </w:p>
    <w:p w14:paraId="0B7F6196"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Reich PB, Sendall KM, Stefanski A, Rich RL, Hobbie SE, Montgomery RA</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Effects of climate warming on photosynthesis in boreal tree species depend on soil moisture. </w:t>
      </w:r>
      <w:r w:rsidRPr="00872293">
        <w:rPr>
          <w:rFonts w:ascii="Times New Roman" w:hAnsi="Times New Roman" w:cs="Times New Roman"/>
          <w:i/>
          <w:iCs/>
          <w:noProof/>
        </w:rPr>
        <w:t>Nature</w:t>
      </w:r>
      <w:r w:rsidRPr="00872293">
        <w:rPr>
          <w:rFonts w:ascii="Times New Roman" w:hAnsi="Times New Roman" w:cs="Times New Roman"/>
          <w:noProof/>
        </w:rPr>
        <w:t>.</w:t>
      </w:r>
    </w:p>
    <w:p w14:paraId="30CF79A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Teh YA, Silver WL, Scatena FN</w:t>
      </w:r>
      <w:r w:rsidRPr="00872293">
        <w:rPr>
          <w:rFonts w:ascii="Times New Roman" w:hAnsi="Times New Roman" w:cs="Times New Roman"/>
          <w:noProof/>
        </w:rPr>
        <w:t xml:space="preserve">. </w:t>
      </w:r>
      <w:r w:rsidRPr="00872293">
        <w:rPr>
          <w:rFonts w:ascii="Times New Roman" w:hAnsi="Times New Roman" w:cs="Times New Roman"/>
          <w:b/>
          <w:bCs/>
          <w:noProof/>
        </w:rPr>
        <w:t>2009</w:t>
      </w:r>
      <w:r w:rsidRPr="00872293">
        <w:rPr>
          <w:rFonts w:ascii="Times New Roman" w:hAnsi="Times New Roman" w:cs="Times New Roman"/>
          <w:noProof/>
        </w:rPr>
        <w:t xml:space="preserve">. A decade of belowground reorganization following </w:t>
      </w:r>
      <w:r w:rsidRPr="00872293">
        <w:rPr>
          <w:rFonts w:ascii="Times New Roman" w:hAnsi="Times New Roman" w:cs="Times New Roman"/>
          <w:noProof/>
        </w:rPr>
        <w:lastRenderedPageBreak/>
        <w:t xml:space="preserve">multiple disturbances in a subtropical wet forest. </w:t>
      </w:r>
      <w:r w:rsidRPr="00872293">
        <w:rPr>
          <w:rFonts w:ascii="Times New Roman" w:hAnsi="Times New Roman" w:cs="Times New Roman"/>
          <w:i/>
          <w:iCs/>
          <w:noProof/>
        </w:rPr>
        <w:t>Plant and Soil</w:t>
      </w:r>
      <w:r w:rsidRPr="00872293">
        <w:rPr>
          <w:rFonts w:ascii="Times New Roman" w:hAnsi="Times New Roman" w:cs="Times New Roman"/>
          <w:noProof/>
        </w:rPr>
        <w:t xml:space="preserve"> </w:t>
      </w:r>
      <w:r w:rsidRPr="00872293">
        <w:rPr>
          <w:rFonts w:ascii="Times New Roman" w:hAnsi="Times New Roman" w:cs="Times New Roman"/>
          <w:b/>
          <w:bCs/>
          <w:noProof/>
        </w:rPr>
        <w:t>323</w:t>
      </w:r>
      <w:r w:rsidRPr="00872293">
        <w:rPr>
          <w:rFonts w:ascii="Times New Roman" w:hAnsi="Times New Roman" w:cs="Times New Roman"/>
          <w:noProof/>
        </w:rPr>
        <w:t>: 197–212.</w:t>
      </w:r>
    </w:p>
    <w:p w14:paraId="227AE46B"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Tierney GL, Fahey TJ, Groffman PM, Hardy JP, Fitzhugh RD, Driscoll CT, Yavitt JB</w:t>
      </w:r>
      <w:r w:rsidRPr="00872293">
        <w:rPr>
          <w:rFonts w:ascii="Times New Roman" w:hAnsi="Times New Roman" w:cs="Times New Roman"/>
          <w:noProof/>
        </w:rPr>
        <w:t xml:space="preserve">. </w:t>
      </w:r>
      <w:r w:rsidRPr="00872293">
        <w:rPr>
          <w:rFonts w:ascii="Times New Roman" w:hAnsi="Times New Roman" w:cs="Times New Roman"/>
          <w:b/>
          <w:bCs/>
          <w:noProof/>
        </w:rPr>
        <w:t>2003</w:t>
      </w:r>
      <w:r w:rsidRPr="00872293">
        <w:rPr>
          <w:rFonts w:ascii="Times New Roman" w:hAnsi="Times New Roman" w:cs="Times New Roman"/>
          <w:noProof/>
        </w:rPr>
        <w:t xml:space="preserve">. Environmental control of fine root dynamics in a northern hardwood forest. </w:t>
      </w:r>
      <w:r w:rsidRPr="00872293">
        <w:rPr>
          <w:rFonts w:ascii="Times New Roman" w:hAnsi="Times New Roman" w:cs="Times New Roman"/>
          <w:i/>
          <w:iCs/>
          <w:noProof/>
        </w:rPr>
        <w:t>Global Change Biology</w:t>
      </w:r>
      <w:r w:rsidRPr="00872293">
        <w:rPr>
          <w:rFonts w:ascii="Times New Roman" w:hAnsi="Times New Roman" w:cs="Times New Roman"/>
          <w:noProof/>
        </w:rPr>
        <w:t xml:space="preserve"> </w:t>
      </w:r>
      <w:r w:rsidRPr="00872293">
        <w:rPr>
          <w:rFonts w:ascii="Times New Roman" w:hAnsi="Times New Roman" w:cs="Times New Roman"/>
          <w:b/>
          <w:bCs/>
          <w:noProof/>
        </w:rPr>
        <w:t>9</w:t>
      </w:r>
      <w:r w:rsidRPr="00872293">
        <w:rPr>
          <w:rFonts w:ascii="Times New Roman" w:hAnsi="Times New Roman" w:cs="Times New Roman"/>
          <w:noProof/>
        </w:rPr>
        <w:t>: 670–679.</w:t>
      </w:r>
    </w:p>
    <w:p w14:paraId="5F99B429"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Turner BL</w:t>
      </w:r>
      <w:r w:rsidRPr="00872293">
        <w:rPr>
          <w:rFonts w:ascii="Times New Roman" w:hAnsi="Times New Roman" w:cs="Times New Roman"/>
          <w:noProof/>
        </w:rPr>
        <w:t xml:space="preserve">. </w:t>
      </w:r>
      <w:r w:rsidRPr="00872293">
        <w:rPr>
          <w:rFonts w:ascii="Times New Roman" w:hAnsi="Times New Roman" w:cs="Times New Roman"/>
          <w:b/>
          <w:bCs/>
          <w:noProof/>
        </w:rPr>
        <w:t>2008</w:t>
      </w:r>
      <w:r w:rsidRPr="00872293">
        <w:rPr>
          <w:rFonts w:ascii="Times New Roman" w:hAnsi="Times New Roman" w:cs="Times New Roman"/>
          <w:noProof/>
        </w:rPr>
        <w:t xml:space="preserve">. Resource partitioning for soil phosphorus: A hypothesis. </w:t>
      </w:r>
      <w:r w:rsidRPr="00872293">
        <w:rPr>
          <w:rFonts w:ascii="Times New Roman" w:hAnsi="Times New Roman" w:cs="Times New Roman"/>
          <w:i/>
          <w:iCs/>
          <w:noProof/>
        </w:rPr>
        <w:t>Journal of Ecology</w:t>
      </w:r>
      <w:r w:rsidRPr="00872293">
        <w:rPr>
          <w:rFonts w:ascii="Times New Roman" w:hAnsi="Times New Roman" w:cs="Times New Roman"/>
          <w:noProof/>
        </w:rPr>
        <w:t xml:space="preserve"> </w:t>
      </w:r>
      <w:r w:rsidRPr="00872293">
        <w:rPr>
          <w:rFonts w:ascii="Times New Roman" w:hAnsi="Times New Roman" w:cs="Times New Roman"/>
          <w:b/>
          <w:bCs/>
          <w:noProof/>
        </w:rPr>
        <w:t>96</w:t>
      </w:r>
      <w:r w:rsidRPr="00872293">
        <w:rPr>
          <w:rFonts w:ascii="Times New Roman" w:hAnsi="Times New Roman" w:cs="Times New Roman"/>
          <w:noProof/>
        </w:rPr>
        <w:t>: 698–702.</w:t>
      </w:r>
    </w:p>
    <w:p w14:paraId="26A17A30"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Turner BL, Brenes-Arguedas T, Condit R</w:t>
      </w:r>
      <w:r w:rsidRPr="00872293">
        <w:rPr>
          <w:rFonts w:ascii="Times New Roman" w:hAnsi="Times New Roman" w:cs="Times New Roman"/>
          <w:noProof/>
        </w:rPr>
        <w:t xml:space="preserve">. </w:t>
      </w:r>
      <w:r w:rsidRPr="00872293">
        <w:rPr>
          <w:rFonts w:ascii="Times New Roman" w:hAnsi="Times New Roman" w:cs="Times New Roman"/>
          <w:b/>
          <w:bCs/>
          <w:noProof/>
        </w:rPr>
        <w:t>2018</w:t>
      </w:r>
      <w:r w:rsidRPr="00872293">
        <w:rPr>
          <w:rFonts w:ascii="Times New Roman" w:hAnsi="Times New Roman" w:cs="Times New Roman"/>
          <w:noProof/>
        </w:rPr>
        <w:t xml:space="preserve">. Pervasive phosphorus limitation of tree species but not communities in tropical forests. </w:t>
      </w:r>
      <w:r w:rsidRPr="00872293">
        <w:rPr>
          <w:rFonts w:ascii="Times New Roman" w:hAnsi="Times New Roman" w:cs="Times New Roman"/>
          <w:i/>
          <w:iCs/>
          <w:noProof/>
        </w:rPr>
        <w:t>Nature</w:t>
      </w:r>
      <w:r w:rsidRPr="00872293">
        <w:rPr>
          <w:rFonts w:ascii="Times New Roman" w:hAnsi="Times New Roman" w:cs="Times New Roman"/>
          <w:noProof/>
        </w:rPr>
        <w:t xml:space="preserve"> </w:t>
      </w:r>
      <w:r w:rsidRPr="00872293">
        <w:rPr>
          <w:rFonts w:ascii="Times New Roman" w:hAnsi="Times New Roman" w:cs="Times New Roman"/>
          <w:b/>
          <w:bCs/>
          <w:noProof/>
        </w:rPr>
        <w:t>555</w:t>
      </w:r>
      <w:r w:rsidRPr="00872293">
        <w:rPr>
          <w:rFonts w:ascii="Times New Roman" w:hAnsi="Times New Roman" w:cs="Times New Roman"/>
          <w:noProof/>
        </w:rPr>
        <w:t>: 367–370.</w:t>
      </w:r>
    </w:p>
    <w:p w14:paraId="1BD94F7E" w14:textId="1BB183CB"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Vitoussek PM, Sanford RL</w:t>
      </w:r>
      <w:r w:rsidRPr="00872293">
        <w:rPr>
          <w:rFonts w:ascii="Times New Roman" w:hAnsi="Times New Roman" w:cs="Times New Roman"/>
          <w:noProof/>
        </w:rPr>
        <w:t xml:space="preserve">. </w:t>
      </w:r>
      <w:r w:rsidRPr="00872293">
        <w:rPr>
          <w:rFonts w:ascii="Times New Roman" w:hAnsi="Times New Roman" w:cs="Times New Roman"/>
          <w:b/>
          <w:bCs/>
          <w:noProof/>
        </w:rPr>
        <w:t>1986</w:t>
      </w:r>
      <w:r w:rsidRPr="00872293">
        <w:rPr>
          <w:rFonts w:ascii="Times New Roman" w:hAnsi="Times New Roman" w:cs="Times New Roman"/>
          <w:noProof/>
        </w:rPr>
        <w:t xml:space="preserve">. Nutrient cycling in moist tropical forest. </w:t>
      </w:r>
      <w:r w:rsidRPr="00872293">
        <w:rPr>
          <w:rFonts w:ascii="Times New Roman" w:hAnsi="Times New Roman" w:cs="Times New Roman"/>
          <w:i/>
          <w:iCs/>
          <w:noProof/>
        </w:rPr>
        <w:t>Annual review of ecology and systematics. Vol. 17</w:t>
      </w:r>
      <w:r w:rsidRPr="00872293">
        <w:rPr>
          <w:rFonts w:ascii="Times New Roman" w:hAnsi="Times New Roman" w:cs="Times New Roman"/>
          <w:noProof/>
        </w:rPr>
        <w:t xml:space="preserve"> </w:t>
      </w:r>
      <w:r w:rsidRPr="00872293">
        <w:rPr>
          <w:rFonts w:ascii="Times New Roman" w:hAnsi="Times New Roman" w:cs="Times New Roman"/>
          <w:b/>
          <w:bCs/>
          <w:noProof/>
        </w:rPr>
        <w:t>17</w:t>
      </w:r>
      <w:r w:rsidRPr="00872293">
        <w:rPr>
          <w:rFonts w:ascii="Times New Roman" w:hAnsi="Times New Roman" w:cs="Times New Roman"/>
          <w:noProof/>
        </w:rPr>
        <w:t>: 137–167.</w:t>
      </w:r>
    </w:p>
    <w:p w14:paraId="0419C224" w14:textId="2B28C5E8" w:rsidR="0033368B" w:rsidRPr="00872293" w:rsidRDefault="0033368B" w:rsidP="0033368B">
      <w:pPr>
        <w:widowControl w:val="0"/>
        <w:autoSpaceDE w:val="0"/>
        <w:autoSpaceDN w:val="0"/>
        <w:adjustRightInd w:val="0"/>
        <w:spacing w:before="240" w:line="360" w:lineRule="auto"/>
        <w:rPr>
          <w:rFonts w:ascii="Times New Roman" w:hAnsi="Times New Roman" w:cs="Times New Roman"/>
          <w:noProof/>
        </w:rPr>
      </w:pPr>
      <w:r w:rsidRPr="00872293">
        <w:rPr>
          <w:rFonts w:ascii="Times New Roman" w:hAnsi="Times New Roman" w:cs="Times New Roman"/>
          <w:b/>
          <w:bCs/>
          <w:noProof/>
        </w:rPr>
        <w:t>Waisel Y, Eshel A, Kafkafi U</w:t>
      </w:r>
      <w:r w:rsidRPr="00872293">
        <w:rPr>
          <w:rFonts w:ascii="Times New Roman" w:hAnsi="Times New Roman" w:cs="Times New Roman"/>
          <w:noProof/>
        </w:rPr>
        <w:t xml:space="preserve">. </w:t>
      </w:r>
      <w:r w:rsidRPr="00872293">
        <w:rPr>
          <w:rFonts w:ascii="Times New Roman" w:hAnsi="Times New Roman" w:cs="Times New Roman"/>
          <w:b/>
          <w:bCs/>
          <w:noProof/>
        </w:rPr>
        <w:t>1991</w:t>
      </w:r>
      <w:r w:rsidRPr="00872293">
        <w:rPr>
          <w:rFonts w:ascii="Times New Roman" w:hAnsi="Times New Roman" w:cs="Times New Roman"/>
          <w:noProof/>
        </w:rPr>
        <w:t xml:space="preserve">. </w:t>
      </w:r>
      <w:r w:rsidRPr="00872293">
        <w:rPr>
          <w:rFonts w:ascii="Times New Roman" w:hAnsi="Times New Roman" w:cs="Times New Roman"/>
          <w:i/>
          <w:iCs/>
          <w:noProof/>
        </w:rPr>
        <w:t>Plant Roots: The Hidden Half</w:t>
      </w:r>
      <w:r w:rsidRPr="00872293">
        <w:rPr>
          <w:rFonts w:ascii="Times New Roman" w:hAnsi="Times New Roman" w:cs="Times New Roman"/>
          <w:noProof/>
        </w:rPr>
        <w:t>. New York: Marcel Dekker.</w:t>
      </w:r>
    </w:p>
    <w:p w14:paraId="7ACB5642" w14:textId="77777777" w:rsidR="0017155C" w:rsidRPr="00872293" w:rsidRDefault="0017155C" w:rsidP="0033368B">
      <w:pPr>
        <w:widowControl w:val="0"/>
        <w:autoSpaceDE w:val="0"/>
        <w:autoSpaceDN w:val="0"/>
        <w:adjustRightInd w:val="0"/>
        <w:spacing w:before="240" w:after="240" w:line="360" w:lineRule="auto"/>
        <w:rPr>
          <w:rFonts w:ascii="Times New Roman" w:hAnsi="Times New Roman" w:cs="Times New Roman"/>
          <w:noProof/>
        </w:rPr>
      </w:pPr>
      <w:r w:rsidRPr="00872293">
        <w:rPr>
          <w:rFonts w:ascii="Times New Roman" w:hAnsi="Times New Roman" w:cs="Times New Roman"/>
          <w:b/>
          <w:bCs/>
          <w:noProof/>
        </w:rPr>
        <w:t>Wan S, Norby RJ, Pregitzer KS, Ledford J, O’Neill EG</w:t>
      </w:r>
      <w:r w:rsidRPr="00872293">
        <w:rPr>
          <w:rFonts w:ascii="Times New Roman" w:hAnsi="Times New Roman" w:cs="Times New Roman"/>
          <w:noProof/>
        </w:rPr>
        <w:t xml:space="preserve">. </w:t>
      </w:r>
      <w:r w:rsidRPr="00872293">
        <w:rPr>
          <w:rFonts w:ascii="Times New Roman" w:hAnsi="Times New Roman" w:cs="Times New Roman"/>
          <w:b/>
          <w:bCs/>
          <w:noProof/>
        </w:rPr>
        <w:t>2004</w:t>
      </w:r>
      <w:r w:rsidRPr="00872293">
        <w:rPr>
          <w:rFonts w:ascii="Times New Roman" w:hAnsi="Times New Roman" w:cs="Times New Roman"/>
          <w:noProof/>
        </w:rPr>
        <w:t xml:space="preserve">. CO2 enrichment and warming of the atmosphere enhance both productivity and mortality of maple tree fine roots. </w:t>
      </w:r>
      <w:r w:rsidRPr="00872293">
        <w:rPr>
          <w:rFonts w:ascii="Times New Roman" w:hAnsi="Times New Roman" w:cs="Times New Roman"/>
          <w:i/>
          <w:iCs/>
          <w:noProof/>
        </w:rPr>
        <w:t>New Phytologist</w:t>
      </w:r>
      <w:r w:rsidRPr="00872293">
        <w:rPr>
          <w:rFonts w:ascii="Times New Roman" w:hAnsi="Times New Roman" w:cs="Times New Roman"/>
          <w:noProof/>
        </w:rPr>
        <w:t xml:space="preserve"> </w:t>
      </w:r>
      <w:r w:rsidRPr="00872293">
        <w:rPr>
          <w:rFonts w:ascii="Times New Roman" w:hAnsi="Times New Roman" w:cs="Times New Roman"/>
          <w:b/>
          <w:bCs/>
          <w:noProof/>
        </w:rPr>
        <w:t>162</w:t>
      </w:r>
      <w:r w:rsidRPr="00872293">
        <w:rPr>
          <w:rFonts w:ascii="Times New Roman" w:hAnsi="Times New Roman" w:cs="Times New Roman"/>
          <w:noProof/>
        </w:rPr>
        <w:t>: 436–446.</w:t>
      </w:r>
    </w:p>
    <w:p w14:paraId="65B918BC"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Weemstra M, Mommer L, Visser EJW, van Ruijven J, Kuyper TW, Mohren GMJ, Sterck FJ</w:t>
      </w:r>
      <w:r w:rsidRPr="00872293">
        <w:rPr>
          <w:rFonts w:ascii="Times New Roman" w:hAnsi="Times New Roman" w:cs="Times New Roman"/>
          <w:noProof/>
        </w:rPr>
        <w:t xml:space="preserve">. </w:t>
      </w:r>
      <w:r w:rsidRPr="00872293">
        <w:rPr>
          <w:rFonts w:ascii="Times New Roman" w:hAnsi="Times New Roman" w:cs="Times New Roman"/>
          <w:b/>
          <w:bCs/>
          <w:noProof/>
        </w:rPr>
        <w:t>2016</w:t>
      </w:r>
      <w:r w:rsidRPr="00872293">
        <w:rPr>
          <w:rFonts w:ascii="Times New Roman" w:hAnsi="Times New Roman" w:cs="Times New Roman"/>
          <w:noProof/>
        </w:rPr>
        <w:t xml:space="preserve">. Towards a multidimensional root trait framework: a tree root review. </w:t>
      </w:r>
      <w:r w:rsidRPr="00872293">
        <w:rPr>
          <w:rFonts w:ascii="Times New Roman" w:hAnsi="Times New Roman" w:cs="Times New Roman"/>
          <w:i/>
          <w:iCs/>
          <w:noProof/>
        </w:rPr>
        <w:t>The New phytologist</w:t>
      </w:r>
      <w:r w:rsidRPr="00872293">
        <w:rPr>
          <w:rFonts w:ascii="Times New Roman" w:hAnsi="Times New Roman" w:cs="Times New Roman"/>
          <w:noProof/>
        </w:rPr>
        <w:t xml:space="preserve"> </w:t>
      </w:r>
      <w:r w:rsidRPr="00872293">
        <w:rPr>
          <w:rFonts w:ascii="Times New Roman" w:hAnsi="Times New Roman" w:cs="Times New Roman"/>
          <w:b/>
          <w:bCs/>
          <w:noProof/>
        </w:rPr>
        <w:t>211</w:t>
      </w:r>
      <w:r w:rsidRPr="00872293">
        <w:rPr>
          <w:rFonts w:ascii="Times New Roman" w:hAnsi="Times New Roman" w:cs="Times New Roman"/>
          <w:noProof/>
        </w:rPr>
        <w:t>: 1159–1169.</w:t>
      </w:r>
    </w:p>
    <w:p w14:paraId="08F6E0C2"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Wright SJ</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Plant responses to nutrient addition experiments conducted in tropical forests. </w:t>
      </w:r>
      <w:r w:rsidRPr="00872293">
        <w:rPr>
          <w:rFonts w:ascii="Times New Roman" w:hAnsi="Times New Roman" w:cs="Times New Roman"/>
          <w:i/>
          <w:iCs/>
          <w:noProof/>
        </w:rPr>
        <w:t>Ecological Monographs</w:t>
      </w:r>
      <w:r w:rsidRPr="00872293">
        <w:rPr>
          <w:rFonts w:ascii="Times New Roman" w:hAnsi="Times New Roman" w:cs="Times New Roman"/>
          <w:noProof/>
        </w:rPr>
        <w:t>.</w:t>
      </w:r>
    </w:p>
    <w:p w14:paraId="02191AA4"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Wurzburger N, Wright SJ</w:t>
      </w:r>
      <w:r w:rsidRPr="00872293">
        <w:rPr>
          <w:rFonts w:ascii="Times New Roman" w:hAnsi="Times New Roman" w:cs="Times New Roman"/>
          <w:noProof/>
        </w:rPr>
        <w:t xml:space="preserve">. </w:t>
      </w:r>
      <w:r w:rsidRPr="00872293">
        <w:rPr>
          <w:rFonts w:ascii="Times New Roman" w:hAnsi="Times New Roman" w:cs="Times New Roman"/>
          <w:b/>
          <w:bCs/>
          <w:noProof/>
        </w:rPr>
        <w:t>2015</w:t>
      </w:r>
      <w:r w:rsidRPr="00872293">
        <w:rPr>
          <w:rFonts w:ascii="Times New Roman" w:hAnsi="Times New Roman" w:cs="Times New Roman"/>
          <w:noProof/>
        </w:rPr>
        <w:t xml:space="preserve">. Fine-root responses to fertilization reveal multiple nutrient limitation in a lowland tropical forest. </w:t>
      </w:r>
      <w:r w:rsidRPr="00872293">
        <w:rPr>
          <w:rFonts w:ascii="Times New Roman" w:hAnsi="Times New Roman" w:cs="Times New Roman"/>
          <w:i/>
          <w:iCs/>
          <w:noProof/>
        </w:rPr>
        <w:t>Ecology</w:t>
      </w:r>
      <w:r w:rsidRPr="00872293">
        <w:rPr>
          <w:rFonts w:ascii="Times New Roman" w:hAnsi="Times New Roman" w:cs="Times New Roman"/>
          <w:noProof/>
        </w:rPr>
        <w:t xml:space="preserve"> </w:t>
      </w:r>
      <w:r w:rsidRPr="00872293">
        <w:rPr>
          <w:rFonts w:ascii="Times New Roman" w:hAnsi="Times New Roman" w:cs="Times New Roman"/>
          <w:b/>
          <w:bCs/>
          <w:noProof/>
        </w:rPr>
        <w:t>96</w:t>
      </w:r>
      <w:r w:rsidRPr="00872293">
        <w:rPr>
          <w:rFonts w:ascii="Times New Roman" w:hAnsi="Times New Roman" w:cs="Times New Roman"/>
          <w:noProof/>
        </w:rPr>
        <w:t>: 2137–2146.</w:t>
      </w:r>
    </w:p>
    <w:p w14:paraId="181FC6D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Zhou X, Fei S, Sherry R, Luo Y</w:t>
      </w:r>
      <w:r w:rsidRPr="00872293">
        <w:rPr>
          <w:rFonts w:ascii="Times New Roman" w:hAnsi="Times New Roman" w:cs="Times New Roman"/>
          <w:noProof/>
        </w:rPr>
        <w:t xml:space="preserve">. </w:t>
      </w:r>
      <w:r w:rsidRPr="00872293">
        <w:rPr>
          <w:rFonts w:ascii="Times New Roman" w:hAnsi="Times New Roman" w:cs="Times New Roman"/>
          <w:b/>
          <w:bCs/>
          <w:noProof/>
        </w:rPr>
        <w:t>2012</w:t>
      </w:r>
      <w:r w:rsidRPr="00872293">
        <w:rPr>
          <w:rFonts w:ascii="Times New Roman" w:hAnsi="Times New Roman" w:cs="Times New Roman"/>
          <w:noProof/>
        </w:rPr>
        <w:t xml:space="preserve">. Root Biomass Dynamics Under Experimental Warming and Doubled Precipitation in a Tallgrass Prairie. </w:t>
      </w:r>
      <w:r w:rsidRPr="00872293">
        <w:rPr>
          <w:rFonts w:ascii="Times New Roman" w:hAnsi="Times New Roman" w:cs="Times New Roman"/>
          <w:i/>
          <w:iCs/>
          <w:noProof/>
        </w:rPr>
        <w:t>Ecosystems</w:t>
      </w:r>
      <w:r w:rsidRPr="00872293">
        <w:rPr>
          <w:rFonts w:ascii="Times New Roman" w:hAnsi="Times New Roman" w:cs="Times New Roman"/>
          <w:noProof/>
        </w:rPr>
        <w:t xml:space="preserve"> </w:t>
      </w:r>
      <w:r w:rsidRPr="00872293">
        <w:rPr>
          <w:rFonts w:ascii="Times New Roman" w:hAnsi="Times New Roman" w:cs="Times New Roman"/>
          <w:b/>
          <w:bCs/>
          <w:noProof/>
        </w:rPr>
        <w:t>15</w:t>
      </w:r>
      <w:r w:rsidRPr="00872293">
        <w:rPr>
          <w:rFonts w:ascii="Times New Roman" w:hAnsi="Times New Roman" w:cs="Times New Roman"/>
          <w:noProof/>
        </w:rPr>
        <w:t>: 542–554.</w:t>
      </w:r>
    </w:p>
    <w:p w14:paraId="161C07F8" w14:textId="77777777"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t>Zhou Y, Tang J, Melillo JM, Butler S, Mohan JE</w:t>
      </w:r>
      <w:r w:rsidRPr="00872293">
        <w:rPr>
          <w:rFonts w:ascii="Times New Roman" w:hAnsi="Times New Roman" w:cs="Times New Roman"/>
          <w:noProof/>
        </w:rPr>
        <w:t xml:space="preserve">. </w:t>
      </w:r>
      <w:r w:rsidRPr="00872293">
        <w:rPr>
          <w:rFonts w:ascii="Times New Roman" w:hAnsi="Times New Roman" w:cs="Times New Roman"/>
          <w:b/>
          <w:bCs/>
          <w:noProof/>
        </w:rPr>
        <w:t>2011</w:t>
      </w:r>
      <w:r w:rsidRPr="00872293">
        <w:rPr>
          <w:rFonts w:ascii="Times New Roman" w:hAnsi="Times New Roman" w:cs="Times New Roman"/>
          <w:noProof/>
        </w:rPr>
        <w:t xml:space="preserve">. Root standing crop and chemistry after six years of soil warming in a temperate forest. </w:t>
      </w:r>
      <w:r w:rsidRPr="00872293">
        <w:rPr>
          <w:rFonts w:ascii="Times New Roman" w:hAnsi="Times New Roman" w:cs="Times New Roman"/>
          <w:i/>
          <w:iCs/>
          <w:noProof/>
        </w:rPr>
        <w:t>Tree Physiology</w:t>
      </w:r>
      <w:r w:rsidRPr="00872293">
        <w:rPr>
          <w:rFonts w:ascii="Times New Roman" w:hAnsi="Times New Roman" w:cs="Times New Roman"/>
          <w:noProof/>
        </w:rPr>
        <w:t xml:space="preserve"> </w:t>
      </w:r>
      <w:r w:rsidRPr="00872293">
        <w:rPr>
          <w:rFonts w:ascii="Times New Roman" w:hAnsi="Times New Roman" w:cs="Times New Roman"/>
          <w:b/>
          <w:bCs/>
          <w:noProof/>
        </w:rPr>
        <w:t>31</w:t>
      </w:r>
      <w:r w:rsidRPr="00872293">
        <w:rPr>
          <w:rFonts w:ascii="Times New Roman" w:hAnsi="Times New Roman" w:cs="Times New Roman"/>
          <w:noProof/>
        </w:rPr>
        <w:t>: 707–717.</w:t>
      </w:r>
    </w:p>
    <w:p w14:paraId="4C6A61C0" w14:textId="75A32036" w:rsidR="0017155C" w:rsidRPr="00872293" w:rsidRDefault="0017155C" w:rsidP="009C5CCE">
      <w:pPr>
        <w:widowControl w:val="0"/>
        <w:autoSpaceDE w:val="0"/>
        <w:autoSpaceDN w:val="0"/>
        <w:adjustRightInd w:val="0"/>
        <w:spacing w:after="240" w:line="360" w:lineRule="auto"/>
        <w:rPr>
          <w:rFonts w:ascii="Times New Roman" w:hAnsi="Times New Roman" w:cs="Times New Roman"/>
          <w:noProof/>
        </w:rPr>
      </w:pPr>
      <w:r w:rsidRPr="00872293">
        <w:rPr>
          <w:rFonts w:ascii="Times New Roman" w:hAnsi="Times New Roman" w:cs="Times New Roman"/>
          <w:b/>
          <w:bCs/>
          <w:noProof/>
        </w:rPr>
        <w:lastRenderedPageBreak/>
        <w:t>Zhu Q, Riley WJ, Tang J, Collier N, Hoffman FM, Yang X, Bisht G</w:t>
      </w:r>
      <w:r w:rsidRPr="00872293">
        <w:rPr>
          <w:rFonts w:ascii="Times New Roman" w:hAnsi="Times New Roman" w:cs="Times New Roman"/>
          <w:noProof/>
        </w:rPr>
        <w:t xml:space="preserve">. </w:t>
      </w:r>
      <w:r w:rsidRPr="00872293">
        <w:rPr>
          <w:rFonts w:ascii="Times New Roman" w:hAnsi="Times New Roman" w:cs="Times New Roman"/>
          <w:b/>
          <w:bCs/>
          <w:noProof/>
        </w:rPr>
        <w:t>2019</w:t>
      </w:r>
      <w:r w:rsidRPr="00872293">
        <w:rPr>
          <w:rFonts w:ascii="Times New Roman" w:hAnsi="Times New Roman" w:cs="Times New Roman"/>
          <w:noProof/>
        </w:rPr>
        <w:t xml:space="preserve">. Representing Nitrogen, Phosphorus, and Carbon Interactions in the E3SM Land Model: Development and Global Benchmarking. </w:t>
      </w:r>
      <w:r w:rsidRPr="00872293">
        <w:rPr>
          <w:rFonts w:ascii="Times New Roman" w:hAnsi="Times New Roman" w:cs="Times New Roman"/>
          <w:i/>
          <w:iCs/>
          <w:noProof/>
        </w:rPr>
        <w:t>Journal of Advances in Modeling Earth Systems</w:t>
      </w:r>
      <w:r w:rsidRPr="00872293">
        <w:rPr>
          <w:rFonts w:ascii="Times New Roman" w:hAnsi="Times New Roman" w:cs="Times New Roman"/>
          <w:noProof/>
        </w:rPr>
        <w:t xml:space="preserve"> </w:t>
      </w:r>
      <w:r w:rsidRPr="00872293">
        <w:rPr>
          <w:rFonts w:ascii="Times New Roman" w:hAnsi="Times New Roman" w:cs="Times New Roman"/>
          <w:b/>
          <w:bCs/>
          <w:noProof/>
        </w:rPr>
        <w:t>11</w:t>
      </w:r>
      <w:r w:rsidRPr="00872293">
        <w:rPr>
          <w:rFonts w:ascii="Times New Roman" w:hAnsi="Times New Roman" w:cs="Times New Roman"/>
          <w:noProof/>
        </w:rPr>
        <w:t>: 2238–2258.</w:t>
      </w:r>
    </w:p>
    <w:p w14:paraId="428D4850" w14:textId="411C020C" w:rsidR="008E5E10" w:rsidRPr="00872293" w:rsidRDefault="008E5E10" w:rsidP="008E5E10">
      <w:pPr>
        <w:rPr>
          <w:rFonts w:ascii="Times New Roman" w:hAnsi="Times New Roman" w:cs="Times New Roman"/>
          <w:noProof/>
        </w:rPr>
      </w:pPr>
      <w:r w:rsidRPr="00872293">
        <w:rPr>
          <w:rFonts w:ascii="Times New Roman" w:hAnsi="Times New Roman" w:cs="Times New Roman"/>
          <w:noProof/>
        </w:rPr>
        <w:br w:type="page"/>
      </w:r>
    </w:p>
    <w:p w14:paraId="6DF0E2DA" w14:textId="58FC5DC0" w:rsidR="002A1AE0" w:rsidRPr="00872293" w:rsidRDefault="0017155C" w:rsidP="003A10D2">
      <w:pPr>
        <w:pStyle w:val="Heading2"/>
        <w:spacing w:before="0" w:after="0" w:line="360" w:lineRule="auto"/>
      </w:pPr>
      <w:r w:rsidRPr="00872293">
        <w:rPr>
          <w:rFonts w:cs="Times New Roman"/>
        </w:rPr>
        <w:lastRenderedPageBreak/>
        <w:fldChar w:fldCharType="end"/>
      </w:r>
      <w:bookmarkStart w:id="181" w:name="_Toc53689127"/>
      <w:r w:rsidR="002A1AE0" w:rsidRPr="00872293">
        <w:t>Appendix</w:t>
      </w:r>
      <w:bookmarkEnd w:id="181"/>
    </w:p>
    <w:p w14:paraId="7B89591F" w14:textId="2DB71A82" w:rsidR="00C0006C" w:rsidRPr="00872293" w:rsidRDefault="00575595" w:rsidP="00575595">
      <w:r w:rsidRPr="00872293">
        <w:t xml:space="preserve">           </w:t>
      </w:r>
      <w:r w:rsidRPr="00872293">
        <w:rPr>
          <w:noProof/>
        </w:rPr>
        <w:drawing>
          <wp:inline distT="0" distB="0" distL="0" distR="0" wp14:anchorId="4912C738" wp14:editId="2C015C98">
            <wp:extent cx="6603690" cy="4057426"/>
            <wp:effectExtent l="0" t="3175" r="3810" b="3810"/>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rotWithShape="1">
                    <a:blip r:embed="rId48" cstate="print">
                      <a:extLst>
                        <a:ext uri="{28A0092B-C50C-407E-A947-70E740481C1C}">
                          <a14:useLocalDpi xmlns:a14="http://schemas.microsoft.com/office/drawing/2010/main" val="0"/>
                        </a:ext>
                      </a:extLst>
                    </a:blip>
                    <a:srcRect l="2557" r="687"/>
                    <a:stretch/>
                  </pic:blipFill>
                  <pic:spPr bwMode="auto">
                    <a:xfrm rot="16200000">
                      <a:off x="0" y="0"/>
                      <a:ext cx="6662000" cy="4093253"/>
                    </a:xfrm>
                    <a:prstGeom prst="rect">
                      <a:avLst/>
                    </a:prstGeom>
                    <a:ln>
                      <a:noFill/>
                    </a:ln>
                    <a:extLst>
                      <a:ext uri="{53640926-AAD7-44D8-BBD7-CCE9431645EC}">
                        <a14:shadowObscured xmlns:a14="http://schemas.microsoft.com/office/drawing/2010/main"/>
                      </a:ext>
                    </a:extLst>
                  </pic:spPr>
                </pic:pic>
              </a:graphicData>
            </a:graphic>
          </wp:inline>
        </w:drawing>
      </w:r>
    </w:p>
    <w:p w14:paraId="5C0A338B" w14:textId="77777777" w:rsidR="00C0006C" w:rsidRPr="00872293" w:rsidRDefault="00C0006C" w:rsidP="00E75537"/>
    <w:p w14:paraId="26B1544B" w14:textId="704A3670" w:rsidR="00B91533" w:rsidRPr="00872293" w:rsidRDefault="00AE12D8" w:rsidP="003C7047">
      <w:pPr>
        <w:pStyle w:val="Caption"/>
        <w:rPr>
          <w:rFonts w:ascii="Times New Roman" w:hAnsi="Times New Roman" w:cs="Times New Roman"/>
          <w:color w:val="auto"/>
          <w:sz w:val="24"/>
          <w:szCs w:val="24"/>
        </w:rPr>
      </w:pPr>
      <w:bookmarkStart w:id="182" w:name="_Toc53755795"/>
      <w:r w:rsidRPr="00872293">
        <w:rPr>
          <w:rFonts w:ascii="Times New Roman" w:hAnsi="Times New Roman" w:cs="Times New Roman"/>
          <w:color w:val="auto"/>
          <w:sz w:val="24"/>
          <w:szCs w:val="24"/>
        </w:rPr>
        <w:t xml:space="preserve">Figure </w:t>
      </w:r>
      <w:r w:rsidRPr="00872293">
        <w:rPr>
          <w:rFonts w:ascii="Times New Roman" w:hAnsi="Times New Roman" w:cs="Times New Roman"/>
          <w:color w:val="auto"/>
          <w:sz w:val="24"/>
          <w:szCs w:val="24"/>
        </w:rPr>
        <w:fldChar w:fldCharType="begin"/>
      </w:r>
      <w:r w:rsidRPr="00872293">
        <w:rPr>
          <w:rFonts w:ascii="Times New Roman" w:hAnsi="Times New Roman" w:cs="Times New Roman"/>
          <w:color w:val="auto"/>
          <w:sz w:val="24"/>
          <w:szCs w:val="24"/>
        </w:rPr>
        <w:instrText xml:space="preserve"> SEQ Figure \* ARABIC </w:instrText>
      </w:r>
      <w:r w:rsidRPr="00872293">
        <w:rPr>
          <w:rFonts w:ascii="Times New Roman" w:hAnsi="Times New Roman" w:cs="Times New Roman"/>
          <w:color w:val="auto"/>
          <w:sz w:val="24"/>
          <w:szCs w:val="24"/>
        </w:rPr>
        <w:fldChar w:fldCharType="separate"/>
      </w:r>
      <w:r w:rsidR="009F6ED9" w:rsidRPr="00872293">
        <w:rPr>
          <w:rFonts w:ascii="Times New Roman" w:hAnsi="Times New Roman" w:cs="Times New Roman"/>
          <w:noProof/>
          <w:color w:val="auto"/>
          <w:sz w:val="24"/>
          <w:szCs w:val="24"/>
        </w:rPr>
        <w:t>26</w:t>
      </w:r>
      <w:r w:rsidRPr="00872293">
        <w:rPr>
          <w:rFonts w:ascii="Times New Roman" w:hAnsi="Times New Roman" w:cs="Times New Roman"/>
          <w:color w:val="auto"/>
          <w:sz w:val="24"/>
          <w:szCs w:val="24"/>
        </w:rPr>
        <w:fldChar w:fldCharType="end"/>
      </w:r>
      <w:r w:rsidR="00D64DEE" w:rsidRPr="00872293">
        <w:rPr>
          <w:rFonts w:ascii="Times New Roman" w:hAnsi="Times New Roman" w:cs="Times New Roman"/>
          <w:color w:val="auto"/>
          <w:sz w:val="24"/>
          <w:szCs w:val="24"/>
        </w:rPr>
        <w:t>.</w:t>
      </w:r>
      <w:r w:rsidRPr="00872293">
        <w:rPr>
          <w:rFonts w:ascii="Times New Roman" w:hAnsi="Times New Roman" w:cs="Times New Roman"/>
          <w:color w:val="auto"/>
          <w:sz w:val="24"/>
          <w:szCs w:val="24"/>
        </w:rPr>
        <w:t xml:space="preserve"> Ecosystem diagram representing the pools and fluxes of C and P studied in this research including root traits as a regulator from the microbial </w:t>
      </w:r>
      <w:r w:rsidR="00113053" w:rsidRPr="00872293">
        <w:rPr>
          <w:rFonts w:ascii="Times New Roman" w:hAnsi="Times New Roman" w:cs="Times New Roman"/>
          <w:color w:val="auto"/>
          <w:sz w:val="24"/>
          <w:szCs w:val="24"/>
        </w:rPr>
        <w:t xml:space="preserve">pool to the vegetation belowground and vice versa. </w:t>
      </w:r>
      <w:r w:rsidR="0006654E" w:rsidRPr="00872293">
        <w:rPr>
          <w:rFonts w:ascii="Times New Roman" w:hAnsi="Times New Roman" w:cs="Times New Roman"/>
          <w:color w:val="auto"/>
          <w:sz w:val="24"/>
          <w:szCs w:val="24"/>
        </w:rPr>
        <w:t xml:space="preserve">The system </w:t>
      </w:r>
      <w:r w:rsidR="00C010F8" w:rsidRPr="00872293">
        <w:rPr>
          <w:rFonts w:ascii="Times New Roman" w:hAnsi="Times New Roman" w:cs="Times New Roman"/>
          <w:color w:val="auto"/>
          <w:sz w:val="24"/>
          <w:szCs w:val="24"/>
        </w:rPr>
        <w:t>is inside the main box. Wa</w:t>
      </w:r>
      <w:r w:rsidRPr="00872293">
        <w:rPr>
          <w:rFonts w:ascii="Times New Roman" w:hAnsi="Times New Roman" w:cs="Times New Roman"/>
          <w:color w:val="auto"/>
          <w:sz w:val="24"/>
          <w:szCs w:val="24"/>
        </w:rPr>
        <w:t>rming and hurricane disturbance</w:t>
      </w:r>
      <w:r w:rsidR="00113053" w:rsidRPr="00872293">
        <w:rPr>
          <w:rFonts w:ascii="Times New Roman" w:hAnsi="Times New Roman" w:cs="Times New Roman"/>
          <w:color w:val="auto"/>
          <w:sz w:val="24"/>
          <w:szCs w:val="24"/>
        </w:rPr>
        <w:t xml:space="preserve"> are represented as external sources, just like weather, sun, and CO</w:t>
      </w:r>
      <w:r w:rsidR="00113053" w:rsidRPr="00872293">
        <w:rPr>
          <w:rFonts w:ascii="Times New Roman" w:hAnsi="Times New Roman" w:cs="Times New Roman"/>
          <w:color w:val="auto"/>
          <w:sz w:val="24"/>
          <w:szCs w:val="24"/>
          <w:vertAlign w:val="subscript"/>
        </w:rPr>
        <w:t>2</w:t>
      </w:r>
      <w:r w:rsidRPr="00872293">
        <w:rPr>
          <w:rFonts w:ascii="Times New Roman" w:hAnsi="Times New Roman" w:cs="Times New Roman"/>
          <w:color w:val="auto"/>
          <w:sz w:val="24"/>
          <w:szCs w:val="24"/>
        </w:rPr>
        <w:t xml:space="preserve">. </w:t>
      </w:r>
      <w:r w:rsidR="00C010F8" w:rsidRPr="00872293">
        <w:rPr>
          <w:rFonts w:ascii="Times New Roman" w:hAnsi="Times New Roman" w:cs="Times New Roman"/>
          <w:color w:val="auto"/>
          <w:sz w:val="24"/>
          <w:szCs w:val="24"/>
        </w:rPr>
        <w:t xml:space="preserve">All symbols are explained in the rectangle below the System. </w:t>
      </w:r>
      <w:r w:rsidR="00D63517" w:rsidRPr="00872293">
        <w:rPr>
          <w:rFonts w:ascii="Times New Roman" w:hAnsi="Times New Roman" w:cs="Times New Roman"/>
          <w:color w:val="auto"/>
          <w:sz w:val="24"/>
          <w:szCs w:val="24"/>
        </w:rPr>
        <w:t>This diagram is based</w:t>
      </w:r>
      <w:r w:rsidRPr="00872293">
        <w:rPr>
          <w:rFonts w:ascii="Times New Roman" w:hAnsi="Times New Roman" w:cs="Times New Roman"/>
          <w:color w:val="auto"/>
          <w:sz w:val="24"/>
          <w:szCs w:val="24"/>
        </w:rPr>
        <w:t xml:space="preserve"> on </w:t>
      </w:r>
      <w:proofErr w:type="spellStart"/>
      <w:r w:rsidRPr="00872293">
        <w:rPr>
          <w:rFonts w:ascii="Times New Roman" w:hAnsi="Times New Roman" w:cs="Times New Roman"/>
          <w:color w:val="auto"/>
          <w:sz w:val="24"/>
          <w:szCs w:val="24"/>
        </w:rPr>
        <w:t>Odum</w:t>
      </w:r>
      <w:proofErr w:type="spellEnd"/>
      <w:r w:rsidRPr="00872293">
        <w:rPr>
          <w:rFonts w:ascii="Times New Roman" w:hAnsi="Times New Roman" w:cs="Times New Roman"/>
          <w:color w:val="auto"/>
          <w:sz w:val="24"/>
          <w:szCs w:val="24"/>
        </w:rPr>
        <w:t xml:space="preserve"> System Diagram</w:t>
      </w:r>
      <w:r w:rsidR="00D63517" w:rsidRPr="00872293">
        <w:rPr>
          <w:rFonts w:ascii="Times New Roman" w:hAnsi="Times New Roman" w:cs="Times New Roman"/>
          <w:color w:val="auto"/>
          <w:sz w:val="24"/>
          <w:szCs w:val="24"/>
        </w:rPr>
        <w:t>s</w:t>
      </w:r>
      <w:r w:rsidR="0016527A" w:rsidRPr="00872293">
        <w:rPr>
          <w:rFonts w:ascii="Times New Roman" w:hAnsi="Times New Roman" w:cs="Times New Roman"/>
          <w:color w:val="auto"/>
          <w:sz w:val="24"/>
          <w:szCs w:val="24"/>
        </w:rPr>
        <w:t>.</w:t>
      </w:r>
      <w:bookmarkEnd w:id="182"/>
      <w:r w:rsidR="002A1AE0" w:rsidRPr="00872293">
        <w:rPr>
          <w:color w:val="auto"/>
        </w:rPr>
        <w:br w:type="page"/>
      </w:r>
    </w:p>
    <w:p w14:paraId="0F8660FE" w14:textId="77777777" w:rsidR="00B91533" w:rsidRPr="00872293" w:rsidRDefault="00B91533" w:rsidP="003F75BD">
      <w:pPr>
        <w:pStyle w:val="Heading1"/>
        <w:rPr>
          <w:rFonts w:cs="Times New Roman"/>
          <w:szCs w:val="36"/>
        </w:rPr>
      </w:pPr>
    </w:p>
    <w:p w14:paraId="71AF2D42" w14:textId="2D757E98" w:rsidR="003F75BD" w:rsidRPr="00872293" w:rsidRDefault="003F75BD" w:rsidP="00E27BF1">
      <w:pPr>
        <w:pStyle w:val="Heading1"/>
        <w:rPr>
          <w:rFonts w:cs="Times New Roman"/>
          <w:szCs w:val="36"/>
        </w:rPr>
      </w:pPr>
      <w:bookmarkStart w:id="183" w:name="_Toc53689128"/>
      <w:r w:rsidRPr="00872293">
        <w:rPr>
          <w:rFonts w:cs="Times New Roman"/>
          <w:szCs w:val="36"/>
        </w:rPr>
        <w:t>V</w:t>
      </w:r>
      <w:r w:rsidR="00B91533" w:rsidRPr="00872293">
        <w:rPr>
          <w:rFonts w:cs="Times New Roman"/>
          <w:szCs w:val="36"/>
        </w:rPr>
        <w:t>ita</w:t>
      </w:r>
      <w:bookmarkEnd w:id="183"/>
    </w:p>
    <w:p w14:paraId="7A2F309F" w14:textId="5EC86A03" w:rsidR="006B6AEF" w:rsidRPr="00872293" w:rsidRDefault="006B6AEF" w:rsidP="00E27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line="360" w:lineRule="auto"/>
        <w:rPr>
          <w:rFonts w:ascii="Times New Roman" w:eastAsia="Helvetica" w:hAnsi="Times New Roman" w:cs="Times New Roman"/>
          <w:u w:color="005293"/>
        </w:rPr>
      </w:pPr>
      <w:r w:rsidRPr="00872293">
        <w:rPr>
          <w:rFonts w:ascii="Times New Roman" w:eastAsia="Helvetica" w:hAnsi="Times New Roman" w:cs="Times New Roman"/>
          <w:u w:color="005293"/>
        </w:rPr>
        <w:t xml:space="preserve">Daniela Yaffar de La Fuente was born in La Paz, Bolivia where she received her Bachelor of </w:t>
      </w:r>
      <w:r w:rsidR="00DB538C" w:rsidRPr="00872293">
        <w:rPr>
          <w:rFonts w:ascii="Times New Roman" w:eastAsia="Helvetica" w:hAnsi="Times New Roman" w:cs="Times New Roman"/>
          <w:u w:color="005293"/>
        </w:rPr>
        <w:t>Biology</w:t>
      </w:r>
      <w:r w:rsidRPr="00872293">
        <w:rPr>
          <w:rFonts w:ascii="Times New Roman" w:eastAsia="Helvetica" w:hAnsi="Times New Roman" w:cs="Times New Roman"/>
          <w:u w:color="005293"/>
        </w:rPr>
        <w:t xml:space="preserve"> degree </w:t>
      </w:r>
      <w:r w:rsidR="00DB538C" w:rsidRPr="00872293">
        <w:rPr>
          <w:rFonts w:ascii="Times New Roman" w:eastAsia="Helvetica" w:hAnsi="Times New Roman" w:cs="Times New Roman"/>
          <w:u w:color="005293"/>
        </w:rPr>
        <w:t xml:space="preserve">with a major in Ecology </w:t>
      </w:r>
      <w:r w:rsidRPr="00872293">
        <w:rPr>
          <w:rFonts w:ascii="Times New Roman" w:eastAsia="Helvetica" w:hAnsi="Times New Roman" w:cs="Times New Roman"/>
          <w:u w:color="005293"/>
        </w:rPr>
        <w:t>from the University of Saint Andrew (UMSA)</w:t>
      </w:r>
      <w:r w:rsidR="00DB538C" w:rsidRPr="00872293">
        <w:rPr>
          <w:rFonts w:ascii="Times New Roman" w:eastAsia="Helvetica" w:hAnsi="Times New Roman" w:cs="Times New Roman"/>
          <w:u w:color="005293"/>
        </w:rPr>
        <w:t>. She started her postgraduate studies at the Department of Natural Science, University of Puerto Rico</w:t>
      </w:r>
      <w:r w:rsidR="007F39AA" w:rsidRPr="00872293">
        <w:rPr>
          <w:rFonts w:ascii="Times New Roman" w:eastAsia="Helvetica" w:hAnsi="Times New Roman" w:cs="Times New Roman"/>
          <w:u w:color="005293"/>
        </w:rPr>
        <w:t xml:space="preserve"> (UPR)</w:t>
      </w:r>
      <w:r w:rsidR="00DB538C" w:rsidRPr="00872293">
        <w:rPr>
          <w:rFonts w:ascii="Times New Roman" w:eastAsia="Helvetica" w:hAnsi="Times New Roman" w:cs="Times New Roman"/>
          <w:u w:color="005293"/>
        </w:rPr>
        <w:t xml:space="preserve">, but transferred to the </w:t>
      </w:r>
      <w:r w:rsidR="007F39AA" w:rsidRPr="00872293">
        <w:rPr>
          <w:rFonts w:ascii="Times New Roman" w:eastAsia="Helvetica" w:hAnsi="Times New Roman" w:cs="Times New Roman"/>
          <w:u w:color="005293"/>
        </w:rPr>
        <w:t xml:space="preserve">Department of Ecology and Evolutionary Biology at the </w:t>
      </w:r>
      <w:r w:rsidR="00DB538C" w:rsidRPr="00872293">
        <w:rPr>
          <w:rFonts w:ascii="Times New Roman" w:eastAsia="Helvetica" w:hAnsi="Times New Roman" w:cs="Times New Roman"/>
          <w:u w:color="005293"/>
        </w:rPr>
        <w:t xml:space="preserve">University of Tennessee Knoxville </w:t>
      </w:r>
      <w:r w:rsidR="007F39AA" w:rsidRPr="00872293">
        <w:rPr>
          <w:rFonts w:ascii="Times New Roman" w:eastAsia="Helvetica" w:hAnsi="Times New Roman" w:cs="Times New Roman"/>
          <w:u w:color="005293"/>
        </w:rPr>
        <w:t xml:space="preserve">(UTK) </w:t>
      </w:r>
      <w:r w:rsidR="00DB538C" w:rsidRPr="00872293">
        <w:rPr>
          <w:rFonts w:ascii="Times New Roman" w:eastAsia="Helvetica" w:hAnsi="Times New Roman" w:cs="Times New Roman"/>
          <w:u w:color="005293"/>
        </w:rPr>
        <w:t>after Hurricanes Irma and María hit Puerto Rico</w:t>
      </w:r>
      <w:r w:rsidRPr="00872293">
        <w:rPr>
          <w:rFonts w:ascii="Times New Roman" w:eastAsia="Helvetica" w:hAnsi="Times New Roman" w:cs="Times New Roman"/>
          <w:u w:color="005293"/>
        </w:rPr>
        <w:t>. As a</w:t>
      </w:r>
      <w:r w:rsidR="003F0063" w:rsidRPr="00872293">
        <w:rPr>
          <w:rFonts w:ascii="Times New Roman" w:eastAsia="Helvetica" w:hAnsi="Times New Roman" w:cs="Times New Roman"/>
          <w:u w:color="005293"/>
        </w:rPr>
        <w:t xml:space="preserve"> biologist </w:t>
      </w:r>
      <w:r w:rsidRPr="00872293">
        <w:rPr>
          <w:rFonts w:ascii="Times New Roman" w:eastAsia="Helvetica" w:hAnsi="Times New Roman" w:cs="Times New Roman"/>
          <w:u w:color="005293"/>
        </w:rPr>
        <w:t xml:space="preserve">with </w:t>
      </w:r>
      <w:r w:rsidR="00C9647B" w:rsidRPr="00872293">
        <w:rPr>
          <w:rFonts w:ascii="Times New Roman" w:eastAsia="Helvetica" w:hAnsi="Times New Roman" w:cs="Times New Roman"/>
          <w:u w:color="005293"/>
        </w:rPr>
        <w:t>a background</w:t>
      </w:r>
      <w:r w:rsidR="003F0063" w:rsidRPr="00872293">
        <w:rPr>
          <w:rFonts w:ascii="Times New Roman" w:eastAsia="Helvetica" w:hAnsi="Times New Roman" w:cs="Times New Roman"/>
          <w:u w:color="005293"/>
        </w:rPr>
        <w:t xml:space="preserve"> in tropical ecology</w:t>
      </w:r>
      <w:r w:rsidR="00CF2365" w:rsidRPr="00872293">
        <w:rPr>
          <w:rFonts w:ascii="Times New Roman" w:eastAsia="Helvetica" w:hAnsi="Times New Roman" w:cs="Times New Roman"/>
          <w:u w:color="005293"/>
        </w:rPr>
        <w:t>,</w:t>
      </w:r>
      <w:r w:rsidRPr="00872293">
        <w:rPr>
          <w:rFonts w:ascii="Times New Roman" w:eastAsia="Helvetica" w:hAnsi="Times New Roman" w:cs="Times New Roman"/>
          <w:u w:color="005293"/>
        </w:rPr>
        <w:t xml:space="preserve"> she is most interested in </w:t>
      </w:r>
      <w:r w:rsidR="00175A98" w:rsidRPr="00872293">
        <w:rPr>
          <w:rFonts w:ascii="Times New Roman" w:eastAsia="Helvetica" w:hAnsi="Times New Roman" w:cs="Times New Roman"/>
          <w:u w:color="005293"/>
        </w:rPr>
        <w:t>understanding the contribution of tree roots on carbon and</w:t>
      </w:r>
      <w:r w:rsidRPr="00872293">
        <w:rPr>
          <w:rFonts w:ascii="Times New Roman" w:eastAsia="Helvetica" w:hAnsi="Times New Roman" w:cs="Times New Roman"/>
          <w:u w:color="005293"/>
        </w:rPr>
        <w:t xml:space="preserve"> nutrient cycling</w:t>
      </w:r>
      <w:r w:rsidR="00175A98" w:rsidRPr="00872293">
        <w:rPr>
          <w:rFonts w:ascii="Times New Roman" w:eastAsia="Helvetica" w:hAnsi="Times New Roman" w:cs="Times New Roman"/>
          <w:u w:color="005293"/>
        </w:rPr>
        <w:t xml:space="preserve">, and </w:t>
      </w:r>
      <w:r w:rsidR="00CF2365" w:rsidRPr="00872293">
        <w:rPr>
          <w:rFonts w:ascii="Times New Roman" w:eastAsia="Helvetica" w:hAnsi="Times New Roman" w:cs="Times New Roman"/>
          <w:u w:color="005293"/>
        </w:rPr>
        <w:t>the response and role of</w:t>
      </w:r>
      <w:r w:rsidR="00175A98" w:rsidRPr="00872293">
        <w:rPr>
          <w:rFonts w:ascii="Times New Roman" w:eastAsia="Helvetica" w:hAnsi="Times New Roman" w:cs="Times New Roman"/>
          <w:u w:color="005293"/>
        </w:rPr>
        <w:t xml:space="preserve"> plant roots </w:t>
      </w:r>
      <w:r w:rsidR="00CF2365" w:rsidRPr="00872293">
        <w:rPr>
          <w:rFonts w:ascii="Times New Roman" w:eastAsia="Helvetica" w:hAnsi="Times New Roman" w:cs="Times New Roman"/>
          <w:u w:color="005293"/>
        </w:rPr>
        <w:t xml:space="preserve">facing </w:t>
      </w:r>
      <w:r w:rsidR="00175A98" w:rsidRPr="00872293">
        <w:rPr>
          <w:rFonts w:ascii="Times New Roman" w:eastAsia="Helvetica" w:hAnsi="Times New Roman" w:cs="Times New Roman"/>
          <w:u w:color="005293"/>
        </w:rPr>
        <w:t>global disturbances.</w:t>
      </w:r>
      <w:r w:rsidRPr="00872293">
        <w:rPr>
          <w:rFonts w:ascii="Times New Roman" w:eastAsia="Helvetica" w:hAnsi="Times New Roman" w:cs="Times New Roman"/>
          <w:u w:color="005293"/>
        </w:rPr>
        <w:t xml:space="preserve"> With </w:t>
      </w:r>
      <w:r w:rsidR="00C9647B" w:rsidRPr="00872293">
        <w:rPr>
          <w:rFonts w:ascii="Times New Roman" w:eastAsia="Helvetica" w:hAnsi="Times New Roman" w:cs="Times New Roman"/>
          <w:u w:color="005293"/>
        </w:rPr>
        <w:t>experience in forest carbon monitoring in the Bolivian Amazon, and in forest management</w:t>
      </w:r>
      <w:r w:rsidRPr="00872293">
        <w:rPr>
          <w:rFonts w:ascii="Times New Roman" w:eastAsia="Helvetica" w:hAnsi="Times New Roman" w:cs="Times New Roman"/>
          <w:u w:color="005293"/>
        </w:rPr>
        <w:t xml:space="preserve"> policy</w:t>
      </w:r>
      <w:r w:rsidR="00C9647B" w:rsidRPr="00872293">
        <w:rPr>
          <w:rFonts w:ascii="Times New Roman" w:eastAsia="Helvetica" w:hAnsi="Times New Roman" w:cs="Times New Roman"/>
          <w:u w:color="005293"/>
        </w:rPr>
        <w:t xml:space="preserve">, </w:t>
      </w:r>
      <w:r w:rsidRPr="00872293">
        <w:rPr>
          <w:rFonts w:ascii="Times New Roman" w:eastAsia="Helvetica" w:hAnsi="Times New Roman" w:cs="Times New Roman"/>
          <w:u w:color="005293"/>
        </w:rPr>
        <w:t xml:space="preserve">she </w:t>
      </w:r>
      <w:r w:rsidR="00C9647B" w:rsidRPr="00872293">
        <w:rPr>
          <w:rFonts w:ascii="Times New Roman" w:eastAsia="Helvetica" w:hAnsi="Times New Roman" w:cs="Times New Roman"/>
          <w:u w:color="005293"/>
        </w:rPr>
        <w:t>aims to create research programs and participate in policy making that can benefit Bolivian communities applying forest sustainable management, and preserving  natural ecosystems and resources of her country.</w:t>
      </w:r>
    </w:p>
    <w:p w14:paraId="68681F0E" w14:textId="77777777" w:rsidR="00B929C8" w:rsidRPr="00872293" w:rsidRDefault="00B929C8" w:rsidP="003F75BD">
      <w:pPr>
        <w:widowControl w:val="0"/>
        <w:autoSpaceDE w:val="0"/>
        <w:autoSpaceDN w:val="0"/>
        <w:adjustRightInd w:val="0"/>
        <w:spacing w:line="360" w:lineRule="auto"/>
        <w:jc w:val="center"/>
        <w:rPr>
          <w:rFonts w:ascii="Times New Roman" w:hAnsi="Times New Roman" w:cs="Times New Roman"/>
          <w:b/>
          <w:bCs/>
        </w:rPr>
      </w:pPr>
    </w:p>
    <w:sectPr w:rsidR="00B929C8" w:rsidRPr="00872293" w:rsidSect="00CB4657">
      <w:footerReference w:type="default" r:id="rId4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37D30" w14:textId="77777777" w:rsidR="00DB0922" w:rsidRDefault="00DB0922" w:rsidP="003A01E8">
      <w:r>
        <w:separator/>
      </w:r>
    </w:p>
  </w:endnote>
  <w:endnote w:type="continuationSeparator" w:id="0">
    <w:p w14:paraId="10D57C71" w14:textId="77777777" w:rsidR="00DB0922" w:rsidRDefault="00DB0922" w:rsidP="003A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Palatino-Roman">
    <w:altName w:val="Segoe UI Historic"/>
    <w:charset w:val="4D"/>
    <w:family w:val="auto"/>
    <w:pitch w:val="variable"/>
    <w:sig w:usb0="A00002FF" w:usb1="7800205A" w:usb2="14600000" w:usb3="00000000" w:csb0="00000193" w:csb1="00000000"/>
  </w:font>
  <w:font w:name="TimesNewRomanPSMT">
    <w:altName w:val="Times New Roman"/>
    <w:charset w:val="00"/>
    <w:family w:val="roman"/>
    <w:pitch w:val="default"/>
    <w:sig w:usb0="00000000" w:usb1="00000000" w:usb2="00000000" w:usb3="00000000" w:csb0="00000001" w:csb1="00000000"/>
  </w:font>
  <w:font w:name="Times-Roman">
    <w:altName w:val="Times New Roman"/>
    <w:charset w:val="00"/>
    <w:family w:val="auto"/>
    <w:pitch w:val="variable"/>
    <w:sig w:usb0="E00002FF" w:usb1="5000205A" w:usb2="00000000" w:usb3="00000000" w:csb0="0000019F" w:csb1="00000000"/>
  </w:font>
  <w:font w:name="MyriadPro">
    <w:altName w:val="Yu Gothic"/>
    <w:panose1 w:val="00000000000000000000"/>
    <w:charset w:val="80"/>
    <w:family w:val="swiss"/>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ato-Regular">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ungsuh">
    <w:charset w:val="81"/>
    <w:family w:val="roman"/>
    <w:pitch w:val="variable"/>
    <w:sig w:usb0="B00002AF" w:usb1="69D77CFB" w:usb2="00000030" w:usb3="00000000" w:csb0="0008009F" w:csb1="00000000"/>
  </w:font>
  <w:font w:name="Noteworthy Light">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P45996F">
    <w:altName w:val="Malgun Gothic"/>
    <w:panose1 w:val="00000000000000000000"/>
    <w:charset w:val="81"/>
    <w:family w:val="auto"/>
    <w:notTrueType/>
    <w:pitch w:val="default"/>
    <w:sig w:usb0="00000001" w:usb1="09060000" w:usb2="00000010" w:usb3="00000000" w:csb0="00080000" w:csb1="00000000"/>
  </w:font>
  <w:font w:name="ArialUnicodeMS">
    <w:charset w:val="80"/>
    <w:family w:val="swiss"/>
    <w:pitch w:val="variable"/>
    <w:sig w:usb0="F7FFAFFF" w:usb1="E9DFFFFF" w:usb2="0000003F" w:usb3="00000000" w:csb0="003F01FF" w:csb1="00000000"/>
  </w:font>
  <w:font w:name="AdvGARAD-R">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481532319"/>
      <w:docPartObj>
        <w:docPartGallery w:val="Page Numbers (Bottom of Page)"/>
        <w:docPartUnique/>
      </w:docPartObj>
    </w:sdtPr>
    <w:sdtEndPr>
      <w:rPr>
        <w:noProof/>
      </w:rPr>
    </w:sdtEndPr>
    <w:sdtContent>
      <w:p w14:paraId="726A0D8A" w14:textId="77777777" w:rsidR="00513656" w:rsidRPr="00ED3306" w:rsidRDefault="00513656">
        <w:pPr>
          <w:pStyle w:val="Footer"/>
          <w:jc w:val="center"/>
          <w:rPr>
            <w:rFonts w:ascii="Times New Roman" w:hAnsi="Times New Roman" w:cs="Times New Roman"/>
          </w:rPr>
        </w:pPr>
        <w:r w:rsidRPr="00ED3306">
          <w:rPr>
            <w:rFonts w:ascii="Times New Roman" w:hAnsi="Times New Roman" w:cs="Times New Roman"/>
          </w:rPr>
          <w:fldChar w:fldCharType="begin"/>
        </w:r>
        <w:r w:rsidRPr="00ED3306">
          <w:rPr>
            <w:rFonts w:ascii="Times New Roman" w:hAnsi="Times New Roman" w:cs="Times New Roman"/>
          </w:rPr>
          <w:instrText xml:space="preserve"> PAGE   \* MERGEFORMAT </w:instrText>
        </w:r>
        <w:r w:rsidRPr="00ED3306">
          <w:rPr>
            <w:rFonts w:ascii="Times New Roman" w:hAnsi="Times New Roman" w:cs="Times New Roman"/>
          </w:rPr>
          <w:fldChar w:fldCharType="separate"/>
        </w:r>
        <w:r w:rsidRPr="00ED3306">
          <w:rPr>
            <w:rFonts w:ascii="Times New Roman" w:hAnsi="Times New Roman" w:cs="Times New Roman"/>
            <w:noProof/>
          </w:rPr>
          <w:t>ii</w:t>
        </w:r>
        <w:r w:rsidRPr="00ED3306">
          <w:rPr>
            <w:rFonts w:ascii="Times New Roman" w:hAnsi="Times New Roman" w:cs="Times New Roman"/>
            <w:noProof/>
          </w:rPr>
          <w:fldChar w:fldCharType="end"/>
        </w:r>
      </w:p>
    </w:sdtContent>
  </w:sdt>
  <w:p w14:paraId="69965E57" w14:textId="77777777" w:rsidR="00513656" w:rsidRDefault="005136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0F56E" w14:textId="4278BC2C" w:rsidR="00513656" w:rsidRDefault="00513656" w:rsidP="009E619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16852608"/>
      <w:docPartObj>
        <w:docPartGallery w:val="Page Numbers (Bottom of Page)"/>
        <w:docPartUnique/>
      </w:docPartObj>
    </w:sdtPr>
    <w:sdtEndPr>
      <w:rPr>
        <w:noProof/>
      </w:rPr>
    </w:sdtEndPr>
    <w:sdtContent>
      <w:p w14:paraId="45DD4FEB" w14:textId="77777777" w:rsidR="00513656" w:rsidRPr="007515B5" w:rsidRDefault="00513656" w:rsidP="00861048">
        <w:pPr>
          <w:pStyle w:val="Footer"/>
          <w:jc w:val="center"/>
          <w:rPr>
            <w:rFonts w:ascii="Times New Roman" w:hAnsi="Times New Roman" w:cs="Times New Roman"/>
          </w:rPr>
        </w:pPr>
        <w:r w:rsidRPr="007515B5">
          <w:rPr>
            <w:rFonts w:ascii="Times New Roman" w:hAnsi="Times New Roman" w:cs="Times New Roman"/>
          </w:rPr>
          <w:fldChar w:fldCharType="begin"/>
        </w:r>
        <w:r w:rsidRPr="007515B5">
          <w:rPr>
            <w:rFonts w:ascii="Times New Roman" w:hAnsi="Times New Roman" w:cs="Times New Roman"/>
          </w:rPr>
          <w:instrText xml:space="preserve"> PAGE   \* MERGEFORMAT </w:instrText>
        </w:r>
        <w:r w:rsidRPr="007515B5">
          <w:rPr>
            <w:rFonts w:ascii="Times New Roman" w:hAnsi="Times New Roman" w:cs="Times New Roman"/>
          </w:rPr>
          <w:fldChar w:fldCharType="separate"/>
        </w:r>
        <w:r w:rsidRPr="007515B5">
          <w:rPr>
            <w:rFonts w:ascii="Times New Roman" w:hAnsi="Times New Roman" w:cs="Times New Roman"/>
            <w:noProof/>
          </w:rPr>
          <w:t>90</w:t>
        </w:r>
        <w:r w:rsidRPr="007515B5">
          <w:rPr>
            <w:rFonts w:ascii="Times New Roman" w:hAnsi="Times New Roman" w:cs="Times New Roman"/>
            <w:noProof/>
          </w:rPr>
          <w:fldChar w:fldCharType="end"/>
        </w:r>
      </w:p>
    </w:sdtContent>
  </w:sdt>
  <w:p w14:paraId="564FBB84" w14:textId="77777777" w:rsidR="00513656" w:rsidRDefault="00513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67F9E" w14:textId="77777777" w:rsidR="00DB0922" w:rsidRDefault="00DB0922" w:rsidP="003A01E8">
      <w:r>
        <w:separator/>
      </w:r>
    </w:p>
  </w:footnote>
  <w:footnote w:type="continuationSeparator" w:id="0">
    <w:p w14:paraId="313E46C7" w14:textId="77777777" w:rsidR="00DB0922" w:rsidRDefault="00DB0922" w:rsidP="003A0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A095B" w14:textId="77777777" w:rsidR="00513656" w:rsidRPr="00577784" w:rsidRDefault="00513656" w:rsidP="00FA2A3A">
    <w:pPr>
      <w:rPr>
        <w:i/>
        <w:sz w:val="4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5E2D8" w14:textId="77777777" w:rsidR="00513656" w:rsidRPr="00577784" w:rsidRDefault="00513656" w:rsidP="00FA2A3A">
    <w:pPr>
      <w:rPr>
        <w:i/>
        <w:sz w:val="4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3C649" w14:textId="77777777" w:rsidR="00513656" w:rsidRPr="00577784" w:rsidRDefault="00513656" w:rsidP="00FA2A3A">
    <w:pPr>
      <w:rPr>
        <w:i/>
        <w:sz w:val="4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40CA5"/>
    <w:multiLevelType w:val="hybridMultilevel"/>
    <w:tmpl w:val="F43A14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E72F4"/>
    <w:multiLevelType w:val="hybridMultilevel"/>
    <w:tmpl w:val="73A618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02119"/>
    <w:multiLevelType w:val="hybridMultilevel"/>
    <w:tmpl w:val="676CF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7320D"/>
    <w:multiLevelType w:val="hybridMultilevel"/>
    <w:tmpl w:val="DDC45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762B2"/>
    <w:multiLevelType w:val="hybridMultilevel"/>
    <w:tmpl w:val="7040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A7140"/>
    <w:multiLevelType w:val="hybridMultilevel"/>
    <w:tmpl w:val="CE1CBC84"/>
    <w:lvl w:ilvl="0" w:tplc="86528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C18AD"/>
    <w:multiLevelType w:val="hybridMultilevel"/>
    <w:tmpl w:val="976A5472"/>
    <w:lvl w:ilvl="0" w:tplc="AA645DD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B820B3"/>
    <w:multiLevelType w:val="hybridMultilevel"/>
    <w:tmpl w:val="9934F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D1165"/>
    <w:multiLevelType w:val="hybridMultilevel"/>
    <w:tmpl w:val="2B4C6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5D0A08"/>
    <w:multiLevelType w:val="hybridMultilevel"/>
    <w:tmpl w:val="B79A4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DA0708"/>
    <w:multiLevelType w:val="hybridMultilevel"/>
    <w:tmpl w:val="CE9E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223E9F"/>
    <w:multiLevelType w:val="multilevel"/>
    <w:tmpl w:val="4EB4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2B3549"/>
    <w:multiLevelType w:val="hybridMultilevel"/>
    <w:tmpl w:val="8E0AABA8"/>
    <w:lvl w:ilvl="0" w:tplc="04090015">
      <w:start w:val="1"/>
      <w:numFmt w:val="upperLetter"/>
      <w:lvlText w:val="%1."/>
      <w:lvlJc w:val="left"/>
      <w:pPr>
        <w:ind w:left="720" w:hanging="360"/>
      </w:pPr>
      <w:rPr>
        <w:rFonts w:hint="default"/>
      </w:rPr>
    </w:lvl>
    <w:lvl w:ilvl="1" w:tplc="FDA0913A">
      <w:start w:val="1"/>
      <w:numFmt w:val="decimal"/>
      <w:pStyle w:val="BodyText"/>
      <w:lvlText w:val="%2."/>
      <w:lvlJc w:val="right"/>
      <w:pPr>
        <w:ind w:left="1440" w:hanging="360"/>
      </w:pPr>
      <w:rPr>
        <w:rFonts w:hint="default"/>
        <w:b w:val="0"/>
      </w:rPr>
    </w:lvl>
    <w:lvl w:ilvl="2" w:tplc="04090019">
      <w:start w:val="1"/>
      <w:numFmt w:val="lowerLetter"/>
      <w:lvlText w:val="%3."/>
      <w:lvlJc w:val="left"/>
      <w:pPr>
        <w:ind w:left="180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8"/>
  </w:num>
  <w:num w:numId="4">
    <w:abstractNumId w:val="7"/>
  </w:num>
  <w:num w:numId="5">
    <w:abstractNumId w:val="5"/>
  </w:num>
  <w:num w:numId="6">
    <w:abstractNumId w:val="6"/>
  </w:num>
  <w:num w:numId="7">
    <w:abstractNumId w:val="0"/>
  </w:num>
  <w:num w:numId="8">
    <w:abstractNumId w:val="3"/>
  </w:num>
  <w:num w:numId="9">
    <w:abstractNumId w:val="4"/>
  </w:num>
  <w:num w:numId="10">
    <w:abstractNumId w:val="10"/>
  </w:num>
  <w:num w:numId="11">
    <w:abstractNumId w:val="9"/>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61"/>
    <w:rsid w:val="00001E53"/>
    <w:rsid w:val="0000275E"/>
    <w:rsid w:val="00002C36"/>
    <w:rsid w:val="00002EBE"/>
    <w:rsid w:val="00004222"/>
    <w:rsid w:val="0000446E"/>
    <w:rsid w:val="00004573"/>
    <w:rsid w:val="00005834"/>
    <w:rsid w:val="000076A3"/>
    <w:rsid w:val="0000773A"/>
    <w:rsid w:val="00007A4E"/>
    <w:rsid w:val="00007B7A"/>
    <w:rsid w:val="00010163"/>
    <w:rsid w:val="00010755"/>
    <w:rsid w:val="00011F0F"/>
    <w:rsid w:val="00013299"/>
    <w:rsid w:val="000138E8"/>
    <w:rsid w:val="000146FF"/>
    <w:rsid w:val="000161DA"/>
    <w:rsid w:val="00020898"/>
    <w:rsid w:val="000218D7"/>
    <w:rsid w:val="00021B1C"/>
    <w:rsid w:val="00023ECF"/>
    <w:rsid w:val="00024890"/>
    <w:rsid w:val="00024909"/>
    <w:rsid w:val="0002524E"/>
    <w:rsid w:val="00026040"/>
    <w:rsid w:val="00027228"/>
    <w:rsid w:val="00027233"/>
    <w:rsid w:val="0003102D"/>
    <w:rsid w:val="00031309"/>
    <w:rsid w:val="000313E6"/>
    <w:rsid w:val="000318B7"/>
    <w:rsid w:val="00032208"/>
    <w:rsid w:val="000329CB"/>
    <w:rsid w:val="00032BAB"/>
    <w:rsid w:val="00033308"/>
    <w:rsid w:val="00033BE6"/>
    <w:rsid w:val="0003427F"/>
    <w:rsid w:val="0003443D"/>
    <w:rsid w:val="0003465F"/>
    <w:rsid w:val="000354B6"/>
    <w:rsid w:val="000359B3"/>
    <w:rsid w:val="00035C09"/>
    <w:rsid w:val="0003623F"/>
    <w:rsid w:val="00036929"/>
    <w:rsid w:val="0004031B"/>
    <w:rsid w:val="00040E86"/>
    <w:rsid w:val="0004196E"/>
    <w:rsid w:val="0004285E"/>
    <w:rsid w:val="00045A85"/>
    <w:rsid w:val="00046A9C"/>
    <w:rsid w:val="00047141"/>
    <w:rsid w:val="000475FB"/>
    <w:rsid w:val="00047DCF"/>
    <w:rsid w:val="00050001"/>
    <w:rsid w:val="0005027C"/>
    <w:rsid w:val="000506C4"/>
    <w:rsid w:val="00050AE9"/>
    <w:rsid w:val="00052BA8"/>
    <w:rsid w:val="00053DEC"/>
    <w:rsid w:val="00054B5A"/>
    <w:rsid w:val="00054CCD"/>
    <w:rsid w:val="0005514F"/>
    <w:rsid w:val="00057DFF"/>
    <w:rsid w:val="000605D5"/>
    <w:rsid w:val="00061BC2"/>
    <w:rsid w:val="00061F85"/>
    <w:rsid w:val="00063AB6"/>
    <w:rsid w:val="00063D10"/>
    <w:rsid w:val="000642AF"/>
    <w:rsid w:val="00064560"/>
    <w:rsid w:val="00064999"/>
    <w:rsid w:val="00064AD4"/>
    <w:rsid w:val="00064CB1"/>
    <w:rsid w:val="00065AE4"/>
    <w:rsid w:val="00065F3A"/>
    <w:rsid w:val="0006654E"/>
    <w:rsid w:val="000671C7"/>
    <w:rsid w:val="00071F86"/>
    <w:rsid w:val="000722AE"/>
    <w:rsid w:val="00072819"/>
    <w:rsid w:val="00072DB1"/>
    <w:rsid w:val="00072EED"/>
    <w:rsid w:val="00072FDD"/>
    <w:rsid w:val="00073BD9"/>
    <w:rsid w:val="00073CF9"/>
    <w:rsid w:val="00074902"/>
    <w:rsid w:val="00074FA9"/>
    <w:rsid w:val="00075B21"/>
    <w:rsid w:val="00075D2C"/>
    <w:rsid w:val="00080BBD"/>
    <w:rsid w:val="00080C25"/>
    <w:rsid w:val="00081325"/>
    <w:rsid w:val="000815D1"/>
    <w:rsid w:val="00081E6E"/>
    <w:rsid w:val="00081EA4"/>
    <w:rsid w:val="00082395"/>
    <w:rsid w:val="00082EF1"/>
    <w:rsid w:val="0008351D"/>
    <w:rsid w:val="0008370E"/>
    <w:rsid w:val="00083D7A"/>
    <w:rsid w:val="00084870"/>
    <w:rsid w:val="000855FA"/>
    <w:rsid w:val="000860B9"/>
    <w:rsid w:val="000871F0"/>
    <w:rsid w:val="00087920"/>
    <w:rsid w:val="000900D3"/>
    <w:rsid w:val="00090376"/>
    <w:rsid w:val="0009037F"/>
    <w:rsid w:val="00090AF7"/>
    <w:rsid w:val="00091355"/>
    <w:rsid w:val="00091448"/>
    <w:rsid w:val="000922F6"/>
    <w:rsid w:val="0009302A"/>
    <w:rsid w:val="000948CF"/>
    <w:rsid w:val="00095478"/>
    <w:rsid w:val="00095EE4"/>
    <w:rsid w:val="0009602C"/>
    <w:rsid w:val="00096C19"/>
    <w:rsid w:val="00097D64"/>
    <w:rsid w:val="00097FAD"/>
    <w:rsid w:val="000A0C1A"/>
    <w:rsid w:val="000A13A6"/>
    <w:rsid w:val="000A1F68"/>
    <w:rsid w:val="000A2A6E"/>
    <w:rsid w:val="000A39E6"/>
    <w:rsid w:val="000A3FC8"/>
    <w:rsid w:val="000A4A31"/>
    <w:rsid w:val="000A4AB0"/>
    <w:rsid w:val="000A54DF"/>
    <w:rsid w:val="000A59FA"/>
    <w:rsid w:val="000A78FA"/>
    <w:rsid w:val="000A7ACD"/>
    <w:rsid w:val="000A7F24"/>
    <w:rsid w:val="000B01CC"/>
    <w:rsid w:val="000B0A36"/>
    <w:rsid w:val="000B1B47"/>
    <w:rsid w:val="000B2B35"/>
    <w:rsid w:val="000B33D3"/>
    <w:rsid w:val="000B3DD7"/>
    <w:rsid w:val="000B4927"/>
    <w:rsid w:val="000B4973"/>
    <w:rsid w:val="000B4BF7"/>
    <w:rsid w:val="000B540B"/>
    <w:rsid w:val="000B6E61"/>
    <w:rsid w:val="000B781A"/>
    <w:rsid w:val="000C06CE"/>
    <w:rsid w:val="000C081B"/>
    <w:rsid w:val="000C2E74"/>
    <w:rsid w:val="000C3549"/>
    <w:rsid w:val="000C4D93"/>
    <w:rsid w:val="000C511B"/>
    <w:rsid w:val="000D04E2"/>
    <w:rsid w:val="000D1912"/>
    <w:rsid w:val="000D212D"/>
    <w:rsid w:val="000D2C3F"/>
    <w:rsid w:val="000D3586"/>
    <w:rsid w:val="000D5439"/>
    <w:rsid w:val="000D5B76"/>
    <w:rsid w:val="000D6A80"/>
    <w:rsid w:val="000D6F6A"/>
    <w:rsid w:val="000D764C"/>
    <w:rsid w:val="000E0CC5"/>
    <w:rsid w:val="000E1460"/>
    <w:rsid w:val="000E1617"/>
    <w:rsid w:val="000E1A4F"/>
    <w:rsid w:val="000E2184"/>
    <w:rsid w:val="000E2607"/>
    <w:rsid w:val="000E40A8"/>
    <w:rsid w:val="000E42BD"/>
    <w:rsid w:val="000E42F5"/>
    <w:rsid w:val="000E529A"/>
    <w:rsid w:val="000E56A4"/>
    <w:rsid w:val="000E5BE5"/>
    <w:rsid w:val="000E7558"/>
    <w:rsid w:val="000E75EB"/>
    <w:rsid w:val="000E7C1D"/>
    <w:rsid w:val="000F1CFC"/>
    <w:rsid w:val="000F1F3A"/>
    <w:rsid w:val="000F241E"/>
    <w:rsid w:val="000F30DB"/>
    <w:rsid w:val="000F3102"/>
    <w:rsid w:val="000F37C3"/>
    <w:rsid w:val="000F380B"/>
    <w:rsid w:val="000F3EAD"/>
    <w:rsid w:val="000F5763"/>
    <w:rsid w:val="000F65B5"/>
    <w:rsid w:val="000F69CE"/>
    <w:rsid w:val="000F7D68"/>
    <w:rsid w:val="00100237"/>
    <w:rsid w:val="0010030A"/>
    <w:rsid w:val="00101A96"/>
    <w:rsid w:val="00101E1A"/>
    <w:rsid w:val="0010409D"/>
    <w:rsid w:val="00104C5C"/>
    <w:rsid w:val="00104D61"/>
    <w:rsid w:val="00105037"/>
    <w:rsid w:val="00105776"/>
    <w:rsid w:val="0010580D"/>
    <w:rsid w:val="00105817"/>
    <w:rsid w:val="00105857"/>
    <w:rsid w:val="00106A2D"/>
    <w:rsid w:val="00106D68"/>
    <w:rsid w:val="00107506"/>
    <w:rsid w:val="00107B1D"/>
    <w:rsid w:val="00107C3A"/>
    <w:rsid w:val="00110397"/>
    <w:rsid w:val="00110BD6"/>
    <w:rsid w:val="00110DD5"/>
    <w:rsid w:val="0011198B"/>
    <w:rsid w:val="00111C39"/>
    <w:rsid w:val="00111FA9"/>
    <w:rsid w:val="00112531"/>
    <w:rsid w:val="00113053"/>
    <w:rsid w:val="00113519"/>
    <w:rsid w:val="00113887"/>
    <w:rsid w:val="001141F2"/>
    <w:rsid w:val="00114432"/>
    <w:rsid w:val="00114658"/>
    <w:rsid w:val="001148EB"/>
    <w:rsid w:val="00114A13"/>
    <w:rsid w:val="00115307"/>
    <w:rsid w:val="001158B5"/>
    <w:rsid w:val="00115E23"/>
    <w:rsid w:val="00116B0E"/>
    <w:rsid w:val="00117CA6"/>
    <w:rsid w:val="00120499"/>
    <w:rsid w:val="00120B11"/>
    <w:rsid w:val="00120DF0"/>
    <w:rsid w:val="00120E95"/>
    <w:rsid w:val="00121454"/>
    <w:rsid w:val="0012187F"/>
    <w:rsid w:val="001219DA"/>
    <w:rsid w:val="00122276"/>
    <w:rsid w:val="00122850"/>
    <w:rsid w:val="00124498"/>
    <w:rsid w:val="00124A01"/>
    <w:rsid w:val="00124F56"/>
    <w:rsid w:val="0012578F"/>
    <w:rsid w:val="00125864"/>
    <w:rsid w:val="001262CA"/>
    <w:rsid w:val="00126611"/>
    <w:rsid w:val="00127325"/>
    <w:rsid w:val="00127937"/>
    <w:rsid w:val="001317CA"/>
    <w:rsid w:val="001341CA"/>
    <w:rsid w:val="00134B02"/>
    <w:rsid w:val="00135130"/>
    <w:rsid w:val="00136064"/>
    <w:rsid w:val="001368A2"/>
    <w:rsid w:val="00137A00"/>
    <w:rsid w:val="00141137"/>
    <w:rsid w:val="0014156C"/>
    <w:rsid w:val="0014206E"/>
    <w:rsid w:val="00142083"/>
    <w:rsid w:val="00142260"/>
    <w:rsid w:val="001448CD"/>
    <w:rsid w:val="00146643"/>
    <w:rsid w:val="0014670A"/>
    <w:rsid w:val="001468F9"/>
    <w:rsid w:val="00152946"/>
    <w:rsid w:val="00152DFB"/>
    <w:rsid w:val="00153044"/>
    <w:rsid w:val="001541FA"/>
    <w:rsid w:val="00154A8A"/>
    <w:rsid w:val="00154E5E"/>
    <w:rsid w:val="00154E89"/>
    <w:rsid w:val="001551EA"/>
    <w:rsid w:val="00155C28"/>
    <w:rsid w:val="001565F6"/>
    <w:rsid w:val="00156F5E"/>
    <w:rsid w:val="00157C11"/>
    <w:rsid w:val="00162042"/>
    <w:rsid w:val="001621CE"/>
    <w:rsid w:val="00162C86"/>
    <w:rsid w:val="0016339E"/>
    <w:rsid w:val="001636DE"/>
    <w:rsid w:val="00163D58"/>
    <w:rsid w:val="00163DED"/>
    <w:rsid w:val="001642B0"/>
    <w:rsid w:val="0016527A"/>
    <w:rsid w:val="00165767"/>
    <w:rsid w:val="00167E5D"/>
    <w:rsid w:val="001702DE"/>
    <w:rsid w:val="001706E5"/>
    <w:rsid w:val="00170A88"/>
    <w:rsid w:val="0017155C"/>
    <w:rsid w:val="00172520"/>
    <w:rsid w:val="00172E40"/>
    <w:rsid w:val="001736EA"/>
    <w:rsid w:val="0017453B"/>
    <w:rsid w:val="001745F1"/>
    <w:rsid w:val="00174972"/>
    <w:rsid w:val="00175A98"/>
    <w:rsid w:val="00175F0B"/>
    <w:rsid w:val="00175F6E"/>
    <w:rsid w:val="00176248"/>
    <w:rsid w:val="00176EC4"/>
    <w:rsid w:val="001800C3"/>
    <w:rsid w:val="00180AA5"/>
    <w:rsid w:val="001811B5"/>
    <w:rsid w:val="0018136E"/>
    <w:rsid w:val="00181740"/>
    <w:rsid w:val="00184353"/>
    <w:rsid w:val="001852A6"/>
    <w:rsid w:val="00185C75"/>
    <w:rsid w:val="00186614"/>
    <w:rsid w:val="00186769"/>
    <w:rsid w:val="00186916"/>
    <w:rsid w:val="00186A43"/>
    <w:rsid w:val="0018795C"/>
    <w:rsid w:val="00187E59"/>
    <w:rsid w:val="00192855"/>
    <w:rsid w:val="001934EA"/>
    <w:rsid w:val="00193946"/>
    <w:rsid w:val="00193C37"/>
    <w:rsid w:val="0019437B"/>
    <w:rsid w:val="001946B8"/>
    <w:rsid w:val="001946E1"/>
    <w:rsid w:val="001953EF"/>
    <w:rsid w:val="001954CF"/>
    <w:rsid w:val="00195780"/>
    <w:rsid w:val="0019671E"/>
    <w:rsid w:val="00196D16"/>
    <w:rsid w:val="001974CC"/>
    <w:rsid w:val="001A0C01"/>
    <w:rsid w:val="001A1BFC"/>
    <w:rsid w:val="001A2016"/>
    <w:rsid w:val="001A2B4E"/>
    <w:rsid w:val="001A4580"/>
    <w:rsid w:val="001A4A4E"/>
    <w:rsid w:val="001A4B20"/>
    <w:rsid w:val="001A4C0F"/>
    <w:rsid w:val="001A4CCD"/>
    <w:rsid w:val="001A538A"/>
    <w:rsid w:val="001A582A"/>
    <w:rsid w:val="001A64B8"/>
    <w:rsid w:val="001A67BD"/>
    <w:rsid w:val="001A6A9B"/>
    <w:rsid w:val="001A75B0"/>
    <w:rsid w:val="001B0514"/>
    <w:rsid w:val="001B3083"/>
    <w:rsid w:val="001B49C0"/>
    <w:rsid w:val="001B5A67"/>
    <w:rsid w:val="001B6747"/>
    <w:rsid w:val="001B7012"/>
    <w:rsid w:val="001B7841"/>
    <w:rsid w:val="001B7C78"/>
    <w:rsid w:val="001C0197"/>
    <w:rsid w:val="001C2C81"/>
    <w:rsid w:val="001C3E11"/>
    <w:rsid w:val="001C6142"/>
    <w:rsid w:val="001C6479"/>
    <w:rsid w:val="001C73F4"/>
    <w:rsid w:val="001D08CB"/>
    <w:rsid w:val="001D1291"/>
    <w:rsid w:val="001D1350"/>
    <w:rsid w:val="001D17CC"/>
    <w:rsid w:val="001D26EF"/>
    <w:rsid w:val="001D3E23"/>
    <w:rsid w:val="001D3F7B"/>
    <w:rsid w:val="001D5DED"/>
    <w:rsid w:val="001D646F"/>
    <w:rsid w:val="001D6C65"/>
    <w:rsid w:val="001D78EF"/>
    <w:rsid w:val="001D7F4D"/>
    <w:rsid w:val="001E02A1"/>
    <w:rsid w:val="001E14AA"/>
    <w:rsid w:val="001E230A"/>
    <w:rsid w:val="001E2FDC"/>
    <w:rsid w:val="001E4740"/>
    <w:rsid w:val="001E7F7A"/>
    <w:rsid w:val="001F0440"/>
    <w:rsid w:val="001F1294"/>
    <w:rsid w:val="001F14E6"/>
    <w:rsid w:val="001F1608"/>
    <w:rsid w:val="001F1EE0"/>
    <w:rsid w:val="001F3032"/>
    <w:rsid w:val="001F38D2"/>
    <w:rsid w:val="001F3BE6"/>
    <w:rsid w:val="001F53A0"/>
    <w:rsid w:val="001F5A9A"/>
    <w:rsid w:val="001F5B76"/>
    <w:rsid w:val="001F5F35"/>
    <w:rsid w:val="001F6174"/>
    <w:rsid w:val="001F74C1"/>
    <w:rsid w:val="001F7BD5"/>
    <w:rsid w:val="00200EFD"/>
    <w:rsid w:val="002010DB"/>
    <w:rsid w:val="0020138C"/>
    <w:rsid w:val="00201F4D"/>
    <w:rsid w:val="00202424"/>
    <w:rsid w:val="0020298C"/>
    <w:rsid w:val="00203259"/>
    <w:rsid w:val="00204396"/>
    <w:rsid w:val="00206622"/>
    <w:rsid w:val="002077B9"/>
    <w:rsid w:val="00207AEA"/>
    <w:rsid w:val="00207BE1"/>
    <w:rsid w:val="002124E4"/>
    <w:rsid w:val="00212AEA"/>
    <w:rsid w:val="00212E8C"/>
    <w:rsid w:val="002149C2"/>
    <w:rsid w:val="00220362"/>
    <w:rsid w:val="00221906"/>
    <w:rsid w:val="00221AAB"/>
    <w:rsid w:val="002222DD"/>
    <w:rsid w:val="00223C48"/>
    <w:rsid w:val="00223F7A"/>
    <w:rsid w:val="00224585"/>
    <w:rsid w:val="002245CA"/>
    <w:rsid w:val="00224D12"/>
    <w:rsid w:val="00225DFC"/>
    <w:rsid w:val="00226005"/>
    <w:rsid w:val="00226867"/>
    <w:rsid w:val="002305CD"/>
    <w:rsid w:val="00230C10"/>
    <w:rsid w:val="0023101D"/>
    <w:rsid w:val="0023277D"/>
    <w:rsid w:val="002331A2"/>
    <w:rsid w:val="0023372F"/>
    <w:rsid w:val="00234208"/>
    <w:rsid w:val="0023444D"/>
    <w:rsid w:val="00234F0E"/>
    <w:rsid w:val="00235211"/>
    <w:rsid w:val="00235AB2"/>
    <w:rsid w:val="002379BE"/>
    <w:rsid w:val="002418F3"/>
    <w:rsid w:val="002419B6"/>
    <w:rsid w:val="00241B0A"/>
    <w:rsid w:val="00241ED4"/>
    <w:rsid w:val="002422B2"/>
    <w:rsid w:val="00242CB9"/>
    <w:rsid w:val="00243302"/>
    <w:rsid w:val="00246240"/>
    <w:rsid w:val="00246938"/>
    <w:rsid w:val="00247057"/>
    <w:rsid w:val="0025194B"/>
    <w:rsid w:val="00252562"/>
    <w:rsid w:val="002526F4"/>
    <w:rsid w:val="00252926"/>
    <w:rsid w:val="00252B42"/>
    <w:rsid w:val="002546EE"/>
    <w:rsid w:val="00254896"/>
    <w:rsid w:val="00254EFC"/>
    <w:rsid w:val="00255418"/>
    <w:rsid w:val="002568C7"/>
    <w:rsid w:val="00256D4D"/>
    <w:rsid w:val="00257E46"/>
    <w:rsid w:val="0026008D"/>
    <w:rsid w:val="002605E2"/>
    <w:rsid w:val="00260E50"/>
    <w:rsid w:val="0026178C"/>
    <w:rsid w:val="00261A56"/>
    <w:rsid w:val="00262900"/>
    <w:rsid w:val="002647BC"/>
    <w:rsid w:val="00264C8B"/>
    <w:rsid w:val="00264CD3"/>
    <w:rsid w:val="00265069"/>
    <w:rsid w:val="00265BB9"/>
    <w:rsid w:val="00265C2F"/>
    <w:rsid w:val="00266340"/>
    <w:rsid w:val="0026669E"/>
    <w:rsid w:val="002678C6"/>
    <w:rsid w:val="002700C9"/>
    <w:rsid w:val="002708DB"/>
    <w:rsid w:val="00271F25"/>
    <w:rsid w:val="002728EB"/>
    <w:rsid w:val="00272C8C"/>
    <w:rsid w:val="002734AB"/>
    <w:rsid w:val="00274070"/>
    <w:rsid w:val="0027474B"/>
    <w:rsid w:val="002752B6"/>
    <w:rsid w:val="002752B8"/>
    <w:rsid w:val="00275EE0"/>
    <w:rsid w:val="0027602A"/>
    <w:rsid w:val="00276877"/>
    <w:rsid w:val="00276CDC"/>
    <w:rsid w:val="00276D22"/>
    <w:rsid w:val="002775E4"/>
    <w:rsid w:val="00277DC6"/>
    <w:rsid w:val="00280337"/>
    <w:rsid w:val="00280C76"/>
    <w:rsid w:val="0028439F"/>
    <w:rsid w:val="00284E10"/>
    <w:rsid w:val="00285CEB"/>
    <w:rsid w:val="00285F12"/>
    <w:rsid w:val="0028643A"/>
    <w:rsid w:val="0028658C"/>
    <w:rsid w:val="0028754F"/>
    <w:rsid w:val="00292127"/>
    <w:rsid w:val="00292421"/>
    <w:rsid w:val="002936F3"/>
    <w:rsid w:val="00294019"/>
    <w:rsid w:val="0029482E"/>
    <w:rsid w:val="00294F91"/>
    <w:rsid w:val="00296078"/>
    <w:rsid w:val="00296C07"/>
    <w:rsid w:val="00296C96"/>
    <w:rsid w:val="00296CD6"/>
    <w:rsid w:val="002A1AE0"/>
    <w:rsid w:val="002A1FE7"/>
    <w:rsid w:val="002A2415"/>
    <w:rsid w:val="002A25CB"/>
    <w:rsid w:val="002A2813"/>
    <w:rsid w:val="002A2EDF"/>
    <w:rsid w:val="002A30A5"/>
    <w:rsid w:val="002A4AD5"/>
    <w:rsid w:val="002A51A1"/>
    <w:rsid w:val="002A73F6"/>
    <w:rsid w:val="002A7F36"/>
    <w:rsid w:val="002B03A2"/>
    <w:rsid w:val="002B0C9A"/>
    <w:rsid w:val="002B16AE"/>
    <w:rsid w:val="002B1A7F"/>
    <w:rsid w:val="002B1B48"/>
    <w:rsid w:val="002B4296"/>
    <w:rsid w:val="002B45C6"/>
    <w:rsid w:val="002B4E92"/>
    <w:rsid w:val="002B4FA1"/>
    <w:rsid w:val="002B5957"/>
    <w:rsid w:val="002B719D"/>
    <w:rsid w:val="002B7471"/>
    <w:rsid w:val="002C0C5C"/>
    <w:rsid w:val="002C190F"/>
    <w:rsid w:val="002C1FB2"/>
    <w:rsid w:val="002C2317"/>
    <w:rsid w:val="002C38EC"/>
    <w:rsid w:val="002C4178"/>
    <w:rsid w:val="002C4664"/>
    <w:rsid w:val="002C5094"/>
    <w:rsid w:val="002C51E5"/>
    <w:rsid w:val="002C738C"/>
    <w:rsid w:val="002D0298"/>
    <w:rsid w:val="002D036E"/>
    <w:rsid w:val="002D2C6B"/>
    <w:rsid w:val="002D2DF3"/>
    <w:rsid w:val="002D43DD"/>
    <w:rsid w:val="002D6065"/>
    <w:rsid w:val="002D6E7A"/>
    <w:rsid w:val="002D72A9"/>
    <w:rsid w:val="002D73BD"/>
    <w:rsid w:val="002E1BF6"/>
    <w:rsid w:val="002E1FCA"/>
    <w:rsid w:val="002E2589"/>
    <w:rsid w:val="002E41AE"/>
    <w:rsid w:val="002E446D"/>
    <w:rsid w:val="002E4495"/>
    <w:rsid w:val="002E4A06"/>
    <w:rsid w:val="002E4C69"/>
    <w:rsid w:val="002E5826"/>
    <w:rsid w:val="002E6E5B"/>
    <w:rsid w:val="002E7288"/>
    <w:rsid w:val="002E74C8"/>
    <w:rsid w:val="002E7D89"/>
    <w:rsid w:val="002E7FEC"/>
    <w:rsid w:val="002F055F"/>
    <w:rsid w:val="002F0709"/>
    <w:rsid w:val="002F0916"/>
    <w:rsid w:val="002F0B9B"/>
    <w:rsid w:val="002F0DA7"/>
    <w:rsid w:val="002F0FEF"/>
    <w:rsid w:val="002F1197"/>
    <w:rsid w:val="002F3B82"/>
    <w:rsid w:val="002F6EEF"/>
    <w:rsid w:val="002F74E0"/>
    <w:rsid w:val="002F7D3B"/>
    <w:rsid w:val="0030004C"/>
    <w:rsid w:val="003004B2"/>
    <w:rsid w:val="00300FA4"/>
    <w:rsid w:val="003023E9"/>
    <w:rsid w:val="00302D9A"/>
    <w:rsid w:val="0030421E"/>
    <w:rsid w:val="00304F2D"/>
    <w:rsid w:val="00305F6D"/>
    <w:rsid w:val="003065A9"/>
    <w:rsid w:val="00306E80"/>
    <w:rsid w:val="003073F0"/>
    <w:rsid w:val="0030774A"/>
    <w:rsid w:val="003119D4"/>
    <w:rsid w:val="00312082"/>
    <w:rsid w:val="003129B7"/>
    <w:rsid w:val="00313041"/>
    <w:rsid w:val="00313212"/>
    <w:rsid w:val="00313ED5"/>
    <w:rsid w:val="00314B78"/>
    <w:rsid w:val="00314C2A"/>
    <w:rsid w:val="00315D3C"/>
    <w:rsid w:val="00315F17"/>
    <w:rsid w:val="00316207"/>
    <w:rsid w:val="00316791"/>
    <w:rsid w:val="00316A34"/>
    <w:rsid w:val="003178DF"/>
    <w:rsid w:val="00320B70"/>
    <w:rsid w:val="00321389"/>
    <w:rsid w:val="00321A45"/>
    <w:rsid w:val="00321CF5"/>
    <w:rsid w:val="00322802"/>
    <w:rsid w:val="00322C07"/>
    <w:rsid w:val="00322D4F"/>
    <w:rsid w:val="00322FDD"/>
    <w:rsid w:val="003258AF"/>
    <w:rsid w:val="00325AF0"/>
    <w:rsid w:val="0032694D"/>
    <w:rsid w:val="00327163"/>
    <w:rsid w:val="003271F8"/>
    <w:rsid w:val="00327925"/>
    <w:rsid w:val="00330FF3"/>
    <w:rsid w:val="00331049"/>
    <w:rsid w:val="0033249E"/>
    <w:rsid w:val="003330DB"/>
    <w:rsid w:val="0033368B"/>
    <w:rsid w:val="003353E1"/>
    <w:rsid w:val="0033577D"/>
    <w:rsid w:val="0033646A"/>
    <w:rsid w:val="0033648E"/>
    <w:rsid w:val="00337921"/>
    <w:rsid w:val="00337D9C"/>
    <w:rsid w:val="00340DEE"/>
    <w:rsid w:val="00342EC4"/>
    <w:rsid w:val="0034356A"/>
    <w:rsid w:val="003441D6"/>
    <w:rsid w:val="003449F2"/>
    <w:rsid w:val="00344D2A"/>
    <w:rsid w:val="00346ABD"/>
    <w:rsid w:val="00346B9A"/>
    <w:rsid w:val="003474E9"/>
    <w:rsid w:val="003475E7"/>
    <w:rsid w:val="00347AC2"/>
    <w:rsid w:val="003506DE"/>
    <w:rsid w:val="00350D40"/>
    <w:rsid w:val="003514E3"/>
    <w:rsid w:val="00351536"/>
    <w:rsid w:val="00352468"/>
    <w:rsid w:val="003525CA"/>
    <w:rsid w:val="00355E60"/>
    <w:rsid w:val="00357093"/>
    <w:rsid w:val="00357687"/>
    <w:rsid w:val="00357DAD"/>
    <w:rsid w:val="00360067"/>
    <w:rsid w:val="00360D4E"/>
    <w:rsid w:val="00360ED2"/>
    <w:rsid w:val="00360F2E"/>
    <w:rsid w:val="00361980"/>
    <w:rsid w:val="00361EAB"/>
    <w:rsid w:val="00362550"/>
    <w:rsid w:val="00362D9D"/>
    <w:rsid w:val="003630CE"/>
    <w:rsid w:val="00363349"/>
    <w:rsid w:val="00363A4C"/>
    <w:rsid w:val="00363E8D"/>
    <w:rsid w:val="0036434B"/>
    <w:rsid w:val="003647A5"/>
    <w:rsid w:val="00365120"/>
    <w:rsid w:val="003659BB"/>
    <w:rsid w:val="0036665B"/>
    <w:rsid w:val="00367F21"/>
    <w:rsid w:val="003709C5"/>
    <w:rsid w:val="00370F4F"/>
    <w:rsid w:val="0037260E"/>
    <w:rsid w:val="00373002"/>
    <w:rsid w:val="003748EC"/>
    <w:rsid w:val="00375B1C"/>
    <w:rsid w:val="00375E49"/>
    <w:rsid w:val="003760FD"/>
    <w:rsid w:val="00376539"/>
    <w:rsid w:val="00376CF3"/>
    <w:rsid w:val="00377E8A"/>
    <w:rsid w:val="00377E9F"/>
    <w:rsid w:val="0038048E"/>
    <w:rsid w:val="00380A11"/>
    <w:rsid w:val="00380B72"/>
    <w:rsid w:val="00381D81"/>
    <w:rsid w:val="00381DD2"/>
    <w:rsid w:val="00381F3A"/>
    <w:rsid w:val="00381F95"/>
    <w:rsid w:val="0038408C"/>
    <w:rsid w:val="003840EF"/>
    <w:rsid w:val="0038562A"/>
    <w:rsid w:val="00385A4C"/>
    <w:rsid w:val="0038659C"/>
    <w:rsid w:val="003866C2"/>
    <w:rsid w:val="00387358"/>
    <w:rsid w:val="00387545"/>
    <w:rsid w:val="003904E5"/>
    <w:rsid w:val="00391129"/>
    <w:rsid w:val="00391BD0"/>
    <w:rsid w:val="003922EB"/>
    <w:rsid w:val="0039286E"/>
    <w:rsid w:val="00394AEA"/>
    <w:rsid w:val="003954FC"/>
    <w:rsid w:val="00395D1A"/>
    <w:rsid w:val="003A01E8"/>
    <w:rsid w:val="003A10D2"/>
    <w:rsid w:val="003A1396"/>
    <w:rsid w:val="003A17E4"/>
    <w:rsid w:val="003A3193"/>
    <w:rsid w:val="003A4221"/>
    <w:rsid w:val="003A4886"/>
    <w:rsid w:val="003A5583"/>
    <w:rsid w:val="003A5694"/>
    <w:rsid w:val="003A79DD"/>
    <w:rsid w:val="003A7BB4"/>
    <w:rsid w:val="003B20C6"/>
    <w:rsid w:val="003B268F"/>
    <w:rsid w:val="003B2830"/>
    <w:rsid w:val="003B2F20"/>
    <w:rsid w:val="003B3485"/>
    <w:rsid w:val="003B365B"/>
    <w:rsid w:val="003B47A4"/>
    <w:rsid w:val="003B49B5"/>
    <w:rsid w:val="003B4F63"/>
    <w:rsid w:val="003B630B"/>
    <w:rsid w:val="003B6E08"/>
    <w:rsid w:val="003B7578"/>
    <w:rsid w:val="003C05C1"/>
    <w:rsid w:val="003C0A5B"/>
    <w:rsid w:val="003C0E8F"/>
    <w:rsid w:val="003C1341"/>
    <w:rsid w:val="003C2E4A"/>
    <w:rsid w:val="003C3115"/>
    <w:rsid w:val="003C3B8D"/>
    <w:rsid w:val="003C3F50"/>
    <w:rsid w:val="003C456F"/>
    <w:rsid w:val="003C7047"/>
    <w:rsid w:val="003C74D7"/>
    <w:rsid w:val="003D1D71"/>
    <w:rsid w:val="003D1FCA"/>
    <w:rsid w:val="003D2855"/>
    <w:rsid w:val="003D314A"/>
    <w:rsid w:val="003D3683"/>
    <w:rsid w:val="003D5050"/>
    <w:rsid w:val="003D547B"/>
    <w:rsid w:val="003D634F"/>
    <w:rsid w:val="003D7089"/>
    <w:rsid w:val="003E018A"/>
    <w:rsid w:val="003E0B3B"/>
    <w:rsid w:val="003E1E1E"/>
    <w:rsid w:val="003E1F38"/>
    <w:rsid w:val="003E5D97"/>
    <w:rsid w:val="003E66AA"/>
    <w:rsid w:val="003E73DE"/>
    <w:rsid w:val="003E7A3D"/>
    <w:rsid w:val="003E7D10"/>
    <w:rsid w:val="003F0063"/>
    <w:rsid w:val="003F04CA"/>
    <w:rsid w:val="003F0C1A"/>
    <w:rsid w:val="003F159F"/>
    <w:rsid w:val="003F1E54"/>
    <w:rsid w:val="003F1FD5"/>
    <w:rsid w:val="003F4E94"/>
    <w:rsid w:val="003F5FB0"/>
    <w:rsid w:val="003F63CA"/>
    <w:rsid w:val="003F63CF"/>
    <w:rsid w:val="003F6594"/>
    <w:rsid w:val="003F75BD"/>
    <w:rsid w:val="0040002F"/>
    <w:rsid w:val="0040231B"/>
    <w:rsid w:val="00404159"/>
    <w:rsid w:val="004049BA"/>
    <w:rsid w:val="004049CC"/>
    <w:rsid w:val="0040508D"/>
    <w:rsid w:val="00405376"/>
    <w:rsid w:val="004055CF"/>
    <w:rsid w:val="00406257"/>
    <w:rsid w:val="00406E9D"/>
    <w:rsid w:val="0040735C"/>
    <w:rsid w:val="00410AA6"/>
    <w:rsid w:val="00411737"/>
    <w:rsid w:val="0041178A"/>
    <w:rsid w:val="00411826"/>
    <w:rsid w:val="004121AF"/>
    <w:rsid w:val="00412200"/>
    <w:rsid w:val="004124F0"/>
    <w:rsid w:val="00412A4C"/>
    <w:rsid w:val="00412F91"/>
    <w:rsid w:val="00414AA7"/>
    <w:rsid w:val="0041542D"/>
    <w:rsid w:val="00416F10"/>
    <w:rsid w:val="00417DE8"/>
    <w:rsid w:val="00420552"/>
    <w:rsid w:val="00420C8D"/>
    <w:rsid w:val="00421BDC"/>
    <w:rsid w:val="0042293C"/>
    <w:rsid w:val="00422E72"/>
    <w:rsid w:val="00422FBB"/>
    <w:rsid w:val="0042342D"/>
    <w:rsid w:val="004259BB"/>
    <w:rsid w:val="00426E53"/>
    <w:rsid w:val="00426F83"/>
    <w:rsid w:val="00430970"/>
    <w:rsid w:val="00432C03"/>
    <w:rsid w:val="00432E87"/>
    <w:rsid w:val="004340A7"/>
    <w:rsid w:val="00434597"/>
    <w:rsid w:val="00434E5C"/>
    <w:rsid w:val="00434F2D"/>
    <w:rsid w:val="00434F7E"/>
    <w:rsid w:val="00436013"/>
    <w:rsid w:val="00436B2B"/>
    <w:rsid w:val="00440A50"/>
    <w:rsid w:val="00440C44"/>
    <w:rsid w:val="00440F98"/>
    <w:rsid w:val="004417C8"/>
    <w:rsid w:val="0044284C"/>
    <w:rsid w:val="004431BA"/>
    <w:rsid w:val="00443F2F"/>
    <w:rsid w:val="00444CCA"/>
    <w:rsid w:val="00445068"/>
    <w:rsid w:val="0044533C"/>
    <w:rsid w:val="00446B9D"/>
    <w:rsid w:val="0044746D"/>
    <w:rsid w:val="004508D5"/>
    <w:rsid w:val="00450E80"/>
    <w:rsid w:val="00451344"/>
    <w:rsid w:val="00452F95"/>
    <w:rsid w:val="00456350"/>
    <w:rsid w:val="00456684"/>
    <w:rsid w:val="00456743"/>
    <w:rsid w:val="0045715E"/>
    <w:rsid w:val="00457C42"/>
    <w:rsid w:val="00461EE1"/>
    <w:rsid w:val="0046224B"/>
    <w:rsid w:val="0046234A"/>
    <w:rsid w:val="004625B5"/>
    <w:rsid w:val="00462C42"/>
    <w:rsid w:val="00462C7A"/>
    <w:rsid w:val="00463BE4"/>
    <w:rsid w:val="004641A2"/>
    <w:rsid w:val="004643BB"/>
    <w:rsid w:val="00464943"/>
    <w:rsid w:val="004653B4"/>
    <w:rsid w:val="0046601D"/>
    <w:rsid w:val="00466F20"/>
    <w:rsid w:val="00470CEB"/>
    <w:rsid w:val="00470F8F"/>
    <w:rsid w:val="004715D2"/>
    <w:rsid w:val="00471E8A"/>
    <w:rsid w:val="00474034"/>
    <w:rsid w:val="004746C4"/>
    <w:rsid w:val="00474A60"/>
    <w:rsid w:val="004750BF"/>
    <w:rsid w:val="00475B4C"/>
    <w:rsid w:val="00476271"/>
    <w:rsid w:val="00476986"/>
    <w:rsid w:val="00476A9E"/>
    <w:rsid w:val="00476B55"/>
    <w:rsid w:val="00476DC6"/>
    <w:rsid w:val="004774F2"/>
    <w:rsid w:val="00477A02"/>
    <w:rsid w:val="00480189"/>
    <w:rsid w:val="004839A3"/>
    <w:rsid w:val="00484836"/>
    <w:rsid w:val="0048535B"/>
    <w:rsid w:val="00485418"/>
    <w:rsid w:val="004854AC"/>
    <w:rsid w:val="00485A75"/>
    <w:rsid w:val="0048639E"/>
    <w:rsid w:val="004869A7"/>
    <w:rsid w:val="00487DAC"/>
    <w:rsid w:val="00490C1B"/>
    <w:rsid w:val="00490FE4"/>
    <w:rsid w:val="00491971"/>
    <w:rsid w:val="00491D5B"/>
    <w:rsid w:val="00492286"/>
    <w:rsid w:val="00492332"/>
    <w:rsid w:val="004931D6"/>
    <w:rsid w:val="00493825"/>
    <w:rsid w:val="00493F82"/>
    <w:rsid w:val="00494689"/>
    <w:rsid w:val="00494C67"/>
    <w:rsid w:val="00494E3C"/>
    <w:rsid w:val="00494F1E"/>
    <w:rsid w:val="004950EC"/>
    <w:rsid w:val="00496563"/>
    <w:rsid w:val="004A2A4A"/>
    <w:rsid w:val="004A38BE"/>
    <w:rsid w:val="004A391C"/>
    <w:rsid w:val="004A3988"/>
    <w:rsid w:val="004A3DA3"/>
    <w:rsid w:val="004A3FD8"/>
    <w:rsid w:val="004A47D5"/>
    <w:rsid w:val="004A5C5F"/>
    <w:rsid w:val="004A6FFF"/>
    <w:rsid w:val="004A7C22"/>
    <w:rsid w:val="004B0251"/>
    <w:rsid w:val="004B0607"/>
    <w:rsid w:val="004B2430"/>
    <w:rsid w:val="004B2D70"/>
    <w:rsid w:val="004B41DA"/>
    <w:rsid w:val="004B6F4C"/>
    <w:rsid w:val="004B70A5"/>
    <w:rsid w:val="004C01B6"/>
    <w:rsid w:val="004C16FB"/>
    <w:rsid w:val="004C2EE1"/>
    <w:rsid w:val="004C385D"/>
    <w:rsid w:val="004C4C8B"/>
    <w:rsid w:val="004C4E20"/>
    <w:rsid w:val="004C5316"/>
    <w:rsid w:val="004C5E13"/>
    <w:rsid w:val="004C71FC"/>
    <w:rsid w:val="004C7CF3"/>
    <w:rsid w:val="004D04E1"/>
    <w:rsid w:val="004D12E1"/>
    <w:rsid w:val="004D3366"/>
    <w:rsid w:val="004D40BA"/>
    <w:rsid w:val="004D54E8"/>
    <w:rsid w:val="004D5AAC"/>
    <w:rsid w:val="004D6304"/>
    <w:rsid w:val="004E02D2"/>
    <w:rsid w:val="004E499E"/>
    <w:rsid w:val="004E551D"/>
    <w:rsid w:val="004E5F5B"/>
    <w:rsid w:val="004E68E8"/>
    <w:rsid w:val="004E7A2D"/>
    <w:rsid w:val="004E7C62"/>
    <w:rsid w:val="004E7F23"/>
    <w:rsid w:val="004F1CF1"/>
    <w:rsid w:val="004F2996"/>
    <w:rsid w:val="004F2AA4"/>
    <w:rsid w:val="004F2E55"/>
    <w:rsid w:val="004F37F3"/>
    <w:rsid w:val="004F37F5"/>
    <w:rsid w:val="004F3FDE"/>
    <w:rsid w:val="004F42E8"/>
    <w:rsid w:val="004F4B17"/>
    <w:rsid w:val="004F61D7"/>
    <w:rsid w:val="004F69E5"/>
    <w:rsid w:val="004F6CFE"/>
    <w:rsid w:val="004F6F5F"/>
    <w:rsid w:val="004F6F7B"/>
    <w:rsid w:val="00500EA6"/>
    <w:rsid w:val="005023E4"/>
    <w:rsid w:val="00502E11"/>
    <w:rsid w:val="0050334F"/>
    <w:rsid w:val="00504DBB"/>
    <w:rsid w:val="0050513E"/>
    <w:rsid w:val="005053B8"/>
    <w:rsid w:val="005077F8"/>
    <w:rsid w:val="00507C40"/>
    <w:rsid w:val="00510EBC"/>
    <w:rsid w:val="00510F79"/>
    <w:rsid w:val="00511960"/>
    <w:rsid w:val="00511CCA"/>
    <w:rsid w:val="00512255"/>
    <w:rsid w:val="00512EB6"/>
    <w:rsid w:val="00513656"/>
    <w:rsid w:val="00513C63"/>
    <w:rsid w:val="0051499F"/>
    <w:rsid w:val="00514B3E"/>
    <w:rsid w:val="00514ECC"/>
    <w:rsid w:val="00515C30"/>
    <w:rsid w:val="00515D4B"/>
    <w:rsid w:val="00515DA0"/>
    <w:rsid w:val="00516982"/>
    <w:rsid w:val="00516C23"/>
    <w:rsid w:val="00516F7F"/>
    <w:rsid w:val="00517C7C"/>
    <w:rsid w:val="00520F2B"/>
    <w:rsid w:val="00521D40"/>
    <w:rsid w:val="00522673"/>
    <w:rsid w:val="00522CE2"/>
    <w:rsid w:val="00522D9D"/>
    <w:rsid w:val="00523464"/>
    <w:rsid w:val="0052411D"/>
    <w:rsid w:val="00524385"/>
    <w:rsid w:val="00524B55"/>
    <w:rsid w:val="00525759"/>
    <w:rsid w:val="005257BB"/>
    <w:rsid w:val="00525982"/>
    <w:rsid w:val="005262DB"/>
    <w:rsid w:val="00526C88"/>
    <w:rsid w:val="00527000"/>
    <w:rsid w:val="00530626"/>
    <w:rsid w:val="00530BAE"/>
    <w:rsid w:val="0053165F"/>
    <w:rsid w:val="0053234F"/>
    <w:rsid w:val="00532908"/>
    <w:rsid w:val="00532B98"/>
    <w:rsid w:val="00532CDD"/>
    <w:rsid w:val="005340E9"/>
    <w:rsid w:val="0053450D"/>
    <w:rsid w:val="00534846"/>
    <w:rsid w:val="00535566"/>
    <w:rsid w:val="00536C35"/>
    <w:rsid w:val="00541734"/>
    <w:rsid w:val="005418E9"/>
    <w:rsid w:val="0054225D"/>
    <w:rsid w:val="005427B1"/>
    <w:rsid w:val="005427D9"/>
    <w:rsid w:val="00543204"/>
    <w:rsid w:val="005435CA"/>
    <w:rsid w:val="005437A6"/>
    <w:rsid w:val="005438A8"/>
    <w:rsid w:val="005440D8"/>
    <w:rsid w:val="00544A6D"/>
    <w:rsid w:val="00545F80"/>
    <w:rsid w:val="00546070"/>
    <w:rsid w:val="00546BF9"/>
    <w:rsid w:val="00546D2D"/>
    <w:rsid w:val="00546F21"/>
    <w:rsid w:val="0054774F"/>
    <w:rsid w:val="00550291"/>
    <w:rsid w:val="005513F1"/>
    <w:rsid w:val="00551887"/>
    <w:rsid w:val="00551B40"/>
    <w:rsid w:val="00552C22"/>
    <w:rsid w:val="00553272"/>
    <w:rsid w:val="0055330E"/>
    <w:rsid w:val="005536F9"/>
    <w:rsid w:val="00554F6D"/>
    <w:rsid w:val="005558FC"/>
    <w:rsid w:val="005561E8"/>
    <w:rsid w:val="00556825"/>
    <w:rsid w:val="00557302"/>
    <w:rsid w:val="00557B5F"/>
    <w:rsid w:val="005623D2"/>
    <w:rsid w:val="005624B0"/>
    <w:rsid w:val="00563BC7"/>
    <w:rsid w:val="00564BFB"/>
    <w:rsid w:val="005656DF"/>
    <w:rsid w:val="00565AD0"/>
    <w:rsid w:val="00566049"/>
    <w:rsid w:val="00566282"/>
    <w:rsid w:val="00567A22"/>
    <w:rsid w:val="00567FAD"/>
    <w:rsid w:val="00570E05"/>
    <w:rsid w:val="00571804"/>
    <w:rsid w:val="00572228"/>
    <w:rsid w:val="00573410"/>
    <w:rsid w:val="00573C13"/>
    <w:rsid w:val="00573D63"/>
    <w:rsid w:val="00573DB4"/>
    <w:rsid w:val="00575595"/>
    <w:rsid w:val="005762F0"/>
    <w:rsid w:val="00577074"/>
    <w:rsid w:val="0057732D"/>
    <w:rsid w:val="00577519"/>
    <w:rsid w:val="00577AA4"/>
    <w:rsid w:val="0058018A"/>
    <w:rsid w:val="00580EA5"/>
    <w:rsid w:val="00581872"/>
    <w:rsid w:val="00582246"/>
    <w:rsid w:val="005827A9"/>
    <w:rsid w:val="00583EC6"/>
    <w:rsid w:val="00585AE9"/>
    <w:rsid w:val="00586CAA"/>
    <w:rsid w:val="00586ED6"/>
    <w:rsid w:val="00587AF2"/>
    <w:rsid w:val="00587BE9"/>
    <w:rsid w:val="00590020"/>
    <w:rsid w:val="00590095"/>
    <w:rsid w:val="00591076"/>
    <w:rsid w:val="00591206"/>
    <w:rsid w:val="00593541"/>
    <w:rsid w:val="00594636"/>
    <w:rsid w:val="0059491A"/>
    <w:rsid w:val="00595C44"/>
    <w:rsid w:val="00596692"/>
    <w:rsid w:val="00597418"/>
    <w:rsid w:val="005A13E8"/>
    <w:rsid w:val="005A2220"/>
    <w:rsid w:val="005A3699"/>
    <w:rsid w:val="005A3926"/>
    <w:rsid w:val="005A4798"/>
    <w:rsid w:val="005A4A9D"/>
    <w:rsid w:val="005A5BB5"/>
    <w:rsid w:val="005A7605"/>
    <w:rsid w:val="005A7BFD"/>
    <w:rsid w:val="005A7DFB"/>
    <w:rsid w:val="005B13B3"/>
    <w:rsid w:val="005B1F8B"/>
    <w:rsid w:val="005B2466"/>
    <w:rsid w:val="005B3298"/>
    <w:rsid w:val="005B4EF8"/>
    <w:rsid w:val="005B500A"/>
    <w:rsid w:val="005B51D6"/>
    <w:rsid w:val="005B5304"/>
    <w:rsid w:val="005B5BC8"/>
    <w:rsid w:val="005B76C3"/>
    <w:rsid w:val="005B7EB5"/>
    <w:rsid w:val="005C0AAC"/>
    <w:rsid w:val="005C426F"/>
    <w:rsid w:val="005C45C3"/>
    <w:rsid w:val="005C50EE"/>
    <w:rsid w:val="005C58CD"/>
    <w:rsid w:val="005C5FB2"/>
    <w:rsid w:val="005C780A"/>
    <w:rsid w:val="005C7D93"/>
    <w:rsid w:val="005D05BF"/>
    <w:rsid w:val="005D0C76"/>
    <w:rsid w:val="005D248B"/>
    <w:rsid w:val="005D28E3"/>
    <w:rsid w:val="005D29AC"/>
    <w:rsid w:val="005D3287"/>
    <w:rsid w:val="005D3EE6"/>
    <w:rsid w:val="005D4223"/>
    <w:rsid w:val="005D4720"/>
    <w:rsid w:val="005D5562"/>
    <w:rsid w:val="005D5838"/>
    <w:rsid w:val="005D5CB3"/>
    <w:rsid w:val="005D5DAC"/>
    <w:rsid w:val="005D5F29"/>
    <w:rsid w:val="005D7167"/>
    <w:rsid w:val="005D71F2"/>
    <w:rsid w:val="005D766C"/>
    <w:rsid w:val="005E0C75"/>
    <w:rsid w:val="005E1CED"/>
    <w:rsid w:val="005E2E48"/>
    <w:rsid w:val="005E39F6"/>
    <w:rsid w:val="005E40EC"/>
    <w:rsid w:val="005E5B4C"/>
    <w:rsid w:val="005E640B"/>
    <w:rsid w:val="005E6694"/>
    <w:rsid w:val="005F0376"/>
    <w:rsid w:val="005F0BBC"/>
    <w:rsid w:val="005F140D"/>
    <w:rsid w:val="005F165C"/>
    <w:rsid w:val="005F2E53"/>
    <w:rsid w:val="005F3449"/>
    <w:rsid w:val="005F3DF5"/>
    <w:rsid w:val="005F5798"/>
    <w:rsid w:val="005F5B6A"/>
    <w:rsid w:val="005F68B2"/>
    <w:rsid w:val="006004FC"/>
    <w:rsid w:val="0060112F"/>
    <w:rsid w:val="00602A9D"/>
    <w:rsid w:val="0060336F"/>
    <w:rsid w:val="00603AB3"/>
    <w:rsid w:val="00603FE4"/>
    <w:rsid w:val="006047E8"/>
    <w:rsid w:val="00604977"/>
    <w:rsid w:val="006052FD"/>
    <w:rsid w:val="0060556E"/>
    <w:rsid w:val="0060672A"/>
    <w:rsid w:val="00606E40"/>
    <w:rsid w:val="00607AD9"/>
    <w:rsid w:val="00607E5F"/>
    <w:rsid w:val="006105ED"/>
    <w:rsid w:val="006113EA"/>
    <w:rsid w:val="0061218A"/>
    <w:rsid w:val="006125D1"/>
    <w:rsid w:val="00613391"/>
    <w:rsid w:val="006146F2"/>
    <w:rsid w:val="006162F6"/>
    <w:rsid w:val="00616B7D"/>
    <w:rsid w:val="00616ED1"/>
    <w:rsid w:val="0061706A"/>
    <w:rsid w:val="00617657"/>
    <w:rsid w:val="006178F4"/>
    <w:rsid w:val="00617FC6"/>
    <w:rsid w:val="006202EC"/>
    <w:rsid w:val="006242EF"/>
    <w:rsid w:val="00625549"/>
    <w:rsid w:val="006257BE"/>
    <w:rsid w:val="00625BED"/>
    <w:rsid w:val="00625D8C"/>
    <w:rsid w:val="0062675D"/>
    <w:rsid w:val="00626A36"/>
    <w:rsid w:val="00626ACE"/>
    <w:rsid w:val="00627533"/>
    <w:rsid w:val="006302BC"/>
    <w:rsid w:val="0063050A"/>
    <w:rsid w:val="00630DCB"/>
    <w:rsid w:val="00632DFE"/>
    <w:rsid w:val="0063325F"/>
    <w:rsid w:val="0063361B"/>
    <w:rsid w:val="0063385C"/>
    <w:rsid w:val="00633BF2"/>
    <w:rsid w:val="00633FA5"/>
    <w:rsid w:val="00634B6B"/>
    <w:rsid w:val="00634EF5"/>
    <w:rsid w:val="00635B7F"/>
    <w:rsid w:val="00635D76"/>
    <w:rsid w:val="00635F81"/>
    <w:rsid w:val="006371A4"/>
    <w:rsid w:val="00637B9A"/>
    <w:rsid w:val="006408A9"/>
    <w:rsid w:val="006426EC"/>
    <w:rsid w:val="00643444"/>
    <w:rsid w:val="006437D1"/>
    <w:rsid w:val="00643B0E"/>
    <w:rsid w:val="00643F7B"/>
    <w:rsid w:val="00645278"/>
    <w:rsid w:val="0064570E"/>
    <w:rsid w:val="00646257"/>
    <w:rsid w:val="00646989"/>
    <w:rsid w:val="006477CF"/>
    <w:rsid w:val="006503E9"/>
    <w:rsid w:val="0065111E"/>
    <w:rsid w:val="00652085"/>
    <w:rsid w:val="006520B7"/>
    <w:rsid w:val="0065366C"/>
    <w:rsid w:val="0065371D"/>
    <w:rsid w:val="00653EE0"/>
    <w:rsid w:val="006543AD"/>
    <w:rsid w:val="006544AC"/>
    <w:rsid w:val="00654CA0"/>
    <w:rsid w:val="0065502E"/>
    <w:rsid w:val="00655280"/>
    <w:rsid w:val="006558F1"/>
    <w:rsid w:val="006559D2"/>
    <w:rsid w:val="00655E7F"/>
    <w:rsid w:val="00656BC1"/>
    <w:rsid w:val="00656F7C"/>
    <w:rsid w:val="0065722B"/>
    <w:rsid w:val="006607F8"/>
    <w:rsid w:val="006608A4"/>
    <w:rsid w:val="00661C14"/>
    <w:rsid w:val="00662BB4"/>
    <w:rsid w:val="0066369A"/>
    <w:rsid w:val="0066370B"/>
    <w:rsid w:val="006641CD"/>
    <w:rsid w:val="006656EC"/>
    <w:rsid w:val="006668C0"/>
    <w:rsid w:val="006669BA"/>
    <w:rsid w:val="00667374"/>
    <w:rsid w:val="00667D64"/>
    <w:rsid w:val="00667F1E"/>
    <w:rsid w:val="0067113C"/>
    <w:rsid w:val="00671FA7"/>
    <w:rsid w:val="00673838"/>
    <w:rsid w:val="00674508"/>
    <w:rsid w:val="00674CD5"/>
    <w:rsid w:val="006755B2"/>
    <w:rsid w:val="0067642D"/>
    <w:rsid w:val="006765A2"/>
    <w:rsid w:val="006773F8"/>
    <w:rsid w:val="0068089B"/>
    <w:rsid w:val="0068094A"/>
    <w:rsid w:val="00680C52"/>
    <w:rsid w:val="00680FC1"/>
    <w:rsid w:val="006826D0"/>
    <w:rsid w:val="00682E4A"/>
    <w:rsid w:val="006839F7"/>
    <w:rsid w:val="006844A7"/>
    <w:rsid w:val="00685056"/>
    <w:rsid w:val="00685F2A"/>
    <w:rsid w:val="006874EF"/>
    <w:rsid w:val="006900B4"/>
    <w:rsid w:val="0069115F"/>
    <w:rsid w:val="006911D3"/>
    <w:rsid w:val="006923A7"/>
    <w:rsid w:val="006948D2"/>
    <w:rsid w:val="00695996"/>
    <w:rsid w:val="006965B7"/>
    <w:rsid w:val="0069732F"/>
    <w:rsid w:val="006A0863"/>
    <w:rsid w:val="006A1009"/>
    <w:rsid w:val="006A1A3C"/>
    <w:rsid w:val="006A1FAB"/>
    <w:rsid w:val="006A235E"/>
    <w:rsid w:val="006A25FF"/>
    <w:rsid w:val="006A2878"/>
    <w:rsid w:val="006A3905"/>
    <w:rsid w:val="006A3DB3"/>
    <w:rsid w:val="006A442F"/>
    <w:rsid w:val="006A5EE7"/>
    <w:rsid w:val="006A6507"/>
    <w:rsid w:val="006A675C"/>
    <w:rsid w:val="006A70C5"/>
    <w:rsid w:val="006B00EC"/>
    <w:rsid w:val="006B0276"/>
    <w:rsid w:val="006B02DD"/>
    <w:rsid w:val="006B0B4F"/>
    <w:rsid w:val="006B1966"/>
    <w:rsid w:val="006B20BC"/>
    <w:rsid w:val="006B2E9D"/>
    <w:rsid w:val="006B2FDA"/>
    <w:rsid w:val="006B3080"/>
    <w:rsid w:val="006B3B15"/>
    <w:rsid w:val="006B3D17"/>
    <w:rsid w:val="006B3F00"/>
    <w:rsid w:val="006B3F9E"/>
    <w:rsid w:val="006B5080"/>
    <w:rsid w:val="006B5EDE"/>
    <w:rsid w:val="006B6712"/>
    <w:rsid w:val="006B6AEF"/>
    <w:rsid w:val="006B7415"/>
    <w:rsid w:val="006B7705"/>
    <w:rsid w:val="006B7E70"/>
    <w:rsid w:val="006C0265"/>
    <w:rsid w:val="006C0499"/>
    <w:rsid w:val="006C0BB4"/>
    <w:rsid w:val="006C22BD"/>
    <w:rsid w:val="006C28D9"/>
    <w:rsid w:val="006C34F3"/>
    <w:rsid w:val="006C3B79"/>
    <w:rsid w:val="006C4B12"/>
    <w:rsid w:val="006C539C"/>
    <w:rsid w:val="006C581E"/>
    <w:rsid w:val="006C5A96"/>
    <w:rsid w:val="006C6262"/>
    <w:rsid w:val="006C7BEA"/>
    <w:rsid w:val="006D0AE2"/>
    <w:rsid w:val="006D0C4E"/>
    <w:rsid w:val="006D15A1"/>
    <w:rsid w:val="006D1D66"/>
    <w:rsid w:val="006D2297"/>
    <w:rsid w:val="006D294A"/>
    <w:rsid w:val="006D2E5A"/>
    <w:rsid w:val="006D38EC"/>
    <w:rsid w:val="006D5EDB"/>
    <w:rsid w:val="006D64A2"/>
    <w:rsid w:val="006E0653"/>
    <w:rsid w:val="006E359D"/>
    <w:rsid w:val="006E3651"/>
    <w:rsid w:val="006E36FF"/>
    <w:rsid w:val="006E7257"/>
    <w:rsid w:val="006F181B"/>
    <w:rsid w:val="006F18F2"/>
    <w:rsid w:val="006F2066"/>
    <w:rsid w:val="006F21E1"/>
    <w:rsid w:val="006F2547"/>
    <w:rsid w:val="006F2F15"/>
    <w:rsid w:val="006F35F2"/>
    <w:rsid w:val="006F380B"/>
    <w:rsid w:val="006F3BC5"/>
    <w:rsid w:val="006F6FB7"/>
    <w:rsid w:val="006F7DE3"/>
    <w:rsid w:val="0070146A"/>
    <w:rsid w:val="007021AB"/>
    <w:rsid w:val="007027ED"/>
    <w:rsid w:val="00703BD9"/>
    <w:rsid w:val="00704FAA"/>
    <w:rsid w:val="00706BAE"/>
    <w:rsid w:val="007108E9"/>
    <w:rsid w:val="00711B56"/>
    <w:rsid w:val="00712772"/>
    <w:rsid w:val="0071345F"/>
    <w:rsid w:val="00713983"/>
    <w:rsid w:val="00713C32"/>
    <w:rsid w:val="00713DB5"/>
    <w:rsid w:val="00713EFF"/>
    <w:rsid w:val="00713F90"/>
    <w:rsid w:val="007154FC"/>
    <w:rsid w:val="00716ECB"/>
    <w:rsid w:val="0072079C"/>
    <w:rsid w:val="00721561"/>
    <w:rsid w:val="00722784"/>
    <w:rsid w:val="007227F5"/>
    <w:rsid w:val="007231C1"/>
    <w:rsid w:val="00725B88"/>
    <w:rsid w:val="007261B2"/>
    <w:rsid w:val="00726D70"/>
    <w:rsid w:val="00731636"/>
    <w:rsid w:val="00731712"/>
    <w:rsid w:val="00731ECC"/>
    <w:rsid w:val="0073272C"/>
    <w:rsid w:val="007330A5"/>
    <w:rsid w:val="0073399C"/>
    <w:rsid w:val="00734274"/>
    <w:rsid w:val="00734F6F"/>
    <w:rsid w:val="00734F8E"/>
    <w:rsid w:val="00735220"/>
    <w:rsid w:val="00735782"/>
    <w:rsid w:val="0073694B"/>
    <w:rsid w:val="00736A9E"/>
    <w:rsid w:val="00737CC4"/>
    <w:rsid w:val="00737E06"/>
    <w:rsid w:val="00741B54"/>
    <w:rsid w:val="007426F9"/>
    <w:rsid w:val="00743022"/>
    <w:rsid w:val="0074692C"/>
    <w:rsid w:val="0074719D"/>
    <w:rsid w:val="00750C2D"/>
    <w:rsid w:val="00750F73"/>
    <w:rsid w:val="007515B5"/>
    <w:rsid w:val="00751BF8"/>
    <w:rsid w:val="00751CF3"/>
    <w:rsid w:val="007522CB"/>
    <w:rsid w:val="00752392"/>
    <w:rsid w:val="00752B55"/>
    <w:rsid w:val="007539C3"/>
    <w:rsid w:val="00755559"/>
    <w:rsid w:val="00755712"/>
    <w:rsid w:val="00756343"/>
    <w:rsid w:val="0075656C"/>
    <w:rsid w:val="007568AD"/>
    <w:rsid w:val="00756B4C"/>
    <w:rsid w:val="007578BD"/>
    <w:rsid w:val="00757BD5"/>
    <w:rsid w:val="007603ED"/>
    <w:rsid w:val="00761702"/>
    <w:rsid w:val="00761F75"/>
    <w:rsid w:val="00762517"/>
    <w:rsid w:val="00762A3F"/>
    <w:rsid w:val="00763B16"/>
    <w:rsid w:val="00765807"/>
    <w:rsid w:val="00765AE7"/>
    <w:rsid w:val="00765E5F"/>
    <w:rsid w:val="00765F9D"/>
    <w:rsid w:val="00765FD2"/>
    <w:rsid w:val="00766716"/>
    <w:rsid w:val="007669DD"/>
    <w:rsid w:val="007674AB"/>
    <w:rsid w:val="007713FD"/>
    <w:rsid w:val="00771510"/>
    <w:rsid w:val="007716B6"/>
    <w:rsid w:val="00772007"/>
    <w:rsid w:val="007731F1"/>
    <w:rsid w:val="007732C8"/>
    <w:rsid w:val="007735B6"/>
    <w:rsid w:val="007735FC"/>
    <w:rsid w:val="00773AAD"/>
    <w:rsid w:val="007747C2"/>
    <w:rsid w:val="00774CC0"/>
    <w:rsid w:val="00775382"/>
    <w:rsid w:val="007755EF"/>
    <w:rsid w:val="007756B2"/>
    <w:rsid w:val="007764FB"/>
    <w:rsid w:val="007805B5"/>
    <w:rsid w:val="00780A82"/>
    <w:rsid w:val="00780D7D"/>
    <w:rsid w:val="00781119"/>
    <w:rsid w:val="00781819"/>
    <w:rsid w:val="007819DE"/>
    <w:rsid w:val="00781F62"/>
    <w:rsid w:val="007823A4"/>
    <w:rsid w:val="0078254B"/>
    <w:rsid w:val="00782BC1"/>
    <w:rsid w:val="00783067"/>
    <w:rsid w:val="00784243"/>
    <w:rsid w:val="0078444A"/>
    <w:rsid w:val="00784CAF"/>
    <w:rsid w:val="0078514F"/>
    <w:rsid w:val="007851D7"/>
    <w:rsid w:val="0078632D"/>
    <w:rsid w:val="00790187"/>
    <w:rsid w:val="007904C5"/>
    <w:rsid w:val="0079069B"/>
    <w:rsid w:val="0079090A"/>
    <w:rsid w:val="00790927"/>
    <w:rsid w:val="007911D6"/>
    <w:rsid w:val="00792322"/>
    <w:rsid w:val="007923B1"/>
    <w:rsid w:val="0079265B"/>
    <w:rsid w:val="00792734"/>
    <w:rsid w:val="00795808"/>
    <w:rsid w:val="00796174"/>
    <w:rsid w:val="00796B9E"/>
    <w:rsid w:val="00796EC0"/>
    <w:rsid w:val="007979AA"/>
    <w:rsid w:val="007A0A73"/>
    <w:rsid w:val="007A0AD9"/>
    <w:rsid w:val="007A0BD0"/>
    <w:rsid w:val="007A1636"/>
    <w:rsid w:val="007A1DC3"/>
    <w:rsid w:val="007A253B"/>
    <w:rsid w:val="007A3EB8"/>
    <w:rsid w:val="007A466E"/>
    <w:rsid w:val="007A57B6"/>
    <w:rsid w:val="007A5B7C"/>
    <w:rsid w:val="007A5D0A"/>
    <w:rsid w:val="007A5DDC"/>
    <w:rsid w:val="007A6474"/>
    <w:rsid w:val="007A6CA7"/>
    <w:rsid w:val="007A7B22"/>
    <w:rsid w:val="007B0054"/>
    <w:rsid w:val="007B1C32"/>
    <w:rsid w:val="007B2686"/>
    <w:rsid w:val="007B350D"/>
    <w:rsid w:val="007B367B"/>
    <w:rsid w:val="007B48EB"/>
    <w:rsid w:val="007B4D3C"/>
    <w:rsid w:val="007B5FD0"/>
    <w:rsid w:val="007B64E9"/>
    <w:rsid w:val="007C1337"/>
    <w:rsid w:val="007C1CE7"/>
    <w:rsid w:val="007C33E8"/>
    <w:rsid w:val="007C378E"/>
    <w:rsid w:val="007C3B26"/>
    <w:rsid w:val="007C3C74"/>
    <w:rsid w:val="007C54BF"/>
    <w:rsid w:val="007C6029"/>
    <w:rsid w:val="007C6C93"/>
    <w:rsid w:val="007C77B9"/>
    <w:rsid w:val="007D05BD"/>
    <w:rsid w:val="007D1FAC"/>
    <w:rsid w:val="007D225B"/>
    <w:rsid w:val="007D26B9"/>
    <w:rsid w:val="007D2BD6"/>
    <w:rsid w:val="007D3364"/>
    <w:rsid w:val="007D4B19"/>
    <w:rsid w:val="007D504F"/>
    <w:rsid w:val="007D525A"/>
    <w:rsid w:val="007D5D98"/>
    <w:rsid w:val="007D5DA0"/>
    <w:rsid w:val="007D65E7"/>
    <w:rsid w:val="007D6CFE"/>
    <w:rsid w:val="007D6FF0"/>
    <w:rsid w:val="007D70D1"/>
    <w:rsid w:val="007D744D"/>
    <w:rsid w:val="007E098E"/>
    <w:rsid w:val="007E0A7C"/>
    <w:rsid w:val="007E18C8"/>
    <w:rsid w:val="007E1A89"/>
    <w:rsid w:val="007E2326"/>
    <w:rsid w:val="007E2B5D"/>
    <w:rsid w:val="007E2C06"/>
    <w:rsid w:val="007E3458"/>
    <w:rsid w:val="007E5C9A"/>
    <w:rsid w:val="007E63B9"/>
    <w:rsid w:val="007E65AC"/>
    <w:rsid w:val="007E667C"/>
    <w:rsid w:val="007E66AE"/>
    <w:rsid w:val="007E6826"/>
    <w:rsid w:val="007E7D4D"/>
    <w:rsid w:val="007F0897"/>
    <w:rsid w:val="007F12E5"/>
    <w:rsid w:val="007F1AA3"/>
    <w:rsid w:val="007F205A"/>
    <w:rsid w:val="007F23BB"/>
    <w:rsid w:val="007F24FD"/>
    <w:rsid w:val="007F31ED"/>
    <w:rsid w:val="007F39AA"/>
    <w:rsid w:val="007F4212"/>
    <w:rsid w:val="007F65E8"/>
    <w:rsid w:val="007F6A5A"/>
    <w:rsid w:val="007F6C8F"/>
    <w:rsid w:val="0080074A"/>
    <w:rsid w:val="00800EF5"/>
    <w:rsid w:val="00800F0A"/>
    <w:rsid w:val="00801D3E"/>
    <w:rsid w:val="00804370"/>
    <w:rsid w:val="00806135"/>
    <w:rsid w:val="0080776C"/>
    <w:rsid w:val="00807D92"/>
    <w:rsid w:val="00810A76"/>
    <w:rsid w:val="00810E3F"/>
    <w:rsid w:val="00811017"/>
    <w:rsid w:val="008118A9"/>
    <w:rsid w:val="00812239"/>
    <w:rsid w:val="0081485A"/>
    <w:rsid w:val="008149DF"/>
    <w:rsid w:val="00814E2F"/>
    <w:rsid w:val="00815365"/>
    <w:rsid w:val="0081641E"/>
    <w:rsid w:val="008164CA"/>
    <w:rsid w:val="0082139C"/>
    <w:rsid w:val="00823260"/>
    <w:rsid w:val="00823778"/>
    <w:rsid w:val="008243EC"/>
    <w:rsid w:val="00824DD4"/>
    <w:rsid w:val="00824E44"/>
    <w:rsid w:val="00825443"/>
    <w:rsid w:val="00825AED"/>
    <w:rsid w:val="00825CD6"/>
    <w:rsid w:val="0082636C"/>
    <w:rsid w:val="00826FC0"/>
    <w:rsid w:val="0082786B"/>
    <w:rsid w:val="00827BB4"/>
    <w:rsid w:val="00830522"/>
    <w:rsid w:val="00831255"/>
    <w:rsid w:val="00831566"/>
    <w:rsid w:val="00832280"/>
    <w:rsid w:val="00834F28"/>
    <w:rsid w:val="008354DE"/>
    <w:rsid w:val="00835ECC"/>
    <w:rsid w:val="0083603B"/>
    <w:rsid w:val="00837474"/>
    <w:rsid w:val="00840380"/>
    <w:rsid w:val="0084181E"/>
    <w:rsid w:val="00842837"/>
    <w:rsid w:val="00842A23"/>
    <w:rsid w:val="00842AC4"/>
    <w:rsid w:val="00842EEA"/>
    <w:rsid w:val="00845D37"/>
    <w:rsid w:val="00846610"/>
    <w:rsid w:val="008468B3"/>
    <w:rsid w:val="00846B60"/>
    <w:rsid w:val="00847864"/>
    <w:rsid w:val="008502FD"/>
    <w:rsid w:val="008505E8"/>
    <w:rsid w:val="0085091F"/>
    <w:rsid w:val="008509CA"/>
    <w:rsid w:val="00850B70"/>
    <w:rsid w:val="0085110E"/>
    <w:rsid w:val="00852D8C"/>
    <w:rsid w:val="00853D3D"/>
    <w:rsid w:val="008552B7"/>
    <w:rsid w:val="008559EB"/>
    <w:rsid w:val="008559F5"/>
    <w:rsid w:val="00856A50"/>
    <w:rsid w:val="008577D9"/>
    <w:rsid w:val="00861048"/>
    <w:rsid w:val="0086124D"/>
    <w:rsid w:val="00861B6D"/>
    <w:rsid w:val="00863057"/>
    <w:rsid w:val="00863080"/>
    <w:rsid w:val="00863535"/>
    <w:rsid w:val="00864285"/>
    <w:rsid w:val="00864532"/>
    <w:rsid w:val="00864D7E"/>
    <w:rsid w:val="0086591D"/>
    <w:rsid w:val="0086633E"/>
    <w:rsid w:val="0086661E"/>
    <w:rsid w:val="00866863"/>
    <w:rsid w:val="00870CF3"/>
    <w:rsid w:val="00871192"/>
    <w:rsid w:val="00871CDF"/>
    <w:rsid w:val="00871DF6"/>
    <w:rsid w:val="00871E95"/>
    <w:rsid w:val="00872293"/>
    <w:rsid w:val="00873929"/>
    <w:rsid w:val="00873DD9"/>
    <w:rsid w:val="008750EA"/>
    <w:rsid w:val="00875F28"/>
    <w:rsid w:val="0087708F"/>
    <w:rsid w:val="00877DFE"/>
    <w:rsid w:val="00880F50"/>
    <w:rsid w:val="008811D9"/>
    <w:rsid w:val="00881454"/>
    <w:rsid w:val="00881C32"/>
    <w:rsid w:val="008823C7"/>
    <w:rsid w:val="00884543"/>
    <w:rsid w:val="008845ED"/>
    <w:rsid w:val="00884C04"/>
    <w:rsid w:val="00885A48"/>
    <w:rsid w:val="008862D7"/>
    <w:rsid w:val="00886F84"/>
    <w:rsid w:val="00887630"/>
    <w:rsid w:val="00887B50"/>
    <w:rsid w:val="008904C3"/>
    <w:rsid w:val="00891159"/>
    <w:rsid w:val="00891D3A"/>
    <w:rsid w:val="00894143"/>
    <w:rsid w:val="00894EE8"/>
    <w:rsid w:val="0089663E"/>
    <w:rsid w:val="00896F5D"/>
    <w:rsid w:val="00896F8C"/>
    <w:rsid w:val="008A1B98"/>
    <w:rsid w:val="008A276A"/>
    <w:rsid w:val="008A35C8"/>
    <w:rsid w:val="008A37E3"/>
    <w:rsid w:val="008A45AE"/>
    <w:rsid w:val="008A4A25"/>
    <w:rsid w:val="008A65F8"/>
    <w:rsid w:val="008A6FDC"/>
    <w:rsid w:val="008B098C"/>
    <w:rsid w:val="008B1339"/>
    <w:rsid w:val="008B25AD"/>
    <w:rsid w:val="008B26E9"/>
    <w:rsid w:val="008B33AC"/>
    <w:rsid w:val="008B48D5"/>
    <w:rsid w:val="008B552B"/>
    <w:rsid w:val="008B5B58"/>
    <w:rsid w:val="008B6C9A"/>
    <w:rsid w:val="008B6EC5"/>
    <w:rsid w:val="008B7C86"/>
    <w:rsid w:val="008C05C6"/>
    <w:rsid w:val="008C106A"/>
    <w:rsid w:val="008C115A"/>
    <w:rsid w:val="008C1995"/>
    <w:rsid w:val="008C2361"/>
    <w:rsid w:val="008C29DB"/>
    <w:rsid w:val="008C3979"/>
    <w:rsid w:val="008C3A22"/>
    <w:rsid w:val="008C4145"/>
    <w:rsid w:val="008C4458"/>
    <w:rsid w:val="008C4CCD"/>
    <w:rsid w:val="008C4D69"/>
    <w:rsid w:val="008C5D44"/>
    <w:rsid w:val="008C6C33"/>
    <w:rsid w:val="008D0993"/>
    <w:rsid w:val="008D099E"/>
    <w:rsid w:val="008D09F8"/>
    <w:rsid w:val="008D11FA"/>
    <w:rsid w:val="008D1A86"/>
    <w:rsid w:val="008D1DAB"/>
    <w:rsid w:val="008D2451"/>
    <w:rsid w:val="008D2745"/>
    <w:rsid w:val="008D2A39"/>
    <w:rsid w:val="008D2B8B"/>
    <w:rsid w:val="008D3743"/>
    <w:rsid w:val="008D3E67"/>
    <w:rsid w:val="008D401D"/>
    <w:rsid w:val="008D4AB4"/>
    <w:rsid w:val="008D4FFA"/>
    <w:rsid w:val="008D55A5"/>
    <w:rsid w:val="008D79ED"/>
    <w:rsid w:val="008D7D55"/>
    <w:rsid w:val="008E0264"/>
    <w:rsid w:val="008E1755"/>
    <w:rsid w:val="008E38BC"/>
    <w:rsid w:val="008E40CA"/>
    <w:rsid w:val="008E44EC"/>
    <w:rsid w:val="008E457A"/>
    <w:rsid w:val="008E46D6"/>
    <w:rsid w:val="008E5E10"/>
    <w:rsid w:val="008E658B"/>
    <w:rsid w:val="008E663C"/>
    <w:rsid w:val="008E6D05"/>
    <w:rsid w:val="008E7BEA"/>
    <w:rsid w:val="008F16D9"/>
    <w:rsid w:val="008F1DD4"/>
    <w:rsid w:val="008F1F02"/>
    <w:rsid w:val="008F201B"/>
    <w:rsid w:val="008F3BCC"/>
    <w:rsid w:val="008F4169"/>
    <w:rsid w:val="008F4F18"/>
    <w:rsid w:val="008F5543"/>
    <w:rsid w:val="008F6492"/>
    <w:rsid w:val="008F64ED"/>
    <w:rsid w:val="008F6678"/>
    <w:rsid w:val="008F7257"/>
    <w:rsid w:val="00900472"/>
    <w:rsid w:val="00900B1B"/>
    <w:rsid w:val="00900DB3"/>
    <w:rsid w:val="00900DCC"/>
    <w:rsid w:val="009015A2"/>
    <w:rsid w:val="00901885"/>
    <w:rsid w:val="00901DE6"/>
    <w:rsid w:val="009025C5"/>
    <w:rsid w:val="00903C2E"/>
    <w:rsid w:val="009048CE"/>
    <w:rsid w:val="00904C69"/>
    <w:rsid w:val="00904FDF"/>
    <w:rsid w:val="00905F88"/>
    <w:rsid w:val="00910F18"/>
    <w:rsid w:val="00911950"/>
    <w:rsid w:val="00911E1E"/>
    <w:rsid w:val="0091225F"/>
    <w:rsid w:val="009126BD"/>
    <w:rsid w:val="009134DF"/>
    <w:rsid w:val="009142DB"/>
    <w:rsid w:val="00914A37"/>
    <w:rsid w:val="00915ADB"/>
    <w:rsid w:val="00916183"/>
    <w:rsid w:val="0091698C"/>
    <w:rsid w:val="00916CFE"/>
    <w:rsid w:val="00917094"/>
    <w:rsid w:val="00921379"/>
    <w:rsid w:val="009225CB"/>
    <w:rsid w:val="009226AF"/>
    <w:rsid w:val="0092326D"/>
    <w:rsid w:val="00923BAA"/>
    <w:rsid w:val="00923D72"/>
    <w:rsid w:val="009242B8"/>
    <w:rsid w:val="00924322"/>
    <w:rsid w:val="009251FC"/>
    <w:rsid w:val="00925D30"/>
    <w:rsid w:val="00926666"/>
    <w:rsid w:val="00926BC5"/>
    <w:rsid w:val="009278A1"/>
    <w:rsid w:val="00930188"/>
    <w:rsid w:val="009303D6"/>
    <w:rsid w:val="009307BC"/>
    <w:rsid w:val="009314FB"/>
    <w:rsid w:val="00932058"/>
    <w:rsid w:val="00933DE1"/>
    <w:rsid w:val="00933E5F"/>
    <w:rsid w:val="00934B6E"/>
    <w:rsid w:val="009373C0"/>
    <w:rsid w:val="00937F0E"/>
    <w:rsid w:val="00940010"/>
    <w:rsid w:val="00940A32"/>
    <w:rsid w:val="00942D88"/>
    <w:rsid w:val="00942E90"/>
    <w:rsid w:val="00943CA9"/>
    <w:rsid w:val="00943CF7"/>
    <w:rsid w:val="00944671"/>
    <w:rsid w:val="009446A5"/>
    <w:rsid w:val="00944DCC"/>
    <w:rsid w:val="00946400"/>
    <w:rsid w:val="00946BC7"/>
    <w:rsid w:val="009502EB"/>
    <w:rsid w:val="00950593"/>
    <w:rsid w:val="00950944"/>
    <w:rsid w:val="00950D1E"/>
    <w:rsid w:val="009513F7"/>
    <w:rsid w:val="00951BB0"/>
    <w:rsid w:val="00951C2F"/>
    <w:rsid w:val="0095245B"/>
    <w:rsid w:val="00953200"/>
    <w:rsid w:val="0095349E"/>
    <w:rsid w:val="009534EC"/>
    <w:rsid w:val="0095391B"/>
    <w:rsid w:val="0095523D"/>
    <w:rsid w:val="00955856"/>
    <w:rsid w:val="00955EFD"/>
    <w:rsid w:val="009578FB"/>
    <w:rsid w:val="00957CEB"/>
    <w:rsid w:val="009607B5"/>
    <w:rsid w:val="00960E1F"/>
    <w:rsid w:val="009611CC"/>
    <w:rsid w:val="00962275"/>
    <w:rsid w:val="00964023"/>
    <w:rsid w:val="00966798"/>
    <w:rsid w:val="0096792A"/>
    <w:rsid w:val="00967DF0"/>
    <w:rsid w:val="00967E0A"/>
    <w:rsid w:val="00970C28"/>
    <w:rsid w:val="009710E8"/>
    <w:rsid w:val="009714DA"/>
    <w:rsid w:val="00971BB0"/>
    <w:rsid w:val="00971D1B"/>
    <w:rsid w:val="00971F09"/>
    <w:rsid w:val="00972981"/>
    <w:rsid w:val="00972D9D"/>
    <w:rsid w:val="0097327E"/>
    <w:rsid w:val="009732B0"/>
    <w:rsid w:val="00973598"/>
    <w:rsid w:val="009737C5"/>
    <w:rsid w:val="0097453E"/>
    <w:rsid w:val="0097456B"/>
    <w:rsid w:val="00974717"/>
    <w:rsid w:val="00974B32"/>
    <w:rsid w:val="00974FBD"/>
    <w:rsid w:val="00976D47"/>
    <w:rsid w:val="0097794D"/>
    <w:rsid w:val="00977D92"/>
    <w:rsid w:val="00977D94"/>
    <w:rsid w:val="00977F35"/>
    <w:rsid w:val="00980B6A"/>
    <w:rsid w:val="00980EFB"/>
    <w:rsid w:val="0098150C"/>
    <w:rsid w:val="00981D14"/>
    <w:rsid w:val="0098558A"/>
    <w:rsid w:val="0098654C"/>
    <w:rsid w:val="009868AC"/>
    <w:rsid w:val="00986958"/>
    <w:rsid w:val="00986B2B"/>
    <w:rsid w:val="00987199"/>
    <w:rsid w:val="0098723F"/>
    <w:rsid w:val="009872A0"/>
    <w:rsid w:val="00987385"/>
    <w:rsid w:val="00990F8F"/>
    <w:rsid w:val="0099106E"/>
    <w:rsid w:val="009917D3"/>
    <w:rsid w:val="00993705"/>
    <w:rsid w:val="009941FC"/>
    <w:rsid w:val="00994932"/>
    <w:rsid w:val="00994A78"/>
    <w:rsid w:val="00995129"/>
    <w:rsid w:val="00995C70"/>
    <w:rsid w:val="009961FB"/>
    <w:rsid w:val="009A14E3"/>
    <w:rsid w:val="009A181B"/>
    <w:rsid w:val="009A1921"/>
    <w:rsid w:val="009A3D85"/>
    <w:rsid w:val="009A5580"/>
    <w:rsid w:val="009A5C8D"/>
    <w:rsid w:val="009A6FB8"/>
    <w:rsid w:val="009B0096"/>
    <w:rsid w:val="009B065A"/>
    <w:rsid w:val="009B0F07"/>
    <w:rsid w:val="009B0F0E"/>
    <w:rsid w:val="009B1A07"/>
    <w:rsid w:val="009B23DA"/>
    <w:rsid w:val="009B294B"/>
    <w:rsid w:val="009B36EC"/>
    <w:rsid w:val="009B371F"/>
    <w:rsid w:val="009B3C36"/>
    <w:rsid w:val="009B47CA"/>
    <w:rsid w:val="009B48F7"/>
    <w:rsid w:val="009B5E6B"/>
    <w:rsid w:val="009B71C5"/>
    <w:rsid w:val="009B7628"/>
    <w:rsid w:val="009B770F"/>
    <w:rsid w:val="009B7E19"/>
    <w:rsid w:val="009C0AC4"/>
    <w:rsid w:val="009C108C"/>
    <w:rsid w:val="009C2398"/>
    <w:rsid w:val="009C2EF5"/>
    <w:rsid w:val="009C41E7"/>
    <w:rsid w:val="009C4B5A"/>
    <w:rsid w:val="009C5B3D"/>
    <w:rsid w:val="009C5CCE"/>
    <w:rsid w:val="009C5EE4"/>
    <w:rsid w:val="009C64EF"/>
    <w:rsid w:val="009C6C5E"/>
    <w:rsid w:val="009C6E7B"/>
    <w:rsid w:val="009C7844"/>
    <w:rsid w:val="009C7B3D"/>
    <w:rsid w:val="009D0186"/>
    <w:rsid w:val="009D0292"/>
    <w:rsid w:val="009D02E8"/>
    <w:rsid w:val="009D1315"/>
    <w:rsid w:val="009D248A"/>
    <w:rsid w:val="009D2526"/>
    <w:rsid w:val="009D450C"/>
    <w:rsid w:val="009D56E1"/>
    <w:rsid w:val="009D7C08"/>
    <w:rsid w:val="009D7EF2"/>
    <w:rsid w:val="009E13DB"/>
    <w:rsid w:val="009E17EE"/>
    <w:rsid w:val="009E1D44"/>
    <w:rsid w:val="009E1DBD"/>
    <w:rsid w:val="009E2519"/>
    <w:rsid w:val="009E33A4"/>
    <w:rsid w:val="009E4125"/>
    <w:rsid w:val="009E414B"/>
    <w:rsid w:val="009E51E4"/>
    <w:rsid w:val="009E619E"/>
    <w:rsid w:val="009E75D2"/>
    <w:rsid w:val="009E7BA9"/>
    <w:rsid w:val="009F00E0"/>
    <w:rsid w:val="009F037E"/>
    <w:rsid w:val="009F2207"/>
    <w:rsid w:val="009F2512"/>
    <w:rsid w:val="009F3E1B"/>
    <w:rsid w:val="009F5022"/>
    <w:rsid w:val="009F6ED9"/>
    <w:rsid w:val="009F7540"/>
    <w:rsid w:val="00A00040"/>
    <w:rsid w:val="00A0056D"/>
    <w:rsid w:val="00A00B0D"/>
    <w:rsid w:val="00A013F9"/>
    <w:rsid w:val="00A025FD"/>
    <w:rsid w:val="00A03739"/>
    <w:rsid w:val="00A039DA"/>
    <w:rsid w:val="00A03BE7"/>
    <w:rsid w:val="00A0401E"/>
    <w:rsid w:val="00A04A1B"/>
    <w:rsid w:val="00A04AE9"/>
    <w:rsid w:val="00A04E21"/>
    <w:rsid w:val="00A04FD5"/>
    <w:rsid w:val="00A05D9A"/>
    <w:rsid w:val="00A0755F"/>
    <w:rsid w:val="00A0787E"/>
    <w:rsid w:val="00A10201"/>
    <w:rsid w:val="00A1040B"/>
    <w:rsid w:val="00A10573"/>
    <w:rsid w:val="00A113D4"/>
    <w:rsid w:val="00A114B3"/>
    <w:rsid w:val="00A12279"/>
    <w:rsid w:val="00A125F5"/>
    <w:rsid w:val="00A139DF"/>
    <w:rsid w:val="00A153E7"/>
    <w:rsid w:val="00A154A6"/>
    <w:rsid w:val="00A15764"/>
    <w:rsid w:val="00A157D0"/>
    <w:rsid w:val="00A1616D"/>
    <w:rsid w:val="00A17B85"/>
    <w:rsid w:val="00A20892"/>
    <w:rsid w:val="00A20952"/>
    <w:rsid w:val="00A20B82"/>
    <w:rsid w:val="00A21525"/>
    <w:rsid w:val="00A21B69"/>
    <w:rsid w:val="00A225A8"/>
    <w:rsid w:val="00A227BC"/>
    <w:rsid w:val="00A24D74"/>
    <w:rsid w:val="00A2524D"/>
    <w:rsid w:val="00A26423"/>
    <w:rsid w:val="00A26D81"/>
    <w:rsid w:val="00A26EE3"/>
    <w:rsid w:val="00A3116B"/>
    <w:rsid w:val="00A32410"/>
    <w:rsid w:val="00A32536"/>
    <w:rsid w:val="00A33632"/>
    <w:rsid w:val="00A3366F"/>
    <w:rsid w:val="00A337B0"/>
    <w:rsid w:val="00A3413E"/>
    <w:rsid w:val="00A3445F"/>
    <w:rsid w:val="00A34508"/>
    <w:rsid w:val="00A3454E"/>
    <w:rsid w:val="00A351AC"/>
    <w:rsid w:val="00A36999"/>
    <w:rsid w:val="00A36E7A"/>
    <w:rsid w:val="00A372DC"/>
    <w:rsid w:val="00A37482"/>
    <w:rsid w:val="00A37534"/>
    <w:rsid w:val="00A407FA"/>
    <w:rsid w:val="00A41ED5"/>
    <w:rsid w:val="00A41FF2"/>
    <w:rsid w:val="00A42886"/>
    <w:rsid w:val="00A431AD"/>
    <w:rsid w:val="00A43783"/>
    <w:rsid w:val="00A437DB"/>
    <w:rsid w:val="00A4499E"/>
    <w:rsid w:val="00A44C6A"/>
    <w:rsid w:val="00A44D68"/>
    <w:rsid w:val="00A45289"/>
    <w:rsid w:val="00A47004"/>
    <w:rsid w:val="00A472DF"/>
    <w:rsid w:val="00A47561"/>
    <w:rsid w:val="00A47844"/>
    <w:rsid w:val="00A47BC4"/>
    <w:rsid w:val="00A51046"/>
    <w:rsid w:val="00A511BD"/>
    <w:rsid w:val="00A51FBF"/>
    <w:rsid w:val="00A521E7"/>
    <w:rsid w:val="00A52B96"/>
    <w:rsid w:val="00A532B5"/>
    <w:rsid w:val="00A5515B"/>
    <w:rsid w:val="00A57037"/>
    <w:rsid w:val="00A60EC3"/>
    <w:rsid w:val="00A60FD6"/>
    <w:rsid w:val="00A61622"/>
    <w:rsid w:val="00A622E2"/>
    <w:rsid w:val="00A62398"/>
    <w:rsid w:val="00A62DBB"/>
    <w:rsid w:val="00A63B6B"/>
    <w:rsid w:val="00A649B5"/>
    <w:rsid w:val="00A64A2F"/>
    <w:rsid w:val="00A64BAF"/>
    <w:rsid w:val="00A65667"/>
    <w:rsid w:val="00A65A90"/>
    <w:rsid w:val="00A66D46"/>
    <w:rsid w:val="00A67A25"/>
    <w:rsid w:val="00A70363"/>
    <w:rsid w:val="00A706DE"/>
    <w:rsid w:val="00A70DB1"/>
    <w:rsid w:val="00A74992"/>
    <w:rsid w:val="00A81AE1"/>
    <w:rsid w:val="00A824AB"/>
    <w:rsid w:val="00A8289E"/>
    <w:rsid w:val="00A83C5E"/>
    <w:rsid w:val="00A83F99"/>
    <w:rsid w:val="00A843B9"/>
    <w:rsid w:val="00A854AE"/>
    <w:rsid w:val="00A8559F"/>
    <w:rsid w:val="00A874FC"/>
    <w:rsid w:val="00A87DFC"/>
    <w:rsid w:val="00A90198"/>
    <w:rsid w:val="00A912A9"/>
    <w:rsid w:val="00A91881"/>
    <w:rsid w:val="00A9337D"/>
    <w:rsid w:val="00A938C5"/>
    <w:rsid w:val="00A93C7C"/>
    <w:rsid w:val="00A944E8"/>
    <w:rsid w:val="00A948EF"/>
    <w:rsid w:val="00A94E87"/>
    <w:rsid w:val="00A94F26"/>
    <w:rsid w:val="00A968E0"/>
    <w:rsid w:val="00AA1685"/>
    <w:rsid w:val="00AA1D94"/>
    <w:rsid w:val="00AA2E2B"/>
    <w:rsid w:val="00AA32DD"/>
    <w:rsid w:val="00AA354D"/>
    <w:rsid w:val="00AA48D1"/>
    <w:rsid w:val="00AA4A4A"/>
    <w:rsid w:val="00AA63AA"/>
    <w:rsid w:val="00AA6611"/>
    <w:rsid w:val="00AB173C"/>
    <w:rsid w:val="00AB19E5"/>
    <w:rsid w:val="00AB2EEA"/>
    <w:rsid w:val="00AB39D6"/>
    <w:rsid w:val="00AB55CE"/>
    <w:rsid w:val="00AB5CFD"/>
    <w:rsid w:val="00AB6A81"/>
    <w:rsid w:val="00AB7F03"/>
    <w:rsid w:val="00AC000B"/>
    <w:rsid w:val="00AC01D5"/>
    <w:rsid w:val="00AC077F"/>
    <w:rsid w:val="00AC108F"/>
    <w:rsid w:val="00AC1328"/>
    <w:rsid w:val="00AC19CD"/>
    <w:rsid w:val="00AC3973"/>
    <w:rsid w:val="00AC4088"/>
    <w:rsid w:val="00AC445F"/>
    <w:rsid w:val="00AC4A8E"/>
    <w:rsid w:val="00AC4E18"/>
    <w:rsid w:val="00AC55FE"/>
    <w:rsid w:val="00AC68E1"/>
    <w:rsid w:val="00AD0BFF"/>
    <w:rsid w:val="00AD1BBA"/>
    <w:rsid w:val="00AD1E6C"/>
    <w:rsid w:val="00AD1F4A"/>
    <w:rsid w:val="00AD21B7"/>
    <w:rsid w:val="00AD321C"/>
    <w:rsid w:val="00AD5074"/>
    <w:rsid w:val="00AD6DE5"/>
    <w:rsid w:val="00AE06E6"/>
    <w:rsid w:val="00AE082C"/>
    <w:rsid w:val="00AE0A8A"/>
    <w:rsid w:val="00AE0B02"/>
    <w:rsid w:val="00AE0D9B"/>
    <w:rsid w:val="00AE1010"/>
    <w:rsid w:val="00AE11BF"/>
    <w:rsid w:val="00AE12D8"/>
    <w:rsid w:val="00AE337D"/>
    <w:rsid w:val="00AE42CE"/>
    <w:rsid w:val="00AE440A"/>
    <w:rsid w:val="00AE51BB"/>
    <w:rsid w:val="00AE6449"/>
    <w:rsid w:val="00AE6E69"/>
    <w:rsid w:val="00AE7438"/>
    <w:rsid w:val="00AE77B6"/>
    <w:rsid w:val="00AF0AB0"/>
    <w:rsid w:val="00AF3705"/>
    <w:rsid w:val="00AF3C87"/>
    <w:rsid w:val="00AF4577"/>
    <w:rsid w:val="00AF561F"/>
    <w:rsid w:val="00AF7AEB"/>
    <w:rsid w:val="00B0177A"/>
    <w:rsid w:val="00B029AA"/>
    <w:rsid w:val="00B038CD"/>
    <w:rsid w:val="00B03D00"/>
    <w:rsid w:val="00B03E3E"/>
    <w:rsid w:val="00B0629A"/>
    <w:rsid w:val="00B06F23"/>
    <w:rsid w:val="00B076BA"/>
    <w:rsid w:val="00B078EA"/>
    <w:rsid w:val="00B07FA6"/>
    <w:rsid w:val="00B10745"/>
    <w:rsid w:val="00B10C6A"/>
    <w:rsid w:val="00B11097"/>
    <w:rsid w:val="00B1155E"/>
    <w:rsid w:val="00B11CCF"/>
    <w:rsid w:val="00B12648"/>
    <w:rsid w:val="00B1277A"/>
    <w:rsid w:val="00B1422D"/>
    <w:rsid w:val="00B1481A"/>
    <w:rsid w:val="00B14BFD"/>
    <w:rsid w:val="00B14D28"/>
    <w:rsid w:val="00B15525"/>
    <w:rsid w:val="00B156EA"/>
    <w:rsid w:val="00B15E9C"/>
    <w:rsid w:val="00B20312"/>
    <w:rsid w:val="00B20646"/>
    <w:rsid w:val="00B20734"/>
    <w:rsid w:val="00B20992"/>
    <w:rsid w:val="00B2192C"/>
    <w:rsid w:val="00B21A58"/>
    <w:rsid w:val="00B226B5"/>
    <w:rsid w:val="00B227DF"/>
    <w:rsid w:val="00B2281B"/>
    <w:rsid w:val="00B23C79"/>
    <w:rsid w:val="00B24A09"/>
    <w:rsid w:val="00B24D4F"/>
    <w:rsid w:val="00B276F0"/>
    <w:rsid w:val="00B307DA"/>
    <w:rsid w:val="00B30A52"/>
    <w:rsid w:val="00B30B58"/>
    <w:rsid w:val="00B30EE9"/>
    <w:rsid w:val="00B33A2E"/>
    <w:rsid w:val="00B33DEA"/>
    <w:rsid w:val="00B34D82"/>
    <w:rsid w:val="00B35A30"/>
    <w:rsid w:val="00B35C34"/>
    <w:rsid w:val="00B3667B"/>
    <w:rsid w:val="00B36B2C"/>
    <w:rsid w:val="00B37B9D"/>
    <w:rsid w:val="00B40ECE"/>
    <w:rsid w:val="00B432EC"/>
    <w:rsid w:val="00B439D4"/>
    <w:rsid w:val="00B43F9E"/>
    <w:rsid w:val="00B4427D"/>
    <w:rsid w:val="00B44DE8"/>
    <w:rsid w:val="00B45949"/>
    <w:rsid w:val="00B50E91"/>
    <w:rsid w:val="00B516F8"/>
    <w:rsid w:val="00B55000"/>
    <w:rsid w:val="00B55414"/>
    <w:rsid w:val="00B55A6F"/>
    <w:rsid w:val="00B55C6B"/>
    <w:rsid w:val="00B56F36"/>
    <w:rsid w:val="00B573CA"/>
    <w:rsid w:val="00B60C91"/>
    <w:rsid w:val="00B6140B"/>
    <w:rsid w:val="00B61997"/>
    <w:rsid w:val="00B61A52"/>
    <w:rsid w:val="00B61A60"/>
    <w:rsid w:val="00B61B18"/>
    <w:rsid w:val="00B61F10"/>
    <w:rsid w:val="00B626F4"/>
    <w:rsid w:val="00B63031"/>
    <w:rsid w:val="00B64084"/>
    <w:rsid w:val="00B64878"/>
    <w:rsid w:val="00B64992"/>
    <w:rsid w:val="00B656E0"/>
    <w:rsid w:val="00B6587A"/>
    <w:rsid w:val="00B658DB"/>
    <w:rsid w:val="00B66371"/>
    <w:rsid w:val="00B6666D"/>
    <w:rsid w:val="00B66832"/>
    <w:rsid w:val="00B66CC3"/>
    <w:rsid w:val="00B672C3"/>
    <w:rsid w:val="00B673B4"/>
    <w:rsid w:val="00B67583"/>
    <w:rsid w:val="00B71512"/>
    <w:rsid w:val="00B740BF"/>
    <w:rsid w:val="00B74446"/>
    <w:rsid w:val="00B74554"/>
    <w:rsid w:val="00B74EA9"/>
    <w:rsid w:val="00B74FDC"/>
    <w:rsid w:val="00B75489"/>
    <w:rsid w:val="00B77F2D"/>
    <w:rsid w:val="00B8116E"/>
    <w:rsid w:val="00B81298"/>
    <w:rsid w:val="00B81AFC"/>
    <w:rsid w:val="00B820AD"/>
    <w:rsid w:val="00B8468A"/>
    <w:rsid w:val="00B849D5"/>
    <w:rsid w:val="00B84A66"/>
    <w:rsid w:val="00B85F69"/>
    <w:rsid w:val="00B8735A"/>
    <w:rsid w:val="00B879B3"/>
    <w:rsid w:val="00B90B2F"/>
    <w:rsid w:val="00B90EA2"/>
    <w:rsid w:val="00B90ECF"/>
    <w:rsid w:val="00B91265"/>
    <w:rsid w:val="00B91533"/>
    <w:rsid w:val="00B920E3"/>
    <w:rsid w:val="00B92747"/>
    <w:rsid w:val="00B929C8"/>
    <w:rsid w:val="00B92D47"/>
    <w:rsid w:val="00B933DA"/>
    <w:rsid w:val="00B94F44"/>
    <w:rsid w:val="00BA3F94"/>
    <w:rsid w:val="00BA42D3"/>
    <w:rsid w:val="00BA440B"/>
    <w:rsid w:val="00BA48ED"/>
    <w:rsid w:val="00BA5148"/>
    <w:rsid w:val="00BB0222"/>
    <w:rsid w:val="00BB08E2"/>
    <w:rsid w:val="00BB1088"/>
    <w:rsid w:val="00BB1471"/>
    <w:rsid w:val="00BB14B7"/>
    <w:rsid w:val="00BB14DA"/>
    <w:rsid w:val="00BB1C82"/>
    <w:rsid w:val="00BB235D"/>
    <w:rsid w:val="00BB3A48"/>
    <w:rsid w:val="00BB4BBD"/>
    <w:rsid w:val="00BB545F"/>
    <w:rsid w:val="00BB56BF"/>
    <w:rsid w:val="00BB5CC3"/>
    <w:rsid w:val="00BB5D43"/>
    <w:rsid w:val="00BB5DC3"/>
    <w:rsid w:val="00BB6E3B"/>
    <w:rsid w:val="00BC01E0"/>
    <w:rsid w:val="00BC0380"/>
    <w:rsid w:val="00BC0596"/>
    <w:rsid w:val="00BC11C5"/>
    <w:rsid w:val="00BC1CB5"/>
    <w:rsid w:val="00BC303A"/>
    <w:rsid w:val="00BC31D4"/>
    <w:rsid w:val="00BC3464"/>
    <w:rsid w:val="00BC48A3"/>
    <w:rsid w:val="00BC5061"/>
    <w:rsid w:val="00BC5284"/>
    <w:rsid w:val="00BC5F09"/>
    <w:rsid w:val="00BC626F"/>
    <w:rsid w:val="00BC6674"/>
    <w:rsid w:val="00BC7559"/>
    <w:rsid w:val="00BC7788"/>
    <w:rsid w:val="00BD064F"/>
    <w:rsid w:val="00BD0A86"/>
    <w:rsid w:val="00BD0BA4"/>
    <w:rsid w:val="00BD1659"/>
    <w:rsid w:val="00BD227B"/>
    <w:rsid w:val="00BD2677"/>
    <w:rsid w:val="00BD2A77"/>
    <w:rsid w:val="00BD3303"/>
    <w:rsid w:val="00BD3A2C"/>
    <w:rsid w:val="00BD4627"/>
    <w:rsid w:val="00BD528E"/>
    <w:rsid w:val="00BD53DF"/>
    <w:rsid w:val="00BD5B34"/>
    <w:rsid w:val="00BD6642"/>
    <w:rsid w:val="00BD67EC"/>
    <w:rsid w:val="00BE2B2E"/>
    <w:rsid w:val="00BE331C"/>
    <w:rsid w:val="00BE4B94"/>
    <w:rsid w:val="00BE5971"/>
    <w:rsid w:val="00BE658F"/>
    <w:rsid w:val="00BF03ED"/>
    <w:rsid w:val="00BF0FB5"/>
    <w:rsid w:val="00BF153B"/>
    <w:rsid w:val="00BF1AC0"/>
    <w:rsid w:val="00BF1EB6"/>
    <w:rsid w:val="00BF2AEB"/>
    <w:rsid w:val="00BF2B76"/>
    <w:rsid w:val="00BF2FB7"/>
    <w:rsid w:val="00BF3220"/>
    <w:rsid w:val="00BF32C7"/>
    <w:rsid w:val="00BF3BC3"/>
    <w:rsid w:val="00BF3E59"/>
    <w:rsid w:val="00BF4FF0"/>
    <w:rsid w:val="00BF559B"/>
    <w:rsid w:val="00BF7E39"/>
    <w:rsid w:val="00BF7F0C"/>
    <w:rsid w:val="00C0006C"/>
    <w:rsid w:val="00C00928"/>
    <w:rsid w:val="00C00EF1"/>
    <w:rsid w:val="00C010F8"/>
    <w:rsid w:val="00C01572"/>
    <w:rsid w:val="00C028ED"/>
    <w:rsid w:val="00C04A2C"/>
    <w:rsid w:val="00C04A6A"/>
    <w:rsid w:val="00C04D68"/>
    <w:rsid w:val="00C04F21"/>
    <w:rsid w:val="00C0548F"/>
    <w:rsid w:val="00C0565C"/>
    <w:rsid w:val="00C07222"/>
    <w:rsid w:val="00C0737E"/>
    <w:rsid w:val="00C07BE6"/>
    <w:rsid w:val="00C07F9B"/>
    <w:rsid w:val="00C100EF"/>
    <w:rsid w:val="00C11595"/>
    <w:rsid w:val="00C13628"/>
    <w:rsid w:val="00C13782"/>
    <w:rsid w:val="00C1612A"/>
    <w:rsid w:val="00C1752F"/>
    <w:rsid w:val="00C179A0"/>
    <w:rsid w:val="00C20013"/>
    <w:rsid w:val="00C200B2"/>
    <w:rsid w:val="00C215F4"/>
    <w:rsid w:val="00C21F5F"/>
    <w:rsid w:val="00C22081"/>
    <w:rsid w:val="00C23965"/>
    <w:rsid w:val="00C23F86"/>
    <w:rsid w:val="00C24552"/>
    <w:rsid w:val="00C24DA4"/>
    <w:rsid w:val="00C25A77"/>
    <w:rsid w:val="00C25FF3"/>
    <w:rsid w:val="00C30210"/>
    <w:rsid w:val="00C31E2D"/>
    <w:rsid w:val="00C31F1B"/>
    <w:rsid w:val="00C321BD"/>
    <w:rsid w:val="00C32203"/>
    <w:rsid w:val="00C32AE0"/>
    <w:rsid w:val="00C3393C"/>
    <w:rsid w:val="00C339DE"/>
    <w:rsid w:val="00C3409B"/>
    <w:rsid w:val="00C3438B"/>
    <w:rsid w:val="00C34C1B"/>
    <w:rsid w:val="00C354DC"/>
    <w:rsid w:val="00C3570C"/>
    <w:rsid w:val="00C361EF"/>
    <w:rsid w:val="00C36989"/>
    <w:rsid w:val="00C37E6A"/>
    <w:rsid w:val="00C41F10"/>
    <w:rsid w:val="00C4242D"/>
    <w:rsid w:val="00C42F8D"/>
    <w:rsid w:val="00C438C0"/>
    <w:rsid w:val="00C43A25"/>
    <w:rsid w:val="00C43E21"/>
    <w:rsid w:val="00C44230"/>
    <w:rsid w:val="00C44DE2"/>
    <w:rsid w:val="00C44F56"/>
    <w:rsid w:val="00C4587E"/>
    <w:rsid w:val="00C45E5F"/>
    <w:rsid w:val="00C473C0"/>
    <w:rsid w:val="00C50358"/>
    <w:rsid w:val="00C50ADE"/>
    <w:rsid w:val="00C5120A"/>
    <w:rsid w:val="00C51352"/>
    <w:rsid w:val="00C52714"/>
    <w:rsid w:val="00C528B8"/>
    <w:rsid w:val="00C52F42"/>
    <w:rsid w:val="00C52FED"/>
    <w:rsid w:val="00C530E8"/>
    <w:rsid w:val="00C53F15"/>
    <w:rsid w:val="00C5475F"/>
    <w:rsid w:val="00C54A36"/>
    <w:rsid w:val="00C554CF"/>
    <w:rsid w:val="00C55A88"/>
    <w:rsid w:val="00C55A99"/>
    <w:rsid w:val="00C5653F"/>
    <w:rsid w:val="00C56FCC"/>
    <w:rsid w:val="00C56FDB"/>
    <w:rsid w:val="00C62ECA"/>
    <w:rsid w:val="00C6488D"/>
    <w:rsid w:val="00C65F18"/>
    <w:rsid w:val="00C662AF"/>
    <w:rsid w:val="00C662EC"/>
    <w:rsid w:val="00C66951"/>
    <w:rsid w:val="00C66A51"/>
    <w:rsid w:val="00C66DBC"/>
    <w:rsid w:val="00C6773E"/>
    <w:rsid w:val="00C677A3"/>
    <w:rsid w:val="00C6792A"/>
    <w:rsid w:val="00C71184"/>
    <w:rsid w:val="00C71ACB"/>
    <w:rsid w:val="00C71BD5"/>
    <w:rsid w:val="00C71C3B"/>
    <w:rsid w:val="00C73F83"/>
    <w:rsid w:val="00C744AE"/>
    <w:rsid w:val="00C75981"/>
    <w:rsid w:val="00C761FD"/>
    <w:rsid w:val="00C77AF7"/>
    <w:rsid w:val="00C77C87"/>
    <w:rsid w:val="00C8039C"/>
    <w:rsid w:val="00C80591"/>
    <w:rsid w:val="00C814CC"/>
    <w:rsid w:val="00C81DAF"/>
    <w:rsid w:val="00C831C4"/>
    <w:rsid w:val="00C84524"/>
    <w:rsid w:val="00C84DA9"/>
    <w:rsid w:val="00C85AFD"/>
    <w:rsid w:val="00C8687D"/>
    <w:rsid w:val="00C86BEE"/>
    <w:rsid w:val="00C87787"/>
    <w:rsid w:val="00C9087B"/>
    <w:rsid w:val="00C90DFC"/>
    <w:rsid w:val="00C90EEF"/>
    <w:rsid w:val="00C91A18"/>
    <w:rsid w:val="00C91FA6"/>
    <w:rsid w:val="00C9211E"/>
    <w:rsid w:val="00C922E9"/>
    <w:rsid w:val="00C92F26"/>
    <w:rsid w:val="00C930C7"/>
    <w:rsid w:val="00C93DE5"/>
    <w:rsid w:val="00C949BD"/>
    <w:rsid w:val="00C94B22"/>
    <w:rsid w:val="00C95514"/>
    <w:rsid w:val="00C95B73"/>
    <w:rsid w:val="00C9647B"/>
    <w:rsid w:val="00C96861"/>
    <w:rsid w:val="00CA068F"/>
    <w:rsid w:val="00CA3404"/>
    <w:rsid w:val="00CA4176"/>
    <w:rsid w:val="00CA4391"/>
    <w:rsid w:val="00CA47DF"/>
    <w:rsid w:val="00CA4A8F"/>
    <w:rsid w:val="00CA5227"/>
    <w:rsid w:val="00CA5299"/>
    <w:rsid w:val="00CA5A94"/>
    <w:rsid w:val="00CA65FC"/>
    <w:rsid w:val="00CA7861"/>
    <w:rsid w:val="00CA7EE9"/>
    <w:rsid w:val="00CB033C"/>
    <w:rsid w:val="00CB0597"/>
    <w:rsid w:val="00CB2147"/>
    <w:rsid w:val="00CB22D2"/>
    <w:rsid w:val="00CB238A"/>
    <w:rsid w:val="00CB23EB"/>
    <w:rsid w:val="00CB25FC"/>
    <w:rsid w:val="00CB297D"/>
    <w:rsid w:val="00CB35C3"/>
    <w:rsid w:val="00CB376B"/>
    <w:rsid w:val="00CB4657"/>
    <w:rsid w:val="00CB4EBD"/>
    <w:rsid w:val="00CB5CEB"/>
    <w:rsid w:val="00CB6461"/>
    <w:rsid w:val="00CB648E"/>
    <w:rsid w:val="00CB679D"/>
    <w:rsid w:val="00CB6C23"/>
    <w:rsid w:val="00CB73F4"/>
    <w:rsid w:val="00CB75F3"/>
    <w:rsid w:val="00CC0497"/>
    <w:rsid w:val="00CC0C7C"/>
    <w:rsid w:val="00CC1395"/>
    <w:rsid w:val="00CC14C6"/>
    <w:rsid w:val="00CC4171"/>
    <w:rsid w:val="00CC4537"/>
    <w:rsid w:val="00CC4812"/>
    <w:rsid w:val="00CC4DC0"/>
    <w:rsid w:val="00CC5912"/>
    <w:rsid w:val="00CC636D"/>
    <w:rsid w:val="00CC69EF"/>
    <w:rsid w:val="00CC7367"/>
    <w:rsid w:val="00CD08B7"/>
    <w:rsid w:val="00CD092D"/>
    <w:rsid w:val="00CD0AF3"/>
    <w:rsid w:val="00CD1362"/>
    <w:rsid w:val="00CD19CC"/>
    <w:rsid w:val="00CD2E50"/>
    <w:rsid w:val="00CD3F88"/>
    <w:rsid w:val="00CD460C"/>
    <w:rsid w:val="00CD6135"/>
    <w:rsid w:val="00CD64CD"/>
    <w:rsid w:val="00CE00E7"/>
    <w:rsid w:val="00CE08AC"/>
    <w:rsid w:val="00CE12CC"/>
    <w:rsid w:val="00CE19EB"/>
    <w:rsid w:val="00CE40FA"/>
    <w:rsid w:val="00CE5471"/>
    <w:rsid w:val="00CE5CB1"/>
    <w:rsid w:val="00CE6389"/>
    <w:rsid w:val="00CE63A9"/>
    <w:rsid w:val="00CE6C65"/>
    <w:rsid w:val="00CE76B7"/>
    <w:rsid w:val="00CE7B03"/>
    <w:rsid w:val="00CE7C1D"/>
    <w:rsid w:val="00CF067D"/>
    <w:rsid w:val="00CF0EED"/>
    <w:rsid w:val="00CF0F07"/>
    <w:rsid w:val="00CF102C"/>
    <w:rsid w:val="00CF137A"/>
    <w:rsid w:val="00CF2365"/>
    <w:rsid w:val="00CF2A89"/>
    <w:rsid w:val="00CF2AD6"/>
    <w:rsid w:val="00CF3E2A"/>
    <w:rsid w:val="00CF438F"/>
    <w:rsid w:val="00CF5B12"/>
    <w:rsid w:val="00CF65DC"/>
    <w:rsid w:val="00CF7BCA"/>
    <w:rsid w:val="00D00C3B"/>
    <w:rsid w:val="00D00DEB"/>
    <w:rsid w:val="00D027CB"/>
    <w:rsid w:val="00D02A1A"/>
    <w:rsid w:val="00D02E18"/>
    <w:rsid w:val="00D02FB8"/>
    <w:rsid w:val="00D04548"/>
    <w:rsid w:val="00D046B3"/>
    <w:rsid w:val="00D04F03"/>
    <w:rsid w:val="00D04FA8"/>
    <w:rsid w:val="00D05D78"/>
    <w:rsid w:val="00D061D1"/>
    <w:rsid w:val="00D063F2"/>
    <w:rsid w:val="00D067CA"/>
    <w:rsid w:val="00D071DE"/>
    <w:rsid w:val="00D0799F"/>
    <w:rsid w:val="00D1019F"/>
    <w:rsid w:val="00D1090A"/>
    <w:rsid w:val="00D110C9"/>
    <w:rsid w:val="00D11C3D"/>
    <w:rsid w:val="00D1253C"/>
    <w:rsid w:val="00D13407"/>
    <w:rsid w:val="00D13EBD"/>
    <w:rsid w:val="00D13FF3"/>
    <w:rsid w:val="00D140D2"/>
    <w:rsid w:val="00D148FE"/>
    <w:rsid w:val="00D15155"/>
    <w:rsid w:val="00D1562D"/>
    <w:rsid w:val="00D15A51"/>
    <w:rsid w:val="00D16044"/>
    <w:rsid w:val="00D1730D"/>
    <w:rsid w:val="00D203AF"/>
    <w:rsid w:val="00D2049D"/>
    <w:rsid w:val="00D2072E"/>
    <w:rsid w:val="00D216AB"/>
    <w:rsid w:val="00D21DE9"/>
    <w:rsid w:val="00D21F36"/>
    <w:rsid w:val="00D21F81"/>
    <w:rsid w:val="00D2252F"/>
    <w:rsid w:val="00D2340D"/>
    <w:rsid w:val="00D2389E"/>
    <w:rsid w:val="00D23E20"/>
    <w:rsid w:val="00D24CBD"/>
    <w:rsid w:val="00D26D27"/>
    <w:rsid w:val="00D30148"/>
    <w:rsid w:val="00D309FF"/>
    <w:rsid w:val="00D31882"/>
    <w:rsid w:val="00D32533"/>
    <w:rsid w:val="00D32B04"/>
    <w:rsid w:val="00D32F95"/>
    <w:rsid w:val="00D34076"/>
    <w:rsid w:val="00D34888"/>
    <w:rsid w:val="00D34BF0"/>
    <w:rsid w:val="00D352AB"/>
    <w:rsid w:val="00D35801"/>
    <w:rsid w:val="00D3589A"/>
    <w:rsid w:val="00D36ADA"/>
    <w:rsid w:val="00D37877"/>
    <w:rsid w:val="00D37A33"/>
    <w:rsid w:val="00D40068"/>
    <w:rsid w:val="00D40771"/>
    <w:rsid w:val="00D40CCE"/>
    <w:rsid w:val="00D423C1"/>
    <w:rsid w:val="00D42579"/>
    <w:rsid w:val="00D42971"/>
    <w:rsid w:val="00D4454E"/>
    <w:rsid w:val="00D44D97"/>
    <w:rsid w:val="00D44FBC"/>
    <w:rsid w:val="00D46643"/>
    <w:rsid w:val="00D46958"/>
    <w:rsid w:val="00D469D1"/>
    <w:rsid w:val="00D46C3E"/>
    <w:rsid w:val="00D46DAC"/>
    <w:rsid w:val="00D5055A"/>
    <w:rsid w:val="00D51398"/>
    <w:rsid w:val="00D516C9"/>
    <w:rsid w:val="00D51A9F"/>
    <w:rsid w:val="00D5306A"/>
    <w:rsid w:val="00D54094"/>
    <w:rsid w:val="00D540A9"/>
    <w:rsid w:val="00D5498D"/>
    <w:rsid w:val="00D55AAC"/>
    <w:rsid w:val="00D55D4F"/>
    <w:rsid w:val="00D60939"/>
    <w:rsid w:val="00D609B5"/>
    <w:rsid w:val="00D61052"/>
    <w:rsid w:val="00D612F3"/>
    <w:rsid w:val="00D6158D"/>
    <w:rsid w:val="00D629FC"/>
    <w:rsid w:val="00D63517"/>
    <w:rsid w:val="00D640D1"/>
    <w:rsid w:val="00D646A0"/>
    <w:rsid w:val="00D64D1F"/>
    <w:rsid w:val="00D64DEE"/>
    <w:rsid w:val="00D6560D"/>
    <w:rsid w:val="00D6693D"/>
    <w:rsid w:val="00D7041F"/>
    <w:rsid w:val="00D71659"/>
    <w:rsid w:val="00D71DE1"/>
    <w:rsid w:val="00D73002"/>
    <w:rsid w:val="00D73138"/>
    <w:rsid w:val="00D734F1"/>
    <w:rsid w:val="00D73A0F"/>
    <w:rsid w:val="00D74923"/>
    <w:rsid w:val="00D754DA"/>
    <w:rsid w:val="00D75645"/>
    <w:rsid w:val="00D75ADF"/>
    <w:rsid w:val="00D75D50"/>
    <w:rsid w:val="00D7670D"/>
    <w:rsid w:val="00D77ECD"/>
    <w:rsid w:val="00D825B3"/>
    <w:rsid w:val="00D83620"/>
    <w:rsid w:val="00D83656"/>
    <w:rsid w:val="00D83907"/>
    <w:rsid w:val="00D83A1B"/>
    <w:rsid w:val="00D84827"/>
    <w:rsid w:val="00D84E7A"/>
    <w:rsid w:val="00D850D5"/>
    <w:rsid w:val="00D8573F"/>
    <w:rsid w:val="00D85E36"/>
    <w:rsid w:val="00D862CA"/>
    <w:rsid w:val="00D86F8C"/>
    <w:rsid w:val="00D906E3"/>
    <w:rsid w:val="00D90D36"/>
    <w:rsid w:val="00D93F51"/>
    <w:rsid w:val="00D94502"/>
    <w:rsid w:val="00D94585"/>
    <w:rsid w:val="00D95674"/>
    <w:rsid w:val="00D9727D"/>
    <w:rsid w:val="00D97404"/>
    <w:rsid w:val="00D976D1"/>
    <w:rsid w:val="00D976F8"/>
    <w:rsid w:val="00DA04E6"/>
    <w:rsid w:val="00DA0742"/>
    <w:rsid w:val="00DA0A02"/>
    <w:rsid w:val="00DA0B90"/>
    <w:rsid w:val="00DA0D1B"/>
    <w:rsid w:val="00DA2349"/>
    <w:rsid w:val="00DA3077"/>
    <w:rsid w:val="00DA30B7"/>
    <w:rsid w:val="00DA51C0"/>
    <w:rsid w:val="00DA5912"/>
    <w:rsid w:val="00DA6E29"/>
    <w:rsid w:val="00DA717F"/>
    <w:rsid w:val="00DA73C4"/>
    <w:rsid w:val="00DA7857"/>
    <w:rsid w:val="00DB0922"/>
    <w:rsid w:val="00DB11E2"/>
    <w:rsid w:val="00DB1843"/>
    <w:rsid w:val="00DB1B16"/>
    <w:rsid w:val="00DB2A4D"/>
    <w:rsid w:val="00DB2B54"/>
    <w:rsid w:val="00DB3E9B"/>
    <w:rsid w:val="00DB415F"/>
    <w:rsid w:val="00DB49BF"/>
    <w:rsid w:val="00DB5059"/>
    <w:rsid w:val="00DB5124"/>
    <w:rsid w:val="00DB538C"/>
    <w:rsid w:val="00DB7753"/>
    <w:rsid w:val="00DB7F34"/>
    <w:rsid w:val="00DC06D9"/>
    <w:rsid w:val="00DC0938"/>
    <w:rsid w:val="00DC1C82"/>
    <w:rsid w:val="00DC26BA"/>
    <w:rsid w:val="00DC317A"/>
    <w:rsid w:val="00DC4EAF"/>
    <w:rsid w:val="00DC5C54"/>
    <w:rsid w:val="00DC632A"/>
    <w:rsid w:val="00DD0530"/>
    <w:rsid w:val="00DD0647"/>
    <w:rsid w:val="00DD1640"/>
    <w:rsid w:val="00DD3F09"/>
    <w:rsid w:val="00DD401B"/>
    <w:rsid w:val="00DD4419"/>
    <w:rsid w:val="00DD4D61"/>
    <w:rsid w:val="00DD5A08"/>
    <w:rsid w:val="00DD67F8"/>
    <w:rsid w:val="00DD688D"/>
    <w:rsid w:val="00DD71B6"/>
    <w:rsid w:val="00DD7A5E"/>
    <w:rsid w:val="00DE08AB"/>
    <w:rsid w:val="00DE0952"/>
    <w:rsid w:val="00DE1B18"/>
    <w:rsid w:val="00DE31F2"/>
    <w:rsid w:val="00DE3C6F"/>
    <w:rsid w:val="00DE5116"/>
    <w:rsid w:val="00DE6102"/>
    <w:rsid w:val="00DE745E"/>
    <w:rsid w:val="00DE7C50"/>
    <w:rsid w:val="00DF06C7"/>
    <w:rsid w:val="00DF070F"/>
    <w:rsid w:val="00DF3480"/>
    <w:rsid w:val="00DF399C"/>
    <w:rsid w:val="00DF3CAB"/>
    <w:rsid w:val="00DF42AE"/>
    <w:rsid w:val="00DF43BC"/>
    <w:rsid w:val="00DF5937"/>
    <w:rsid w:val="00DF5C6D"/>
    <w:rsid w:val="00DF5F92"/>
    <w:rsid w:val="00DF648F"/>
    <w:rsid w:val="00DF6A33"/>
    <w:rsid w:val="00E001D8"/>
    <w:rsid w:val="00E01372"/>
    <w:rsid w:val="00E01755"/>
    <w:rsid w:val="00E04C6E"/>
    <w:rsid w:val="00E052DB"/>
    <w:rsid w:val="00E06892"/>
    <w:rsid w:val="00E07690"/>
    <w:rsid w:val="00E07E15"/>
    <w:rsid w:val="00E101E8"/>
    <w:rsid w:val="00E105F7"/>
    <w:rsid w:val="00E1061A"/>
    <w:rsid w:val="00E1082F"/>
    <w:rsid w:val="00E109A9"/>
    <w:rsid w:val="00E1175C"/>
    <w:rsid w:val="00E11A8D"/>
    <w:rsid w:val="00E11CF3"/>
    <w:rsid w:val="00E1327B"/>
    <w:rsid w:val="00E1344F"/>
    <w:rsid w:val="00E13557"/>
    <w:rsid w:val="00E14733"/>
    <w:rsid w:val="00E14F2E"/>
    <w:rsid w:val="00E1524B"/>
    <w:rsid w:val="00E15497"/>
    <w:rsid w:val="00E15B3A"/>
    <w:rsid w:val="00E15E4D"/>
    <w:rsid w:val="00E20F9F"/>
    <w:rsid w:val="00E21044"/>
    <w:rsid w:val="00E215A7"/>
    <w:rsid w:val="00E21808"/>
    <w:rsid w:val="00E221A9"/>
    <w:rsid w:val="00E22F17"/>
    <w:rsid w:val="00E2560B"/>
    <w:rsid w:val="00E25806"/>
    <w:rsid w:val="00E264D2"/>
    <w:rsid w:val="00E26E80"/>
    <w:rsid w:val="00E273C4"/>
    <w:rsid w:val="00E27BF1"/>
    <w:rsid w:val="00E309AF"/>
    <w:rsid w:val="00E3107F"/>
    <w:rsid w:val="00E319E2"/>
    <w:rsid w:val="00E330D3"/>
    <w:rsid w:val="00E338F6"/>
    <w:rsid w:val="00E355E6"/>
    <w:rsid w:val="00E36A10"/>
    <w:rsid w:val="00E402BA"/>
    <w:rsid w:val="00E40D4B"/>
    <w:rsid w:val="00E40FC9"/>
    <w:rsid w:val="00E41D8C"/>
    <w:rsid w:val="00E42729"/>
    <w:rsid w:val="00E42C29"/>
    <w:rsid w:val="00E438C5"/>
    <w:rsid w:val="00E440B7"/>
    <w:rsid w:val="00E448B7"/>
    <w:rsid w:val="00E45CC5"/>
    <w:rsid w:val="00E45D05"/>
    <w:rsid w:val="00E47154"/>
    <w:rsid w:val="00E477FB"/>
    <w:rsid w:val="00E47E45"/>
    <w:rsid w:val="00E503DC"/>
    <w:rsid w:val="00E51E6F"/>
    <w:rsid w:val="00E52E01"/>
    <w:rsid w:val="00E53102"/>
    <w:rsid w:val="00E53A65"/>
    <w:rsid w:val="00E545EF"/>
    <w:rsid w:val="00E55842"/>
    <w:rsid w:val="00E563F7"/>
    <w:rsid w:val="00E5671D"/>
    <w:rsid w:val="00E56908"/>
    <w:rsid w:val="00E577B2"/>
    <w:rsid w:val="00E57929"/>
    <w:rsid w:val="00E60D39"/>
    <w:rsid w:val="00E6268A"/>
    <w:rsid w:val="00E6310C"/>
    <w:rsid w:val="00E64C60"/>
    <w:rsid w:val="00E66634"/>
    <w:rsid w:val="00E66B09"/>
    <w:rsid w:val="00E66E0A"/>
    <w:rsid w:val="00E6733C"/>
    <w:rsid w:val="00E67948"/>
    <w:rsid w:val="00E72459"/>
    <w:rsid w:val="00E7266D"/>
    <w:rsid w:val="00E729C3"/>
    <w:rsid w:val="00E73604"/>
    <w:rsid w:val="00E7364B"/>
    <w:rsid w:val="00E73E47"/>
    <w:rsid w:val="00E75537"/>
    <w:rsid w:val="00E762C3"/>
    <w:rsid w:val="00E76983"/>
    <w:rsid w:val="00E776B2"/>
    <w:rsid w:val="00E80F5C"/>
    <w:rsid w:val="00E81635"/>
    <w:rsid w:val="00E81709"/>
    <w:rsid w:val="00E8181E"/>
    <w:rsid w:val="00E81B6E"/>
    <w:rsid w:val="00E81D3C"/>
    <w:rsid w:val="00E82245"/>
    <w:rsid w:val="00E82EA6"/>
    <w:rsid w:val="00E82F71"/>
    <w:rsid w:val="00E83F98"/>
    <w:rsid w:val="00E8468B"/>
    <w:rsid w:val="00E852C6"/>
    <w:rsid w:val="00E853D1"/>
    <w:rsid w:val="00E85EAB"/>
    <w:rsid w:val="00E86A66"/>
    <w:rsid w:val="00E86BB5"/>
    <w:rsid w:val="00E87B76"/>
    <w:rsid w:val="00E910AC"/>
    <w:rsid w:val="00E91103"/>
    <w:rsid w:val="00E9172C"/>
    <w:rsid w:val="00E925DF"/>
    <w:rsid w:val="00E940C2"/>
    <w:rsid w:val="00E94D0B"/>
    <w:rsid w:val="00E954D2"/>
    <w:rsid w:val="00E95C8A"/>
    <w:rsid w:val="00E96E67"/>
    <w:rsid w:val="00E976D0"/>
    <w:rsid w:val="00EA0A9D"/>
    <w:rsid w:val="00EA12C5"/>
    <w:rsid w:val="00EA2126"/>
    <w:rsid w:val="00EA4878"/>
    <w:rsid w:val="00EA688E"/>
    <w:rsid w:val="00EA75A2"/>
    <w:rsid w:val="00EA7ACE"/>
    <w:rsid w:val="00EB0AC0"/>
    <w:rsid w:val="00EB0E38"/>
    <w:rsid w:val="00EB1DF7"/>
    <w:rsid w:val="00EB1E0F"/>
    <w:rsid w:val="00EB288F"/>
    <w:rsid w:val="00EB2894"/>
    <w:rsid w:val="00EB2E0A"/>
    <w:rsid w:val="00EB4919"/>
    <w:rsid w:val="00EB58C7"/>
    <w:rsid w:val="00EB5F97"/>
    <w:rsid w:val="00EB6BA8"/>
    <w:rsid w:val="00EB72EC"/>
    <w:rsid w:val="00EB76C3"/>
    <w:rsid w:val="00EB7AD0"/>
    <w:rsid w:val="00EB7D78"/>
    <w:rsid w:val="00EC0179"/>
    <w:rsid w:val="00EC0C4E"/>
    <w:rsid w:val="00EC1013"/>
    <w:rsid w:val="00EC128E"/>
    <w:rsid w:val="00EC1691"/>
    <w:rsid w:val="00EC3F7A"/>
    <w:rsid w:val="00EC5331"/>
    <w:rsid w:val="00EC5A2F"/>
    <w:rsid w:val="00EC5F6E"/>
    <w:rsid w:val="00EC6AF1"/>
    <w:rsid w:val="00EC6E7F"/>
    <w:rsid w:val="00EC7087"/>
    <w:rsid w:val="00EC7255"/>
    <w:rsid w:val="00EC77AC"/>
    <w:rsid w:val="00ED04F2"/>
    <w:rsid w:val="00ED0843"/>
    <w:rsid w:val="00ED120E"/>
    <w:rsid w:val="00ED1E61"/>
    <w:rsid w:val="00ED2093"/>
    <w:rsid w:val="00ED21B4"/>
    <w:rsid w:val="00ED21CA"/>
    <w:rsid w:val="00ED28A0"/>
    <w:rsid w:val="00ED3306"/>
    <w:rsid w:val="00ED4A77"/>
    <w:rsid w:val="00ED4E95"/>
    <w:rsid w:val="00ED551C"/>
    <w:rsid w:val="00ED6915"/>
    <w:rsid w:val="00ED6BCD"/>
    <w:rsid w:val="00ED7201"/>
    <w:rsid w:val="00EE0A54"/>
    <w:rsid w:val="00EE1E1C"/>
    <w:rsid w:val="00EE22B0"/>
    <w:rsid w:val="00EE2838"/>
    <w:rsid w:val="00EE28B5"/>
    <w:rsid w:val="00EE2BAE"/>
    <w:rsid w:val="00EE2EE8"/>
    <w:rsid w:val="00EE3501"/>
    <w:rsid w:val="00EE480E"/>
    <w:rsid w:val="00EE755C"/>
    <w:rsid w:val="00EF0F0C"/>
    <w:rsid w:val="00EF207C"/>
    <w:rsid w:val="00EF277E"/>
    <w:rsid w:val="00EF2B59"/>
    <w:rsid w:val="00EF35A6"/>
    <w:rsid w:val="00EF3E6C"/>
    <w:rsid w:val="00EF5732"/>
    <w:rsid w:val="00EF61A8"/>
    <w:rsid w:val="00EF735E"/>
    <w:rsid w:val="00EF7AB6"/>
    <w:rsid w:val="00F01BEA"/>
    <w:rsid w:val="00F021E1"/>
    <w:rsid w:val="00F02F99"/>
    <w:rsid w:val="00F03546"/>
    <w:rsid w:val="00F03849"/>
    <w:rsid w:val="00F0453D"/>
    <w:rsid w:val="00F06758"/>
    <w:rsid w:val="00F1074E"/>
    <w:rsid w:val="00F11859"/>
    <w:rsid w:val="00F12975"/>
    <w:rsid w:val="00F13547"/>
    <w:rsid w:val="00F13DEE"/>
    <w:rsid w:val="00F17A65"/>
    <w:rsid w:val="00F21745"/>
    <w:rsid w:val="00F21863"/>
    <w:rsid w:val="00F21D2D"/>
    <w:rsid w:val="00F22CF6"/>
    <w:rsid w:val="00F23528"/>
    <w:rsid w:val="00F23576"/>
    <w:rsid w:val="00F252DB"/>
    <w:rsid w:val="00F2578E"/>
    <w:rsid w:val="00F25C77"/>
    <w:rsid w:val="00F26E87"/>
    <w:rsid w:val="00F273A3"/>
    <w:rsid w:val="00F27D02"/>
    <w:rsid w:val="00F30828"/>
    <w:rsid w:val="00F3155E"/>
    <w:rsid w:val="00F31A28"/>
    <w:rsid w:val="00F32C04"/>
    <w:rsid w:val="00F360EE"/>
    <w:rsid w:val="00F3629B"/>
    <w:rsid w:val="00F36461"/>
    <w:rsid w:val="00F36FFD"/>
    <w:rsid w:val="00F40992"/>
    <w:rsid w:val="00F412EF"/>
    <w:rsid w:val="00F425BA"/>
    <w:rsid w:val="00F42D1D"/>
    <w:rsid w:val="00F42EA6"/>
    <w:rsid w:val="00F432A8"/>
    <w:rsid w:val="00F43A6F"/>
    <w:rsid w:val="00F44141"/>
    <w:rsid w:val="00F46101"/>
    <w:rsid w:val="00F4721F"/>
    <w:rsid w:val="00F47796"/>
    <w:rsid w:val="00F47856"/>
    <w:rsid w:val="00F51220"/>
    <w:rsid w:val="00F5314A"/>
    <w:rsid w:val="00F546E0"/>
    <w:rsid w:val="00F54869"/>
    <w:rsid w:val="00F55AE0"/>
    <w:rsid w:val="00F56AEC"/>
    <w:rsid w:val="00F575EF"/>
    <w:rsid w:val="00F61C4C"/>
    <w:rsid w:val="00F62434"/>
    <w:rsid w:val="00F625F4"/>
    <w:rsid w:val="00F6381B"/>
    <w:rsid w:val="00F64B20"/>
    <w:rsid w:val="00F64FFA"/>
    <w:rsid w:val="00F659DB"/>
    <w:rsid w:val="00F65F47"/>
    <w:rsid w:val="00F660DC"/>
    <w:rsid w:val="00F66DF4"/>
    <w:rsid w:val="00F67D79"/>
    <w:rsid w:val="00F708A8"/>
    <w:rsid w:val="00F70A1F"/>
    <w:rsid w:val="00F70B67"/>
    <w:rsid w:val="00F716E6"/>
    <w:rsid w:val="00F72330"/>
    <w:rsid w:val="00F7266B"/>
    <w:rsid w:val="00F73761"/>
    <w:rsid w:val="00F74000"/>
    <w:rsid w:val="00F76DCE"/>
    <w:rsid w:val="00F77068"/>
    <w:rsid w:val="00F77923"/>
    <w:rsid w:val="00F80553"/>
    <w:rsid w:val="00F80B7C"/>
    <w:rsid w:val="00F8187C"/>
    <w:rsid w:val="00F81F8D"/>
    <w:rsid w:val="00F822CA"/>
    <w:rsid w:val="00F824A7"/>
    <w:rsid w:val="00F83583"/>
    <w:rsid w:val="00F8391C"/>
    <w:rsid w:val="00F84503"/>
    <w:rsid w:val="00F856CD"/>
    <w:rsid w:val="00F8696C"/>
    <w:rsid w:val="00F86B62"/>
    <w:rsid w:val="00F86FE0"/>
    <w:rsid w:val="00F87137"/>
    <w:rsid w:val="00F904D1"/>
    <w:rsid w:val="00F9059D"/>
    <w:rsid w:val="00F909C3"/>
    <w:rsid w:val="00F912D7"/>
    <w:rsid w:val="00F91F63"/>
    <w:rsid w:val="00F92692"/>
    <w:rsid w:val="00F935B4"/>
    <w:rsid w:val="00F93741"/>
    <w:rsid w:val="00F95DD6"/>
    <w:rsid w:val="00F965F2"/>
    <w:rsid w:val="00F96698"/>
    <w:rsid w:val="00F96B66"/>
    <w:rsid w:val="00F97A7E"/>
    <w:rsid w:val="00F97C74"/>
    <w:rsid w:val="00F97F29"/>
    <w:rsid w:val="00FA1A73"/>
    <w:rsid w:val="00FA1C77"/>
    <w:rsid w:val="00FA2A3A"/>
    <w:rsid w:val="00FA37BC"/>
    <w:rsid w:val="00FA3CBF"/>
    <w:rsid w:val="00FA41A8"/>
    <w:rsid w:val="00FA47EF"/>
    <w:rsid w:val="00FA4DA4"/>
    <w:rsid w:val="00FA5948"/>
    <w:rsid w:val="00FA5C24"/>
    <w:rsid w:val="00FA65D3"/>
    <w:rsid w:val="00FA7790"/>
    <w:rsid w:val="00FB0566"/>
    <w:rsid w:val="00FB184B"/>
    <w:rsid w:val="00FB36CB"/>
    <w:rsid w:val="00FB533E"/>
    <w:rsid w:val="00FB620F"/>
    <w:rsid w:val="00FB6E9E"/>
    <w:rsid w:val="00FB7291"/>
    <w:rsid w:val="00FB793B"/>
    <w:rsid w:val="00FC1716"/>
    <w:rsid w:val="00FC173C"/>
    <w:rsid w:val="00FC230F"/>
    <w:rsid w:val="00FC296E"/>
    <w:rsid w:val="00FC574C"/>
    <w:rsid w:val="00FC620F"/>
    <w:rsid w:val="00FC631F"/>
    <w:rsid w:val="00FC6498"/>
    <w:rsid w:val="00FC6B33"/>
    <w:rsid w:val="00FC6BB1"/>
    <w:rsid w:val="00FC74D5"/>
    <w:rsid w:val="00FC7FDE"/>
    <w:rsid w:val="00FD096B"/>
    <w:rsid w:val="00FD1312"/>
    <w:rsid w:val="00FD374C"/>
    <w:rsid w:val="00FD3CDE"/>
    <w:rsid w:val="00FD42CD"/>
    <w:rsid w:val="00FD4507"/>
    <w:rsid w:val="00FD4E86"/>
    <w:rsid w:val="00FD4EF5"/>
    <w:rsid w:val="00FD57E4"/>
    <w:rsid w:val="00FD6202"/>
    <w:rsid w:val="00FD757C"/>
    <w:rsid w:val="00FD7A15"/>
    <w:rsid w:val="00FE020A"/>
    <w:rsid w:val="00FE183C"/>
    <w:rsid w:val="00FE2079"/>
    <w:rsid w:val="00FE27EC"/>
    <w:rsid w:val="00FE2FE7"/>
    <w:rsid w:val="00FE33C7"/>
    <w:rsid w:val="00FE500C"/>
    <w:rsid w:val="00FE579D"/>
    <w:rsid w:val="00FE5D53"/>
    <w:rsid w:val="00FE5E73"/>
    <w:rsid w:val="00FE5F16"/>
    <w:rsid w:val="00FE60E5"/>
    <w:rsid w:val="00FE6475"/>
    <w:rsid w:val="00FE6567"/>
    <w:rsid w:val="00FE6641"/>
    <w:rsid w:val="00FF0F29"/>
    <w:rsid w:val="00FF159B"/>
    <w:rsid w:val="00FF1BBF"/>
    <w:rsid w:val="00FF2778"/>
    <w:rsid w:val="00FF28F4"/>
    <w:rsid w:val="00FF3AD3"/>
    <w:rsid w:val="00FF3F26"/>
    <w:rsid w:val="00FF51B3"/>
    <w:rsid w:val="00FF566C"/>
    <w:rsid w:val="00FF5953"/>
    <w:rsid w:val="00FF5EB1"/>
    <w:rsid w:val="00FF61C5"/>
    <w:rsid w:val="00FF685C"/>
    <w:rsid w:val="00FF6F9B"/>
    <w:rsid w:val="00FF7D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3A1FB"/>
  <w15:docId w15:val="{78017C03-C0F9-4AC7-BA53-BCD645FD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CC"/>
  </w:style>
  <w:style w:type="paragraph" w:styleId="Heading1">
    <w:name w:val="heading 1"/>
    <w:basedOn w:val="Normal"/>
    <w:next w:val="Normal"/>
    <w:link w:val="Heading1Char"/>
    <w:uiPriority w:val="9"/>
    <w:qFormat/>
    <w:rsid w:val="008D2745"/>
    <w:pPr>
      <w:keepNext/>
      <w:keepLines/>
      <w:spacing w:before="480" w:after="120" w:line="360" w:lineRule="auto"/>
      <w:jc w:val="center"/>
      <w:outlineLvl w:val="0"/>
    </w:pPr>
    <w:rPr>
      <w:rFonts w:ascii="Times New Roman" w:hAnsi="Times New Roman"/>
      <w:b/>
      <w:sz w:val="36"/>
      <w:szCs w:val="48"/>
    </w:rPr>
  </w:style>
  <w:style w:type="paragraph" w:styleId="Heading2">
    <w:name w:val="heading 2"/>
    <w:basedOn w:val="Normal"/>
    <w:next w:val="Normal"/>
    <w:link w:val="Heading2Char"/>
    <w:uiPriority w:val="9"/>
    <w:unhideWhenUsed/>
    <w:qFormat/>
    <w:rsid w:val="00606E40"/>
    <w:pPr>
      <w:keepNext/>
      <w:keepLines/>
      <w:spacing w:before="360" w:after="80"/>
      <w:outlineLvl w:val="1"/>
    </w:pPr>
    <w:rPr>
      <w:rFonts w:ascii="Times New Roman" w:hAnsi="Times New Roman"/>
      <w:b/>
      <w:sz w:val="36"/>
      <w:szCs w:val="36"/>
    </w:rPr>
  </w:style>
  <w:style w:type="paragraph" w:styleId="Heading3">
    <w:name w:val="heading 3"/>
    <w:basedOn w:val="Normal"/>
    <w:next w:val="Normal"/>
    <w:link w:val="Heading3Char"/>
    <w:uiPriority w:val="9"/>
    <w:unhideWhenUsed/>
    <w:qFormat/>
    <w:rsid w:val="00606E40"/>
    <w:pPr>
      <w:keepNext/>
      <w:keepLines/>
      <w:spacing w:before="280" w:after="80"/>
      <w:outlineLvl w:val="2"/>
    </w:pPr>
    <w:rPr>
      <w:rFonts w:ascii="Times New Roman" w:hAnsi="Times New Roman"/>
      <w:b/>
      <w:sz w:val="28"/>
      <w:szCs w:val="28"/>
    </w:rPr>
  </w:style>
  <w:style w:type="paragraph" w:styleId="Heading4">
    <w:name w:val="heading 4"/>
    <w:basedOn w:val="Normal"/>
    <w:next w:val="Normal"/>
    <w:link w:val="Heading4Char"/>
    <w:uiPriority w:val="9"/>
    <w:semiHidden/>
    <w:unhideWhenUsed/>
    <w:qFormat/>
    <w:rsid w:val="008F3BCC"/>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F3BCC"/>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F3BC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F3BCC"/>
    <w:pPr>
      <w:keepNext/>
      <w:keepLines/>
      <w:spacing w:before="480" w:after="120"/>
    </w:pPr>
    <w:rPr>
      <w:b/>
      <w:sz w:val="72"/>
      <w:szCs w:val="72"/>
    </w:rPr>
  </w:style>
  <w:style w:type="paragraph" w:styleId="Subtitle">
    <w:name w:val="Subtitle"/>
    <w:basedOn w:val="Normal"/>
    <w:next w:val="Normal"/>
    <w:link w:val="SubtitleChar"/>
    <w:uiPriority w:val="11"/>
    <w:qFormat/>
    <w:rsid w:val="008F3BCC"/>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8F3BCC"/>
    <w:rPr>
      <w:sz w:val="20"/>
      <w:szCs w:val="20"/>
    </w:rPr>
  </w:style>
  <w:style w:type="character" w:customStyle="1" w:styleId="CommentTextChar">
    <w:name w:val="Comment Text Char"/>
    <w:basedOn w:val="DefaultParagraphFont"/>
    <w:link w:val="CommentText"/>
    <w:uiPriority w:val="99"/>
    <w:rsid w:val="008F3BCC"/>
    <w:rPr>
      <w:sz w:val="20"/>
      <w:szCs w:val="20"/>
    </w:rPr>
  </w:style>
  <w:style w:type="character" w:styleId="CommentReference">
    <w:name w:val="annotation reference"/>
    <w:basedOn w:val="DefaultParagraphFont"/>
    <w:uiPriority w:val="99"/>
    <w:semiHidden/>
    <w:unhideWhenUsed/>
    <w:rsid w:val="008F3BCC"/>
    <w:rPr>
      <w:sz w:val="16"/>
      <w:szCs w:val="16"/>
    </w:rPr>
  </w:style>
  <w:style w:type="paragraph" w:styleId="BalloonText">
    <w:name w:val="Balloon Text"/>
    <w:basedOn w:val="Normal"/>
    <w:link w:val="BalloonTextChar"/>
    <w:uiPriority w:val="99"/>
    <w:semiHidden/>
    <w:unhideWhenUsed/>
    <w:rsid w:val="00937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3C0"/>
    <w:rPr>
      <w:rFonts w:ascii="Segoe UI" w:hAnsi="Segoe UI" w:cs="Segoe UI"/>
      <w:sz w:val="18"/>
      <w:szCs w:val="18"/>
    </w:rPr>
  </w:style>
  <w:style w:type="paragraph" w:styleId="NormalWeb">
    <w:name w:val="Normal (Web)"/>
    <w:basedOn w:val="Normal"/>
    <w:uiPriority w:val="99"/>
    <w:unhideWhenUsed/>
    <w:rsid w:val="003A01E8"/>
    <w:pPr>
      <w:spacing w:before="100" w:beforeAutospacing="1" w:after="100" w:afterAutospacing="1"/>
    </w:pPr>
    <w:rPr>
      <w:rFonts w:ascii="Times" w:eastAsiaTheme="minorEastAsia" w:hAnsi="Times" w:cs="Times New Roman"/>
      <w:sz w:val="20"/>
      <w:szCs w:val="20"/>
    </w:rPr>
  </w:style>
  <w:style w:type="character" w:styleId="Hyperlink">
    <w:name w:val="Hyperlink"/>
    <w:basedOn w:val="DefaultParagraphFont"/>
    <w:uiPriority w:val="99"/>
    <w:unhideWhenUsed/>
    <w:rsid w:val="003A01E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A01E8"/>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3A01E8"/>
    <w:rPr>
      <w:rFonts w:asciiTheme="minorHAnsi" w:eastAsiaTheme="minorEastAsia" w:hAnsiTheme="minorHAnsi" w:cstheme="minorBidi"/>
      <w:b/>
      <w:bCs/>
      <w:sz w:val="20"/>
      <w:szCs w:val="20"/>
    </w:rPr>
  </w:style>
  <w:style w:type="character" w:styleId="Emphasis">
    <w:name w:val="Emphasis"/>
    <w:basedOn w:val="DefaultParagraphFont"/>
    <w:uiPriority w:val="20"/>
    <w:qFormat/>
    <w:rsid w:val="003A01E8"/>
    <w:rPr>
      <w:i/>
      <w:iCs/>
    </w:rPr>
  </w:style>
  <w:style w:type="character" w:customStyle="1" w:styleId="UnresolvedMention1">
    <w:name w:val="Unresolved Mention1"/>
    <w:basedOn w:val="DefaultParagraphFont"/>
    <w:uiPriority w:val="99"/>
    <w:semiHidden/>
    <w:unhideWhenUsed/>
    <w:rsid w:val="003A01E8"/>
    <w:rPr>
      <w:color w:val="808080"/>
      <w:shd w:val="clear" w:color="auto" w:fill="E6E6E6"/>
    </w:rPr>
  </w:style>
  <w:style w:type="paragraph" w:styleId="Header">
    <w:name w:val="header"/>
    <w:basedOn w:val="Normal"/>
    <w:link w:val="HeaderChar"/>
    <w:uiPriority w:val="99"/>
    <w:unhideWhenUsed/>
    <w:rsid w:val="003A01E8"/>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3A01E8"/>
    <w:rPr>
      <w:rFonts w:asciiTheme="minorHAnsi" w:eastAsiaTheme="minorEastAsia" w:hAnsiTheme="minorHAnsi" w:cstheme="minorBidi"/>
    </w:rPr>
  </w:style>
  <w:style w:type="paragraph" w:styleId="Footer">
    <w:name w:val="footer"/>
    <w:basedOn w:val="Normal"/>
    <w:link w:val="FooterChar"/>
    <w:uiPriority w:val="99"/>
    <w:unhideWhenUsed/>
    <w:rsid w:val="003A01E8"/>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3A01E8"/>
    <w:rPr>
      <w:rFonts w:asciiTheme="minorHAnsi" w:eastAsiaTheme="minorEastAsia" w:hAnsiTheme="minorHAnsi" w:cstheme="minorBidi"/>
    </w:rPr>
  </w:style>
  <w:style w:type="paragraph" w:styleId="Revision">
    <w:name w:val="Revision"/>
    <w:hidden/>
    <w:uiPriority w:val="99"/>
    <w:semiHidden/>
    <w:rsid w:val="003A01E8"/>
    <w:rPr>
      <w:rFonts w:asciiTheme="minorHAnsi" w:eastAsiaTheme="minorEastAsia" w:hAnsiTheme="minorHAnsi" w:cstheme="minorBidi"/>
    </w:rPr>
  </w:style>
  <w:style w:type="character" w:styleId="Strong">
    <w:name w:val="Strong"/>
    <w:basedOn w:val="DefaultParagraphFont"/>
    <w:uiPriority w:val="22"/>
    <w:qFormat/>
    <w:rsid w:val="003A01E8"/>
    <w:rPr>
      <w:b/>
      <w:bCs/>
    </w:rPr>
  </w:style>
  <w:style w:type="character" w:customStyle="1" w:styleId="il">
    <w:name w:val="il"/>
    <w:basedOn w:val="DefaultParagraphFont"/>
    <w:rsid w:val="003A01E8"/>
  </w:style>
  <w:style w:type="table" w:styleId="TableGrid">
    <w:name w:val="Table Grid"/>
    <w:basedOn w:val="TableNormal"/>
    <w:uiPriority w:val="39"/>
    <w:rsid w:val="003A01E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3A01E8"/>
  </w:style>
  <w:style w:type="paragraph" w:styleId="BodyText">
    <w:name w:val="Body Text"/>
    <w:basedOn w:val="Normal"/>
    <w:link w:val="BodyTextChar"/>
    <w:uiPriority w:val="1"/>
    <w:qFormat/>
    <w:rsid w:val="003A01E8"/>
    <w:pPr>
      <w:widowControl w:val="0"/>
      <w:numPr>
        <w:ilvl w:val="1"/>
        <w:numId w:val="1"/>
      </w:numPr>
      <w:ind w:left="720" w:hanging="180"/>
    </w:pPr>
    <w:rPr>
      <w:rFonts w:ascii="Times New Roman" w:eastAsia="Times New Roman" w:hAnsi="Times New Roman" w:cstheme="minorBidi"/>
      <w:spacing w:val="-1"/>
    </w:rPr>
  </w:style>
  <w:style w:type="character" w:customStyle="1" w:styleId="BodyTextChar">
    <w:name w:val="Body Text Char"/>
    <w:basedOn w:val="DefaultParagraphFont"/>
    <w:link w:val="BodyText"/>
    <w:uiPriority w:val="1"/>
    <w:rsid w:val="003A01E8"/>
    <w:rPr>
      <w:rFonts w:ascii="Times New Roman" w:eastAsia="Times New Roman" w:hAnsi="Times New Roman" w:cstheme="minorBidi"/>
      <w:spacing w:val="-1"/>
    </w:rPr>
  </w:style>
  <w:style w:type="character" w:customStyle="1" w:styleId="Heading1Char">
    <w:name w:val="Heading 1 Char"/>
    <w:basedOn w:val="DefaultParagraphFont"/>
    <w:link w:val="Heading1"/>
    <w:uiPriority w:val="9"/>
    <w:rsid w:val="008D2745"/>
    <w:rPr>
      <w:rFonts w:ascii="Times New Roman" w:hAnsi="Times New Roman"/>
      <w:b/>
      <w:sz w:val="36"/>
      <w:szCs w:val="48"/>
    </w:rPr>
  </w:style>
  <w:style w:type="character" w:styleId="HTMLCite">
    <w:name w:val="HTML Cite"/>
    <w:basedOn w:val="DefaultParagraphFont"/>
    <w:uiPriority w:val="99"/>
    <w:semiHidden/>
    <w:unhideWhenUsed/>
    <w:rsid w:val="003A01E8"/>
    <w:rPr>
      <w:i/>
      <w:iCs/>
    </w:rPr>
  </w:style>
  <w:style w:type="character" w:customStyle="1" w:styleId="Heading4Char">
    <w:name w:val="Heading 4 Char"/>
    <w:basedOn w:val="DefaultParagraphFont"/>
    <w:link w:val="Heading4"/>
    <w:uiPriority w:val="9"/>
    <w:semiHidden/>
    <w:rsid w:val="003A01E8"/>
    <w:rPr>
      <w:b/>
    </w:rPr>
  </w:style>
  <w:style w:type="paragraph" w:styleId="HTMLPreformatted">
    <w:name w:val="HTML Preformatted"/>
    <w:basedOn w:val="Normal"/>
    <w:link w:val="HTMLPreformattedChar"/>
    <w:uiPriority w:val="99"/>
    <w:unhideWhenUsed/>
    <w:rsid w:val="003A0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A01E8"/>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3A01E8"/>
    <w:rPr>
      <w:color w:val="605E5C"/>
      <w:shd w:val="clear" w:color="auto" w:fill="E1DFDD"/>
    </w:rPr>
  </w:style>
  <w:style w:type="character" w:customStyle="1" w:styleId="vol">
    <w:name w:val="vol"/>
    <w:basedOn w:val="DefaultParagraphFont"/>
    <w:rsid w:val="00C52F42"/>
  </w:style>
  <w:style w:type="character" w:customStyle="1" w:styleId="pagefirst">
    <w:name w:val="pagefirst"/>
    <w:basedOn w:val="DefaultParagraphFont"/>
    <w:rsid w:val="00C52F42"/>
  </w:style>
  <w:style w:type="character" w:customStyle="1" w:styleId="pagelast">
    <w:name w:val="pagelast"/>
    <w:basedOn w:val="DefaultParagraphFont"/>
    <w:rsid w:val="00C52F42"/>
  </w:style>
  <w:style w:type="character" w:customStyle="1" w:styleId="highlight">
    <w:name w:val="highlight"/>
    <w:basedOn w:val="DefaultParagraphFont"/>
    <w:rsid w:val="00AF3C87"/>
  </w:style>
  <w:style w:type="character" w:customStyle="1" w:styleId="UnresolvedMention3">
    <w:name w:val="Unresolved Mention3"/>
    <w:basedOn w:val="DefaultParagraphFont"/>
    <w:uiPriority w:val="99"/>
    <w:semiHidden/>
    <w:unhideWhenUsed/>
    <w:rsid w:val="00806135"/>
    <w:rPr>
      <w:color w:val="605E5C"/>
      <w:shd w:val="clear" w:color="auto" w:fill="E1DFDD"/>
    </w:rPr>
  </w:style>
  <w:style w:type="character" w:styleId="LineNumber">
    <w:name w:val="line number"/>
    <w:basedOn w:val="DefaultParagraphFont"/>
    <w:uiPriority w:val="99"/>
    <w:semiHidden/>
    <w:unhideWhenUsed/>
    <w:rsid w:val="006669BA"/>
  </w:style>
  <w:style w:type="paragraph" w:styleId="ListParagraph">
    <w:name w:val="List Paragraph"/>
    <w:basedOn w:val="Normal"/>
    <w:uiPriority w:val="34"/>
    <w:qFormat/>
    <w:rsid w:val="00FC173C"/>
    <w:pPr>
      <w:ind w:left="720"/>
      <w:contextualSpacing/>
    </w:pPr>
  </w:style>
  <w:style w:type="character" w:customStyle="1" w:styleId="gnkrckgcgsb">
    <w:name w:val="gnkrckgcgsb"/>
    <w:basedOn w:val="DefaultParagraphFont"/>
    <w:rsid w:val="002A51A1"/>
  </w:style>
  <w:style w:type="character" w:customStyle="1" w:styleId="UnresolvedMention4">
    <w:name w:val="Unresolved Mention4"/>
    <w:basedOn w:val="DefaultParagraphFont"/>
    <w:uiPriority w:val="99"/>
    <w:semiHidden/>
    <w:unhideWhenUsed/>
    <w:rsid w:val="001B0514"/>
    <w:rPr>
      <w:color w:val="605E5C"/>
      <w:shd w:val="clear" w:color="auto" w:fill="E1DFDD"/>
    </w:rPr>
  </w:style>
  <w:style w:type="character" w:customStyle="1" w:styleId="orcid-id-https">
    <w:name w:val="orcid-id-https"/>
    <w:basedOn w:val="DefaultParagraphFont"/>
    <w:rsid w:val="000B2B35"/>
  </w:style>
  <w:style w:type="character" w:customStyle="1" w:styleId="UnresolvedMention5">
    <w:name w:val="Unresolved Mention5"/>
    <w:basedOn w:val="DefaultParagraphFont"/>
    <w:uiPriority w:val="99"/>
    <w:semiHidden/>
    <w:unhideWhenUsed/>
    <w:rsid w:val="006A235E"/>
    <w:rPr>
      <w:color w:val="605E5C"/>
      <w:shd w:val="clear" w:color="auto" w:fill="E1DFDD"/>
    </w:rPr>
  </w:style>
  <w:style w:type="paragraph" w:styleId="TOCHeading">
    <w:name w:val="TOC Heading"/>
    <w:basedOn w:val="Heading1"/>
    <w:next w:val="Normal"/>
    <w:uiPriority w:val="39"/>
    <w:unhideWhenUsed/>
    <w:qFormat/>
    <w:rsid w:val="00780A82"/>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D063F2"/>
    <w:pPr>
      <w:spacing w:after="100"/>
    </w:pPr>
  </w:style>
  <w:style w:type="paragraph" w:styleId="Index1">
    <w:name w:val="index 1"/>
    <w:basedOn w:val="Normal"/>
    <w:next w:val="Normal"/>
    <w:autoRedefine/>
    <w:uiPriority w:val="99"/>
    <w:semiHidden/>
    <w:unhideWhenUsed/>
    <w:rsid w:val="00D063F2"/>
    <w:pPr>
      <w:ind w:left="240" w:hanging="240"/>
    </w:pPr>
  </w:style>
  <w:style w:type="paragraph" w:styleId="TOC2">
    <w:name w:val="toc 2"/>
    <w:basedOn w:val="Normal"/>
    <w:next w:val="Normal"/>
    <w:autoRedefine/>
    <w:uiPriority w:val="39"/>
    <w:unhideWhenUsed/>
    <w:rsid w:val="00783067"/>
    <w:pPr>
      <w:spacing w:after="100" w:line="259" w:lineRule="auto"/>
      <w:ind w:left="220"/>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783067"/>
    <w:pPr>
      <w:spacing w:after="100" w:line="259" w:lineRule="auto"/>
      <w:ind w:left="440"/>
    </w:pPr>
    <w:rPr>
      <w:rFonts w:asciiTheme="minorHAnsi" w:eastAsiaTheme="minorEastAsia" w:hAnsiTheme="minorHAnsi" w:cs="Times New Roman"/>
      <w:sz w:val="22"/>
      <w:szCs w:val="22"/>
    </w:rPr>
  </w:style>
  <w:style w:type="paragraph" w:styleId="Caption">
    <w:name w:val="caption"/>
    <w:basedOn w:val="Normal"/>
    <w:next w:val="Normal"/>
    <w:uiPriority w:val="35"/>
    <w:unhideWhenUsed/>
    <w:qFormat/>
    <w:rsid w:val="00B076BA"/>
    <w:pPr>
      <w:spacing w:after="200"/>
    </w:pPr>
    <w:rPr>
      <w:i/>
      <w:iCs/>
      <w:color w:val="1F497D" w:themeColor="text2"/>
      <w:sz w:val="18"/>
      <w:szCs w:val="18"/>
    </w:rPr>
  </w:style>
  <w:style w:type="paragraph" w:styleId="TableofFigures">
    <w:name w:val="table of figures"/>
    <w:basedOn w:val="Normal"/>
    <w:next w:val="Normal"/>
    <w:uiPriority w:val="99"/>
    <w:unhideWhenUsed/>
    <w:rsid w:val="00E47154"/>
    <w:rPr>
      <w:rFonts w:ascii="Times New Roman" w:hAnsi="Times New Roman"/>
    </w:rPr>
  </w:style>
  <w:style w:type="paragraph" w:customStyle="1" w:styleId="Default">
    <w:name w:val="Default"/>
    <w:rsid w:val="00B15525"/>
    <w:pPr>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F13DEE"/>
  </w:style>
  <w:style w:type="character" w:customStyle="1" w:styleId="current-selection">
    <w:name w:val="current-selection"/>
    <w:basedOn w:val="DefaultParagraphFont"/>
    <w:rsid w:val="00E563F7"/>
  </w:style>
  <w:style w:type="character" w:customStyle="1" w:styleId="m3189867605138110369highwire-citation-author">
    <w:name w:val="m_3189867605138110369highwire-citation-author"/>
    <w:basedOn w:val="DefaultParagraphFont"/>
    <w:rsid w:val="00E563F7"/>
  </w:style>
  <w:style w:type="character" w:customStyle="1" w:styleId="m3189867605138110369highwire-citation-authors">
    <w:name w:val="m_3189867605138110369highwire-citation-authors"/>
    <w:basedOn w:val="DefaultParagraphFont"/>
    <w:rsid w:val="00E563F7"/>
  </w:style>
  <w:style w:type="character" w:customStyle="1" w:styleId="m3189867605138110369highwire-cite-metadata-journal">
    <w:name w:val="m_3189867605138110369highwire-cite-metadata-journal"/>
    <w:basedOn w:val="DefaultParagraphFont"/>
    <w:rsid w:val="00E563F7"/>
  </w:style>
  <w:style w:type="character" w:customStyle="1" w:styleId="m3189867605138110369highwire-cite-metadata-date">
    <w:name w:val="m_3189867605138110369highwire-cite-metadata-date"/>
    <w:basedOn w:val="DefaultParagraphFont"/>
    <w:rsid w:val="00E563F7"/>
  </w:style>
  <w:style w:type="character" w:customStyle="1" w:styleId="m3189867605138110369highwire-cite-metadata-volume">
    <w:name w:val="m_3189867605138110369highwire-cite-metadata-volume"/>
    <w:basedOn w:val="DefaultParagraphFont"/>
    <w:rsid w:val="00E563F7"/>
  </w:style>
  <w:style w:type="character" w:customStyle="1" w:styleId="m3189867605138110369highwire-cite-metadata-issue">
    <w:name w:val="m_3189867605138110369highwire-cite-metadata-issue"/>
    <w:basedOn w:val="DefaultParagraphFont"/>
    <w:rsid w:val="00E563F7"/>
  </w:style>
  <w:style w:type="character" w:customStyle="1" w:styleId="m3189867605138110369highwire-cite-metadata-pages">
    <w:name w:val="m_3189867605138110369highwire-cite-metadata-pages"/>
    <w:basedOn w:val="DefaultParagraphFont"/>
    <w:rsid w:val="00E563F7"/>
  </w:style>
  <w:style w:type="character" w:customStyle="1" w:styleId="m3189867605138110369highwire-cite-metadata-doi">
    <w:name w:val="m_3189867605138110369highwire-cite-metadata-doi"/>
    <w:basedOn w:val="DefaultParagraphFont"/>
    <w:rsid w:val="00E563F7"/>
  </w:style>
  <w:style w:type="paragraph" w:styleId="EndnoteText">
    <w:name w:val="endnote text"/>
    <w:basedOn w:val="Normal"/>
    <w:link w:val="EndnoteTextChar"/>
    <w:uiPriority w:val="99"/>
    <w:semiHidden/>
    <w:unhideWhenUsed/>
    <w:rsid w:val="00E563F7"/>
    <w:rPr>
      <w:sz w:val="20"/>
      <w:szCs w:val="20"/>
    </w:rPr>
  </w:style>
  <w:style w:type="character" w:customStyle="1" w:styleId="EndnoteTextChar">
    <w:name w:val="Endnote Text Char"/>
    <w:basedOn w:val="DefaultParagraphFont"/>
    <w:link w:val="EndnoteText"/>
    <w:uiPriority w:val="99"/>
    <w:semiHidden/>
    <w:rsid w:val="00E563F7"/>
    <w:rPr>
      <w:sz w:val="20"/>
      <w:szCs w:val="20"/>
    </w:rPr>
  </w:style>
  <w:style w:type="character" w:styleId="EndnoteReference">
    <w:name w:val="endnote reference"/>
    <w:basedOn w:val="DefaultParagraphFont"/>
    <w:uiPriority w:val="99"/>
    <w:semiHidden/>
    <w:unhideWhenUsed/>
    <w:rsid w:val="00E563F7"/>
    <w:rPr>
      <w:vertAlign w:val="superscript"/>
    </w:rPr>
  </w:style>
  <w:style w:type="paragraph" w:customStyle="1" w:styleId="chapter-para">
    <w:name w:val="chapter-para"/>
    <w:basedOn w:val="Normal"/>
    <w:rsid w:val="00E563F7"/>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E563F7"/>
    <w:rPr>
      <w:color w:val="808080"/>
    </w:rPr>
  </w:style>
  <w:style w:type="character" w:customStyle="1" w:styleId="locality">
    <w:name w:val="locality"/>
    <w:basedOn w:val="DefaultParagraphFont"/>
    <w:rsid w:val="00E563F7"/>
  </w:style>
  <w:style w:type="character" w:customStyle="1" w:styleId="state">
    <w:name w:val="state"/>
    <w:basedOn w:val="DefaultParagraphFont"/>
    <w:rsid w:val="00E563F7"/>
  </w:style>
  <w:style w:type="character" w:customStyle="1" w:styleId="postal-code">
    <w:name w:val="postal-code"/>
    <w:basedOn w:val="DefaultParagraphFont"/>
    <w:rsid w:val="00E563F7"/>
  </w:style>
  <w:style w:type="character" w:customStyle="1" w:styleId="Heading2Char">
    <w:name w:val="Heading 2 Char"/>
    <w:basedOn w:val="DefaultParagraphFont"/>
    <w:link w:val="Heading2"/>
    <w:uiPriority w:val="9"/>
    <w:rsid w:val="0017155C"/>
    <w:rPr>
      <w:rFonts w:ascii="Times New Roman" w:hAnsi="Times New Roman"/>
      <w:b/>
      <w:sz w:val="36"/>
      <w:szCs w:val="36"/>
    </w:rPr>
  </w:style>
  <w:style w:type="character" w:customStyle="1" w:styleId="Heading3Char">
    <w:name w:val="Heading 3 Char"/>
    <w:basedOn w:val="DefaultParagraphFont"/>
    <w:link w:val="Heading3"/>
    <w:uiPriority w:val="9"/>
    <w:rsid w:val="0017155C"/>
    <w:rPr>
      <w:rFonts w:ascii="Times New Roman" w:hAnsi="Times New Roman"/>
      <w:b/>
      <w:sz w:val="28"/>
      <w:szCs w:val="28"/>
    </w:rPr>
  </w:style>
  <w:style w:type="character" w:customStyle="1" w:styleId="Heading5Char">
    <w:name w:val="Heading 5 Char"/>
    <w:basedOn w:val="DefaultParagraphFont"/>
    <w:link w:val="Heading5"/>
    <w:uiPriority w:val="9"/>
    <w:semiHidden/>
    <w:rsid w:val="0017155C"/>
    <w:rPr>
      <w:b/>
      <w:sz w:val="22"/>
      <w:szCs w:val="22"/>
    </w:rPr>
  </w:style>
  <w:style w:type="character" w:customStyle="1" w:styleId="Heading6Char">
    <w:name w:val="Heading 6 Char"/>
    <w:basedOn w:val="DefaultParagraphFont"/>
    <w:link w:val="Heading6"/>
    <w:uiPriority w:val="9"/>
    <w:semiHidden/>
    <w:rsid w:val="0017155C"/>
    <w:rPr>
      <w:b/>
      <w:sz w:val="20"/>
      <w:szCs w:val="20"/>
    </w:rPr>
  </w:style>
  <w:style w:type="character" w:customStyle="1" w:styleId="TitleChar">
    <w:name w:val="Title Char"/>
    <w:basedOn w:val="DefaultParagraphFont"/>
    <w:link w:val="Title"/>
    <w:uiPriority w:val="10"/>
    <w:rsid w:val="0017155C"/>
    <w:rPr>
      <w:b/>
      <w:sz w:val="72"/>
      <w:szCs w:val="72"/>
    </w:rPr>
  </w:style>
  <w:style w:type="character" w:customStyle="1" w:styleId="SubtitleChar">
    <w:name w:val="Subtitle Char"/>
    <w:basedOn w:val="DefaultParagraphFont"/>
    <w:link w:val="Subtitle"/>
    <w:uiPriority w:val="11"/>
    <w:rsid w:val="0017155C"/>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2B4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6257">
      <w:bodyDiv w:val="1"/>
      <w:marLeft w:val="0"/>
      <w:marRight w:val="0"/>
      <w:marTop w:val="0"/>
      <w:marBottom w:val="0"/>
      <w:divBdr>
        <w:top w:val="none" w:sz="0" w:space="0" w:color="auto"/>
        <w:left w:val="none" w:sz="0" w:space="0" w:color="auto"/>
        <w:bottom w:val="none" w:sz="0" w:space="0" w:color="auto"/>
        <w:right w:val="none" w:sz="0" w:space="0" w:color="auto"/>
      </w:divBdr>
    </w:div>
    <w:div w:id="189145509">
      <w:bodyDiv w:val="1"/>
      <w:marLeft w:val="0"/>
      <w:marRight w:val="0"/>
      <w:marTop w:val="0"/>
      <w:marBottom w:val="0"/>
      <w:divBdr>
        <w:top w:val="none" w:sz="0" w:space="0" w:color="auto"/>
        <w:left w:val="none" w:sz="0" w:space="0" w:color="auto"/>
        <w:bottom w:val="none" w:sz="0" w:space="0" w:color="auto"/>
        <w:right w:val="none" w:sz="0" w:space="0" w:color="auto"/>
      </w:divBdr>
    </w:div>
    <w:div w:id="319306891">
      <w:bodyDiv w:val="1"/>
      <w:marLeft w:val="0"/>
      <w:marRight w:val="0"/>
      <w:marTop w:val="0"/>
      <w:marBottom w:val="0"/>
      <w:divBdr>
        <w:top w:val="none" w:sz="0" w:space="0" w:color="auto"/>
        <w:left w:val="none" w:sz="0" w:space="0" w:color="auto"/>
        <w:bottom w:val="none" w:sz="0" w:space="0" w:color="auto"/>
        <w:right w:val="none" w:sz="0" w:space="0" w:color="auto"/>
      </w:divBdr>
    </w:div>
    <w:div w:id="398942991">
      <w:bodyDiv w:val="1"/>
      <w:marLeft w:val="0"/>
      <w:marRight w:val="0"/>
      <w:marTop w:val="0"/>
      <w:marBottom w:val="0"/>
      <w:divBdr>
        <w:top w:val="none" w:sz="0" w:space="0" w:color="auto"/>
        <w:left w:val="none" w:sz="0" w:space="0" w:color="auto"/>
        <w:bottom w:val="none" w:sz="0" w:space="0" w:color="auto"/>
        <w:right w:val="none" w:sz="0" w:space="0" w:color="auto"/>
      </w:divBdr>
    </w:div>
    <w:div w:id="463618200">
      <w:bodyDiv w:val="1"/>
      <w:marLeft w:val="0"/>
      <w:marRight w:val="0"/>
      <w:marTop w:val="0"/>
      <w:marBottom w:val="0"/>
      <w:divBdr>
        <w:top w:val="none" w:sz="0" w:space="0" w:color="auto"/>
        <w:left w:val="none" w:sz="0" w:space="0" w:color="auto"/>
        <w:bottom w:val="none" w:sz="0" w:space="0" w:color="auto"/>
        <w:right w:val="none" w:sz="0" w:space="0" w:color="auto"/>
      </w:divBdr>
    </w:div>
    <w:div w:id="581724137">
      <w:bodyDiv w:val="1"/>
      <w:marLeft w:val="0"/>
      <w:marRight w:val="0"/>
      <w:marTop w:val="0"/>
      <w:marBottom w:val="0"/>
      <w:divBdr>
        <w:top w:val="none" w:sz="0" w:space="0" w:color="auto"/>
        <w:left w:val="none" w:sz="0" w:space="0" w:color="auto"/>
        <w:bottom w:val="none" w:sz="0" w:space="0" w:color="auto"/>
        <w:right w:val="none" w:sz="0" w:space="0" w:color="auto"/>
      </w:divBdr>
    </w:div>
    <w:div w:id="607349194">
      <w:bodyDiv w:val="1"/>
      <w:marLeft w:val="0"/>
      <w:marRight w:val="0"/>
      <w:marTop w:val="0"/>
      <w:marBottom w:val="0"/>
      <w:divBdr>
        <w:top w:val="none" w:sz="0" w:space="0" w:color="auto"/>
        <w:left w:val="none" w:sz="0" w:space="0" w:color="auto"/>
        <w:bottom w:val="none" w:sz="0" w:space="0" w:color="auto"/>
        <w:right w:val="none" w:sz="0" w:space="0" w:color="auto"/>
      </w:divBdr>
    </w:div>
    <w:div w:id="607396223">
      <w:bodyDiv w:val="1"/>
      <w:marLeft w:val="0"/>
      <w:marRight w:val="0"/>
      <w:marTop w:val="0"/>
      <w:marBottom w:val="0"/>
      <w:divBdr>
        <w:top w:val="none" w:sz="0" w:space="0" w:color="auto"/>
        <w:left w:val="none" w:sz="0" w:space="0" w:color="auto"/>
        <w:bottom w:val="none" w:sz="0" w:space="0" w:color="auto"/>
        <w:right w:val="none" w:sz="0" w:space="0" w:color="auto"/>
      </w:divBdr>
    </w:div>
    <w:div w:id="794518306">
      <w:bodyDiv w:val="1"/>
      <w:marLeft w:val="0"/>
      <w:marRight w:val="0"/>
      <w:marTop w:val="0"/>
      <w:marBottom w:val="0"/>
      <w:divBdr>
        <w:top w:val="none" w:sz="0" w:space="0" w:color="auto"/>
        <w:left w:val="none" w:sz="0" w:space="0" w:color="auto"/>
        <w:bottom w:val="none" w:sz="0" w:space="0" w:color="auto"/>
        <w:right w:val="none" w:sz="0" w:space="0" w:color="auto"/>
      </w:divBdr>
    </w:div>
    <w:div w:id="838809101">
      <w:bodyDiv w:val="1"/>
      <w:marLeft w:val="0"/>
      <w:marRight w:val="0"/>
      <w:marTop w:val="0"/>
      <w:marBottom w:val="0"/>
      <w:divBdr>
        <w:top w:val="none" w:sz="0" w:space="0" w:color="auto"/>
        <w:left w:val="none" w:sz="0" w:space="0" w:color="auto"/>
        <w:bottom w:val="none" w:sz="0" w:space="0" w:color="auto"/>
        <w:right w:val="none" w:sz="0" w:space="0" w:color="auto"/>
      </w:divBdr>
    </w:div>
    <w:div w:id="839738230">
      <w:bodyDiv w:val="1"/>
      <w:marLeft w:val="0"/>
      <w:marRight w:val="0"/>
      <w:marTop w:val="0"/>
      <w:marBottom w:val="0"/>
      <w:divBdr>
        <w:top w:val="none" w:sz="0" w:space="0" w:color="auto"/>
        <w:left w:val="none" w:sz="0" w:space="0" w:color="auto"/>
        <w:bottom w:val="none" w:sz="0" w:space="0" w:color="auto"/>
        <w:right w:val="none" w:sz="0" w:space="0" w:color="auto"/>
      </w:divBdr>
    </w:div>
    <w:div w:id="863665980">
      <w:bodyDiv w:val="1"/>
      <w:marLeft w:val="0"/>
      <w:marRight w:val="0"/>
      <w:marTop w:val="0"/>
      <w:marBottom w:val="0"/>
      <w:divBdr>
        <w:top w:val="none" w:sz="0" w:space="0" w:color="auto"/>
        <w:left w:val="none" w:sz="0" w:space="0" w:color="auto"/>
        <w:bottom w:val="none" w:sz="0" w:space="0" w:color="auto"/>
        <w:right w:val="none" w:sz="0" w:space="0" w:color="auto"/>
      </w:divBdr>
      <w:divsChild>
        <w:div w:id="852377641">
          <w:marLeft w:val="0"/>
          <w:marRight w:val="0"/>
          <w:marTop w:val="0"/>
          <w:marBottom w:val="0"/>
          <w:divBdr>
            <w:top w:val="none" w:sz="0" w:space="0" w:color="auto"/>
            <w:left w:val="none" w:sz="0" w:space="0" w:color="auto"/>
            <w:bottom w:val="none" w:sz="0" w:space="0" w:color="auto"/>
            <w:right w:val="none" w:sz="0" w:space="0" w:color="auto"/>
          </w:divBdr>
          <w:divsChild>
            <w:div w:id="773281225">
              <w:marLeft w:val="0"/>
              <w:marRight w:val="0"/>
              <w:marTop w:val="0"/>
              <w:marBottom w:val="0"/>
              <w:divBdr>
                <w:top w:val="none" w:sz="0" w:space="0" w:color="auto"/>
                <w:left w:val="none" w:sz="0" w:space="0" w:color="auto"/>
                <w:bottom w:val="none" w:sz="0" w:space="0" w:color="auto"/>
                <w:right w:val="none" w:sz="0" w:space="0" w:color="auto"/>
              </w:divBdr>
              <w:divsChild>
                <w:div w:id="239415288">
                  <w:marLeft w:val="0"/>
                  <w:marRight w:val="0"/>
                  <w:marTop w:val="0"/>
                  <w:marBottom w:val="300"/>
                  <w:divBdr>
                    <w:top w:val="none" w:sz="0" w:space="0" w:color="auto"/>
                    <w:left w:val="none" w:sz="0" w:space="0" w:color="auto"/>
                    <w:bottom w:val="none" w:sz="0" w:space="0" w:color="auto"/>
                    <w:right w:val="none" w:sz="0" w:space="0" w:color="auto"/>
                  </w:divBdr>
                  <w:divsChild>
                    <w:div w:id="1821968354">
                      <w:marLeft w:val="0"/>
                      <w:marRight w:val="0"/>
                      <w:marTop w:val="0"/>
                      <w:marBottom w:val="0"/>
                      <w:divBdr>
                        <w:top w:val="none" w:sz="0" w:space="0" w:color="auto"/>
                        <w:left w:val="none" w:sz="0" w:space="0" w:color="auto"/>
                        <w:bottom w:val="none" w:sz="0" w:space="0" w:color="auto"/>
                        <w:right w:val="none" w:sz="0" w:space="0" w:color="auto"/>
                      </w:divBdr>
                      <w:divsChild>
                        <w:div w:id="1879584627">
                          <w:marLeft w:val="0"/>
                          <w:marRight w:val="0"/>
                          <w:marTop w:val="0"/>
                          <w:marBottom w:val="0"/>
                          <w:divBdr>
                            <w:top w:val="none" w:sz="0" w:space="0" w:color="auto"/>
                            <w:left w:val="none" w:sz="0" w:space="0" w:color="auto"/>
                            <w:bottom w:val="none" w:sz="0" w:space="0" w:color="auto"/>
                            <w:right w:val="none" w:sz="0" w:space="0" w:color="auto"/>
                          </w:divBdr>
                        </w:div>
                      </w:divsChild>
                    </w:div>
                    <w:div w:id="1803034717">
                      <w:marLeft w:val="0"/>
                      <w:marRight w:val="0"/>
                      <w:marTop w:val="0"/>
                      <w:marBottom w:val="0"/>
                      <w:divBdr>
                        <w:top w:val="none" w:sz="0" w:space="0" w:color="auto"/>
                        <w:left w:val="none" w:sz="0" w:space="0" w:color="auto"/>
                        <w:bottom w:val="none" w:sz="0" w:space="0" w:color="auto"/>
                        <w:right w:val="none" w:sz="0" w:space="0" w:color="auto"/>
                      </w:divBdr>
                    </w:div>
                  </w:divsChild>
                </w:div>
                <w:div w:id="911045014">
                  <w:marLeft w:val="0"/>
                  <w:marRight w:val="0"/>
                  <w:marTop w:val="0"/>
                  <w:marBottom w:val="0"/>
                  <w:divBdr>
                    <w:top w:val="none" w:sz="0" w:space="0" w:color="auto"/>
                    <w:left w:val="none" w:sz="0" w:space="0" w:color="auto"/>
                    <w:bottom w:val="none" w:sz="0" w:space="0" w:color="auto"/>
                    <w:right w:val="none" w:sz="0" w:space="0" w:color="auto"/>
                  </w:divBdr>
                  <w:divsChild>
                    <w:div w:id="1398360619">
                      <w:marLeft w:val="0"/>
                      <w:marRight w:val="0"/>
                      <w:marTop w:val="150"/>
                      <w:marBottom w:val="300"/>
                      <w:divBdr>
                        <w:top w:val="none" w:sz="0" w:space="0" w:color="auto"/>
                        <w:left w:val="none" w:sz="0" w:space="0" w:color="auto"/>
                        <w:bottom w:val="none" w:sz="0" w:space="0" w:color="auto"/>
                        <w:right w:val="none" w:sz="0" w:space="0" w:color="auto"/>
                      </w:divBdr>
                      <w:divsChild>
                        <w:div w:id="1172257721">
                          <w:marLeft w:val="0"/>
                          <w:marRight w:val="0"/>
                          <w:marTop w:val="0"/>
                          <w:marBottom w:val="0"/>
                          <w:divBdr>
                            <w:top w:val="none" w:sz="0" w:space="0" w:color="auto"/>
                            <w:left w:val="none" w:sz="0" w:space="0" w:color="auto"/>
                            <w:bottom w:val="none" w:sz="0" w:space="0" w:color="auto"/>
                            <w:right w:val="none" w:sz="0" w:space="0" w:color="auto"/>
                          </w:divBdr>
                        </w:div>
                      </w:divsChild>
                    </w:div>
                    <w:div w:id="972364797">
                      <w:marLeft w:val="0"/>
                      <w:marRight w:val="0"/>
                      <w:marTop w:val="150"/>
                      <w:marBottom w:val="300"/>
                      <w:divBdr>
                        <w:top w:val="none" w:sz="0" w:space="0" w:color="auto"/>
                        <w:left w:val="none" w:sz="0" w:space="0" w:color="auto"/>
                        <w:bottom w:val="none" w:sz="0" w:space="0" w:color="auto"/>
                        <w:right w:val="none" w:sz="0" w:space="0" w:color="auto"/>
                      </w:divBdr>
                      <w:divsChild>
                        <w:div w:id="1855609824">
                          <w:marLeft w:val="0"/>
                          <w:marRight w:val="0"/>
                          <w:marTop w:val="0"/>
                          <w:marBottom w:val="0"/>
                          <w:divBdr>
                            <w:top w:val="none" w:sz="0" w:space="0" w:color="auto"/>
                            <w:left w:val="none" w:sz="0" w:space="0" w:color="auto"/>
                            <w:bottom w:val="none" w:sz="0" w:space="0" w:color="auto"/>
                            <w:right w:val="none" w:sz="0" w:space="0" w:color="auto"/>
                          </w:divBdr>
                        </w:div>
                      </w:divsChild>
                    </w:div>
                    <w:div w:id="383140737">
                      <w:marLeft w:val="0"/>
                      <w:marRight w:val="0"/>
                      <w:marTop w:val="150"/>
                      <w:marBottom w:val="300"/>
                      <w:divBdr>
                        <w:top w:val="none" w:sz="0" w:space="0" w:color="auto"/>
                        <w:left w:val="none" w:sz="0" w:space="0" w:color="auto"/>
                        <w:bottom w:val="none" w:sz="0" w:space="0" w:color="auto"/>
                        <w:right w:val="none" w:sz="0" w:space="0" w:color="auto"/>
                      </w:divBdr>
                      <w:divsChild>
                        <w:div w:id="15021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1128">
          <w:marLeft w:val="5850"/>
          <w:marRight w:val="0"/>
          <w:marTop w:val="0"/>
          <w:marBottom w:val="0"/>
          <w:divBdr>
            <w:top w:val="none" w:sz="0" w:space="0" w:color="auto"/>
            <w:left w:val="none" w:sz="0" w:space="0" w:color="auto"/>
            <w:bottom w:val="none" w:sz="0" w:space="0" w:color="auto"/>
            <w:right w:val="none" w:sz="0" w:space="0" w:color="auto"/>
          </w:divBdr>
          <w:divsChild>
            <w:div w:id="20295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531">
      <w:bodyDiv w:val="1"/>
      <w:marLeft w:val="0"/>
      <w:marRight w:val="0"/>
      <w:marTop w:val="0"/>
      <w:marBottom w:val="0"/>
      <w:divBdr>
        <w:top w:val="none" w:sz="0" w:space="0" w:color="auto"/>
        <w:left w:val="none" w:sz="0" w:space="0" w:color="auto"/>
        <w:bottom w:val="none" w:sz="0" w:space="0" w:color="auto"/>
        <w:right w:val="none" w:sz="0" w:space="0" w:color="auto"/>
      </w:divBdr>
    </w:div>
    <w:div w:id="1043405432">
      <w:bodyDiv w:val="1"/>
      <w:marLeft w:val="0"/>
      <w:marRight w:val="0"/>
      <w:marTop w:val="0"/>
      <w:marBottom w:val="0"/>
      <w:divBdr>
        <w:top w:val="none" w:sz="0" w:space="0" w:color="auto"/>
        <w:left w:val="none" w:sz="0" w:space="0" w:color="auto"/>
        <w:bottom w:val="none" w:sz="0" w:space="0" w:color="auto"/>
        <w:right w:val="none" w:sz="0" w:space="0" w:color="auto"/>
      </w:divBdr>
    </w:div>
    <w:div w:id="1144547388">
      <w:bodyDiv w:val="1"/>
      <w:marLeft w:val="0"/>
      <w:marRight w:val="0"/>
      <w:marTop w:val="0"/>
      <w:marBottom w:val="0"/>
      <w:divBdr>
        <w:top w:val="none" w:sz="0" w:space="0" w:color="auto"/>
        <w:left w:val="none" w:sz="0" w:space="0" w:color="auto"/>
        <w:bottom w:val="none" w:sz="0" w:space="0" w:color="auto"/>
        <w:right w:val="none" w:sz="0" w:space="0" w:color="auto"/>
      </w:divBdr>
    </w:div>
    <w:div w:id="1181697202">
      <w:bodyDiv w:val="1"/>
      <w:marLeft w:val="0"/>
      <w:marRight w:val="0"/>
      <w:marTop w:val="0"/>
      <w:marBottom w:val="0"/>
      <w:divBdr>
        <w:top w:val="none" w:sz="0" w:space="0" w:color="auto"/>
        <w:left w:val="none" w:sz="0" w:space="0" w:color="auto"/>
        <w:bottom w:val="none" w:sz="0" w:space="0" w:color="auto"/>
        <w:right w:val="none" w:sz="0" w:space="0" w:color="auto"/>
      </w:divBdr>
    </w:div>
    <w:div w:id="1589466162">
      <w:bodyDiv w:val="1"/>
      <w:marLeft w:val="0"/>
      <w:marRight w:val="0"/>
      <w:marTop w:val="0"/>
      <w:marBottom w:val="0"/>
      <w:divBdr>
        <w:top w:val="none" w:sz="0" w:space="0" w:color="auto"/>
        <w:left w:val="none" w:sz="0" w:space="0" w:color="auto"/>
        <w:bottom w:val="none" w:sz="0" w:space="0" w:color="auto"/>
        <w:right w:val="none" w:sz="0" w:space="0" w:color="auto"/>
      </w:divBdr>
    </w:div>
    <w:div w:id="1639728387">
      <w:bodyDiv w:val="1"/>
      <w:marLeft w:val="0"/>
      <w:marRight w:val="0"/>
      <w:marTop w:val="0"/>
      <w:marBottom w:val="0"/>
      <w:divBdr>
        <w:top w:val="none" w:sz="0" w:space="0" w:color="auto"/>
        <w:left w:val="none" w:sz="0" w:space="0" w:color="auto"/>
        <w:bottom w:val="none" w:sz="0" w:space="0" w:color="auto"/>
        <w:right w:val="none" w:sz="0" w:space="0" w:color="auto"/>
      </w:divBdr>
      <w:divsChild>
        <w:div w:id="81032299">
          <w:marLeft w:val="0"/>
          <w:marRight w:val="0"/>
          <w:marTop w:val="0"/>
          <w:marBottom w:val="0"/>
          <w:divBdr>
            <w:top w:val="none" w:sz="0" w:space="0" w:color="auto"/>
            <w:left w:val="none" w:sz="0" w:space="0" w:color="auto"/>
            <w:bottom w:val="none" w:sz="0" w:space="0" w:color="auto"/>
            <w:right w:val="none" w:sz="0" w:space="0" w:color="auto"/>
          </w:divBdr>
        </w:div>
        <w:div w:id="90131710">
          <w:marLeft w:val="0"/>
          <w:marRight w:val="0"/>
          <w:marTop w:val="0"/>
          <w:marBottom w:val="0"/>
          <w:divBdr>
            <w:top w:val="none" w:sz="0" w:space="0" w:color="auto"/>
            <w:left w:val="none" w:sz="0" w:space="0" w:color="auto"/>
            <w:bottom w:val="none" w:sz="0" w:space="0" w:color="auto"/>
            <w:right w:val="none" w:sz="0" w:space="0" w:color="auto"/>
          </w:divBdr>
        </w:div>
        <w:div w:id="174730540">
          <w:marLeft w:val="0"/>
          <w:marRight w:val="0"/>
          <w:marTop w:val="0"/>
          <w:marBottom w:val="0"/>
          <w:divBdr>
            <w:top w:val="none" w:sz="0" w:space="0" w:color="auto"/>
            <w:left w:val="none" w:sz="0" w:space="0" w:color="auto"/>
            <w:bottom w:val="none" w:sz="0" w:space="0" w:color="auto"/>
            <w:right w:val="none" w:sz="0" w:space="0" w:color="auto"/>
          </w:divBdr>
        </w:div>
        <w:div w:id="202912728">
          <w:marLeft w:val="0"/>
          <w:marRight w:val="0"/>
          <w:marTop w:val="0"/>
          <w:marBottom w:val="0"/>
          <w:divBdr>
            <w:top w:val="none" w:sz="0" w:space="0" w:color="auto"/>
            <w:left w:val="none" w:sz="0" w:space="0" w:color="auto"/>
            <w:bottom w:val="none" w:sz="0" w:space="0" w:color="auto"/>
            <w:right w:val="none" w:sz="0" w:space="0" w:color="auto"/>
          </w:divBdr>
        </w:div>
        <w:div w:id="275261453">
          <w:marLeft w:val="0"/>
          <w:marRight w:val="0"/>
          <w:marTop w:val="0"/>
          <w:marBottom w:val="0"/>
          <w:divBdr>
            <w:top w:val="none" w:sz="0" w:space="0" w:color="auto"/>
            <w:left w:val="none" w:sz="0" w:space="0" w:color="auto"/>
            <w:bottom w:val="none" w:sz="0" w:space="0" w:color="auto"/>
            <w:right w:val="none" w:sz="0" w:space="0" w:color="auto"/>
          </w:divBdr>
        </w:div>
        <w:div w:id="354307920">
          <w:marLeft w:val="0"/>
          <w:marRight w:val="0"/>
          <w:marTop w:val="0"/>
          <w:marBottom w:val="0"/>
          <w:divBdr>
            <w:top w:val="none" w:sz="0" w:space="0" w:color="auto"/>
            <w:left w:val="none" w:sz="0" w:space="0" w:color="auto"/>
            <w:bottom w:val="none" w:sz="0" w:space="0" w:color="auto"/>
            <w:right w:val="none" w:sz="0" w:space="0" w:color="auto"/>
          </w:divBdr>
        </w:div>
        <w:div w:id="427622462">
          <w:marLeft w:val="0"/>
          <w:marRight w:val="0"/>
          <w:marTop w:val="0"/>
          <w:marBottom w:val="0"/>
          <w:divBdr>
            <w:top w:val="none" w:sz="0" w:space="0" w:color="auto"/>
            <w:left w:val="none" w:sz="0" w:space="0" w:color="auto"/>
            <w:bottom w:val="none" w:sz="0" w:space="0" w:color="auto"/>
            <w:right w:val="none" w:sz="0" w:space="0" w:color="auto"/>
          </w:divBdr>
        </w:div>
        <w:div w:id="430126995">
          <w:marLeft w:val="0"/>
          <w:marRight w:val="0"/>
          <w:marTop w:val="0"/>
          <w:marBottom w:val="0"/>
          <w:divBdr>
            <w:top w:val="none" w:sz="0" w:space="0" w:color="auto"/>
            <w:left w:val="none" w:sz="0" w:space="0" w:color="auto"/>
            <w:bottom w:val="none" w:sz="0" w:space="0" w:color="auto"/>
            <w:right w:val="none" w:sz="0" w:space="0" w:color="auto"/>
          </w:divBdr>
        </w:div>
        <w:div w:id="458227888">
          <w:marLeft w:val="0"/>
          <w:marRight w:val="0"/>
          <w:marTop w:val="0"/>
          <w:marBottom w:val="0"/>
          <w:divBdr>
            <w:top w:val="none" w:sz="0" w:space="0" w:color="auto"/>
            <w:left w:val="none" w:sz="0" w:space="0" w:color="auto"/>
            <w:bottom w:val="none" w:sz="0" w:space="0" w:color="auto"/>
            <w:right w:val="none" w:sz="0" w:space="0" w:color="auto"/>
          </w:divBdr>
        </w:div>
        <w:div w:id="474033216">
          <w:marLeft w:val="0"/>
          <w:marRight w:val="0"/>
          <w:marTop w:val="0"/>
          <w:marBottom w:val="0"/>
          <w:divBdr>
            <w:top w:val="none" w:sz="0" w:space="0" w:color="auto"/>
            <w:left w:val="none" w:sz="0" w:space="0" w:color="auto"/>
            <w:bottom w:val="none" w:sz="0" w:space="0" w:color="auto"/>
            <w:right w:val="none" w:sz="0" w:space="0" w:color="auto"/>
          </w:divBdr>
        </w:div>
        <w:div w:id="516970746">
          <w:marLeft w:val="0"/>
          <w:marRight w:val="0"/>
          <w:marTop w:val="0"/>
          <w:marBottom w:val="0"/>
          <w:divBdr>
            <w:top w:val="none" w:sz="0" w:space="0" w:color="auto"/>
            <w:left w:val="none" w:sz="0" w:space="0" w:color="auto"/>
            <w:bottom w:val="none" w:sz="0" w:space="0" w:color="auto"/>
            <w:right w:val="none" w:sz="0" w:space="0" w:color="auto"/>
          </w:divBdr>
        </w:div>
        <w:div w:id="582298099">
          <w:marLeft w:val="0"/>
          <w:marRight w:val="0"/>
          <w:marTop w:val="0"/>
          <w:marBottom w:val="0"/>
          <w:divBdr>
            <w:top w:val="none" w:sz="0" w:space="0" w:color="auto"/>
            <w:left w:val="none" w:sz="0" w:space="0" w:color="auto"/>
            <w:bottom w:val="none" w:sz="0" w:space="0" w:color="auto"/>
            <w:right w:val="none" w:sz="0" w:space="0" w:color="auto"/>
          </w:divBdr>
        </w:div>
        <w:div w:id="635987775">
          <w:marLeft w:val="0"/>
          <w:marRight w:val="0"/>
          <w:marTop w:val="0"/>
          <w:marBottom w:val="0"/>
          <w:divBdr>
            <w:top w:val="none" w:sz="0" w:space="0" w:color="auto"/>
            <w:left w:val="none" w:sz="0" w:space="0" w:color="auto"/>
            <w:bottom w:val="none" w:sz="0" w:space="0" w:color="auto"/>
            <w:right w:val="none" w:sz="0" w:space="0" w:color="auto"/>
          </w:divBdr>
        </w:div>
        <w:div w:id="646710406">
          <w:marLeft w:val="0"/>
          <w:marRight w:val="0"/>
          <w:marTop w:val="0"/>
          <w:marBottom w:val="0"/>
          <w:divBdr>
            <w:top w:val="none" w:sz="0" w:space="0" w:color="auto"/>
            <w:left w:val="none" w:sz="0" w:space="0" w:color="auto"/>
            <w:bottom w:val="none" w:sz="0" w:space="0" w:color="auto"/>
            <w:right w:val="none" w:sz="0" w:space="0" w:color="auto"/>
          </w:divBdr>
        </w:div>
        <w:div w:id="705108571">
          <w:marLeft w:val="0"/>
          <w:marRight w:val="0"/>
          <w:marTop w:val="0"/>
          <w:marBottom w:val="0"/>
          <w:divBdr>
            <w:top w:val="none" w:sz="0" w:space="0" w:color="auto"/>
            <w:left w:val="none" w:sz="0" w:space="0" w:color="auto"/>
            <w:bottom w:val="none" w:sz="0" w:space="0" w:color="auto"/>
            <w:right w:val="none" w:sz="0" w:space="0" w:color="auto"/>
          </w:divBdr>
        </w:div>
        <w:div w:id="751046701">
          <w:marLeft w:val="0"/>
          <w:marRight w:val="0"/>
          <w:marTop w:val="0"/>
          <w:marBottom w:val="0"/>
          <w:divBdr>
            <w:top w:val="none" w:sz="0" w:space="0" w:color="auto"/>
            <w:left w:val="none" w:sz="0" w:space="0" w:color="auto"/>
            <w:bottom w:val="none" w:sz="0" w:space="0" w:color="auto"/>
            <w:right w:val="none" w:sz="0" w:space="0" w:color="auto"/>
          </w:divBdr>
        </w:div>
        <w:div w:id="858469888">
          <w:marLeft w:val="0"/>
          <w:marRight w:val="0"/>
          <w:marTop w:val="0"/>
          <w:marBottom w:val="0"/>
          <w:divBdr>
            <w:top w:val="none" w:sz="0" w:space="0" w:color="auto"/>
            <w:left w:val="none" w:sz="0" w:space="0" w:color="auto"/>
            <w:bottom w:val="none" w:sz="0" w:space="0" w:color="auto"/>
            <w:right w:val="none" w:sz="0" w:space="0" w:color="auto"/>
          </w:divBdr>
        </w:div>
        <w:div w:id="885680918">
          <w:marLeft w:val="0"/>
          <w:marRight w:val="0"/>
          <w:marTop w:val="0"/>
          <w:marBottom w:val="0"/>
          <w:divBdr>
            <w:top w:val="none" w:sz="0" w:space="0" w:color="auto"/>
            <w:left w:val="none" w:sz="0" w:space="0" w:color="auto"/>
            <w:bottom w:val="none" w:sz="0" w:space="0" w:color="auto"/>
            <w:right w:val="none" w:sz="0" w:space="0" w:color="auto"/>
          </w:divBdr>
        </w:div>
        <w:div w:id="930309228">
          <w:marLeft w:val="0"/>
          <w:marRight w:val="0"/>
          <w:marTop w:val="0"/>
          <w:marBottom w:val="0"/>
          <w:divBdr>
            <w:top w:val="none" w:sz="0" w:space="0" w:color="auto"/>
            <w:left w:val="none" w:sz="0" w:space="0" w:color="auto"/>
            <w:bottom w:val="none" w:sz="0" w:space="0" w:color="auto"/>
            <w:right w:val="none" w:sz="0" w:space="0" w:color="auto"/>
          </w:divBdr>
        </w:div>
        <w:div w:id="1054767860">
          <w:marLeft w:val="0"/>
          <w:marRight w:val="0"/>
          <w:marTop w:val="0"/>
          <w:marBottom w:val="0"/>
          <w:divBdr>
            <w:top w:val="none" w:sz="0" w:space="0" w:color="auto"/>
            <w:left w:val="none" w:sz="0" w:space="0" w:color="auto"/>
            <w:bottom w:val="none" w:sz="0" w:space="0" w:color="auto"/>
            <w:right w:val="none" w:sz="0" w:space="0" w:color="auto"/>
          </w:divBdr>
        </w:div>
        <w:div w:id="1092118231">
          <w:marLeft w:val="0"/>
          <w:marRight w:val="0"/>
          <w:marTop w:val="0"/>
          <w:marBottom w:val="0"/>
          <w:divBdr>
            <w:top w:val="none" w:sz="0" w:space="0" w:color="auto"/>
            <w:left w:val="none" w:sz="0" w:space="0" w:color="auto"/>
            <w:bottom w:val="none" w:sz="0" w:space="0" w:color="auto"/>
            <w:right w:val="none" w:sz="0" w:space="0" w:color="auto"/>
          </w:divBdr>
        </w:div>
        <w:div w:id="1108355470">
          <w:marLeft w:val="0"/>
          <w:marRight w:val="0"/>
          <w:marTop w:val="0"/>
          <w:marBottom w:val="0"/>
          <w:divBdr>
            <w:top w:val="none" w:sz="0" w:space="0" w:color="auto"/>
            <w:left w:val="none" w:sz="0" w:space="0" w:color="auto"/>
            <w:bottom w:val="none" w:sz="0" w:space="0" w:color="auto"/>
            <w:right w:val="none" w:sz="0" w:space="0" w:color="auto"/>
          </w:divBdr>
        </w:div>
        <w:div w:id="1120993840">
          <w:marLeft w:val="0"/>
          <w:marRight w:val="0"/>
          <w:marTop w:val="0"/>
          <w:marBottom w:val="0"/>
          <w:divBdr>
            <w:top w:val="none" w:sz="0" w:space="0" w:color="auto"/>
            <w:left w:val="none" w:sz="0" w:space="0" w:color="auto"/>
            <w:bottom w:val="none" w:sz="0" w:space="0" w:color="auto"/>
            <w:right w:val="none" w:sz="0" w:space="0" w:color="auto"/>
          </w:divBdr>
        </w:div>
        <w:div w:id="1235823375">
          <w:marLeft w:val="0"/>
          <w:marRight w:val="0"/>
          <w:marTop w:val="0"/>
          <w:marBottom w:val="0"/>
          <w:divBdr>
            <w:top w:val="none" w:sz="0" w:space="0" w:color="auto"/>
            <w:left w:val="none" w:sz="0" w:space="0" w:color="auto"/>
            <w:bottom w:val="none" w:sz="0" w:space="0" w:color="auto"/>
            <w:right w:val="none" w:sz="0" w:space="0" w:color="auto"/>
          </w:divBdr>
        </w:div>
        <w:div w:id="1260215822">
          <w:marLeft w:val="0"/>
          <w:marRight w:val="0"/>
          <w:marTop w:val="0"/>
          <w:marBottom w:val="0"/>
          <w:divBdr>
            <w:top w:val="none" w:sz="0" w:space="0" w:color="auto"/>
            <w:left w:val="none" w:sz="0" w:space="0" w:color="auto"/>
            <w:bottom w:val="none" w:sz="0" w:space="0" w:color="auto"/>
            <w:right w:val="none" w:sz="0" w:space="0" w:color="auto"/>
          </w:divBdr>
        </w:div>
        <w:div w:id="1363437740">
          <w:marLeft w:val="0"/>
          <w:marRight w:val="0"/>
          <w:marTop w:val="0"/>
          <w:marBottom w:val="0"/>
          <w:divBdr>
            <w:top w:val="none" w:sz="0" w:space="0" w:color="auto"/>
            <w:left w:val="none" w:sz="0" w:space="0" w:color="auto"/>
            <w:bottom w:val="none" w:sz="0" w:space="0" w:color="auto"/>
            <w:right w:val="none" w:sz="0" w:space="0" w:color="auto"/>
          </w:divBdr>
        </w:div>
        <w:div w:id="1437865701">
          <w:marLeft w:val="0"/>
          <w:marRight w:val="0"/>
          <w:marTop w:val="0"/>
          <w:marBottom w:val="0"/>
          <w:divBdr>
            <w:top w:val="none" w:sz="0" w:space="0" w:color="auto"/>
            <w:left w:val="none" w:sz="0" w:space="0" w:color="auto"/>
            <w:bottom w:val="none" w:sz="0" w:space="0" w:color="auto"/>
            <w:right w:val="none" w:sz="0" w:space="0" w:color="auto"/>
          </w:divBdr>
        </w:div>
        <w:div w:id="1471097706">
          <w:marLeft w:val="0"/>
          <w:marRight w:val="0"/>
          <w:marTop w:val="0"/>
          <w:marBottom w:val="0"/>
          <w:divBdr>
            <w:top w:val="none" w:sz="0" w:space="0" w:color="auto"/>
            <w:left w:val="none" w:sz="0" w:space="0" w:color="auto"/>
            <w:bottom w:val="none" w:sz="0" w:space="0" w:color="auto"/>
            <w:right w:val="none" w:sz="0" w:space="0" w:color="auto"/>
          </w:divBdr>
        </w:div>
        <w:div w:id="1480196759">
          <w:marLeft w:val="0"/>
          <w:marRight w:val="0"/>
          <w:marTop w:val="0"/>
          <w:marBottom w:val="0"/>
          <w:divBdr>
            <w:top w:val="none" w:sz="0" w:space="0" w:color="auto"/>
            <w:left w:val="none" w:sz="0" w:space="0" w:color="auto"/>
            <w:bottom w:val="none" w:sz="0" w:space="0" w:color="auto"/>
            <w:right w:val="none" w:sz="0" w:space="0" w:color="auto"/>
          </w:divBdr>
        </w:div>
        <w:div w:id="1580938521">
          <w:marLeft w:val="0"/>
          <w:marRight w:val="0"/>
          <w:marTop w:val="0"/>
          <w:marBottom w:val="0"/>
          <w:divBdr>
            <w:top w:val="none" w:sz="0" w:space="0" w:color="auto"/>
            <w:left w:val="none" w:sz="0" w:space="0" w:color="auto"/>
            <w:bottom w:val="none" w:sz="0" w:space="0" w:color="auto"/>
            <w:right w:val="none" w:sz="0" w:space="0" w:color="auto"/>
          </w:divBdr>
        </w:div>
        <w:div w:id="1627590175">
          <w:marLeft w:val="0"/>
          <w:marRight w:val="0"/>
          <w:marTop w:val="0"/>
          <w:marBottom w:val="0"/>
          <w:divBdr>
            <w:top w:val="none" w:sz="0" w:space="0" w:color="auto"/>
            <w:left w:val="none" w:sz="0" w:space="0" w:color="auto"/>
            <w:bottom w:val="none" w:sz="0" w:space="0" w:color="auto"/>
            <w:right w:val="none" w:sz="0" w:space="0" w:color="auto"/>
          </w:divBdr>
        </w:div>
        <w:div w:id="1665278188">
          <w:marLeft w:val="0"/>
          <w:marRight w:val="0"/>
          <w:marTop w:val="0"/>
          <w:marBottom w:val="0"/>
          <w:divBdr>
            <w:top w:val="none" w:sz="0" w:space="0" w:color="auto"/>
            <w:left w:val="none" w:sz="0" w:space="0" w:color="auto"/>
            <w:bottom w:val="none" w:sz="0" w:space="0" w:color="auto"/>
            <w:right w:val="none" w:sz="0" w:space="0" w:color="auto"/>
          </w:divBdr>
        </w:div>
        <w:div w:id="1677540754">
          <w:marLeft w:val="0"/>
          <w:marRight w:val="0"/>
          <w:marTop w:val="0"/>
          <w:marBottom w:val="0"/>
          <w:divBdr>
            <w:top w:val="none" w:sz="0" w:space="0" w:color="auto"/>
            <w:left w:val="none" w:sz="0" w:space="0" w:color="auto"/>
            <w:bottom w:val="none" w:sz="0" w:space="0" w:color="auto"/>
            <w:right w:val="none" w:sz="0" w:space="0" w:color="auto"/>
          </w:divBdr>
        </w:div>
        <w:div w:id="1696154717">
          <w:marLeft w:val="0"/>
          <w:marRight w:val="0"/>
          <w:marTop w:val="0"/>
          <w:marBottom w:val="0"/>
          <w:divBdr>
            <w:top w:val="none" w:sz="0" w:space="0" w:color="auto"/>
            <w:left w:val="none" w:sz="0" w:space="0" w:color="auto"/>
            <w:bottom w:val="none" w:sz="0" w:space="0" w:color="auto"/>
            <w:right w:val="none" w:sz="0" w:space="0" w:color="auto"/>
          </w:divBdr>
        </w:div>
        <w:div w:id="1704868046">
          <w:marLeft w:val="0"/>
          <w:marRight w:val="0"/>
          <w:marTop w:val="0"/>
          <w:marBottom w:val="0"/>
          <w:divBdr>
            <w:top w:val="none" w:sz="0" w:space="0" w:color="auto"/>
            <w:left w:val="none" w:sz="0" w:space="0" w:color="auto"/>
            <w:bottom w:val="none" w:sz="0" w:space="0" w:color="auto"/>
            <w:right w:val="none" w:sz="0" w:space="0" w:color="auto"/>
          </w:divBdr>
        </w:div>
        <w:div w:id="1724406292">
          <w:marLeft w:val="0"/>
          <w:marRight w:val="0"/>
          <w:marTop w:val="0"/>
          <w:marBottom w:val="0"/>
          <w:divBdr>
            <w:top w:val="none" w:sz="0" w:space="0" w:color="auto"/>
            <w:left w:val="none" w:sz="0" w:space="0" w:color="auto"/>
            <w:bottom w:val="none" w:sz="0" w:space="0" w:color="auto"/>
            <w:right w:val="none" w:sz="0" w:space="0" w:color="auto"/>
          </w:divBdr>
        </w:div>
        <w:div w:id="1839030624">
          <w:marLeft w:val="0"/>
          <w:marRight w:val="0"/>
          <w:marTop w:val="0"/>
          <w:marBottom w:val="0"/>
          <w:divBdr>
            <w:top w:val="none" w:sz="0" w:space="0" w:color="auto"/>
            <w:left w:val="none" w:sz="0" w:space="0" w:color="auto"/>
            <w:bottom w:val="none" w:sz="0" w:space="0" w:color="auto"/>
            <w:right w:val="none" w:sz="0" w:space="0" w:color="auto"/>
          </w:divBdr>
        </w:div>
        <w:div w:id="1865943277">
          <w:marLeft w:val="0"/>
          <w:marRight w:val="0"/>
          <w:marTop w:val="0"/>
          <w:marBottom w:val="0"/>
          <w:divBdr>
            <w:top w:val="none" w:sz="0" w:space="0" w:color="auto"/>
            <w:left w:val="none" w:sz="0" w:space="0" w:color="auto"/>
            <w:bottom w:val="none" w:sz="0" w:space="0" w:color="auto"/>
            <w:right w:val="none" w:sz="0" w:space="0" w:color="auto"/>
          </w:divBdr>
        </w:div>
        <w:div w:id="1874926190">
          <w:marLeft w:val="0"/>
          <w:marRight w:val="0"/>
          <w:marTop w:val="0"/>
          <w:marBottom w:val="0"/>
          <w:divBdr>
            <w:top w:val="none" w:sz="0" w:space="0" w:color="auto"/>
            <w:left w:val="none" w:sz="0" w:space="0" w:color="auto"/>
            <w:bottom w:val="none" w:sz="0" w:space="0" w:color="auto"/>
            <w:right w:val="none" w:sz="0" w:space="0" w:color="auto"/>
          </w:divBdr>
        </w:div>
        <w:div w:id="1963807098">
          <w:marLeft w:val="0"/>
          <w:marRight w:val="0"/>
          <w:marTop w:val="0"/>
          <w:marBottom w:val="0"/>
          <w:divBdr>
            <w:top w:val="none" w:sz="0" w:space="0" w:color="auto"/>
            <w:left w:val="none" w:sz="0" w:space="0" w:color="auto"/>
            <w:bottom w:val="none" w:sz="0" w:space="0" w:color="auto"/>
            <w:right w:val="none" w:sz="0" w:space="0" w:color="auto"/>
          </w:divBdr>
        </w:div>
        <w:div w:id="2080131560">
          <w:marLeft w:val="0"/>
          <w:marRight w:val="0"/>
          <w:marTop w:val="0"/>
          <w:marBottom w:val="0"/>
          <w:divBdr>
            <w:top w:val="none" w:sz="0" w:space="0" w:color="auto"/>
            <w:left w:val="none" w:sz="0" w:space="0" w:color="auto"/>
            <w:bottom w:val="none" w:sz="0" w:space="0" w:color="auto"/>
            <w:right w:val="none" w:sz="0" w:space="0" w:color="auto"/>
          </w:divBdr>
        </w:div>
        <w:div w:id="2091734967">
          <w:marLeft w:val="0"/>
          <w:marRight w:val="0"/>
          <w:marTop w:val="0"/>
          <w:marBottom w:val="0"/>
          <w:divBdr>
            <w:top w:val="none" w:sz="0" w:space="0" w:color="auto"/>
            <w:left w:val="none" w:sz="0" w:space="0" w:color="auto"/>
            <w:bottom w:val="none" w:sz="0" w:space="0" w:color="auto"/>
            <w:right w:val="none" w:sz="0" w:space="0" w:color="auto"/>
          </w:divBdr>
        </w:div>
        <w:div w:id="2092655000">
          <w:marLeft w:val="0"/>
          <w:marRight w:val="0"/>
          <w:marTop w:val="0"/>
          <w:marBottom w:val="0"/>
          <w:divBdr>
            <w:top w:val="none" w:sz="0" w:space="0" w:color="auto"/>
            <w:left w:val="none" w:sz="0" w:space="0" w:color="auto"/>
            <w:bottom w:val="none" w:sz="0" w:space="0" w:color="auto"/>
            <w:right w:val="none" w:sz="0" w:space="0" w:color="auto"/>
          </w:divBdr>
        </w:div>
        <w:div w:id="2101294559">
          <w:marLeft w:val="0"/>
          <w:marRight w:val="0"/>
          <w:marTop w:val="0"/>
          <w:marBottom w:val="0"/>
          <w:divBdr>
            <w:top w:val="none" w:sz="0" w:space="0" w:color="auto"/>
            <w:left w:val="none" w:sz="0" w:space="0" w:color="auto"/>
            <w:bottom w:val="none" w:sz="0" w:space="0" w:color="auto"/>
            <w:right w:val="none" w:sz="0" w:space="0" w:color="auto"/>
          </w:divBdr>
        </w:div>
        <w:div w:id="2147312054">
          <w:marLeft w:val="0"/>
          <w:marRight w:val="0"/>
          <w:marTop w:val="0"/>
          <w:marBottom w:val="0"/>
          <w:divBdr>
            <w:top w:val="none" w:sz="0" w:space="0" w:color="auto"/>
            <w:left w:val="none" w:sz="0" w:space="0" w:color="auto"/>
            <w:bottom w:val="none" w:sz="0" w:space="0" w:color="auto"/>
            <w:right w:val="none" w:sz="0" w:space="0" w:color="auto"/>
          </w:divBdr>
        </w:div>
      </w:divsChild>
    </w:div>
    <w:div w:id="1645770724">
      <w:bodyDiv w:val="1"/>
      <w:marLeft w:val="0"/>
      <w:marRight w:val="0"/>
      <w:marTop w:val="0"/>
      <w:marBottom w:val="0"/>
      <w:divBdr>
        <w:top w:val="none" w:sz="0" w:space="0" w:color="auto"/>
        <w:left w:val="none" w:sz="0" w:space="0" w:color="auto"/>
        <w:bottom w:val="none" w:sz="0" w:space="0" w:color="auto"/>
        <w:right w:val="none" w:sz="0" w:space="0" w:color="auto"/>
      </w:divBdr>
    </w:div>
    <w:div w:id="1847596276">
      <w:bodyDiv w:val="1"/>
      <w:marLeft w:val="0"/>
      <w:marRight w:val="0"/>
      <w:marTop w:val="0"/>
      <w:marBottom w:val="0"/>
      <w:divBdr>
        <w:top w:val="none" w:sz="0" w:space="0" w:color="auto"/>
        <w:left w:val="none" w:sz="0" w:space="0" w:color="auto"/>
        <w:bottom w:val="none" w:sz="0" w:space="0" w:color="auto"/>
        <w:right w:val="none" w:sz="0" w:space="0" w:color="auto"/>
      </w:divBdr>
    </w:div>
    <w:div w:id="1848278709">
      <w:bodyDiv w:val="1"/>
      <w:marLeft w:val="0"/>
      <w:marRight w:val="0"/>
      <w:marTop w:val="0"/>
      <w:marBottom w:val="0"/>
      <w:divBdr>
        <w:top w:val="none" w:sz="0" w:space="0" w:color="auto"/>
        <w:left w:val="none" w:sz="0" w:space="0" w:color="auto"/>
        <w:bottom w:val="none" w:sz="0" w:space="0" w:color="auto"/>
        <w:right w:val="none" w:sz="0" w:space="0" w:color="auto"/>
      </w:divBdr>
    </w:div>
    <w:div w:id="1928659760">
      <w:bodyDiv w:val="1"/>
      <w:marLeft w:val="0"/>
      <w:marRight w:val="0"/>
      <w:marTop w:val="0"/>
      <w:marBottom w:val="0"/>
      <w:divBdr>
        <w:top w:val="none" w:sz="0" w:space="0" w:color="auto"/>
        <w:left w:val="none" w:sz="0" w:space="0" w:color="auto"/>
        <w:bottom w:val="none" w:sz="0" w:space="0" w:color="auto"/>
        <w:right w:val="none" w:sz="0" w:space="0" w:color="auto"/>
      </w:divBdr>
    </w:div>
    <w:div w:id="1976443129">
      <w:bodyDiv w:val="1"/>
      <w:marLeft w:val="0"/>
      <w:marRight w:val="0"/>
      <w:marTop w:val="0"/>
      <w:marBottom w:val="0"/>
      <w:divBdr>
        <w:top w:val="none" w:sz="0" w:space="0" w:color="auto"/>
        <w:left w:val="none" w:sz="0" w:space="0" w:color="auto"/>
        <w:bottom w:val="none" w:sz="0" w:space="0" w:color="auto"/>
        <w:right w:val="none" w:sz="0" w:space="0" w:color="auto"/>
      </w:divBdr>
    </w:div>
    <w:div w:id="1984238101">
      <w:bodyDiv w:val="1"/>
      <w:marLeft w:val="0"/>
      <w:marRight w:val="0"/>
      <w:marTop w:val="0"/>
      <w:marBottom w:val="0"/>
      <w:divBdr>
        <w:top w:val="none" w:sz="0" w:space="0" w:color="auto"/>
        <w:left w:val="none" w:sz="0" w:space="0" w:color="auto"/>
        <w:bottom w:val="none" w:sz="0" w:space="0" w:color="auto"/>
        <w:right w:val="none" w:sz="0" w:space="0" w:color="auto"/>
      </w:divBdr>
    </w:div>
    <w:div w:id="209107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dx.doi.org/10.15486/ngt/1582598" TargetMode="External"/><Relationship Id="rId26" Type="http://schemas.openxmlformats.org/officeDocument/2006/relationships/image" Target="media/image7.tiff"/><Relationship Id="rId39"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2.tiff"/><Relationship Id="rId34" Type="http://schemas.openxmlformats.org/officeDocument/2006/relationships/image" Target="media/image14.tiff"/><Relationship Id="rId42" Type="http://schemas.openxmlformats.org/officeDocument/2006/relationships/image" Target="media/image21.tiff"/><Relationship Id="rId47" Type="http://schemas.openxmlformats.org/officeDocument/2006/relationships/image" Target="media/image26.tif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rstudio.com/" TargetMode="External"/><Relationship Id="rId25" Type="http://schemas.openxmlformats.org/officeDocument/2006/relationships/image" Target="media/image6.tiff"/><Relationship Id="rId33" Type="http://schemas.openxmlformats.org/officeDocument/2006/relationships/image" Target="media/image13.tiff"/><Relationship Id="rId38" Type="http://schemas.openxmlformats.org/officeDocument/2006/relationships/hyperlink" Target="https://doi.org/10.6073/pasta/7a8315e46e841e20413968144c9e3076" TargetMode="External"/><Relationship Id="rId46" Type="http://schemas.openxmlformats.org/officeDocument/2006/relationships/image" Target="media/image25.tiff"/><Relationship Id="rId2" Type="http://schemas.openxmlformats.org/officeDocument/2006/relationships/customXml" Target="../customXml/item2.xml"/><Relationship Id="rId16" Type="http://schemas.openxmlformats.org/officeDocument/2006/relationships/hyperlink" Target="https://gcc02.safelinks.protection.outlook.com/?url=https%3A%2F%2Fwww.fs.usda.gov%2Ftreesearch%2Fpubs%2F58591&amp;data=02%7C01%7C%7C63d1575b3b764ba407ae08d73b3dbda4%7Ced5b36e701ee4ebc867ee03cfa0d4697%7C0%7C0%7C637043008672034692&amp;sdata=wZjeQUe0Po17vDDRunSjZIxrhNxDsD%2FOZPNnPSjvD3Q%3D&amp;reserved=0" TargetMode="External"/><Relationship Id="rId20" Type="http://schemas.openxmlformats.org/officeDocument/2006/relationships/image" Target="media/image1.tiff"/><Relationship Id="rId29" Type="http://schemas.openxmlformats.org/officeDocument/2006/relationships/image" Target="media/image10.tiff"/><Relationship Id="rId41"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tiff"/><Relationship Id="rId32" Type="http://schemas.openxmlformats.org/officeDocument/2006/relationships/image" Target="media/image12.tiff"/><Relationship Id="rId37" Type="http://schemas.openxmlformats.org/officeDocument/2006/relationships/image" Target="media/image17.tiff"/><Relationship Id="rId40" Type="http://schemas.openxmlformats.org/officeDocument/2006/relationships/image" Target="media/image19.tiff"/><Relationship Id="rId45" Type="http://schemas.openxmlformats.org/officeDocument/2006/relationships/image" Target="media/image24.tiff"/><Relationship Id="rId5" Type="http://schemas.openxmlformats.org/officeDocument/2006/relationships/settings" Target="settings.xml"/><Relationship Id="rId15" Type="http://schemas.openxmlformats.org/officeDocument/2006/relationships/hyperlink" Target="https://www.fs.usda.gov/treesearch/pubs/5551" TargetMode="External"/><Relationship Id="rId23" Type="http://schemas.openxmlformats.org/officeDocument/2006/relationships/image" Target="media/image4.tiff"/><Relationship Id="rId28" Type="http://schemas.openxmlformats.org/officeDocument/2006/relationships/image" Target="media/image9.tiff"/><Relationship Id="rId36" Type="http://schemas.openxmlformats.org/officeDocument/2006/relationships/image" Target="media/image16.tiff"/><Relationship Id="rId49"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dx.doi.org/10.15486/ngt/1558773" TargetMode="External"/><Relationship Id="rId31" Type="http://schemas.openxmlformats.org/officeDocument/2006/relationships/image" Target="media/image11.tiff"/><Relationship Id="rId44" Type="http://schemas.openxmlformats.org/officeDocument/2006/relationships/image" Target="media/image23.tif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fs.usda.gov/treesearch/pubs/43624" TargetMode="External"/><Relationship Id="rId22" Type="http://schemas.openxmlformats.org/officeDocument/2006/relationships/image" Target="media/image3.tiff"/><Relationship Id="rId27" Type="http://schemas.openxmlformats.org/officeDocument/2006/relationships/image" Target="media/image8.tiff"/><Relationship Id="rId30" Type="http://schemas.openxmlformats.org/officeDocument/2006/relationships/hyperlink" Target="https://www.quantitative-plant.org/software/rootfly" TargetMode="External"/><Relationship Id="rId35" Type="http://schemas.openxmlformats.org/officeDocument/2006/relationships/image" Target="media/image15.tiff"/><Relationship Id="rId43" Type="http://schemas.openxmlformats.org/officeDocument/2006/relationships/image" Target="media/image22.tiff"/><Relationship Id="rId48" Type="http://schemas.openxmlformats.org/officeDocument/2006/relationships/image" Target="media/image27.tiff"/><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AE5B61-0E16-5E45-BBE6-87A1A21E0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168</Pages>
  <Words>232986</Words>
  <Characters>1328022</Characters>
  <Application>Microsoft Office Word</Application>
  <DocSecurity>0</DocSecurity>
  <Lines>11066</Lines>
  <Paragraphs>3115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yaffar</dc:creator>
  <cp:keywords/>
  <dc:description/>
  <cp:lastModifiedBy>Yaffar De La Fuente, Daniela</cp:lastModifiedBy>
  <cp:revision>2</cp:revision>
  <cp:lastPrinted>2020-02-10T22:04:00Z</cp:lastPrinted>
  <dcterms:created xsi:type="dcterms:W3CDTF">2020-11-18T18:06:00Z</dcterms:created>
  <dcterms:modified xsi:type="dcterms:W3CDTF">2020-11-18T18:06:00Z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http://www.zotero.org/styles/biotropica</vt:lpwstr>
  </property>
  <property fmtid="{D5CDD505-2E9C-101B-9397-08002B2CF9AE}" pid="7" name="Mendeley Recent Style Name 2_1">
    <vt:lpwstr>Biotropica</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http://www.zotero.org/styles/ecology</vt:lpwstr>
  </property>
  <property fmtid="{D5CDD505-2E9C-101B-9397-08002B2CF9AE}" pid="13" name="Mendeley Recent Style Name 5_1">
    <vt:lpwstr>Ecology</vt:lpwstr>
  </property>
  <property fmtid="{D5CDD505-2E9C-101B-9397-08002B2CF9AE}" pid="14" name="Mendeley Recent Style Id 6_1">
    <vt:lpwstr>http://www.zotero.org/styles/global-change-biology</vt:lpwstr>
  </property>
  <property fmtid="{D5CDD505-2E9C-101B-9397-08002B2CF9AE}" pid="15" name="Mendeley Recent Style Name 6_1">
    <vt:lpwstr>Global Change Biology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http://www.zotero.org/styles/new-phytologist</vt:lpwstr>
  </property>
  <property fmtid="{D5CDD505-2E9C-101B-9397-08002B2CF9AE}" pid="21" name="Mendeley Recent Style Name 9_1">
    <vt:lpwstr>New Phytologist</vt:lpwstr>
  </property>
  <property fmtid="{D5CDD505-2E9C-101B-9397-08002B2CF9AE}" pid="22" name="Mendeley Document_1">
    <vt:lpwstr>True</vt:lpwstr>
  </property>
  <property fmtid="{D5CDD505-2E9C-101B-9397-08002B2CF9AE}" pid="23" name="Mendeley Unique User Id_1">
    <vt:lpwstr>ca767457-7dc2-31e7-ae96-d1a02cc219f5</vt:lpwstr>
  </property>
  <property fmtid="{D5CDD505-2E9C-101B-9397-08002B2CF9AE}" pid="24" name="Mendeley Citation Style_1">
    <vt:lpwstr>http://www.zotero.org/styles/new-phytologist</vt:lpwstr>
  </property>
</Properties>
</file>